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504E5" w:rsidRPr="007D1BBF" w:rsidTr="0088395E">
        <w:tc>
          <w:tcPr>
            <w:tcW w:w="4513" w:type="dxa"/>
            <w:tcBorders>
              <w:bottom w:val="single" w:sz="4" w:space="0" w:color="auto"/>
            </w:tcBorders>
            <w:tcMar>
              <w:bottom w:w="170" w:type="dxa"/>
            </w:tcMar>
          </w:tcPr>
          <w:p w:rsidR="00E504E5" w:rsidRPr="007D1BBF" w:rsidRDefault="00E504E5" w:rsidP="00AB613D"/>
        </w:tc>
        <w:tc>
          <w:tcPr>
            <w:tcW w:w="4337" w:type="dxa"/>
            <w:tcBorders>
              <w:bottom w:val="single" w:sz="4" w:space="0" w:color="auto"/>
            </w:tcBorders>
            <w:tcMar>
              <w:left w:w="0" w:type="dxa"/>
              <w:right w:w="0" w:type="dxa"/>
            </w:tcMar>
          </w:tcPr>
          <w:p w:rsidR="00E504E5" w:rsidRPr="007D1BBF" w:rsidRDefault="00763943" w:rsidP="00AB613D">
            <w:r w:rsidRPr="007D1BBF">
              <w:rPr>
                <w:noProof/>
                <w:lang w:val="en-US" w:eastAsia="en-US"/>
              </w:rPr>
              <w:drawing>
                <wp:inline distT="0" distB="0" distL="0" distR="0" wp14:anchorId="7B777C13" wp14:editId="31DFE674">
                  <wp:extent cx="1858645" cy="1326515"/>
                  <wp:effectExtent l="0" t="0" r="8255" b="6985"/>
                  <wp:docPr id="1" name="Picture 1" descr="WI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8645" cy="132651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504E5" w:rsidRPr="007D1BBF" w:rsidRDefault="00E504E5" w:rsidP="00AB613D">
            <w:pPr>
              <w:jc w:val="right"/>
            </w:pPr>
            <w:r w:rsidRPr="007D1BBF">
              <w:rPr>
                <w:b/>
                <w:sz w:val="40"/>
                <w:szCs w:val="40"/>
              </w:rPr>
              <w:t>S</w:t>
            </w:r>
          </w:p>
        </w:tc>
      </w:tr>
      <w:tr w:rsidR="008B2CC1" w:rsidRPr="007D1BBF" w:rsidTr="00EF78A9">
        <w:trPr>
          <w:trHeight w:hRule="exact" w:val="357"/>
        </w:trPr>
        <w:tc>
          <w:tcPr>
            <w:tcW w:w="9356" w:type="dxa"/>
            <w:gridSpan w:val="3"/>
            <w:tcBorders>
              <w:top w:val="single" w:sz="4" w:space="0" w:color="auto"/>
            </w:tcBorders>
            <w:tcMar>
              <w:top w:w="170" w:type="dxa"/>
              <w:left w:w="0" w:type="dxa"/>
              <w:right w:w="0" w:type="dxa"/>
            </w:tcMar>
            <w:vAlign w:val="bottom"/>
          </w:tcPr>
          <w:p w:rsidR="008B2CC1" w:rsidRPr="007D1BBF" w:rsidRDefault="006B4E97" w:rsidP="00AB613D">
            <w:pPr>
              <w:jc w:val="right"/>
              <w:rPr>
                <w:rFonts w:ascii="Arial Black" w:hAnsi="Arial Black"/>
                <w:caps/>
                <w:sz w:val="15"/>
              </w:rPr>
            </w:pPr>
            <w:r w:rsidRPr="007D1BBF">
              <w:rPr>
                <w:rFonts w:ascii="Arial Black" w:hAnsi="Arial Black"/>
                <w:caps/>
                <w:sz w:val="15"/>
              </w:rPr>
              <w:t>WO/PBC/26/</w:t>
            </w:r>
            <w:bookmarkStart w:id="0" w:name="Code"/>
            <w:bookmarkEnd w:id="0"/>
            <w:r w:rsidR="007C3D10" w:rsidRPr="007D1BBF">
              <w:rPr>
                <w:rFonts w:ascii="Arial Black" w:hAnsi="Arial Black"/>
                <w:caps/>
                <w:sz w:val="15"/>
              </w:rPr>
              <w:t>2</w:t>
            </w:r>
          </w:p>
        </w:tc>
      </w:tr>
      <w:tr w:rsidR="008B2CC1" w:rsidRPr="007D1BBF" w:rsidTr="00AB613D">
        <w:trPr>
          <w:trHeight w:hRule="exact" w:val="170"/>
        </w:trPr>
        <w:tc>
          <w:tcPr>
            <w:tcW w:w="9356" w:type="dxa"/>
            <w:gridSpan w:val="3"/>
            <w:noWrap/>
            <w:tcMar>
              <w:left w:w="0" w:type="dxa"/>
              <w:right w:w="0" w:type="dxa"/>
            </w:tcMar>
            <w:vAlign w:val="bottom"/>
          </w:tcPr>
          <w:p w:rsidR="008B2CC1" w:rsidRPr="007D1BBF" w:rsidRDefault="008B2CC1" w:rsidP="0046793F">
            <w:pPr>
              <w:jc w:val="right"/>
              <w:rPr>
                <w:rFonts w:ascii="Arial Black" w:hAnsi="Arial Black"/>
                <w:caps/>
                <w:sz w:val="15"/>
              </w:rPr>
            </w:pPr>
            <w:r w:rsidRPr="007D1BBF">
              <w:rPr>
                <w:rFonts w:ascii="Arial Black" w:hAnsi="Arial Black"/>
                <w:caps/>
                <w:sz w:val="15"/>
              </w:rPr>
              <w:t>ORIGINAL:</w:t>
            </w:r>
            <w:r w:rsidR="009A20CD" w:rsidRPr="007D1BBF">
              <w:rPr>
                <w:rFonts w:ascii="Arial Black" w:hAnsi="Arial Black"/>
                <w:caps/>
                <w:sz w:val="15"/>
              </w:rPr>
              <w:t xml:space="preserve">  </w:t>
            </w:r>
            <w:bookmarkStart w:id="1" w:name="Original"/>
            <w:bookmarkEnd w:id="1"/>
            <w:r w:rsidR="007C3D10" w:rsidRPr="007D1BBF">
              <w:rPr>
                <w:rFonts w:ascii="Arial Black" w:hAnsi="Arial Black"/>
                <w:caps/>
                <w:sz w:val="15"/>
              </w:rPr>
              <w:t>INGLÉS</w:t>
            </w:r>
            <w:r w:rsidRPr="007D1BBF">
              <w:rPr>
                <w:rFonts w:ascii="Arial Black" w:hAnsi="Arial Black"/>
                <w:caps/>
                <w:sz w:val="15"/>
              </w:rPr>
              <w:t xml:space="preserve"> </w:t>
            </w:r>
          </w:p>
        </w:tc>
      </w:tr>
      <w:tr w:rsidR="008B2CC1" w:rsidRPr="007D1BBF" w:rsidTr="00AB613D">
        <w:trPr>
          <w:trHeight w:hRule="exact" w:val="198"/>
        </w:trPr>
        <w:tc>
          <w:tcPr>
            <w:tcW w:w="9356" w:type="dxa"/>
            <w:gridSpan w:val="3"/>
            <w:tcMar>
              <w:left w:w="0" w:type="dxa"/>
              <w:right w:w="0" w:type="dxa"/>
            </w:tcMar>
            <w:vAlign w:val="bottom"/>
          </w:tcPr>
          <w:p w:rsidR="008B2CC1" w:rsidRPr="007D1BBF" w:rsidRDefault="00675021" w:rsidP="0046793F">
            <w:pPr>
              <w:jc w:val="right"/>
              <w:rPr>
                <w:rFonts w:ascii="Arial Black" w:hAnsi="Arial Black"/>
                <w:caps/>
                <w:sz w:val="15"/>
              </w:rPr>
            </w:pPr>
            <w:r w:rsidRPr="007D1BBF">
              <w:rPr>
                <w:rFonts w:ascii="Arial Black" w:hAnsi="Arial Black"/>
                <w:caps/>
                <w:sz w:val="15"/>
              </w:rPr>
              <w:t>fecha</w:t>
            </w:r>
            <w:r w:rsidR="008B2CC1" w:rsidRPr="007D1BBF">
              <w:rPr>
                <w:rFonts w:ascii="Arial Black" w:hAnsi="Arial Black"/>
                <w:caps/>
                <w:sz w:val="15"/>
              </w:rPr>
              <w:t>:</w:t>
            </w:r>
            <w:r w:rsidR="009A20CD" w:rsidRPr="007D1BBF">
              <w:rPr>
                <w:rFonts w:ascii="Arial Black" w:hAnsi="Arial Black"/>
                <w:caps/>
                <w:sz w:val="15"/>
              </w:rPr>
              <w:t xml:space="preserve">  </w:t>
            </w:r>
            <w:bookmarkStart w:id="2" w:name="Date"/>
            <w:bookmarkEnd w:id="2"/>
            <w:r w:rsidR="007C3D10" w:rsidRPr="007D1BBF">
              <w:rPr>
                <w:rFonts w:ascii="Arial Black" w:hAnsi="Arial Black"/>
                <w:caps/>
                <w:sz w:val="15"/>
              </w:rPr>
              <w:t>15 DE MAYO DE 2017</w:t>
            </w:r>
            <w:r w:rsidR="008B2CC1" w:rsidRPr="007D1BBF">
              <w:rPr>
                <w:rFonts w:ascii="Arial Black" w:hAnsi="Arial Black"/>
                <w:caps/>
                <w:sz w:val="15"/>
              </w:rPr>
              <w:t xml:space="preserve"> </w:t>
            </w:r>
          </w:p>
        </w:tc>
      </w:tr>
    </w:tbl>
    <w:p w:rsidR="008B2CC1" w:rsidRPr="007D1BBF" w:rsidRDefault="008B2CC1" w:rsidP="008B2CC1"/>
    <w:p w:rsidR="008B2CC1" w:rsidRPr="007D1BBF" w:rsidRDefault="008B2CC1" w:rsidP="008B2CC1"/>
    <w:p w:rsidR="008B2CC1" w:rsidRPr="007D1BBF" w:rsidRDefault="008B2CC1" w:rsidP="008B2CC1"/>
    <w:p w:rsidR="008B2CC1" w:rsidRPr="007D1BBF" w:rsidRDefault="008B2CC1" w:rsidP="008B2CC1"/>
    <w:p w:rsidR="00B67CDC" w:rsidRPr="007D1BBF" w:rsidRDefault="006B4E97" w:rsidP="00B67CDC">
      <w:pPr>
        <w:rPr>
          <w:b/>
          <w:sz w:val="28"/>
          <w:szCs w:val="28"/>
        </w:rPr>
      </w:pPr>
      <w:r w:rsidRPr="007D1BBF">
        <w:rPr>
          <w:b/>
          <w:sz w:val="28"/>
          <w:szCs w:val="28"/>
        </w:rPr>
        <w:t>Comité del Programa y Presupuesto</w:t>
      </w:r>
    </w:p>
    <w:p w:rsidR="003845C1" w:rsidRPr="007D1BBF" w:rsidRDefault="003845C1" w:rsidP="003845C1"/>
    <w:p w:rsidR="003845C1" w:rsidRPr="007D1BBF" w:rsidRDefault="003845C1" w:rsidP="003845C1"/>
    <w:p w:rsidR="006B4E97" w:rsidRPr="007D1BBF" w:rsidRDefault="006B4E97" w:rsidP="006B4E97">
      <w:pPr>
        <w:rPr>
          <w:b/>
          <w:sz w:val="24"/>
          <w:szCs w:val="24"/>
        </w:rPr>
      </w:pPr>
      <w:r w:rsidRPr="007D1BBF">
        <w:rPr>
          <w:b/>
          <w:sz w:val="24"/>
          <w:szCs w:val="24"/>
        </w:rPr>
        <w:t>Vigesimosexta sesión</w:t>
      </w:r>
    </w:p>
    <w:p w:rsidR="00B67CDC" w:rsidRPr="007D1BBF" w:rsidRDefault="006B4E97" w:rsidP="006B4E97">
      <w:pPr>
        <w:rPr>
          <w:b/>
          <w:sz w:val="24"/>
          <w:szCs w:val="24"/>
        </w:rPr>
      </w:pPr>
      <w:r w:rsidRPr="007D1BBF">
        <w:rPr>
          <w:b/>
          <w:sz w:val="24"/>
          <w:szCs w:val="24"/>
        </w:rPr>
        <w:t>Ginebra, 10 a 14 de julio de 2017</w:t>
      </w:r>
    </w:p>
    <w:p w:rsidR="008B2CC1" w:rsidRPr="007D1BBF" w:rsidRDefault="008B2CC1" w:rsidP="008B2CC1"/>
    <w:p w:rsidR="008B2CC1" w:rsidRPr="007D1BBF" w:rsidRDefault="008B2CC1" w:rsidP="008B2CC1"/>
    <w:p w:rsidR="008B2CC1" w:rsidRPr="007D1BBF" w:rsidRDefault="008B2CC1" w:rsidP="008B2CC1"/>
    <w:p w:rsidR="008B2CC1" w:rsidRPr="007D1BBF" w:rsidRDefault="002C7090" w:rsidP="008B2CC1">
      <w:pPr>
        <w:rPr>
          <w:caps/>
          <w:sz w:val="24"/>
        </w:rPr>
      </w:pPr>
      <w:bookmarkStart w:id="3" w:name="TitleOfDoc"/>
      <w:bookmarkEnd w:id="3"/>
      <w:r w:rsidRPr="007D1BBF">
        <w:rPr>
          <w:caps/>
          <w:sz w:val="24"/>
        </w:rPr>
        <w:t>INFORME SOBRE EL RENDIMIENTO DE LOS PROGRAMAS EN 2016</w:t>
      </w:r>
    </w:p>
    <w:p w:rsidR="008B2CC1" w:rsidRPr="007D1BBF" w:rsidRDefault="008B2CC1" w:rsidP="008B2CC1"/>
    <w:p w:rsidR="008B2CC1" w:rsidRPr="007D1BBF" w:rsidRDefault="002C7090" w:rsidP="008B2CC1">
      <w:pPr>
        <w:rPr>
          <w:i/>
        </w:rPr>
      </w:pPr>
      <w:bookmarkStart w:id="4" w:name="Prepared"/>
      <w:bookmarkEnd w:id="4"/>
      <w:r w:rsidRPr="007D1BBF">
        <w:rPr>
          <w:i/>
        </w:rPr>
        <w:t>presentado por el director general</w:t>
      </w:r>
    </w:p>
    <w:p w:rsidR="008B2CC1" w:rsidRPr="007D1BBF" w:rsidRDefault="008B2CC1" w:rsidP="003845C1"/>
    <w:p w:rsidR="000F5E56" w:rsidRPr="007D1BBF" w:rsidRDefault="000F5E56"/>
    <w:p w:rsidR="00F84474" w:rsidRPr="007D1BBF" w:rsidRDefault="00F84474"/>
    <w:p w:rsidR="00F84474" w:rsidRPr="007D1BBF" w:rsidRDefault="00F84474"/>
    <w:p w:rsidR="002C7090" w:rsidRDefault="002C7090" w:rsidP="002C7090">
      <w:pPr>
        <w:rPr>
          <w:szCs w:val="22"/>
        </w:rPr>
      </w:pPr>
      <w:r w:rsidRPr="007D1BBF">
        <w:rPr>
          <w:szCs w:val="22"/>
        </w:rPr>
        <w:t>1.</w:t>
      </w:r>
      <w:r w:rsidRPr="007D1BBF">
        <w:rPr>
          <w:szCs w:val="22"/>
        </w:rPr>
        <w:tab/>
        <w:t>El informe sobre el rendimiento de los programas (documento PPR) en 2016 ha sido preparado con arreglo al marco de la OMPI de gestión por resultados.  El presente informe se basa en los criterios de rendimiento establecidos en el presupuesto por programas de 2016/17 en la forma en que fue aprobado por las Asambleas de los Estados miembros de la OMPI en octubre de 2015 (Publicación N.º 360</w:t>
      </w:r>
      <w:r w:rsidR="002F663B">
        <w:rPr>
          <w:szCs w:val="22"/>
        </w:rPr>
        <w:t>S</w:t>
      </w:r>
      <w:r w:rsidRPr="007D1BBF">
        <w:rPr>
          <w:szCs w:val="22"/>
        </w:rPr>
        <w:t>/PB1617).  El informe contiene una evaluación de los progresos logrados en 2016 en lo que respecta a la consecución de los resultados previstos para el bienio de 2016/17.</w:t>
      </w:r>
    </w:p>
    <w:p w:rsidR="007334B9" w:rsidRDefault="007334B9" w:rsidP="002C7090">
      <w:pPr>
        <w:rPr>
          <w:szCs w:val="22"/>
        </w:rPr>
      </w:pPr>
    </w:p>
    <w:p w:rsidR="007334B9" w:rsidRPr="007D1BBF" w:rsidRDefault="007334B9" w:rsidP="002C7090">
      <w:pPr>
        <w:rPr>
          <w:szCs w:val="22"/>
        </w:rPr>
      </w:pPr>
      <w:r>
        <w:rPr>
          <w:szCs w:val="22"/>
        </w:rPr>
        <w:t>2.</w:t>
      </w:r>
      <w:r>
        <w:rPr>
          <w:szCs w:val="22"/>
        </w:rPr>
        <w:tab/>
        <w:t>Se propone el siguiente párrafo de decisión.</w:t>
      </w:r>
    </w:p>
    <w:p w:rsidR="002C7090" w:rsidRPr="007D1BBF" w:rsidRDefault="002C7090" w:rsidP="002C7090">
      <w:pPr>
        <w:rPr>
          <w:color w:val="000000"/>
          <w:szCs w:val="22"/>
        </w:rPr>
      </w:pPr>
    </w:p>
    <w:p w:rsidR="002C7090" w:rsidRPr="007D1BBF" w:rsidRDefault="007334B9" w:rsidP="00355B51">
      <w:pPr>
        <w:pStyle w:val="ListParagraph"/>
        <w:tabs>
          <w:tab w:val="left" w:pos="1134"/>
          <w:tab w:val="left" w:pos="5954"/>
        </w:tabs>
        <w:ind w:left="5530"/>
        <w:contextualSpacing/>
        <w:rPr>
          <w:rFonts w:cs="Arial"/>
          <w:i/>
          <w:sz w:val="22"/>
          <w:szCs w:val="22"/>
          <w:lang w:val="es-ES"/>
        </w:rPr>
      </w:pPr>
      <w:r>
        <w:rPr>
          <w:i/>
          <w:sz w:val="22"/>
          <w:szCs w:val="22"/>
          <w:lang w:val="es-ES"/>
        </w:rPr>
        <w:t>3</w:t>
      </w:r>
      <w:r w:rsidR="002C7090" w:rsidRPr="007D1BBF">
        <w:rPr>
          <w:i/>
          <w:sz w:val="22"/>
          <w:szCs w:val="22"/>
          <w:lang w:val="es-ES"/>
        </w:rPr>
        <w:t>.</w:t>
      </w:r>
      <w:r w:rsidR="002C7090" w:rsidRPr="007D1BBF">
        <w:rPr>
          <w:sz w:val="22"/>
          <w:szCs w:val="22"/>
          <w:lang w:val="es-ES"/>
        </w:rPr>
        <w:tab/>
      </w:r>
      <w:r w:rsidR="002C7090" w:rsidRPr="007D1BBF">
        <w:rPr>
          <w:i/>
          <w:sz w:val="22"/>
          <w:szCs w:val="22"/>
          <w:lang w:val="es-ES"/>
        </w:rPr>
        <w:t>Tras revisar el Informe sobre el rendimiento de los programas (PPR) en 2016 (documento WO/PBC/26/2), y observar que constituye una autoevaluación por parte de la Secretaría, el Comité del Programa y Presupuesto (PBC) recomendó que las Asambleas de la OMPI reconozcan los avances logrados en 2016 en el marco de los programas en lo que respecta a la consecución de los resultados previstos</w:t>
      </w:r>
      <w:r w:rsidR="007D1BBF" w:rsidRPr="007D1BBF">
        <w:rPr>
          <w:rFonts w:cs="Arial"/>
          <w:i/>
          <w:sz w:val="22"/>
          <w:szCs w:val="22"/>
          <w:lang w:val="es-ES"/>
        </w:rPr>
        <w:t>.</w:t>
      </w:r>
    </w:p>
    <w:p w:rsidR="002C7090" w:rsidRPr="00D470BE" w:rsidRDefault="002C7090" w:rsidP="002C7090">
      <w:pPr>
        <w:pStyle w:val="DecisionInvitingPara"/>
        <w:tabs>
          <w:tab w:val="left" w:pos="6096"/>
        </w:tabs>
        <w:ind w:left="0" w:firstLine="5"/>
        <w:rPr>
          <w:rFonts w:cs="Times New Roman"/>
          <w:i w:val="0"/>
          <w:lang w:val="es-ES"/>
        </w:rPr>
      </w:pPr>
    </w:p>
    <w:p w:rsidR="00F4400D" w:rsidRDefault="002C7090" w:rsidP="007D1BBF">
      <w:pPr>
        <w:pStyle w:val="Endofdocument-Annex"/>
        <w:rPr>
          <w:lang w:val="es-ES"/>
        </w:rPr>
      </w:pPr>
      <w:r w:rsidRPr="007D1BBF">
        <w:rPr>
          <w:lang w:val="es-ES"/>
        </w:rPr>
        <w:t>[Sigue el Informe sobre el rendimiento de los programas en 2016]</w:t>
      </w:r>
    </w:p>
    <w:p w:rsidR="00F4400D" w:rsidRDefault="00F4400D">
      <w:r>
        <w:br w:type="page"/>
      </w:r>
    </w:p>
    <w:p w:rsidR="007D1BBF" w:rsidRPr="007D1BBF" w:rsidRDefault="007D1BBF" w:rsidP="007D1BBF">
      <w:pPr>
        <w:pStyle w:val="Endofdocument-Annex"/>
        <w:rPr>
          <w:lang w:val="es-ES"/>
        </w:rPr>
      </w:pPr>
    </w:p>
    <w:p w:rsidR="007D1BBF" w:rsidRPr="007D1BBF" w:rsidRDefault="007D1BBF" w:rsidP="007D1BBF">
      <w:pPr>
        <w:pStyle w:val="Endofdocument-Annex"/>
        <w:ind w:left="0"/>
        <w:rPr>
          <w:lang w:val="es-ES"/>
        </w:rPr>
        <w:sectPr w:rsidR="007D1BBF" w:rsidRPr="007D1BBF" w:rsidSect="001456FB">
          <w:headerReference w:type="default" r:id="rId10"/>
          <w:footerReference w:type="even" r:id="rId11"/>
          <w:pgSz w:w="11907" w:h="16840" w:code="9"/>
          <w:pgMar w:top="567" w:right="1134" w:bottom="1134" w:left="1418" w:header="510" w:footer="1021" w:gutter="0"/>
          <w:cols w:space="720"/>
          <w:titlePg/>
          <w:docGrid w:linePitch="299"/>
        </w:sectPr>
      </w:pPr>
    </w:p>
    <w:p w:rsidR="007D1BBF" w:rsidRPr="007D1BBF" w:rsidRDefault="007D1BBF" w:rsidP="007D1BBF">
      <w:pPr>
        <w:pStyle w:val="Endofdocument-Annex"/>
        <w:ind w:left="0"/>
        <w:jc w:val="center"/>
        <w:rPr>
          <w:b/>
          <w:lang w:val="es-ES"/>
        </w:rPr>
      </w:pPr>
    </w:p>
    <w:p w:rsidR="007D1BBF" w:rsidRPr="007D1BBF" w:rsidRDefault="007D1BBF" w:rsidP="007D1BBF">
      <w:pPr>
        <w:pStyle w:val="Endofdocument-Annex"/>
        <w:ind w:left="0"/>
        <w:jc w:val="center"/>
        <w:rPr>
          <w:b/>
          <w:lang w:val="es-ES"/>
        </w:rPr>
      </w:pPr>
      <w:r w:rsidRPr="007D1BBF">
        <w:rPr>
          <w:b/>
          <w:lang w:val="es-ES"/>
        </w:rPr>
        <w:t>INFORME SOBRE EL RENDIMIENTO DE LOS PROGRAMAS EN 2016</w:t>
      </w:r>
    </w:p>
    <w:p w:rsidR="007D1BBF" w:rsidRPr="007D1BBF" w:rsidRDefault="007D1BBF" w:rsidP="007D1BBF">
      <w:pPr>
        <w:pStyle w:val="Endofdocument-Annex"/>
        <w:ind w:left="0"/>
        <w:jc w:val="center"/>
        <w:rPr>
          <w:b/>
          <w:lang w:val="es-ES"/>
        </w:rPr>
      </w:pPr>
    </w:p>
    <w:p w:rsidR="007D1BBF" w:rsidRPr="007D1BBF" w:rsidRDefault="007D1BBF" w:rsidP="007D1BBF">
      <w:pPr>
        <w:pStyle w:val="Endofdocument-Annex"/>
        <w:ind w:left="0"/>
        <w:jc w:val="center"/>
        <w:rPr>
          <w:b/>
          <w:lang w:val="es-ES"/>
        </w:rPr>
      </w:pPr>
    </w:p>
    <w:p w:rsidR="007D1BBF" w:rsidRDefault="007D1BBF" w:rsidP="007D1BBF">
      <w:pPr>
        <w:pStyle w:val="Endofdocument-Annex"/>
        <w:ind w:left="0"/>
        <w:jc w:val="center"/>
        <w:rPr>
          <w:lang w:val="es-ES"/>
        </w:rPr>
      </w:pPr>
      <w:r w:rsidRPr="004C3DD6">
        <w:rPr>
          <w:lang w:val="es-ES"/>
        </w:rPr>
        <w:t>ÍNDICE</w:t>
      </w:r>
    </w:p>
    <w:p w:rsidR="00F95BFF" w:rsidRPr="00F95BFF" w:rsidRDefault="00F95BFF" w:rsidP="007D1BBF">
      <w:pPr>
        <w:pStyle w:val="Endofdocument-Annex"/>
        <w:ind w:left="0"/>
        <w:jc w:val="center"/>
        <w:rPr>
          <w:sz w:val="20"/>
          <w:lang w:val="es-ES"/>
        </w:rPr>
      </w:pPr>
      <w:bookmarkStart w:id="6" w:name="_GoBack"/>
      <w:bookmarkEnd w:id="6"/>
    </w:p>
    <w:p w:rsidR="007A4550" w:rsidRPr="007A4550" w:rsidRDefault="007A4550" w:rsidP="007A4550">
      <w:pPr>
        <w:pStyle w:val="TOC1"/>
        <w:rPr>
          <w:rFonts w:eastAsiaTheme="minorEastAsia"/>
        </w:rPr>
      </w:pPr>
      <w:r w:rsidRPr="007A4550">
        <w:rPr>
          <w:sz w:val="20"/>
          <w:szCs w:val="20"/>
          <w:lang w:val="es-ES"/>
        </w:rPr>
        <w:fldChar w:fldCharType="begin"/>
      </w:r>
      <w:r w:rsidRPr="007A4550">
        <w:rPr>
          <w:sz w:val="20"/>
          <w:szCs w:val="20"/>
          <w:lang w:val="es-ES"/>
        </w:rPr>
        <w:instrText xml:space="preserve"> TOC \o "1-3" \h \z \u </w:instrText>
      </w:r>
      <w:r w:rsidRPr="007A4550">
        <w:rPr>
          <w:sz w:val="20"/>
          <w:szCs w:val="20"/>
          <w:lang w:val="es-ES"/>
        </w:rPr>
        <w:fldChar w:fldCharType="separate"/>
      </w:r>
      <w:hyperlink w:anchor="_Toc482711234" w:history="1">
        <w:r w:rsidRPr="007A4550">
          <w:rPr>
            <w:rStyle w:val="Hyperlink"/>
          </w:rPr>
          <w:t>I.</w:t>
        </w:r>
        <w:r w:rsidRPr="007A4550">
          <w:rPr>
            <w:rFonts w:eastAsiaTheme="minorEastAsia"/>
          </w:rPr>
          <w:tab/>
        </w:r>
        <w:r w:rsidRPr="007A4550">
          <w:rPr>
            <w:rStyle w:val="Hyperlink"/>
          </w:rPr>
          <w:t>INTRODUCCIÓN</w:t>
        </w:r>
        <w:r w:rsidRPr="007A4550">
          <w:rPr>
            <w:webHidden/>
          </w:rPr>
          <w:tab/>
        </w:r>
        <w:r w:rsidRPr="007A4550">
          <w:rPr>
            <w:webHidden/>
          </w:rPr>
          <w:fldChar w:fldCharType="begin"/>
        </w:r>
        <w:r w:rsidRPr="007A4550">
          <w:rPr>
            <w:webHidden/>
          </w:rPr>
          <w:instrText xml:space="preserve"> PAGEREF _Toc482711234 \h </w:instrText>
        </w:r>
        <w:r w:rsidRPr="007A4550">
          <w:rPr>
            <w:webHidden/>
          </w:rPr>
        </w:r>
        <w:r w:rsidRPr="007A4550">
          <w:rPr>
            <w:webHidden/>
          </w:rPr>
          <w:fldChar w:fldCharType="separate"/>
        </w:r>
        <w:r w:rsidR="00112BA3">
          <w:rPr>
            <w:webHidden/>
          </w:rPr>
          <w:t>3</w:t>
        </w:r>
        <w:r w:rsidRPr="007A4550">
          <w:rPr>
            <w:webHidden/>
          </w:rPr>
          <w:fldChar w:fldCharType="end"/>
        </w:r>
      </w:hyperlink>
    </w:p>
    <w:p w:rsidR="007A4550" w:rsidRPr="007A4550" w:rsidRDefault="00653EAB" w:rsidP="007A4550">
      <w:pPr>
        <w:pStyle w:val="TOC1"/>
        <w:rPr>
          <w:rFonts w:eastAsiaTheme="minorEastAsia"/>
        </w:rPr>
      </w:pPr>
      <w:hyperlink w:anchor="_Toc482711235" w:history="1">
        <w:r w:rsidR="007A4550" w:rsidRPr="007A4550">
          <w:rPr>
            <w:rStyle w:val="Hyperlink"/>
          </w:rPr>
          <w:t>II.</w:t>
        </w:r>
        <w:r w:rsidR="007A4550" w:rsidRPr="007A4550">
          <w:rPr>
            <w:rFonts w:eastAsiaTheme="minorEastAsia"/>
          </w:rPr>
          <w:tab/>
        </w:r>
        <w:r w:rsidR="007A4550" w:rsidRPr="007A4550">
          <w:rPr>
            <w:rStyle w:val="Hyperlink"/>
          </w:rPr>
          <w:t>RESUMEN – ASPECTOS DESTACADOS DE 2016</w:t>
        </w:r>
        <w:r w:rsidR="007A4550" w:rsidRPr="007A4550">
          <w:rPr>
            <w:webHidden/>
          </w:rPr>
          <w:tab/>
        </w:r>
        <w:r w:rsidR="007A4550" w:rsidRPr="007A4550">
          <w:rPr>
            <w:webHidden/>
          </w:rPr>
          <w:fldChar w:fldCharType="begin"/>
        </w:r>
        <w:r w:rsidR="007A4550" w:rsidRPr="007A4550">
          <w:rPr>
            <w:webHidden/>
          </w:rPr>
          <w:instrText xml:space="preserve"> PAGEREF _Toc482711235 \h </w:instrText>
        </w:r>
        <w:r w:rsidR="007A4550" w:rsidRPr="007A4550">
          <w:rPr>
            <w:webHidden/>
          </w:rPr>
        </w:r>
        <w:r w:rsidR="007A4550" w:rsidRPr="007A4550">
          <w:rPr>
            <w:webHidden/>
          </w:rPr>
          <w:fldChar w:fldCharType="separate"/>
        </w:r>
        <w:r w:rsidR="00112BA3">
          <w:rPr>
            <w:webHidden/>
          </w:rPr>
          <w:t>4</w:t>
        </w:r>
        <w:r w:rsidR="007A4550" w:rsidRPr="007A4550">
          <w:rPr>
            <w:webHidden/>
          </w:rPr>
          <w:fldChar w:fldCharType="end"/>
        </w:r>
      </w:hyperlink>
    </w:p>
    <w:p w:rsidR="007A4550" w:rsidRPr="007A4550" w:rsidRDefault="00653EAB" w:rsidP="001246DB">
      <w:pPr>
        <w:pStyle w:val="TOC1"/>
        <w:ind w:left="426" w:hanging="426"/>
        <w:rPr>
          <w:rFonts w:eastAsiaTheme="minorEastAsia"/>
        </w:rPr>
      </w:pPr>
      <w:hyperlink w:anchor="_Toc482711236" w:history="1">
        <w:r w:rsidR="007A4550" w:rsidRPr="007A4550">
          <w:rPr>
            <w:rStyle w:val="Hyperlink"/>
          </w:rPr>
          <w:t>III.</w:t>
        </w:r>
        <w:r w:rsidR="007A4550" w:rsidRPr="007A4550">
          <w:rPr>
            <w:rFonts w:eastAsiaTheme="minorEastAsia"/>
          </w:rPr>
          <w:tab/>
        </w:r>
        <w:r w:rsidR="007A4550" w:rsidRPr="007A4550">
          <w:rPr>
            <w:rStyle w:val="Hyperlink"/>
          </w:rPr>
          <w:t>INFORME SOBRE LA APLICACIÓN DE LAS MEDIDAS DESTINADAS A FOMENTAR LA EFICACIA EN FUNCIÓN DE LOS COSTOS EN 2016</w:t>
        </w:r>
        <w:r w:rsidR="007A4550" w:rsidRPr="007A4550">
          <w:rPr>
            <w:webHidden/>
          </w:rPr>
          <w:tab/>
        </w:r>
        <w:r w:rsidR="007A4550" w:rsidRPr="007A4550">
          <w:rPr>
            <w:webHidden/>
          </w:rPr>
          <w:fldChar w:fldCharType="begin"/>
        </w:r>
        <w:r w:rsidR="007A4550" w:rsidRPr="007A4550">
          <w:rPr>
            <w:webHidden/>
          </w:rPr>
          <w:instrText xml:space="preserve"> PAGEREF _Toc482711236 \h </w:instrText>
        </w:r>
        <w:r w:rsidR="007A4550" w:rsidRPr="007A4550">
          <w:rPr>
            <w:webHidden/>
          </w:rPr>
        </w:r>
        <w:r w:rsidR="007A4550" w:rsidRPr="007A4550">
          <w:rPr>
            <w:webHidden/>
          </w:rPr>
          <w:fldChar w:fldCharType="separate"/>
        </w:r>
        <w:r w:rsidR="00112BA3">
          <w:rPr>
            <w:webHidden/>
          </w:rPr>
          <w:t>22</w:t>
        </w:r>
        <w:r w:rsidR="007A4550" w:rsidRPr="007A4550">
          <w:rPr>
            <w:webHidden/>
          </w:rPr>
          <w:fldChar w:fldCharType="end"/>
        </w:r>
      </w:hyperlink>
    </w:p>
    <w:p w:rsidR="007A4550" w:rsidRPr="007A4550" w:rsidRDefault="00653EAB" w:rsidP="007A4550">
      <w:pPr>
        <w:pStyle w:val="TOC1"/>
        <w:rPr>
          <w:rFonts w:eastAsiaTheme="minorEastAsia"/>
        </w:rPr>
      </w:pPr>
      <w:hyperlink w:anchor="_Toc482711237" w:history="1">
        <w:r w:rsidR="007A4550" w:rsidRPr="007A4550">
          <w:rPr>
            <w:rStyle w:val="Hyperlink"/>
          </w:rPr>
          <w:t>IV.</w:t>
        </w:r>
        <w:r w:rsidR="007A4550" w:rsidRPr="007A4550">
          <w:rPr>
            <w:rFonts w:eastAsiaTheme="minorEastAsia"/>
          </w:rPr>
          <w:tab/>
        </w:r>
        <w:r w:rsidR="007A4550" w:rsidRPr="007A4550">
          <w:rPr>
            <w:rStyle w:val="Hyperlink"/>
          </w:rPr>
          <w:t>LOGROS DE LOS PROGRAMAS EN 2016 POR META ESTRATÉGICA</w:t>
        </w:r>
        <w:r w:rsidR="007A4550" w:rsidRPr="007A4550">
          <w:rPr>
            <w:webHidden/>
          </w:rPr>
          <w:tab/>
        </w:r>
        <w:r w:rsidR="007A4550" w:rsidRPr="007A4550">
          <w:rPr>
            <w:webHidden/>
          </w:rPr>
          <w:fldChar w:fldCharType="begin"/>
        </w:r>
        <w:r w:rsidR="007A4550" w:rsidRPr="007A4550">
          <w:rPr>
            <w:webHidden/>
          </w:rPr>
          <w:instrText xml:space="preserve"> PAGEREF _Toc482711237 \h </w:instrText>
        </w:r>
        <w:r w:rsidR="007A4550" w:rsidRPr="007A4550">
          <w:rPr>
            <w:webHidden/>
          </w:rPr>
        </w:r>
        <w:r w:rsidR="007A4550" w:rsidRPr="007A4550">
          <w:rPr>
            <w:webHidden/>
          </w:rPr>
          <w:fldChar w:fldCharType="separate"/>
        </w:r>
        <w:r w:rsidR="00112BA3">
          <w:rPr>
            <w:webHidden/>
          </w:rPr>
          <w:t>26</w:t>
        </w:r>
        <w:r w:rsidR="007A4550" w:rsidRPr="007A4550">
          <w:rPr>
            <w:webHidden/>
          </w:rPr>
          <w:fldChar w:fldCharType="end"/>
        </w:r>
      </w:hyperlink>
    </w:p>
    <w:p w:rsidR="007A4550" w:rsidRPr="007A4550" w:rsidRDefault="00653EAB" w:rsidP="007A4550">
      <w:pPr>
        <w:pStyle w:val="TOC2"/>
        <w:rPr>
          <w:rFonts w:eastAsiaTheme="minorEastAsia"/>
        </w:rPr>
      </w:pPr>
      <w:hyperlink w:anchor="_Toc482711238" w:history="1">
        <w:r w:rsidR="007A4550" w:rsidRPr="007A4550">
          <w:rPr>
            <w:rStyle w:val="Hyperlink"/>
          </w:rPr>
          <w:t>META ESTRATÉGICA I</w:t>
        </w:r>
        <w:r w:rsidR="007A4550" w:rsidRPr="007A4550">
          <w:rPr>
            <w:webHidden/>
          </w:rPr>
          <w:tab/>
        </w:r>
        <w:r w:rsidR="007A4550" w:rsidRPr="007A4550">
          <w:rPr>
            <w:webHidden/>
          </w:rPr>
          <w:fldChar w:fldCharType="begin"/>
        </w:r>
        <w:r w:rsidR="007A4550" w:rsidRPr="007A4550">
          <w:rPr>
            <w:webHidden/>
          </w:rPr>
          <w:instrText xml:space="preserve"> PAGEREF _Toc482711238 \h </w:instrText>
        </w:r>
        <w:r w:rsidR="007A4550" w:rsidRPr="007A4550">
          <w:rPr>
            <w:webHidden/>
          </w:rPr>
        </w:r>
        <w:r w:rsidR="007A4550" w:rsidRPr="007A4550">
          <w:rPr>
            <w:webHidden/>
          </w:rPr>
          <w:fldChar w:fldCharType="separate"/>
        </w:r>
        <w:r w:rsidR="00112BA3">
          <w:rPr>
            <w:webHidden/>
          </w:rPr>
          <w:t>26</w:t>
        </w:r>
        <w:r w:rsidR="007A4550" w:rsidRPr="007A4550">
          <w:rPr>
            <w:webHidden/>
          </w:rPr>
          <w:fldChar w:fldCharType="end"/>
        </w:r>
      </w:hyperlink>
    </w:p>
    <w:p w:rsidR="007A4550" w:rsidRPr="007A4550" w:rsidRDefault="00653EAB" w:rsidP="007A4550">
      <w:pPr>
        <w:pStyle w:val="TOC2"/>
        <w:rPr>
          <w:rFonts w:eastAsiaTheme="minorEastAsia"/>
        </w:rPr>
      </w:pPr>
      <w:hyperlink w:anchor="_Toc482711239" w:history="1">
        <w:r w:rsidR="007A4550" w:rsidRPr="007A4550">
          <w:rPr>
            <w:rStyle w:val="Hyperlink"/>
            <w:sz w:val="20"/>
            <w:szCs w:val="20"/>
          </w:rPr>
          <w:t>PROGRAMA 1</w:t>
        </w:r>
        <w:r w:rsidR="007A4550" w:rsidRPr="007A4550">
          <w:rPr>
            <w:rFonts w:eastAsiaTheme="minorEastAsia"/>
          </w:rPr>
          <w:tab/>
        </w:r>
        <w:r w:rsidR="007A4550" w:rsidRPr="007A4550">
          <w:rPr>
            <w:rStyle w:val="Hyperlink"/>
            <w:sz w:val="20"/>
            <w:szCs w:val="20"/>
          </w:rPr>
          <w:t>DERECHO DE PATENTES</w:t>
        </w:r>
        <w:r w:rsidR="007A4550" w:rsidRPr="007A4550">
          <w:rPr>
            <w:webHidden/>
          </w:rPr>
          <w:tab/>
        </w:r>
        <w:r w:rsidR="007A4550" w:rsidRPr="007A4550">
          <w:rPr>
            <w:webHidden/>
          </w:rPr>
          <w:fldChar w:fldCharType="begin"/>
        </w:r>
        <w:r w:rsidR="007A4550" w:rsidRPr="007A4550">
          <w:rPr>
            <w:webHidden/>
          </w:rPr>
          <w:instrText xml:space="preserve"> PAGEREF _Toc482711239 \h </w:instrText>
        </w:r>
        <w:r w:rsidR="007A4550" w:rsidRPr="007A4550">
          <w:rPr>
            <w:webHidden/>
          </w:rPr>
        </w:r>
        <w:r w:rsidR="007A4550" w:rsidRPr="007A4550">
          <w:rPr>
            <w:webHidden/>
          </w:rPr>
          <w:fldChar w:fldCharType="separate"/>
        </w:r>
        <w:r w:rsidR="00112BA3">
          <w:rPr>
            <w:webHidden/>
          </w:rPr>
          <w:t>28</w:t>
        </w:r>
        <w:r w:rsidR="007A4550" w:rsidRPr="007A4550">
          <w:rPr>
            <w:webHidden/>
          </w:rPr>
          <w:fldChar w:fldCharType="end"/>
        </w:r>
      </w:hyperlink>
    </w:p>
    <w:p w:rsidR="007A4550" w:rsidRPr="007A4550" w:rsidRDefault="00653EAB" w:rsidP="007A4550">
      <w:pPr>
        <w:pStyle w:val="TOC2"/>
        <w:rPr>
          <w:rFonts w:eastAsiaTheme="minorEastAsia"/>
        </w:rPr>
      </w:pPr>
      <w:hyperlink w:anchor="_Toc482711240" w:history="1">
        <w:r w:rsidR="007A4550" w:rsidRPr="007A4550">
          <w:rPr>
            <w:rStyle w:val="Hyperlink"/>
            <w:sz w:val="20"/>
            <w:szCs w:val="20"/>
          </w:rPr>
          <w:t>PROGRAMA 2</w:t>
        </w:r>
        <w:r w:rsidR="007A4550" w:rsidRPr="007A4550">
          <w:rPr>
            <w:rFonts w:eastAsiaTheme="minorEastAsia"/>
          </w:rPr>
          <w:tab/>
        </w:r>
        <w:r w:rsidR="007A4550" w:rsidRPr="007A4550">
          <w:rPr>
            <w:rStyle w:val="Hyperlink"/>
            <w:sz w:val="20"/>
            <w:szCs w:val="20"/>
          </w:rPr>
          <w:t>MARCAS, DISEÑOS INDUSTRIALES E INDICACIONES GEOGRÁFICAS</w:t>
        </w:r>
        <w:r w:rsidR="007A4550" w:rsidRPr="007A4550">
          <w:rPr>
            <w:webHidden/>
          </w:rPr>
          <w:tab/>
        </w:r>
        <w:r w:rsidR="007A4550" w:rsidRPr="007A4550">
          <w:rPr>
            <w:webHidden/>
          </w:rPr>
          <w:fldChar w:fldCharType="begin"/>
        </w:r>
        <w:r w:rsidR="007A4550" w:rsidRPr="007A4550">
          <w:rPr>
            <w:webHidden/>
          </w:rPr>
          <w:instrText xml:space="preserve"> PAGEREF _Toc482711240 \h </w:instrText>
        </w:r>
        <w:r w:rsidR="007A4550" w:rsidRPr="007A4550">
          <w:rPr>
            <w:webHidden/>
          </w:rPr>
        </w:r>
        <w:r w:rsidR="007A4550" w:rsidRPr="007A4550">
          <w:rPr>
            <w:webHidden/>
          </w:rPr>
          <w:fldChar w:fldCharType="separate"/>
        </w:r>
        <w:r w:rsidR="00112BA3">
          <w:rPr>
            <w:webHidden/>
          </w:rPr>
          <w:t>31</w:t>
        </w:r>
        <w:r w:rsidR="007A4550" w:rsidRPr="007A4550">
          <w:rPr>
            <w:webHidden/>
          </w:rPr>
          <w:fldChar w:fldCharType="end"/>
        </w:r>
      </w:hyperlink>
    </w:p>
    <w:p w:rsidR="007A4550" w:rsidRPr="007A4550" w:rsidRDefault="00653EAB" w:rsidP="007A4550">
      <w:pPr>
        <w:pStyle w:val="TOC2"/>
        <w:rPr>
          <w:rFonts w:eastAsiaTheme="minorEastAsia"/>
        </w:rPr>
      </w:pPr>
      <w:hyperlink w:anchor="_Toc482711241" w:history="1">
        <w:r w:rsidR="007A4550" w:rsidRPr="007A4550">
          <w:rPr>
            <w:rStyle w:val="Hyperlink"/>
            <w:sz w:val="20"/>
            <w:szCs w:val="20"/>
          </w:rPr>
          <w:t>PROGRAMA 3</w:t>
        </w:r>
        <w:r w:rsidR="007A4550" w:rsidRPr="007A4550">
          <w:rPr>
            <w:rFonts w:eastAsiaTheme="minorEastAsia"/>
          </w:rPr>
          <w:tab/>
        </w:r>
        <w:r w:rsidR="007A4550" w:rsidRPr="007A4550">
          <w:rPr>
            <w:rStyle w:val="Hyperlink"/>
            <w:sz w:val="20"/>
            <w:szCs w:val="20"/>
          </w:rPr>
          <w:t>DERECHO DE AUTOR Y DERECHOS CONEXOS</w:t>
        </w:r>
        <w:r w:rsidR="007A4550" w:rsidRPr="007A4550">
          <w:rPr>
            <w:webHidden/>
          </w:rPr>
          <w:tab/>
        </w:r>
        <w:r w:rsidR="007A4550" w:rsidRPr="007A4550">
          <w:rPr>
            <w:webHidden/>
          </w:rPr>
          <w:fldChar w:fldCharType="begin"/>
        </w:r>
        <w:r w:rsidR="007A4550" w:rsidRPr="007A4550">
          <w:rPr>
            <w:webHidden/>
          </w:rPr>
          <w:instrText xml:space="preserve"> PAGEREF _Toc482711241 \h </w:instrText>
        </w:r>
        <w:r w:rsidR="007A4550" w:rsidRPr="007A4550">
          <w:rPr>
            <w:webHidden/>
          </w:rPr>
        </w:r>
        <w:r w:rsidR="007A4550" w:rsidRPr="007A4550">
          <w:rPr>
            <w:webHidden/>
          </w:rPr>
          <w:fldChar w:fldCharType="separate"/>
        </w:r>
        <w:r w:rsidR="00112BA3">
          <w:rPr>
            <w:webHidden/>
          </w:rPr>
          <w:t>35</w:t>
        </w:r>
        <w:r w:rsidR="007A4550" w:rsidRPr="007A4550">
          <w:rPr>
            <w:webHidden/>
          </w:rPr>
          <w:fldChar w:fldCharType="end"/>
        </w:r>
      </w:hyperlink>
    </w:p>
    <w:p w:rsidR="007A4550" w:rsidRPr="007A4550" w:rsidRDefault="00653EAB" w:rsidP="007A4550">
      <w:pPr>
        <w:pStyle w:val="TOC2"/>
        <w:rPr>
          <w:rFonts w:eastAsiaTheme="minorEastAsia"/>
        </w:rPr>
      </w:pPr>
      <w:hyperlink w:anchor="_Toc482711242" w:history="1">
        <w:r w:rsidR="007A4550" w:rsidRPr="007A4550">
          <w:rPr>
            <w:rStyle w:val="Hyperlink"/>
            <w:sz w:val="20"/>
            <w:szCs w:val="20"/>
          </w:rPr>
          <w:t>PROGRAMA 4</w:t>
        </w:r>
        <w:r w:rsidR="007A4550" w:rsidRPr="007A4550">
          <w:rPr>
            <w:rFonts w:eastAsiaTheme="minorEastAsia"/>
          </w:rPr>
          <w:tab/>
        </w:r>
        <w:r w:rsidR="007A4550" w:rsidRPr="007A4550">
          <w:rPr>
            <w:rStyle w:val="Hyperlink"/>
            <w:sz w:val="20"/>
            <w:szCs w:val="20"/>
          </w:rPr>
          <w:t>CONOCIMIENTOS TRADICIONALES, EXPRESIONES CULTURALES TRADICIONALES Y RECURSOS GENÉTICOS</w:t>
        </w:r>
        <w:r w:rsidR="007A4550" w:rsidRPr="007A4550">
          <w:rPr>
            <w:webHidden/>
          </w:rPr>
          <w:tab/>
        </w:r>
        <w:r w:rsidR="007A4550" w:rsidRPr="007A4550">
          <w:rPr>
            <w:webHidden/>
          </w:rPr>
          <w:fldChar w:fldCharType="begin"/>
        </w:r>
        <w:r w:rsidR="007A4550" w:rsidRPr="007A4550">
          <w:rPr>
            <w:webHidden/>
          </w:rPr>
          <w:instrText xml:space="preserve"> PAGEREF _Toc482711242 \h </w:instrText>
        </w:r>
        <w:r w:rsidR="007A4550" w:rsidRPr="007A4550">
          <w:rPr>
            <w:webHidden/>
          </w:rPr>
        </w:r>
        <w:r w:rsidR="007A4550" w:rsidRPr="007A4550">
          <w:rPr>
            <w:webHidden/>
          </w:rPr>
          <w:fldChar w:fldCharType="separate"/>
        </w:r>
        <w:r w:rsidR="00112BA3">
          <w:rPr>
            <w:webHidden/>
          </w:rPr>
          <w:t>41</w:t>
        </w:r>
        <w:r w:rsidR="007A4550" w:rsidRPr="007A4550">
          <w:rPr>
            <w:webHidden/>
          </w:rPr>
          <w:fldChar w:fldCharType="end"/>
        </w:r>
      </w:hyperlink>
    </w:p>
    <w:p w:rsidR="007A4550" w:rsidRPr="007A4550" w:rsidRDefault="00653EAB" w:rsidP="007A4550">
      <w:pPr>
        <w:pStyle w:val="TOC2"/>
        <w:rPr>
          <w:rFonts w:eastAsiaTheme="minorEastAsia"/>
        </w:rPr>
      </w:pPr>
      <w:hyperlink w:anchor="_Toc482711243" w:history="1">
        <w:r w:rsidR="007A4550" w:rsidRPr="007A4550">
          <w:rPr>
            <w:rStyle w:val="Hyperlink"/>
          </w:rPr>
          <w:t>META ESTRATÉGICA II</w:t>
        </w:r>
        <w:r w:rsidR="007A4550" w:rsidRPr="007A4550">
          <w:rPr>
            <w:webHidden/>
          </w:rPr>
          <w:tab/>
        </w:r>
        <w:r w:rsidR="007A4550" w:rsidRPr="007A4550">
          <w:rPr>
            <w:webHidden/>
          </w:rPr>
          <w:fldChar w:fldCharType="begin"/>
        </w:r>
        <w:r w:rsidR="007A4550" w:rsidRPr="007A4550">
          <w:rPr>
            <w:webHidden/>
          </w:rPr>
          <w:instrText xml:space="preserve"> PAGEREF _Toc482711243 \h </w:instrText>
        </w:r>
        <w:r w:rsidR="007A4550" w:rsidRPr="007A4550">
          <w:rPr>
            <w:webHidden/>
          </w:rPr>
        </w:r>
        <w:r w:rsidR="007A4550" w:rsidRPr="007A4550">
          <w:rPr>
            <w:webHidden/>
          </w:rPr>
          <w:fldChar w:fldCharType="separate"/>
        </w:r>
        <w:r w:rsidR="00112BA3">
          <w:rPr>
            <w:webHidden/>
          </w:rPr>
          <w:t>43</w:t>
        </w:r>
        <w:r w:rsidR="007A4550" w:rsidRPr="007A4550">
          <w:rPr>
            <w:webHidden/>
          </w:rPr>
          <w:fldChar w:fldCharType="end"/>
        </w:r>
      </w:hyperlink>
    </w:p>
    <w:p w:rsidR="007A4550" w:rsidRPr="007A4550" w:rsidRDefault="00653EAB" w:rsidP="007A4550">
      <w:pPr>
        <w:pStyle w:val="TOC2"/>
        <w:rPr>
          <w:rFonts w:eastAsiaTheme="minorEastAsia"/>
        </w:rPr>
      </w:pPr>
      <w:hyperlink w:anchor="_Toc482711244" w:history="1">
        <w:r w:rsidR="007A4550" w:rsidRPr="007A4550">
          <w:rPr>
            <w:rStyle w:val="Hyperlink"/>
            <w:caps/>
            <w:sz w:val="20"/>
            <w:szCs w:val="20"/>
          </w:rPr>
          <w:t>PROGRAMA 5</w:t>
        </w:r>
        <w:r w:rsidR="007A4550" w:rsidRPr="007A4550">
          <w:rPr>
            <w:rFonts w:eastAsiaTheme="minorEastAsia"/>
          </w:rPr>
          <w:tab/>
        </w:r>
        <w:r w:rsidR="007A4550" w:rsidRPr="007A4550">
          <w:rPr>
            <w:rStyle w:val="Hyperlink"/>
            <w:caps/>
            <w:sz w:val="20"/>
            <w:szCs w:val="20"/>
          </w:rPr>
          <w:t>SISTEMA DEL PCT</w:t>
        </w:r>
        <w:r w:rsidR="007A4550" w:rsidRPr="007A4550">
          <w:rPr>
            <w:webHidden/>
          </w:rPr>
          <w:tab/>
        </w:r>
        <w:r w:rsidR="007A4550" w:rsidRPr="007A4550">
          <w:rPr>
            <w:webHidden/>
          </w:rPr>
          <w:fldChar w:fldCharType="begin"/>
        </w:r>
        <w:r w:rsidR="007A4550" w:rsidRPr="007A4550">
          <w:rPr>
            <w:webHidden/>
          </w:rPr>
          <w:instrText xml:space="preserve"> PAGEREF _Toc482711244 \h </w:instrText>
        </w:r>
        <w:r w:rsidR="007A4550" w:rsidRPr="007A4550">
          <w:rPr>
            <w:webHidden/>
          </w:rPr>
        </w:r>
        <w:r w:rsidR="007A4550" w:rsidRPr="007A4550">
          <w:rPr>
            <w:webHidden/>
          </w:rPr>
          <w:fldChar w:fldCharType="separate"/>
        </w:r>
        <w:r w:rsidR="00112BA3">
          <w:rPr>
            <w:webHidden/>
          </w:rPr>
          <w:t>47</w:t>
        </w:r>
        <w:r w:rsidR="007A4550" w:rsidRPr="007A4550">
          <w:rPr>
            <w:webHidden/>
          </w:rPr>
          <w:fldChar w:fldCharType="end"/>
        </w:r>
      </w:hyperlink>
    </w:p>
    <w:p w:rsidR="007A4550" w:rsidRPr="007A4550" w:rsidRDefault="00653EAB" w:rsidP="007A4550">
      <w:pPr>
        <w:pStyle w:val="TOC3"/>
        <w:rPr>
          <w:rFonts w:eastAsiaTheme="minorEastAsia"/>
          <w:lang w:val="en-US"/>
        </w:rPr>
      </w:pPr>
      <w:hyperlink w:anchor="_Toc482711245" w:history="1">
        <w:r w:rsidR="007A4550" w:rsidRPr="007A4550">
          <w:rPr>
            <w:rStyle w:val="Hyperlink"/>
          </w:rPr>
          <w:t>Programa 5, Anexo:</w:t>
        </w:r>
        <w:r w:rsidR="007A4550" w:rsidRPr="007A4550">
          <w:t xml:space="preserve">  </w:t>
        </w:r>
        <w:r w:rsidR="007A4550" w:rsidRPr="007A4550">
          <w:rPr>
            <w:rStyle w:val="Hyperlink"/>
          </w:rPr>
          <w:t>Indicadores de las operaciones del PCT</w:t>
        </w:r>
        <w:r w:rsidR="007A4550" w:rsidRPr="007A4550">
          <w:rPr>
            <w:webHidden/>
          </w:rPr>
          <w:tab/>
        </w:r>
        <w:r w:rsidR="007A4550" w:rsidRPr="007A4550">
          <w:rPr>
            <w:webHidden/>
          </w:rPr>
          <w:fldChar w:fldCharType="begin"/>
        </w:r>
        <w:r w:rsidR="007A4550" w:rsidRPr="007A4550">
          <w:rPr>
            <w:webHidden/>
          </w:rPr>
          <w:instrText xml:space="preserve"> PAGEREF _Toc482711245 \h </w:instrText>
        </w:r>
        <w:r w:rsidR="007A4550" w:rsidRPr="007A4550">
          <w:rPr>
            <w:webHidden/>
          </w:rPr>
        </w:r>
        <w:r w:rsidR="007A4550" w:rsidRPr="007A4550">
          <w:rPr>
            <w:webHidden/>
          </w:rPr>
          <w:fldChar w:fldCharType="separate"/>
        </w:r>
        <w:r w:rsidR="00112BA3">
          <w:rPr>
            <w:webHidden/>
          </w:rPr>
          <w:t>51</w:t>
        </w:r>
        <w:r w:rsidR="007A4550" w:rsidRPr="007A4550">
          <w:rPr>
            <w:webHidden/>
          </w:rPr>
          <w:fldChar w:fldCharType="end"/>
        </w:r>
      </w:hyperlink>
    </w:p>
    <w:p w:rsidR="007A4550" w:rsidRPr="007A4550" w:rsidRDefault="00653EAB" w:rsidP="007A4550">
      <w:pPr>
        <w:pStyle w:val="TOC2"/>
        <w:rPr>
          <w:rFonts w:eastAsiaTheme="minorEastAsia"/>
        </w:rPr>
      </w:pPr>
      <w:hyperlink w:anchor="_Toc482711246" w:history="1">
        <w:r w:rsidR="007A4550" w:rsidRPr="007A4550">
          <w:rPr>
            <w:rStyle w:val="Hyperlink"/>
            <w:sz w:val="20"/>
            <w:szCs w:val="20"/>
          </w:rPr>
          <w:t>PROGRAMA 6</w:t>
        </w:r>
        <w:r w:rsidR="007A4550" w:rsidRPr="007A4550">
          <w:rPr>
            <w:rFonts w:eastAsiaTheme="minorEastAsia"/>
          </w:rPr>
          <w:tab/>
        </w:r>
        <w:r w:rsidR="007A4550" w:rsidRPr="007A4550">
          <w:rPr>
            <w:rStyle w:val="Hyperlink"/>
            <w:sz w:val="20"/>
            <w:szCs w:val="20"/>
          </w:rPr>
          <w:t>SISTEMA DE MADRID</w:t>
        </w:r>
        <w:r w:rsidR="007A4550" w:rsidRPr="007A4550">
          <w:rPr>
            <w:webHidden/>
          </w:rPr>
          <w:tab/>
        </w:r>
        <w:r w:rsidR="007A4550" w:rsidRPr="007A4550">
          <w:rPr>
            <w:webHidden/>
          </w:rPr>
          <w:fldChar w:fldCharType="begin"/>
        </w:r>
        <w:r w:rsidR="007A4550" w:rsidRPr="007A4550">
          <w:rPr>
            <w:webHidden/>
          </w:rPr>
          <w:instrText xml:space="preserve"> PAGEREF _Toc482711246 \h </w:instrText>
        </w:r>
        <w:r w:rsidR="007A4550" w:rsidRPr="007A4550">
          <w:rPr>
            <w:webHidden/>
          </w:rPr>
        </w:r>
        <w:r w:rsidR="007A4550" w:rsidRPr="007A4550">
          <w:rPr>
            <w:webHidden/>
          </w:rPr>
          <w:fldChar w:fldCharType="separate"/>
        </w:r>
        <w:r w:rsidR="00112BA3">
          <w:rPr>
            <w:webHidden/>
          </w:rPr>
          <w:t>62</w:t>
        </w:r>
        <w:r w:rsidR="007A4550" w:rsidRPr="007A4550">
          <w:rPr>
            <w:webHidden/>
          </w:rPr>
          <w:fldChar w:fldCharType="end"/>
        </w:r>
      </w:hyperlink>
    </w:p>
    <w:p w:rsidR="007A4550" w:rsidRPr="007A4550" w:rsidRDefault="00653EAB" w:rsidP="007A4550">
      <w:pPr>
        <w:pStyle w:val="TOC3"/>
        <w:rPr>
          <w:rFonts w:eastAsiaTheme="minorEastAsia"/>
          <w:lang w:val="en-US"/>
        </w:rPr>
      </w:pPr>
      <w:hyperlink w:anchor="_Toc482711247" w:history="1">
        <w:r w:rsidR="007A4550" w:rsidRPr="007A4550">
          <w:rPr>
            <w:rStyle w:val="Hyperlink"/>
          </w:rPr>
          <w:t>Programa 6, Anexo:</w:t>
        </w:r>
        <w:r w:rsidR="007A4550">
          <w:rPr>
            <w:rStyle w:val="Hyperlink"/>
          </w:rPr>
          <w:t xml:space="preserve">  </w:t>
        </w:r>
        <w:r w:rsidR="007A4550" w:rsidRPr="007A4550">
          <w:rPr>
            <w:rStyle w:val="Hyperlink"/>
          </w:rPr>
          <w:t>Indicadores de las operaciones del Sistema de Madrid</w:t>
        </w:r>
        <w:r w:rsidR="007A4550" w:rsidRPr="007A4550">
          <w:rPr>
            <w:webHidden/>
          </w:rPr>
          <w:tab/>
        </w:r>
        <w:r w:rsidR="007A4550" w:rsidRPr="007A4550">
          <w:rPr>
            <w:webHidden/>
          </w:rPr>
          <w:fldChar w:fldCharType="begin"/>
        </w:r>
        <w:r w:rsidR="007A4550" w:rsidRPr="007A4550">
          <w:rPr>
            <w:webHidden/>
          </w:rPr>
          <w:instrText xml:space="preserve"> PAGEREF _Toc482711247 \h </w:instrText>
        </w:r>
        <w:r w:rsidR="007A4550" w:rsidRPr="007A4550">
          <w:rPr>
            <w:webHidden/>
          </w:rPr>
        </w:r>
        <w:r w:rsidR="007A4550" w:rsidRPr="007A4550">
          <w:rPr>
            <w:webHidden/>
          </w:rPr>
          <w:fldChar w:fldCharType="separate"/>
        </w:r>
        <w:r w:rsidR="00112BA3">
          <w:rPr>
            <w:webHidden/>
          </w:rPr>
          <w:t>68</w:t>
        </w:r>
        <w:r w:rsidR="007A4550" w:rsidRPr="007A4550">
          <w:rPr>
            <w:webHidden/>
          </w:rPr>
          <w:fldChar w:fldCharType="end"/>
        </w:r>
      </w:hyperlink>
    </w:p>
    <w:p w:rsidR="007A4550" w:rsidRPr="007A4550" w:rsidRDefault="00653EAB" w:rsidP="007A4550">
      <w:pPr>
        <w:pStyle w:val="TOC2"/>
        <w:rPr>
          <w:rFonts w:eastAsiaTheme="minorEastAsia"/>
        </w:rPr>
      </w:pPr>
      <w:hyperlink w:anchor="_Toc482711248" w:history="1">
        <w:r w:rsidR="007A4550" w:rsidRPr="007A4550">
          <w:rPr>
            <w:rStyle w:val="Hyperlink"/>
            <w:sz w:val="20"/>
            <w:szCs w:val="20"/>
          </w:rPr>
          <w:t>PROGRAMA 31</w:t>
        </w:r>
        <w:r w:rsidR="007A4550" w:rsidRPr="007A4550">
          <w:rPr>
            <w:rFonts w:eastAsiaTheme="minorEastAsia"/>
          </w:rPr>
          <w:tab/>
        </w:r>
        <w:r w:rsidR="007A4550" w:rsidRPr="007A4550">
          <w:rPr>
            <w:rStyle w:val="Hyperlink"/>
            <w:sz w:val="20"/>
            <w:szCs w:val="20"/>
          </w:rPr>
          <w:t>SISTEMA DE LA HAYA</w:t>
        </w:r>
        <w:r w:rsidR="007A4550" w:rsidRPr="007A4550">
          <w:rPr>
            <w:webHidden/>
          </w:rPr>
          <w:tab/>
        </w:r>
        <w:r w:rsidR="007A4550" w:rsidRPr="007A4550">
          <w:rPr>
            <w:webHidden/>
          </w:rPr>
          <w:fldChar w:fldCharType="begin"/>
        </w:r>
        <w:r w:rsidR="007A4550" w:rsidRPr="007A4550">
          <w:rPr>
            <w:webHidden/>
          </w:rPr>
          <w:instrText xml:space="preserve"> PAGEREF _Toc482711248 \h </w:instrText>
        </w:r>
        <w:r w:rsidR="007A4550" w:rsidRPr="007A4550">
          <w:rPr>
            <w:webHidden/>
          </w:rPr>
        </w:r>
        <w:r w:rsidR="007A4550" w:rsidRPr="007A4550">
          <w:rPr>
            <w:webHidden/>
          </w:rPr>
          <w:fldChar w:fldCharType="separate"/>
        </w:r>
        <w:r w:rsidR="00112BA3">
          <w:rPr>
            <w:webHidden/>
          </w:rPr>
          <w:t>85</w:t>
        </w:r>
        <w:r w:rsidR="007A4550" w:rsidRPr="007A4550">
          <w:rPr>
            <w:webHidden/>
          </w:rPr>
          <w:fldChar w:fldCharType="end"/>
        </w:r>
      </w:hyperlink>
    </w:p>
    <w:p w:rsidR="007A4550" w:rsidRPr="007A4550" w:rsidRDefault="00653EAB" w:rsidP="007A4550">
      <w:pPr>
        <w:pStyle w:val="TOC3"/>
        <w:rPr>
          <w:rFonts w:eastAsiaTheme="minorEastAsia"/>
          <w:lang w:val="en-US"/>
        </w:rPr>
      </w:pPr>
      <w:hyperlink w:anchor="_Toc482711249" w:history="1">
        <w:r w:rsidR="007A4550" w:rsidRPr="007A4550">
          <w:rPr>
            <w:rStyle w:val="Hyperlink"/>
          </w:rPr>
          <w:t>Programa 31, Anexo:</w:t>
        </w:r>
        <w:r w:rsidR="007A4550">
          <w:rPr>
            <w:rStyle w:val="Hyperlink"/>
          </w:rPr>
          <w:t xml:space="preserve">  </w:t>
        </w:r>
        <w:r w:rsidR="007A4550" w:rsidRPr="007A4550">
          <w:rPr>
            <w:rStyle w:val="Hyperlink"/>
          </w:rPr>
          <w:t>Indicadores de las operaciones del Sistema de La Haya</w:t>
        </w:r>
        <w:r w:rsidR="007A4550" w:rsidRPr="007A4550">
          <w:rPr>
            <w:webHidden/>
          </w:rPr>
          <w:tab/>
        </w:r>
        <w:r w:rsidR="007A4550" w:rsidRPr="007A4550">
          <w:rPr>
            <w:webHidden/>
          </w:rPr>
          <w:fldChar w:fldCharType="begin"/>
        </w:r>
        <w:r w:rsidR="007A4550" w:rsidRPr="007A4550">
          <w:rPr>
            <w:webHidden/>
          </w:rPr>
          <w:instrText xml:space="preserve"> PAGEREF _Toc482711249 \h </w:instrText>
        </w:r>
        <w:r w:rsidR="007A4550" w:rsidRPr="007A4550">
          <w:rPr>
            <w:webHidden/>
          </w:rPr>
        </w:r>
        <w:r w:rsidR="007A4550" w:rsidRPr="007A4550">
          <w:rPr>
            <w:webHidden/>
          </w:rPr>
          <w:fldChar w:fldCharType="separate"/>
        </w:r>
        <w:r w:rsidR="00112BA3">
          <w:rPr>
            <w:webHidden/>
          </w:rPr>
          <w:t>89</w:t>
        </w:r>
        <w:r w:rsidR="007A4550" w:rsidRPr="007A4550">
          <w:rPr>
            <w:webHidden/>
          </w:rPr>
          <w:fldChar w:fldCharType="end"/>
        </w:r>
      </w:hyperlink>
    </w:p>
    <w:p w:rsidR="007A4550" w:rsidRPr="007A4550" w:rsidRDefault="00653EAB" w:rsidP="007A4550">
      <w:pPr>
        <w:pStyle w:val="TOC2"/>
        <w:rPr>
          <w:rFonts w:eastAsiaTheme="minorEastAsia"/>
        </w:rPr>
      </w:pPr>
      <w:hyperlink w:anchor="_Toc482711250" w:history="1">
        <w:r w:rsidR="007A4550" w:rsidRPr="007A4550">
          <w:rPr>
            <w:rStyle w:val="Hyperlink"/>
            <w:sz w:val="20"/>
            <w:szCs w:val="20"/>
          </w:rPr>
          <w:t>PROGRAMA 32</w:t>
        </w:r>
        <w:r w:rsidR="007A4550" w:rsidRPr="007A4550">
          <w:rPr>
            <w:rFonts w:eastAsiaTheme="minorEastAsia"/>
          </w:rPr>
          <w:tab/>
        </w:r>
        <w:r w:rsidR="007A4550" w:rsidRPr="007A4550">
          <w:rPr>
            <w:rStyle w:val="Hyperlink"/>
            <w:sz w:val="20"/>
            <w:szCs w:val="20"/>
          </w:rPr>
          <w:t>SISTEMA DE LISBOA</w:t>
        </w:r>
        <w:r w:rsidR="007A4550" w:rsidRPr="007A4550">
          <w:rPr>
            <w:webHidden/>
          </w:rPr>
          <w:tab/>
        </w:r>
        <w:r w:rsidR="007A4550" w:rsidRPr="007A4550">
          <w:rPr>
            <w:webHidden/>
          </w:rPr>
          <w:fldChar w:fldCharType="begin"/>
        </w:r>
        <w:r w:rsidR="007A4550" w:rsidRPr="007A4550">
          <w:rPr>
            <w:webHidden/>
          </w:rPr>
          <w:instrText xml:space="preserve"> PAGEREF _Toc482711250 \h </w:instrText>
        </w:r>
        <w:r w:rsidR="007A4550" w:rsidRPr="007A4550">
          <w:rPr>
            <w:webHidden/>
          </w:rPr>
        </w:r>
        <w:r w:rsidR="007A4550" w:rsidRPr="007A4550">
          <w:rPr>
            <w:webHidden/>
          </w:rPr>
          <w:fldChar w:fldCharType="separate"/>
        </w:r>
        <w:r w:rsidR="00112BA3">
          <w:rPr>
            <w:webHidden/>
          </w:rPr>
          <w:t>98</w:t>
        </w:r>
        <w:r w:rsidR="007A4550" w:rsidRPr="007A4550">
          <w:rPr>
            <w:webHidden/>
          </w:rPr>
          <w:fldChar w:fldCharType="end"/>
        </w:r>
      </w:hyperlink>
    </w:p>
    <w:p w:rsidR="007A4550" w:rsidRPr="007A4550" w:rsidRDefault="00653EAB" w:rsidP="007A4550">
      <w:pPr>
        <w:pStyle w:val="TOC2"/>
        <w:rPr>
          <w:rFonts w:eastAsiaTheme="minorEastAsia"/>
        </w:rPr>
      </w:pPr>
      <w:hyperlink w:anchor="_Toc482711251" w:history="1">
        <w:r w:rsidR="007A4550" w:rsidRPr="007A4550">
          <w:rPr>
            <w:rStyle w:val="Hyperlink"/>
            <w:sz w:val="20"/>
            <w:szCs w:val="20"/>
          </w:rPr>
          <w:t>PROGRAMA 7</w:t>
        </w:r>
        <w:r w:rsidR="007A4550" w:rsidRPr="007A4550">
          <w:rPr>
            <w:rFonts w:eastAsiaTheme="minorEastAsia"/>
          </w:rPr>
          <w:tab/>
        </w:r>
        <w:r w:rsidR="007A4550" w:rsidRPr="007A4550">
          <w:rPr>
            <w:rStyle w:val="Hyperlink"/>
            <w:sz w:val="20"/>
            <w:szCs w:val="20"/>
          </w:rPr>
          <w:t>CENTRO DE ARBITRAJE Y MEDIACIÓN DE LA OMPI</w:t>
        </w:r>
        <w:r w:rsidR="007A4550" w:rsidRPr="007A4550">
          <w:rPr>
            <w:webHidden/>
          </w:rPr>
          <w:tab/>
        </w:r>
        <w:r w:rsidR="007A4550" w:rsidRPr="007A4550">
          <w:rPr>
            <w:webHidden/>
          </w:rPr>
          <w:fldChar w:fldCharType="begin"/>
        </w:r>
        <w:r w:rsidR="007A4550" w:rsidRPr="007A4550">
          <w:rPr>
            <w:webHidden/>
          </w:rPr>
          <w:instrText xml:space="preserve"> PAGEREF _Toc482711251 \h </w:instrText>
        </w:r>
        <w:r w:rsidR="007A4550" w:rsidRPr="007A4550">
          <w:rPr>
            <w:webHidden/>
          </w:rPr>
        </w:r>
        <w:r w:rsidR="007A4550" w:rsidRPr="007A4550">
          <w:rPr>
            <w:webHidden/>
          </w:rPr>
          <w:fldChar w:fldCharType="separate"/>
        </w:r>
        <w:r w:rsidR="00112BA3">
          <w:rPr>
            <w:webHidden/>
          </w:rPr>
          <w:t>101</w:t>
        </w:r>
        <w:r w:rsidR="007A4550" w:rsidRPr="007A4550">
          <w:rPr>
            <w:webHidden/>
          </w:rPr>
          <w:fldChar w:fldCharType="end"/>
        </w:r>
      </w:hyperlink>
    </w:p>
    <w:p w:rsidR="007A4550" w:rsidRPr="007A4550" w:rsidRDefault="00653EAB" w:rsidP="007A4550">
      <w:pPr>
        <w:pStyle w:val="TOC2"/>
        <w:rPr>
          <w:rFonts w:eastAsiaTheme="minorEastAsia"/>
        </w:rPr>
      </w:pPr>
      <w:hyperlink w:anchor="_Toc482711252" w:history="1">
        <w:r w:rsidR="007A4550" w:rsidRPr="007A4550">
          <w:rPr>
            <w:rStyle w:val="Hyperlink"/>
          </w:rPr>
          <w:t>META ESTRATÉGICA III</w:t>
        </w:r>
        <w:r w:rsidR="007A4550" w:rsidRPr="007A4550">
          <w:rPr>
            <w:webHidden/>
          </w:rPr>
          <w:tab/>
        </w:r>
        <w:r w:rsidR="007A4550" w:rsidRPr="007A4550">
          <w:rPr>
            <w:webHidden/>
          </w:rPr>
          <w:fldChar w:fldCharType="begin"/>
        </w:r>
        <w:r w:rsidR="007A4550" w:rsidRPr="007A4550">
          <w:rPr>
            <w:webHidden/>
          </w:rPr>
          <w:instrText xml:space="preserve"> PAGEREF _Toc482711252 \h </w:instrText>
        </w:r>
        <w:r w:rsidR="007A4550" w:rsidRPr="007A4550">
          <w:rPr>
            <w:webHidden/>
          </w:rPr>
        </w:r>
        <w:r w:rsidR="007A4550" w:rsidRPr="007A4550">
          <w:rPr>
            <w:webHidden/>
          </w:rPr>
          <w:fldChar w:fldCharType="separate"/>
        </w:r>
        <w:r w:rsidR="00112BA3">
          <w:rPr>
            <w:webHidden/>
          </w:rPr>
          <w:t>105</w:t>
        </w:r>
        <w:r w:rsidR="007A4550" w:rsidRPr="007A4550">
          <w:rPr>
            <w:webHidden/>
          </w:rPr>
          <w:fldChar w:fldCharType="end"/>
        </w:r>
      </w:hyperlink>
    </w:p>
    <w:p w:rsidR="007A4550" w:rsidRPr="007A4550" w:rsidRDefault="00653EAB" w:rsidP="007A4550">
      <w:pPr>
        <w:pStyle w:val="TOC2"/>
        <w:rPr>
          <w:rFonts w:eastAsiaTheme="minorEastAsia"/>
        </w:rPr>
      </w:pPr>
      <w:hyperlink w:anchor="_Toc482711253" w:history="1">
        <w:r w:rsidR="007A4550" w:rsidRPr="007A4550">
          <w:rPr>
            <w:rStyle w:val="Hyperlink"/>
            <w:sz w:val="20"/>
            <w:szCs w:val="20"/>
          </w:rPr>
          <w:t>PROGRAMA 8</w:t>
        </w:r>
        <w:r w:rsidR="007A4550" w:rsidRPr="007A4550">
          <w:rPr>
            <w:rFonts w:eastAsiaTheme="minorEastAsia"/>
          </w:rPr>
          <w:tab/>
        </w:r>
        <w:r w:rsidR="007A4550" w:rsidRPr="007A4550">
          <w:rPr>
            <w:rStyle w:val="Hyperlink"/>
            <w:sz w:val="20"/>
            <w:szCs w:val="20"/>
          </w:rPr>
          <w:t>COORDINACIÓN DE LA AGENDA PARA EL DESARROLLO</w:t>
        </w:r>
        <w:r w:rsidR="007A4550" w:rsidRPr="007A4550">
          <w:rPr>
            <w:webHidden/>
          </w:rPr>
          <w:tab/>
        </w:r>
        <w:r w:rsidR="007A4550" w:rsidRPr="007A4550">
          <w:rPr>
            <w:webHidden/>
          </w:rPr>
          <w:fldChar w:fldCharType="begin"/>
        </w:r>
        <w:r w:rsidR="007A4550" w:rsidRPr="007A4550">
          <w:rPr>
            <w:webHidden/>
          </w:rPr>
          <w:instrText xml:space="preserve"> PAGEREF _Toc482711253 \h </w:instrText>
        </w:r>
        <w:r w:rsidR="007A4550" w:rsidRPr="007A4550">
          <w:rPr>
            <w:webHidden/>
          </w:rPr>
        </w:r>
        <w:r w:rsidR="007A4550" w:rsidRPr="007A4550">
          <w:rPr>
            <w:webHidden/>
          </w:rPr>
          <w:fldChar w:fldCharType="separate"/>
        </w:r>
        <w:r w:rsidR="00112BA3">
          <w:rPr>
            <w:webHidden/>
          </w:rPr>
          <w:t>108</w:t>
        </w:r>
        <w:r w:rsidR="007A4550" w:rsidRPr="007A4550">
          <w:rPr>
            <w:webHidden/>
          </w:rPr>
          <w:fldChar w:fldCharType="end"/>
        </w:r>
      </w:hyperlink>
    </w:p>
    <w:p w:rsidR="007A4550" w:rsidRPr="007A4550" w:rsidRDefault="00653EAB" w:rsidP="007A4550">
      <w:pPr>
        <w:pStyle w:val="TOC2"/>
        <w:rPr>
          <w:rFonts w:eastAsiaTheme="minorEastAsia"/>
        </w:rPr>
      </w:pPr>
      <w:hyperlink w:anchor="_Toc482711254" w:history="1">
        <w:r w:rsidR="007A4550" w:rsidRPr="007A4550">
          <w:rPr>
            <w:rStyle w:val="Hyperlink"/>
            <w:sz w:val="20"/>
            <w:szCs w:val="20"/>
          </w:rPr>
          <w:t>PROGRAMA 9</w:t>
        </w:r>
        <w:r w:rsidR="007A4550" w:rsidRPr="007A4550">
          <w:rPr>
            <w:rFonts w:eastAsiaTheme="minorEastAsia"/>
          </w:rPr>
          <w:tab/>
        </w:r>
        <w:r w:rsidR="007A4550" w:rsidRPr="007A4550">
          <w:rPr>
            <w:rStyle w:val="Hyperlink"/>
            <w:sz w:val="20"/>
            <w:szCs w:val="20"/>
          </w:rPr>
          <w:t>PAÍSES AFRICANOS, ÁRABES, DE AMÉRICA LATINA Y EL CARIBE, DE ASIA Y EL PACÍFICO, Y PAÍSES MENOS ADELANTADOS</w:t>
        </w:r>
        <w:r w:rsidR="007A4550" w:rsidRPr="007A4550">
          <w:rPr>
            <w:webHidden/>
          </w:rPr>
          <w:tab/>
        </w:r>
        <w:r w:rsidR="007A4550" w:rsidRPr="007A4550">
          <w:rPr>
            <w:webHidden/>
          </w:rPr>
          <w:fldChar w:fldCharType="begin"/>
        </w:r>
        <w:r w:rsidR="007A4550" w:rsidRPr="007A4550">
          <w:rPr>
            <w:webHidden/>
          </w:rPr>
          <w:instrText xml:space="preserve"> PAGEREF _Toc482711254 \h </w:instrText>
        </w:r>
        <w:r w:rsidR="007A4550" w:rsidRPr="007A4550">
          <w:rPr>
            <w:webHidden/>
          </w:rPr>
        </w:r>
        <w:r w:rsidR="007A4550" w:rsidRPr="007A4550">
          <w:rPr>
            <w:webHidden/>
          </w:rPr>
          <w:fldChar w:fldCharType="separate"/>
        </w:r>
        <w:r w:rsidR="00112BA3">
          <w:rPr>
            <w:webHidden/>
          </w:rPr>
          <w:t>111</w:t>
        </w:r>
        <w:r w:rsidR="007A4550" w:rsidRPr="007A4550">
          <w:rPr>
            <w:webHidden/>
          </w:rPr>
          <w:fldChar w:fldCharType="end"/>
        </w:r>
      </w:hyperlink>
    </w:p>
    <w:p w:rsidR="007A4550" w:rsidRPr="007A4550" w:rsidRDefault="00653EAB" w:rsidP="007A4550">
      <w:pPr>
        <w:pStyle w:val="TOC2"/>
        <w:rPr>
          <w:rFonts w:eastAsiaTheme="minorEastAsia"/>
        </w:rPr>
      </w:pPr>
      <w:hyperlink w:anchor="_Toc482711255" w:history="1">
        <w:r w:rsidR="007A4550" w:rsidRPr="007A4550">
          <w:rPr>
            <w:rStyle w:val="Hyperlink"/>
            <w:sz w:val="20"/>
            <w:szCs w:val="20"/>
          </w:rPr>
          <w:t>PROGRAMA 10</w:t>
        </w:r>
        <w:r w:rsidR="007A4550" w:rsidRPr="007A4550">
          <w:rPr>
            <w:rFonts w:eastAsiaTheme="minorEastAsia"/>
          </w:rPr>
          <w:tab/>
        </w:r>
        <w:r w:rsidR="007A4550" w:rsidRPr="007A4550">
          <w:rPr>
            <w:rStyle w:val="Hyperlink"/>
            <w:sz w:val="20"/>
            <w:szCs w:val="20"/>
          </w:rPr>
          <w:t>PAÍSES CON ECONOMÍAS EN TRANSICIÓN Y PAÍSES DESARROLLADOS</w:t>
        </w:r>
        <w:r w:rsidR="007A4550" w:rsidRPr="007A4550">
          <w:rPr>
            <w:webHidden/>
          </w:rPr>
          <w:tab/>
        </w:r>
        <w:r w:rsidR="007A4550" w:rsidRPr="007A4550">
          <w:rPr>
            <w:webHidden/>
          </w:rPr>
          <w:fldChar w:fldCharType="begin"/>
        </w:r>
        <w:r w:rsidR="007A4550" w:rsidRPr="007A4550">
          <w:rPr>
            <w:webHidden/>
          </w:rPr>
          <w:instrText xml:space="preserve"> PAGEREF _Toc482711255 \h </w:instrText>
        </w:r>
        <w:r w:rsidR="007A4550" w:rsidRPr="007A4550">
          <w:rPr>
            <w:webHidden/>
          </w:rPr>
        </w:r>
        <w:r w:rsidR="007A4550" w:rsidRPr="007A4550">
          <w:rPr>
            <w:webHidden/>
          </w:rPr>
          <w:fldChar w:fldCharType="separate"/>
        </w:r>
        <w:r w:rsidR="00112BA3">
          <w:rPr>
            <w:webHidden/>
          </w:rPr>
          <w:t>121</w:t>
        </w:r>
        <w:r w:rsidR="007A4550" w:rsidRPr="007A4550">
          <w:rPr>
            <w:webHidden/>
          </w:rPr>
          <w:fldChar w:fldCharType="end"/>
        </w:r>
      </w:hyperlink>
    </w:p>
    <w:p w:rsidR="007A4550" w:rsidRPr="007A4550" w:rsidRDefault="00653EAB" w:rsidP="007A4550">
      <w:pPr>
        <w:pStyle w:val="TOC2"/>
        <w:rPr>
          <w:rFonts w:eastAsiaTheme="minorEastAsia"/>
        </w:rPr>
      </w:pPr>
      <w:hyperlink w:anchor="_Toc482711256" w:history="1">
        <w:r w:rsidR="007A4550" w:rsidRPr="007A4550">
          <w:rPr>
            <w:rStyle w:val="Hyperlink"/>
            <w:sz w:val="20"/>
            <w:szCs w:val="20"/>
          </w:rPr>
          <w:t>PROGRAMA 11</w:t>
        </w:r>
        <w:r w:rsidR="007A4550" w:rsidRPr="007A4550">
          <w:rPr>
            <w:rFonts w:eastAsiaTheme="minorEastAsia"/>
          </w:rPr>
          <w:tab/>
        </w:r>
        <w:r w:rsidR="007A4550" w:rsidRPr="007A4550">
          <w:rPr>
            <w:rStyle w:val="Hyperlink"/>
            <w:sz w:val="20"/>
            <w:szCs w:val="20"/>
          </w:rPr>
          <w:t>ACADEMIA DE LA OMPI</w:t>
        </w:r>
        <w:r w:rsidR="007A4550" w:rsidRPr="007A4550">
          <w:rPr>
            <w:webHidden/>
          </w:rPr>
          <w:tab/>
        </w:r>
        <w:r w:rsidR="007A4550" w:rsidRPr="007A4550">
          <w:rPr>
            <w:webHidden/>
          </w:rPr>
          <w:fldChar w:fldCharType="begin"/>
        </w:r>
        <w:r w:rsidR="007A4550" w:rsidRPr="007A4550">
          <w:rPr>
            <w:webHidden/>
          </w:rPr>
          <w:instrText xml:space="preserve"> PAGEREF _Toc482711256 \h </w:instrText>
        </w:r>
        <w:r w:rsidR="007A4550" w:rsidRPr="007A4550">
          <w:rPr>
            <w:webHidden/>
          </w:rPr>
        </w:r>
        <w:r w:rsidR="007A4550" w:rsidRPr="007A4550">
          <w:rPr>
            <w:webHidden/>
          </w:rPr>
          <w:fldChar w:fldCharType="separate"/>
        </w:r>
        <w:r w:rsidR="00112BA3">
          <w:rPr>
            <w:webHidden/>
          </w:rPr>
          <w:t>126</w:t>
        </w:r>
        <w:r w:rsidR="007A4550" w:rsidRPr="007A4550">
          <w:rPr>
            <w:webHidden/>
          </w:rPr>
          <w:fldChar w:fldCharType="end"/>
        </w:r>
      </w:hyperlink>
    </w:p>
    <w:p w:rsidR="007A4550" w:rsidRPr="007A4550" w:rsidRDefault="00653EAB" w:rsidP="007A4550">
      <w:pPr>
        <w:pStyle w:val="TOC2"/>
        <w:rPr>
          <w:rFonts w:eastAsiaTheme="minorEastAsia"/>
        </w:rPr>
      </w:pPr>
      <w:hyperlink w:anchor="_Toc482711257" w:history="1">
        <w:r w:rsidR="007A4550" w:rsidRPr="007A4550">
          <w:rPr>
            <w:rStyle w:val="Hyperlink"/>
            <w:sz w:val="20"/>
            <w:szCs w:val="20"/>
          </w:rPr>
          <w:t>PROGRAMA 30</w:t>
        </w:r>
        <w:r w:rsidR="007A4550" w:rsidRPr="007A4550">
          <w:rPr>
            <w:rFonts w:eastAsiaTheme="minorEastAsia"/>
          </w:rPr>
          <w:tab/>
        </w:r>
        <w:r w:rsidR="007A4550" w:rsidRPr="007A4550">
          <w:rPr>
            <w:rStyle w:val="Hyperlink"/>
            <w:sz w:val="20"/>
            <w:szCs w:val="20"/>
          </w:rPr>
          <w:t>APOYO A LAS PEQUEÑAS Y MEDIANAS EMPRESAS (PYMES) Y A LA CAPACIDAD EMPRESARIAL</w:t>
        </w:r>
        <w:r w:rsidR="007A4550" w:rsidRPr="007A4550">
          <w:rPr>
            <w:webHidden/>
          </w:rPr>
          <w:tab/>
        </w:r>
        <w:r w:rsidR="007A4550" w:rsidRPr="007A4550">
          <w:rPr>
            <w:webHidden/>
          </w:rPr>
          <w:fldChar w:fldCharType="begin"/>
        </w:r>
        <w:r w:rsidR="007A4550" w:rsidRPr="007A4550">
          <w:rPr>
            <w:webHidden/>
          </w:rPr>
          <w:instrText xml:space="preserve"> PAGEREF _Toc482711257 \h </w:instrText>
        </w:r>
        <w:r w:rsidR="007A4550" w:rsidRPr="007A4550">
          <w:rPr>
            <w:webHidden/>
          </w:rPr>
        </w:r>
        <w:r w:rsidR="007A4550" w:rsidRPr="007A4550">
          <w:rPr>
            <w:webHidden/>
          </w:rPr>
          <w:fldChar w:fldCharType="separate"/>
        </w:r>
        <w:r w:rsidR="00112BA3">
          <w:rPr>
            <w:webHidden/>
          </w:rPr>
          <w:t>129</w:t>
        </w:r>
        <w:r w:rsidR="007A4550" w:rsidRPr="007A4550">
          <w:rPr>
            <w:webHidden/>
          </w:rPr>
          <w:fldChar w:fldCharType="end"/>
        </w:r>
      </w:hyperlink>
    </w:p>
    <w:p w:rsidR="007A4550" w:rsidRPr="007A4550" w:rsidRDefault="00653EAB" w:rsidP="007A4550">
      <w:pPr>
        <w:pStyle w:val="TOC2"/>
        <w:rPr>
          <w:rFonts w:eastAsiaTheme="minorEastAsia"/>
        </w:rPr>
      </w:pPr>
      <w:hyperlink w:anchor="_Toc482711258" w:history="1">
        <w:r w:rsidR="007A4550" w:rsidRPr="007A4550">
          <w:rPr>
            <w:rStyle w:val="Hyperlink"/>
          </w:rPr>
          <w:t>META ESTRATÉGICA IV</w:t>
        </w:r>
        <w:r w:rsidR="007A4550" w:rsidRPr="007A4550">
          <w:rPr>
            <w:webHidden/>
          </w:rPr>
          <w:tab/>
        </w:r>
        <w:r w:rsidR="007A4550" w:rsidRPr="007A4550">
          <w:rPr>
            <w:webHidden/>
          </w:rPr>
          <w:fldChar w:fldCharType="begin"/>
        </w:r>
        <w:r w:rsidR="007A4550" w:rsidRPr="007A4550">
          <w:rPr>
            <w:webHidden/>
          </w:rPr>
          <w:instrText xml:space="preserve"> PAGEREF _Toc482711258 \h </w:instrText>
        </w:r>
        <w:r w:rsidR="007A4550" w:rsidRPr="007A4550">
          <w:rPr>
            <w:webHidden/>
          </w:rPr>
        </w:r>
        <w:r w:rsidR="007A4550" w:rsidRPr="007A4550">
          <w:rPr>
            <w:webHidden/>
          </w:rPr>
          <w:fldChar w:fldCharType="separate"/>
        </w:r>
        <w:r w:rsidR="00112BA3">
          <w:rPr>
            <w:webHidden/>
          </w:rPr>
          <w:t>134</w:t>
        </w:r>
        <w:r w:rsidR="007A4550" w:rsidRPr="007A4550">
          <w:rPr>
            <w:webHidden/>
          </w:rPr>
          <w:fldChar w:fldCharType="end"/>
        </w:r>
      </w:hyperlink>
    </w:p>
    <w:p w:rsidR="007A4550" w:rsidRPr="007A4550" w:rsidRDefault="00653EAB" w:rsidP="007A4550">
      <w:pPr>
        <w:pStyle w:val="TOC2"/>
        <w:rPr>
          <w:rFonts w:eastAsiaTheme="minorEastAsia"/>
        </w:rPr>
      </w:pPr>
      <w:hyperlink w:anchor="_Toc482711259" w:history="1">
        <w:r w:rsidR="007A4550" w:rsidRPr="007A4550">
          <w:rPr>
            <w:rStyle w:val="Hyperlink"/>
            <w:sz w:val="20"/>
            <w:szCs w:val="20"/>
          </w:rPr>
          <w:t>PROGRAMA 12</w:t>
        </w:r>
        <w:r w:rsidR="007A4550" w:rsidRPr="007A4550">
          <w:rPr>
            <w:rFonts w:eastAsiaTheme="minorEastAsia"/>
          </w:rPr>
          <w:tab/>
        </w:r>
        <w:r w:rsidR="007A4550" w:rsidRPr="007A4550">
          <w:rPr>
            <w:rStyle w:val="Hyperlink"/>
            <w:sz w:val="20"/>
            <w:szCs w:val="20"/>
          </w:rPr>
          <w:t>CLASIFICACIONES INTERNACIONALES Y NORMAS TÉCNICAS</w:t>
        </w:r>
        <w:r w:rsidR="007A4550" w:rsidRPr="007A4550">
          <w:rPr>
            <w:webHidden/>
          </w:rPr>
          <w:tab/>
        </w:r>
        <w:r w:rsidR="007A4550" w:rsidRPr="007A4550">
          <w:rPr>
            <w:webHidden/>
          </w:rPr>
          <w:fldChar w:fldCharType="begin"/>
        </w:r>
        <w:r w:rsidR="007A4550" w:rsidRPr="007A4550">
          <w:rPr>
            <w:webHidden/>
          </w:rPr>
          <w:instrText xml:space="preserve"> PAGEREF _Toc482711259 \h </w:instrText>
        </w:r>
        <w:r w:rsidR="007A4550" w:rsidRPr="007A4550">
          <w:rPr>
            <w:webHidden/>
          </w:rPr>
        </w:r>
        <w:r w:rsidR="007A4550" w:rsidRPr="007A4550">
          <w:rPr>
            <w:webHidden/>
          </w:rPr>
          <w:fldChar w:fldCharType="separate"/>
        </w:r>
        <w:r w:rsidR="00112BA3">
          <w:rPr>
            <w:webHidden/>
          </w:rPr>
          <w:t>137</w:t>
        </w:r>
        <w:r w:rsidR="007A4550" w:rsidRPr="007A4550">
          <w:rPr>
            <w:webHidden/>
          </w:rPr>
          <w:fldChar w:fldCharType="end"/>
        </w:r>
      </w:hyperlink>
    </w:p>
    <w:p w:rsidR="007A4550" w:rsidRPr="007A4550" w:rsidRDefault="00653EAB" w:rsidP="007A4550">
      <w:pPr>
        <w:pStyle w:val="TOC2"/>
        <w:rPr>
          <w:rFonts w:eastAsiaTheme="minorEastAsia"/>
        </w:rPr>
      </w:pPr>
      <w:hyperlink w:anchor="_Toc482711260" w:history="1">
        <w:r w:rsidR="007A4550" w:rsidRPr="007A4550">
          <w:rPr>
            <w:rStyle w:val="Hyperlink"/>
            <w:sz w:val="20"/>
            <w:szCs w:val="20"/>
          </w:rPr>
          <w:t>PROGRAMA 13</w:t>
        </w:r>
        <w:r w:rsidR="007A4550" w:rsidRPr="007A4550">
          <w:rPr>
            <w:rFonts w:eastAsiaTheme="minorEastAsia"/>
          </w:rPr>
          <w:tab/>
        </w:r>
        <w:r w:rsidR="007A4550" w:rsidRPr="007A4550">
          <w:rPr>
            <w:rStyle w:val="Hyperlink"/>
            <w:sz w:val="20"/>
            <w:szCs w:val="20"/>
          </w:rPr>
          <w:t>BASES MUNDIALES DE DATOS</w:t>
        </w:r>
        <w:r w:rsidR="007A4550" w:rsidRPr="007A4550">
          <w:rPr>
            <w:webHidden/>
          </w:rPr>
          <w:tab/>
        </w:r>
        <w:r w:rsidR="007A4550" w:rsidRPr="007A4550">
          <w:rPr>
            <w:webHidden/>
          </w:rPr>
          <w:fldChar w:fldCharType="begin"/>
        </w:r>
        <w:r w:rsidR="007A4550" w:rsidRPr="007A4550">
          <w:rPr>
            <w:webHidden/>
          </w:rPr>
          <w:instrText xml:space="preserve"> PAGEREF _Toc482711260 \h </w:instrText>
        </w:r>
        <w:r w:rsidR="007A4550" w:rsidRPr="007A4550">
          <w:rPr>
            <w:webHidden/>
          </w:rPr>
        </w:r>
        <w:r w:rsidR="007A4550" w:rsidRPr="007A4550">
          <w:rPr>
            <w:webHidden/>
          </w:rPr>
          <w:fldChar w:fldCharType="separate"/>
        </w:r>
        <w:r w:rsidR="00112BA3">
          <w:rPr>
            <w:webHidden/>
          </w:rPr>
          <w:t>140</w:t>
        </w:r>
        <w:r w:rsidR="007A4550" w:rsidRPr="007A4550">
          <w:rPr>
            <w:webHidden/>
          </w:rPr>
          <w:fldChar w:fldCharType="end"/>
        </w:r>
      </w:hyperlink>
    </w:p>
    <w:p w:rsidR="007A4550" w:rsidRPr="007A4550" w:rsidRDefault="00653EAB" w:rsidP="007A4550">
      <w:pPr>
        <w:pStyle w:val="TOC2"/>
        <w:rPr>
          <w:rFonts w:eastAsiaTheme="minorEastAsia"/>
        </w:rPr>
      </w:pPr>
      <w:hyperlink w:anchor="_Toc482711261" w:history="1">
        <w:r w:rsidR="007A4550" w:rsidRPr="007A4550">
          <w:rPr>
            <w:rStyle w:val="Hyperlink"/>
            <w:sz w:val="20"/>
            <w:szCs w:val="20"/>
          </w:rPr>
          <w:t>PROGRAMA 14</w:t>
        </w:r>
        <w:r w:rsidR="007A4550" w:rsidRPr="007A4550">
          <w:rPr>
            <w:rFonts w:eastAsiaTheme="minorEastAsia"/>
          </w:rPr>
          <w:tab/>
        </w:r>
        <w:r w:rsidR="007A4550" w:rsidRPr="007A4550">
          <w:rPr>
            <w:rStyle w:val="Hyperlink"/>
            <w:sz w:val="20"/>
            <w:szCs w:val="20"/>
          </w:rPr>
          <w:t>SERVICIOS DE ACCESO A LA INFORMACIÓN Y A LOS CONOCIMIENTOS</w:t>
        </w:r>
        <w:r w:rsidR="007A4550" w:rsidRPr="007A4550">
          <w:rPr>
            <w:webHidden/>
          </w:rPr>
          <w:tab/>
        </w:r>
        <w:r w:rsidR="007A4550" w:rsidRPr="007A4550">
          <w:rPr>
            <w:webHidden/>
          </w:rPr>
          <w:fldChar w:fldCharType="begin"/>
        </w:r>
        <w:r w:rsidR="007A4550" w:rsidRPr="007A4550">
          <w:rPr>
            <w:webHidden/>
          </w:rPr>
          <w:instrText xml:space="preserve"> PAGEREF _Toc482711261 \h </w:instrText>
        </w:r>
        <w:r w:rsidR="007A4550" w:rsidRPr="007A4550">
          <w:rPr>
            <w:webHidden/>
          </w:rPr>
        </w:r>
        <w:r w:rsidR="007A4550" w:rsidRPr="007A4550">
          <w:rPr>
            <w:webHidden/>
          </w:rPr>
          <w:fldChar w:fldCharType="separate"/>
        </w:r>
        <w:r w:rsidR="00112BA3">
          <w:rPr>
            <w:webHidden/>
          </w:rPr>
          <w:t>143</w:t>
        </w:r>
        <w:r w:rsidR="007A4550" w:rsidRPr="007A4550">
          <w:rPr>
            <w:webHidden/>
          </w:rPr>
          <w:fldChar w:fldCharType="end"/>
        </w:r>
      </w:hyperlink>
    </w:p>
    <w:p w:rsidR="007A4550" w:rsidRPr="007A4550" w:rsidRDefault="00653EAB" w:rsidP="007A4550">
      <w:pPr>
        <w:pStyle w:val="TOC2"/>
        <w:rPr>
          <w:rFonts w:eastAsiaTheme="minorEastAsia"/>
        </w:rPr>
      </w:pPr>
      <w:hyperlink w:anchor="_Toc482711262" w:history="1">
        <w:r w:rsidR="007A4550" w:rsidRPr="007A4550">
          <w:rPr>
            <w:rStyle w:val="Hyperlink"/>
            <w:sz w:val="20"/>
            <w:szCs w:val="20"/>
          </w:rPr>
          <w:t>PROGRAMA 15</w:t>
        </w:r>
        <w:r w:rsidR="007A4550" w:rsidRPr="007A4550">
          <w:rPr>
            <w:rFonts w:eastAsiaTheme="minorEastAsia"/>
          </w:rPr>
          <w:tab/>
        </w:r>
        <w:r w:rsidR="007A4550" w:rsidRPr="007A4550">
          <w:rPr>
            <w:rStyle w:val="Hyperlink"/>
            <w:sz w:val="20"/>
            <w:szCs w:val="20"/>
          </w:rPr>
          <w:t>SOLUCIONES OPERATIVAS PARA LAS OFICINAS DE P.I.</w:t>
        </w:r>
        <w:r w:rsidR="007A4550" w:rsidRPr="007A4550">
          <w:rPr>
            <w:webHidden/>
          </w:rPr>
          <w:tab/>
        </w:r>
        <w:r w:rsidR="007A4550" w:rsidRPr="007A4550">
          <w:rPr>
            <w:webHidden/>
          </w:rPr>
          <w:fldChar w:fldCharType="begin"/>
        </w:r>
        <w:r w:rsidR="007A4550" w:rsidRPr="007A4550">
          <w:rPr>
            <w:webHidden/>
          </w:rPr>
          <w:instrText xml:space="preserve"> PAGEREF _Toc482711262 \h </w:instrText>
        </w:r>
        <w:r w:rsidR="007A4550" w:rsidRPr="007A4550">
          <w:rPr>
            <w:webHidden/>
          </w:rPr>
        </w:r>
        <w:r w:rsidR="007A4550" w:rsidRPr="007A4550">
          <w:rPr>
            <w:webHidden/>
          </w:rPr>
          <w:fldChar w:fldCharType="separate"/>
        </w:r>
        <w:r w:rsidR="00112BA3">
          <w:rPr>
            <w:webHidden/>
          </w:rPr>
          <w:t>146</w:t>
        </w:r>
        <w:r w:rsidR="007A4550" w:rsidRPr="007A4550">
          <w:rPr>
            <w:webHidden/>
          </w:rPr>
          <w:fldChar w:fldCharType="end"/>
        </w:r>
      </w:hyperlink>
    </w:p>
    <w:p w:rsidR="007A4550" w:rsidRPr="007A4550" w:rsidRDefault="00653EAB" w:rsidP="007A4550">
      <w:pPr>
        <w:pStyle w:val="TOC2"/>
        <w:rPr>
          <w:rFonts w:eastAsiaTheme="minorEastAsia"/>
        </w:rPr>
      </w:pPr>
      <w:hyperlink w:anchor="_Toc482711263" w:history="1">
        <w:r w:rsidR="007A4550" w:rsidRPr="007A4550">
          <w:rPr>
            <w:rStyle w:val="Hyperlink"/>
          </w:rPr>
          <w:t>META ESTRATÉGICA V</w:t>
        </w:r>
        <w:r w:rsidR="007A4550" w:rsidRPr="007A4550">
          <w:rPr>
            <w:webHidden/>
          </w:rPr>
          <w:tab/>
        </w:r>
        <w:r w:rsidR="007A4550" w:rsidRPr="007A4550">
          <w:rPr>
            <w:webHidden/>
          </w:rPr>
          <w:fldChar w:fldCharType="begin"/>
        </w:r>
        <w:r w:rsidR="007A4550" w:rsidRPr="007A4550">
          <w:rPr>
            <w:webHidden/>
          </w:rPr>
          <w:instrText xml:space="preserve"> PAGEREF _Toc482711263 \h </w:instrText>
        </w:r>
        <w:r w:rsidR="007A4550" w:rsidRPr="007A4550">
          <w:rPr>
            <w:webHidden/>
          </w:rPr>
        </w:r>
        <w:r w:rsidR="007A4550" w:rsidRPr="007A4550">
          <w:rPr>
            <w:webHidden/>
          </w:rPr>
          <w:fldChar w:fldCharType="separate"/>
        </w:r>
        <w:r w:rsidR="00112BA3">
          <w:rPr>
            <w:webHidden/>
          </w:rPr>
          <w:t>149</w:t>
        </w:r>
        <w:r w:rsidR="007A4550" w:rsidRPr="007A4550">
          <w:rPr>
            <w:webHidden/>
          </w:rPr>
          <w:fldChar w:fldCharType="end"/>
        </w:r>
      </w:hyperlink>
    </w:p>
    <w:p w:rsidR="007A4550" w:rsidRPr="007A4550" w:rsidRDefault="00653EAB" w:rsidP="007A4550">
      <w:pPr>
        <w:pStyle w:val="TOC2"/>
        <w:rPr>
          <w:rFonts w:eastAsiaTheme="minorEastAsia"/>
        </w:rPr>
      </w:pPr>
      <w:hyperlink w:anchor="_Toc482711264" w:history="1">
        <w:r w:rsidR="007A4550" w:rsidRPr="007A4550">
          <w:rPr>
            <w:rStyle w:val="Hyperlink"/>
            <w:caps/>
            <w:sz w:val="20"/>
            <w:szCs w:val="20"/>
          </w:rPr>
          <w:t>PROGRAMA 16</w:t>
        </w:r>
        <w:r w:rsidR="007A4550" w:rsidRPr="007A4550">
          <w:rPr>
            <w:rFonts w:eastAsiaTheme="minorEastAsia"/>
          </w:rPr>
          <w:tab/>
        </w:r>
        <w:r w:rsidR="007A4550" w:rsidRPr="007A4550">
          <w:rPr>
            <w:rStyle w:val="Hyperlink"/>
            <w:caps/>
            <w:sz w:val="20"/>
            <w:szCs w:val="20"/>
          </w:rPr>
          <w:t>ECONOMÍA Y ESTADÍSTICA</w:t>
        </w:r>
        <w:r w:rsidR="007A4550" w:rsidRPr="007A4550">
          <w:rPr>
            <w:webHidden/>
          </w:rPr>
          <w:tab/>
        </w:r>
        <w:r w:rsidR="007A4550" w:rsidRPr="007A4550">
          <w:rPr>
            <w:webHidden/>
          </w:rPr>
          <w:fldChar w:fldCharType="begin"/>
        </w:r>
        <w:r w:rsidR="007A4550" w:rsidRPr="007A4550">
          <w:rPr>
            <w:webHidden/>
          </w:rPr>
          <w:instrText xml:space="preserve"> PAGEREF _Toc482711264 \h </w:instrText>
        </w:r>
        <w:r w:rsidR="007A4550" w:rsidRPr="007A4550">
          <w:rPr>
            <w:webHidden/>
          </w:rPr>
        </w:r>
        <w:r w:rsidR="007A4550" w:rsidRPr="007A4550">
          <w:rPr>
            <w:webHidden/>
          </w:rPr>
          <w:fldChar w:fldCharType="separate"/>
        </w:r>
        <w:r w:rsidR="00112BA3">
          <w:rPr>
            <w:webHidden/>
          </w:rPr>
          <w:t>150</w:t>
        </w:r>
        <w:r w:rsidR="007A4550" w:rsidRPr="007A4550">
          <w:rPr>
            <w:webHidden/>
          </w:rPr>
          <w:fldChar w:fldCharType="end"/>
        </w:r>
      </w:hyperlink>
    </w:p>
    <w:p w:rsidR="007A4550" w:rsidRPr="007A4550" w:rsidRDefault="00653EAB" w:rsidP="007A4550">
      <w:pPr>
        <w:pStyle w:val="TOC2"/>
        <w:rPr>
          <w:rFonts w:eastAsiaTheme="minorEastAsia"/>
        </w:rPr>
      </w:pPr>
      <w:hyperlink w:anchor="_Toc482711265" w:history="1">
        <w:r w:rsidR="007A4550" w:rsidRPr="007A4550">
          <w:rPr>
            <w:rStyle w:val="Hyperlink"/>
          </w:rPr>
          <w:t>META ESTRATÉGICA VI</w:t>
        </w:r>
        <w:r w:rsidR="007A4550" w:rsidRPr="007A4550">
          <w:rPr>
            <w:webHidden/>
          </w:rPr>
          <w:tab/>
        </w:r>
        <w:r w:rsidR="007A4550" w:rsidRPr="007A4550">
          <w:rPr>
            <w:webHidden/>
          </w:rPr>
          <w:fldChar w:fldCharType="begin"/>
        </w:r>
        <w:r w:rsidR="007A4550" w:rsidRPr="007A4550">
          <w:rPr>
            <w:webHidden/>
          </w:rPr>
          <w:instrText xml:space="preserve"> PAGEREF _Toc482711265 \h </w:instrText>
        </w:r>
        <w:r w:rsidR="007A4550" w:rsidRPr="007A4550">
          <w:rPr>
            <w:webHidden/>
          </w:rPr>
        </w:r>
        <w:r w:rsidR="007A4550" w:rsidRPr="007A4550">
          <w:rPr>
            <w:webHidden/>
          </w:rPr>
          <w:fldChar w:fldCharType="separate"/>
        </w:r>
        <w:r w:rsidR="00112BA3">
          <w:rPr>
            <w:webHidden/>
          </w:rPr>
          <w:t>153</w:t>
        </w:r>
        <w:r w:rsidR="007A4550" w:rsidRPr="007A4550">
          <w:rPr>
            <w:webHidden/>
          </w:rPr>
          <w:fldChar w:fldCharType="end"/>
        </w:r>
      </w:hyperlink>
    </w:p>
    <w:p w:rsidR="007A4550" w:rsidRPr="007A4550" w:rsidRDefault="00653EAB" w:rsidP="007A4550">
      <w:pPr>
        <w:pStyle w:val="TOC2"/>
        <w:rPr>
          <w:rFonts w:eastAsiaTheme="minorEastAsia"/>
        </w:rPr>
      </w:pPr>
      <w:hyperlink w:anchor="_Toc482711266" w:history="1">
        <w:r w:rsidR="007A4550" w:rsidRPr="007A4550">
          <w:rPr>
            <w:rStyle w:val="Hyperlink"/>
            <w:sz w:val="20"/>
            <w:szCs w:val="20"/>
          </w:rPr>
          <w:t>PROGRAMA 17</w:t>
        </w:r>
        <w:r w:rsidR="007A4550" w:rsidRPr="007A4550">
          <w:rPr>
            <w:rFonts w:eastAsiaTheme="minorEastAsia"/>
          </w:rPr>
          <w:tab/>
        </w:r>
        <w:r w:rsidR="007A4550" w:rsidRPr="007A4550">
          <w:rPr>
            <w:rStyle w:val="Hyperlink"/>
            <w:sz w:val="20"/>
            <w:szCs w:val="20"/>
          </w:rPr>
          <w:t>FOMENTAR EL RESPETO POR LA P.I.</w:t>
        </w:r>
        <w:r w:rsidR="007A4550" w:rsidRPr="007A4550">
          <w:rPr>
            <w:webHidden/>
          </w:rPr>
          <w:tab/>
        </w:r>
        <w:r w:rsidR="007A4550" w:rsidRPr="007A4550">
          <w:rPr>
            <w:webHidden/>
          </w:rPr>
          <w:fldChar w:fldCharType="begin"/>
        </w:r>
        <w:r w:rsidR="007A4550" w:rsidRPr="007A4550">
          <w:rPr>
            <w:webHidden/>
          </w:rPr>
          <w:instrText xml:space="preserve"> PAGEREF _Toc482711266 \h </w:instrText>
        </w:r>
        <w:r w:rsidR="007A4550" w:rsidRPr="007A4550">
          <w:rPr>
            <w:webHidden/>
          </w:rPr>
        </w:r>
        <w:r w:rsidR="007A4550" w:rsidRPr="007A4550">
          <w:rPr>
            <w:webHidden/>
          </w:rPr>
          <w:fldChar w:fldCharType="separate"/>
        </w:r>
        <w:r w:rsidR="00112BA3">
          <w:rPr>
            <w:webHidden/>
          </w:rPr>
          <w:t>154</w:t>
        </w:r>
        <w:r w:rsidR="007A4550" w:rsidRPr="007A4550">
          <w:rPr>
            <w:webHidden/>
          </w:rPr>
          <w:fldChar w:fldCharType="end"/>
        </w:r>
      </w:hyperlink>
    </w:p>
    <w:p w:rsidR="00653EAB" w:rsidRDefault="00653EAB" w:rsidP="007A4550">
      <w:pPr>
        <w:pStyle w:val="TOC2"/>
      </w:pPr>
    </w:p>
    <w:p w:rsidR="007A4550" w:rsidRPr="007A4550" w:rsidRDefault="00653EAB" w:rsidP="007A4550">
      <w:pPr>
        <w:pStyle w:val="TOC2"/>
        <w:rPr>
          <w:rFonts w:eastAsiaTheme="minorEastAsia"/>
        </w:rPr>
      </w:pPr>
      <w:hyperlink w:anchor="_Toc482711267" w:history="1">
        <w:r w:rsidR="007A4550" w:rsidRPr="007A4550">
          <w:rPr>
            <w:rStyle w:val="Hyperlink"/>
          </w:rPr>
          <w:t>META ESTRATÉGICA VII</w:t>
        </w:r>
        <w:r w:rsidR="007A4550" w:rsidRPr="007A4550">
          <w:rPr>
            <w:webHidden/>
          </w:rPr>
          <w:tab/>
        </w:r>
        <w:r w:rsidR="007A4550" w:rsidRPr="007A4550">
          <w:rPr>
            <w:webHidden/>
          </w:rPr>
          <w:fldChar w:fldCharType="begin"/>
        </w:r>
        <w:r w:rsidR="007A4550" w:rsidRPr="007A4550">
          <w:rPr>
            <w:webHidden/>
          </w:rPr>
          <w:instrText xml:space="preserve"> PAGEREF _Toc482711267 \h </w:instrText>
        </w:r>
        <w:r w:rsidR="007A4550" w:rsidRPr="007A4550">
          <w:rPr>
            <w:webHidden/>
          </w:rPr>
        </w:r>
        <w:r w:rsidR="007A4550" w:rsidRPr="007A4550">
          <w:rPr>
            <w:webHidden/>
          </w:rPr>
          <w:fldChar w:fldCharType="separate"/>
        </w:r>
        <w:r w:rsidR="00112BA3">
          <w:rPr>
            <w:webHidden/>
          </w:rPr>
          <w:t>157</w:t>
        </w:r>
        <w:r w:rsidR="007A4550" w:rsidRPr="007A4550">
          <w:rPr>
            <w:webHidden/>
          </w:rPr>
          <w:fldChar w:fldCharType="end"/>
        </w:r>
      </w:hyperlink>
    </w:p>
    <w:p w:rsidR="007A4550" w:rsidRPr="007A4550" w:rsidRDefault="00653EAB" w:rsidP="007A4550">
      <w:pPr>
        <w:pStyle w:val="TOC2"/>
        <w:rPr>
          <w:rFonts w:eastAsiaTheme="minorEastAsia"/>
        </w:rPr>
      </w:pPr>
      <w:hyperlink w:anchor="_Toc482711268" w:history="1">
        <w:r w:rsidR="007A4550" w:rsidRPr="007A4550">
          <w:rPr>
            <w:rStyle w:val="Hyperlink"/>
            <w:sz w:val="20"/>
            <w:szCs w:val="20"/>
          </w:rPr>
          <w:t>PROGRAMA 18</w:t>
        </w:r>
        <w:r w:rsidR="007A4550" w:rsidRPr="007A4550">
          <w:rPr>
            <w:rFonts w:eastAsiaTheme="minorEastAsia"/>
          </w:rPr>
          <w:tab/>
        </w:r>
        <w:r w:rsidR="007A4550" w:rsidRPr="007A4550">
          <w:rPr>
            <w:rStyle w:val="Hyperlink"/>
            <w:sz w:val="20"/>
            <w:szCs w:val="20"/>
          </w:rPr>
          <w:t>LA P.I. Y LOS DESAFÍOS MUNDIALES</w:t>
        </w:r>
        <w:r w:rsidR="007A4550" w:rsidRPr="007A4550">
          <w:rPr>
            <w:webHidden/>
          </w:rPr>
          <w:tab/>
        </w:r>
        <w:r w:rsidR="007A4550" w:rsidRPr="007A4550">
          <w:rPr>
            <w:webHidden/>
          </w:rPr>
          <w:fldChar w:fldCharType="begin"/>
        </w:r>
        <w:r w:rsidR="007A4550" w:rsidRPr="007A4550">
          <w:rPr>
            <w:webHidden/>
          </w:rPr>
          <w:instrText xml:space="preserve"> PAGEREF _Toc482711268 \h </w:instrText>
        </w:r>
        <w:r w:rsidR="007A4550" w:rsidRPr="007A4550">
          <w:rPr>
            <w:webHidden/>
          </w:rPr>
        </w:r>
        <w:r w:rsidR="007A4550" w:rsidRPr="007A4550">
          <w:rPr>
            <w:webHidden/>
          </w:rPr>
          <w:fldChar w:fldCharType="separate"/>
        </w:r>
        <w:r w:rsidR="00112BA3">
          <w:rPr>
            <w:webHidden/>
          </w:rPr>
          <w:t>158</w:t>
        </w:r>
        <w:r w:rsidR="007A4550" w:rsidRPr="007A4550">
          <w:rPr>
            <w:webHidden/>
          </w:rPr>
          <w:fldChar w:fldCharType="end"/>
        </w:r>
      </w:hyperlink>
    </w:p>
    <w:p w:rsidR="007A4550" w:rsidRPr="007A4550" w:rsidRDefault="00653EAB" w:rsidP="007A4550">
      <w:pPr>
        <w:pStyle w:val="TOC2"/>
        <w:rPr>
          <w:rFonts w:eastAsiaTheme="minorEastAsia"/>
        </w:rPr>
      </w:pPr>
      <w:hyperlink w:anchor="_Toc482711269" w:history="1">
        <w:r w:rsidR="007A4550" w:rsidRPr="007A4550">
          <w:rPr>
            <w:rStyle w:val="Hyperlink"/>
          </w:rPr>
          <w:t>META ESTRATÉGICA VIII</w:t>
        </w:r>
        <w:r w:rsidR="007A4550" w:rsidRPr="007A4550">
          <w:rPr>
            <w:webHidden/>
          </w:rPr>
          <w:tab/>
        </w:r>
        <w:r w:rsidR="007A4550" w:rsidRPr="007A4550">
          <w:rPr>
            <w:webHidden/>
          </w:rPr>
          <w:fldChar w:fldCharType="begin"/>
        </w:r>
        <w:r w:rsidR="007A4550" w:rsidRPr="007A4550">
          <w:rPr>
            <w:webHidden/>
          </w:rPr>
          <w:instrText xml:space="preserve"> PAGEREF _Toc482711269 \h </w:instrText>
        </w:r>
        <w:r w:rsidR="007A4550" w:rsidRPr="007A4550">
          <w:rPr>
            <w:webHidden/>
          </w:rPr>
        </w:r>
        <w:r w:rsidR="007A4550" w:rsidRPr="007A4550">
          <w:rPr>
            <w:webHidden/>
          </w:rPr>
          <w:fldChar w:fldCharType="separate"/>
        </w:r>
        <w:r w:rsidR="00112BA3">
          <w:rPr>
            <w:webHidden/>
          </w:rPr>
          <w:t>162</w:t>
        </w:r>
        <w:r w:rsidR="007A4550" w:rsidRPr="007A4550">
          <w:rPr>
            <w:webHidden/>
          </w:rPr>
          <w:fldChar w:fldCharType="end"/>
        </w:r>
      </w:hyperlink>
    </w:p>
    <w:p w:rsidR="007A4550" w:rsidRPr="007A4550" w:rsidRDefault="00653EAB" w:rsidP="007A4550">
      <w:pPr>
        <w:pStyle w:val="TOC2"/>
        <w:rPr>
          <w:rFonts w:eastAsiaTheme="minorEastAsia"/>
        </w:rPr>
      </w:pPr>
      <w:hyperlink w:anchor="_Toc482711270" w:history="1">
        <w:r w:rsidR="007A4550" w:rsidRPr="007A4550">
          <w:rPr>
            <w:rStyle w:val="Hyperlink"/>
            <w:sz w:val="20"/>
            <w:szCs w:val="20"/>
          </w:rPr>
          <w:t>PROGRAMA 19</w:t>
        </w:r>
        <w:r w:rsidR="007A4550" w:rsidRPr="007A4550">
          <w:rPr>
            <w:rFonts w:eastAsiaTheme="minorEastAsia"/>
          </w:rPr>
          <w:tab/>
        </w:r>
        <w:r w:rsidR="007A4550" w:rsidRPr="007A4550">
          <w:rPr>
            <w:rStyle w:val="Hyperlink"/>
            <w:sz w:val="20"/>
            <w:szCs w:val="20"/>
          </w:rPr>
          <w:t>COMUNICACIONES</w:t>
        </w:r>
        <w:r w:rsidR="007A4550" w:rsidRPr="007A4550">
          <w:rPr>
            <w:webHidden/>
          </w:rPr>
          <w:tab/>
        </w:r>
        <w:r w:rsidR="007A4550" w:rsidRPr="007A4550">
          <w:rPr>
            <w:webHidden/>
          </w:rPr>
          <w:fldChar w:fldCharType="begin"/>
        </w:r>
        <w:r w:rsidR="007A4550" w:rsidRPr="007A4550">
          <w:rPr>
            <w:webHidden/>
          </w:rPr>
          <w:instrText xml:space="preserve"> PAGEREF _Toc482711270 \h </w:instrText>
        </w:r>
        <w:r w:rsidR="007A4550" w:rsidRPr="007A4550">
          <w:rPr>
            <w:webHidden/>
          </w:rPr>
        </w:r>
        <w:r w:rsidR="007A4550" w:rsidRPr="007A4550">
          <w:rPr>
            <w:webHidden/>
          </w:rPr>
          <w:fldChar w:fldCharType="separate"/>
        </w:r>
        <w:r w:rsidR="00112BA3">
          <w:rPr>
            <w:webHidden/>
          </w:rPr>
          <w:t>164</w:t>
        </w:r>
        <w:r w:rsidR="007A4550" w:rsidRPr="007A4550">
          <w:rPr>
            <w:webHidden/>
          </w:rPr>
          <w:fldChar w:fldCharType="end"/>
        </w:r>
      </w:hyperlink>
    </w:p>
    <w:p w:rsidR="007A4550" w:rsidRPr="007A4550" w:rsidRDefault="00653EAB" w:rsidP="007A4550">
      <w:pPr>
        <w:pStyle w:val="TOC2"/>
        <w:rPr>
          <w:rFonts w:eastAsiaTheme="minorEastAsia"/>
        </w:rPr>
      </w:pPr>
      <w:hyperlink w:anchor="_Toc482711271" w:history="1">
        <w:r w:rsidR="007A4550" w:rsidRPr="007A4550">
          <w:rPr>
            <w:rStyle w:val="Hyperlink"/>
            <w:sz w:val="20"/>
            <w:szCs w:val="20"/>
          </w:rPr>
          <w:t>PROGRAMA 20</w:t>
        </w:r>
        <w:r w:rsidR="007A4550" w:rsidRPr="007A4550">
          <w:rPr>
            <w:rFonts w:eastAsiaTheme="minorEastAsia"/>
          </w:rPr>
          <w:tab/>
        </w:r>
        <w:r w:rsidR="007A4550" w:rsidRPr="007A4550">
          <w:rPr>
            <w:rStyle w:val="Hyperlink"/>
            <w:sz w:val="20"/>
            <w:szCs w:val="20"/>
          </w:rPr>
          <w:t>RELACIONES EXTERIORES, ALIANZAS Y OFICINAS EN EL EXTERIOR</w:t>
        </w:r>
        <w:r w:rsidR="007A4550" w:rsidRPr="007A4550">
          <w:rPr>
            <w:webHidden/>
          </w:rPr>
          <w:tab/>
        </w:r>
        <w:r w:rsidR="007A4550" w:rsidRPr="007A4550">
          <w:rPr>
            <w:webHidden/>
          </w:rPr>
          <w:fldChar w:fldCharType="begin"/>
        </w:r>
        <w:r w:rsidR="007A4550" w:rsidRPr="007A4550">
          <w:rPr>
            <w:webHidden/>
          </w:rPr>
          <w:instrText xml:space="preserve"> PAGEREF _Toc482711271 \h </w:instrText>
        </w:r>
        <w:r w:rsidR="007A4550" w:rsidRPr="007A4550">
          <w:rPr>
            <w:webHidden/>
          </w:rPr>
        </w:r>
        <w:r w:rsidR="007A4550" w:rsidRPr="007A4550">
          <w:rPr>
            <w:webHidden/>
          </w:rPr>
          <w:fldChar w:fldCharType="separate"/>
        </w:r>
        <w:r w:rsidR="00112BA3">
          <w:rPr>
            <w:webHidden/>
          </w:rPr>
          <w:t>168</w:t>
        </w:r>
        <w:r w:rsidR="007A4550" w:rsidRPr="007A4550">
          <w:rPr>
            <w:webHidden/>
          </w:rPr>
          <w:fldChar w:fldCharType="end"/>
        </w:r>
      </w:hyperlink>
    </w:p>
    <w:p w:rsidR="007A4550" w:rsidRPr="007A4550" w:rsidRDefault="00653EAB" w:rsidP="007A4550">
      <w:pPr>
        <w:pStyle w:val="TOC2"/>
        <w:rPr>
          <w:rFonts w:eastAsiaTheme="minorEastAsia"/>
        </w:rPr>
      </w:pPr>
      <w:hyperlink w:anchor="_Toc482711272" w:history="1">
        <w:r w:rsidR="007A4550" w:rsidRPr="007A4550">
          <w:rPr>
            <w:rStyle w:val="Hyperlink"/>
          </w:rPr>
          <w:t>META ESTRATÉGICA IX</w:t>
        </w:r>
        <w:r w:rsidR="007A4550" w:rsidRPr="007A4550">
          <w:rPr>
            <w:webHidden/>
          </w:rPr>
          <w:tab/>
        </w:r>
        <w:r w:rsidR="007A4550" w:rsidRPr="007A4550">
          <w:rPr>
            <w:webHidden/>
          </w:rPr>
          <w:fldChar w:fldCharType="begin"/>
        </w:r>
        <w:r w:rsidR="007A4550" w:rsidRPr="007A4550">
          <w:rPr>
            <w:webHidden/>
          </w:rPr>
          <w:instrText xml:space="preserve"> PAGEREF _Toc482711272 \h </w:instrText>
        </w:r>
        <w:r w:rsidR="007A4550" w:rsidRPr="007A4550">
          <w:rPr>
            <w:webHidden/>
          </w:rPr>
        </w:r>
        <w:r w:rsidR="007A4550" w:rsidRPr="007A4550">
          <w:rPr>
            <w:webHidden/>
          </w:rPr>
          <w:fldChar w:fldCharType="separate"/>
        </w:r>
        <w:r w:rsidR="00112BA3">
          <w:rPr>
            <w:webHidden/>
          </w:rPr>
          <w:t>177</w:t>
        </w:r>
        <w:r w:rsidR="007A4550" w:rsidRPr="007A4550">
          <w:rPr>
            <w:webHidden/>
          </w:rPr>
          <w:fldChar w:fldCharType="end"/>
        </w:r>
      </w:hyperlink>
    </w:p>
    <w:p w:rsidR="007A4550" w:rsidRPr="007A4550" w:rsidRDefault="00653EAB" w:rsidP="007A4550">
      <w:pPr>
        <w:pStyle w:val="TOC2"/>
        <w:rPr>
          <w:rFonts w:eastAsiaTheme="minorEastAsia"/>
        </w:rPr>
      </w:pPr>
      <w:hyperlink w:anchor="_Toc482711273" w:history="1">
        <w:r w:rsidR="007A4550" w:rsidRPr="007A4550">
          <w:rPr>
            <w:rStyle w:val="Hyperlink"/>
            <w:sz w:val="20"/>
            <w:szCs w:val="20"/>
          </w:rPr>
          <w:t>PROGRAMA 21</w:t>
        </w:r>
        <w:r w:rsidR="007A4550" w:rsidRPr="007A4550">
          <w:rPr>
            <w:rFonts w:eastAsiaTheme="minorEastAsia"/>
          </w:rPr>
          <w:tab/>
        </w:r>
        <w:r w:rsidR="007A4550" w:rsidRPr="007A4550">
          <w:rPr>
            <w:rStyle w:val="Hyperlink"/>
            <w:sz w:val="20"/>
            <w:szCs w:val="20"/>
          </w:rPr>
          <w:t>GESTIÓN EJECUTIVA</w:t>
        </w:r>
        <w:r w:rsidR="007A4550" w:rsidRPr="007A4550">
          <w:rPr>
            <w:webHidden/>
          </w:rPr>
          <w:tab/>
        </w:r>
        <w:r w:rsidR="007A4550" w:rsidRPr="007A4550">
          <w:rPr>
            <w:webHidden/>
          </w:rPr>
          <w:fldChar w:fldCharType="begin"/>
        </w:r>
        <w:r w:rsidR="007A4550" w:rsidRPr="007A4550">
          <w:rPr>
            <w:webHidden/>
          </w:rPr>
          <w:instrText xml:space="preserve"> PAGEREF _Toc482711273 \h </w:instrText>
        </w:r>
        <w:r w:rsidR="007A4550" w:rsidRPr="007A4550">
          <w:rPr>
            <w:webHidden/>
          </w:rPr>
        </w:r>
        <w:r w:rsidR="007A4550" w:rsidRPr="007A4550">
          <w:rPr>
            <w:webHidden/>
          </w:rPr>
          <w:fldChar w:fldCharType="separate"/>
        </w:r>
        <w:r w:rsidR="00112BA3">
          <w:rPr>
            <w:webHidden/>
          </w:rPr>
          <w:t>181</w:t>
        </w:r>
        <w:r w:rsidR="007A4550" w:rsidRPr="007A4550">
          <w:rPr>
            <w:webHidden/>
          </w:rPr>
          <w:fldChar w:fldCharType="end"/>
        </w:r>
      </w:hyperlink>
    </w:p>
    <w:p w:rsidR="007A4550" w:rsidRPr="007A4550" w:rsidRDefault="00653EAB" w:rsidP="007A4550">
      <w:pPr>
        <w:pStyle w:val="TOC2"/>
        <w:rPr>
          <w:rFonts w:eastAsiaTheme="minorEastAsia"/>
        </w:rPr>
      </w:pPr>
      <w:hyperlink w:anchor="_Toc482711274" w:history="1">
        <w:r w:rsidR="007A4550" w:rsidRPr="007A4550">
          <w:rPr>
            <w:rStyle w:val="Hyperlink"/>
            <w:sz w:val="20"/>
            <w:szCs w:val="20"/>
          </w:rPr>
          <w:t>PROGRAMA 22</w:t>
        </w:r>
        <w:r w:rsidR="007A4550" w:rsidRPr="007A4550">
          <w:rPr>
            <w:rFonts w:eastAsiaTheme="minorEastAsia"/>
          </w:rPr>
          <w:tab/>
        </w:r>
        <w:r w:rsidR="007A4550" w:rsidRPr="007A4550">
          <w:rPr>
            <w:rStyle w:val="Hyperlink"/>
            <w:sz w:val="20"/>
            <w:szCs w:val="20"/>
          </w:rPr>
          <w:t>GESTIÓN DE PROGRAMAS Y RECURSOS</w:t>
        </w:r>
        <w:r w:rsidR="007A4550" w:rsidRPr="007A4550">
          <w:rPr>
            <w:webHidden/>
          </w:rPr>
          <w:tab/>
        </w:r>
        <w:r w:rsidR="007A4550" w:rsidRPr="007A4550">
          <w:rPr>
            <w:webHidden/>
          </w:rPr>
          <w:fldChar w:fldCharType="begin"/>
        </w:r>
        <w:r w:rsidR="007A4550" w:rsidRPr="007A4550">
          <w:rPr>
            <w:webHidden/>
          </w:rPr>
          <w:instrText xml:space="preserve"> PAGEREF _Toc482711274 \h </w:instrText>
        </w:r>
        <w:r w:rsidR="007A4550" w:rsidRPr="007A4550">
          <w:rPr>
            <w:webHidden/>
          </w:rPr>
        </w:r>
        <w:r w:rsidR="007A4550" w:rsidRPr="007A4550">
          <w:rPr>
            <w:webHidden/>
          </w:rPr>
          <w:fldChar w:fldCharType="separate"/>
        </w:r>
        <w:r w:rsidR="00112BA3">
          <w:rPr>
            <w:webHidden/>
          </w:rPr>
          <w:t>186</w:t>
        </w:r>
        <w:r w:rsidR="007A4550" w:rsidRPr="007A4550">
          <w:rPr>
            <w:webHidden/>
          </w:rPr>
          <w:fldChar w:fldCharType="end"/>
        </w:r>
      </w:hyperlink>
    </w:p>
    <w:p w:rsidR="007A4550" w:rsidRPr="007A4550" w:rsidRDefault="00653EAB" w:rsidP="007A4550">
      <w:pPr>
        <w:pStyle w:val="TOC2"/>
        <w:rPr>
          <w:rFonts w:eastAsiaTheme="minorEastAsia"/>
        </w:rPr>
      </w:pPr>
      <w:hyperlink w:anchor="_Toc482711275" w:history="1">
        <w:r w:rsidR="007A4550" w:rsidRPr="007A4550">
          <w:rPr>
            <w:rStyle w:val="Hyperlink"/>
            <w:sz w:val="20"/>
            <w:szCs w:val="20"/>
          </w:rPr>
          <w:t>PROGRAMA 23</w:t>
        </w:r>
        <w:r w:rsidR="007A4550" w:rsidRPr="007A4550">
          <w:rPr>
            <w:rFonts w:eastAsiaTheme="minorEastAsia"/>
          </w:rPr>
          <w:tab/>
        </w:r>
        <w:r w:rsidR="007A4550" w:rsidRPr="007A4550">
          <w:rPr>
            <w:rStyle w:val="Hyperlink"/>
            <w:sz w:val="20"/>
            <w:szCs w:val="20"/>
          </w:rPr>
          <w:t>GESTIÓN Y DESARROLLO DE LOS RECURSOS HUMANOS</w:t>
        </w:r>
        <w:r w:rsidR="007A4550" w:rsidRPr="007A4550">
          <w:rPr>
            <w:webHidden/>
          </w:rPr>
          <w:tab/>
        </w:r>
        <w:r w:rsidR="007A4550" w:rsidRPr="007A4550">
          <w:rPr>
            <w:webHidden/>
          </w:rPr>
          <w:fldChar w:fldCharType="begin"/>
        </w:r>
        <w:r w:rsidR="007A4550" w:rsidRPr="007A4550">
          <w:rPr>
            <w:webHidden/>
          </w:rPr>
          <w:instrText xml:space="preserve"> PAGEREF _Toc482711275 \h </w:instrText>
        </w:r>
        <w:r w:rsidR="007A4550" w:rsidRPr="007A4550">
          <w:rPr>
            <w:webHidden/>
          </w:rPr>
        </w:r>
        <w:r w:rsidR="007A4550" w:rsidRPr="007A4550">
          <w:rPr>
            <w:webHidden/>
          </w:rPr>
          <w:fldChar w:fldCharType="separate"/>
        </w:r>
        <w:r w:rsidR="00112BA3">
          <w:rPr>
            <w:webHidden/>
          </w:rPr>
          <w:t>193</w:t>
        </w:r>
        <w:r w:rsidR="007A4550" w:rsidRPr="007A4550">
          <w:rPr>
            <w:webHidden/>
          </w:rPr>
          <w:fldChar w:fldCharType="end"/>
        </w:r>
      </w:hyperlink>
    </w:p>
    <w:p w:rsidR="007A4550" w:rsidRPr="007A4550" w:rsidRDefault="00653EAB" w:rsidP="007A4550">
      <w:pPr>
        <w:pStyle w:val="TOC2"/>
        <w:rPr>
          <w:rFonts w:eastAsiaTheme="minorEastAsia"/>
        </w:rPr>
      </w:pPr>
      <w:hyperlink w:anchor="_Toc482711276" w:history="1">
        <w:r w:rsidR="007A4550" w:rsidRPr="007A4550">
          <w:rPr>
            <w:rStyle w:val="Hyperlink"/>
            <w:sz w:val="20"/>
            <w:szCs w:val="20"/>
          </w:rPr>
          <w:t>PROGRAMA 24</w:t>
        </w:r>
        <w:r w:rsidR="007A4550" w:rsidRPr="007A4550">
          <w:rPr>
            <w:rFonts w:eastAsiaTheme="minorEastAsia"/>
          </w:rPr>
          <w:tab/>
        </w:r>
        <w:r w:rsidR="007A4550" w:rsidRPr="007A4550">
          <w:rPr>
            <w:rStyle w:val="Hyperlink"/>
            <w:sz w:val="20"/>
            <w:szCs w:val="20"/>
          </w:rPr>
          <w:t>SERVICIOS GENERALES DE APOYO</w:t>
        </w:r>
        <w:r w:rsidR="007A4550" w:rsidRPr="007A4550">
          <w:rPr>
            <w:webHidden/>
          </w:rPr>
          <w:tab/>
        </w:r>
        <w:r w:rsidR="007A4550" w:rsidRPr="007A4550">
          <w:rPr>
            <w:webHidden/>
          </w:rPr>
          <w:fldChar w:fldCharType="begin"/>
        </w:r>
        <w:r w:rsidR="007A4550" w:rsidRPr="007A4550">
          <w:rPr>
            <w:webHidden/>
          </w:rPr>
          <w:instrText xml:space="preserve"> PAGEREF _Toc482711276 \h </w:instrText>
        </w:r>
        <w:r w:rsidR="007A4550" w:rsidRPr="007A4550">
          <w:rPr>
            <w:webHidden/>
          </w:rPr>
        </w:r>
        <w:r w:rsidR="007A4550" w:rsidRPr="007A4550">
          <w:rPr>
            <w:webHidden/>
          </w:rPr>
          <w:fldChar w:fldCharType="separate"/>
        </w:r>
        <w:r w:rsidR="00112BA3">
          <w:rPr>
            <w:webHidden/>
          </w:rPr>
          <w:t>198</w:t>
        </w:r>
        <w:r w:rsidR="007A4550" w:rsidRPr="007A4550">
          <w:rPr>
            <w:webHidden/>
          </w:rPr>
          <w:fldChar w:fldCharType="end"/>
        </w:r>
      </w:hyperlink>
    </w:p>
    <w:p w:rsidR="007A4550" w:rsidRPr="007A4550" w:rsidRDefault="00653EAB" w:rsidP="007A4550">
      <w:pPr>
        <w:pStyle w:val="TOC2"/>
        <w:rPr>
          <w:rFonts w:eastAsiaTheme="minorEastAsia"/>
        </w:rPr>
      </w:pPr>
      <w:hyperlink w:anchor="_Toc482711277" w:history="1">
        <w:r w:rsidR="007A4550" w:rsidRPr="007A4550">
          <w:rPr>
            <w:rStyle w:val="Hyperlink"/>
            <w:sz w:val="20"/>
            <w:szCs w:val="20"/>
          </w:rPr>
          <w:t>PROGRAMA 25</w:t>
        </w:r>
        <w:r w:rsidR="007A4550" w:rsidRPr="007A4550">
          <w:rPr>
            <w:rFonts w:eastAsiaTheme="minorEastAsia"/>
          </w:rPr>
          <w:tab/>
        </w:r>
        <w:r w:rsidR="007A4550" w:rsidRPr="007A4550">
          <w:rPr>
            <w:rStyle w:val="Hyperlink"/>
            <w:sz w:val="20"/>
            <w:szCs w:val="20"/>
          </w:rPr>
          <w:t>TECNOLOGÍAS DE LA INFORMACIÓN Y DE LAS COMUNICACIONES</w:t>
        </w:r>
        <w:r w:rsidR="007A4550" w:rsidRPr="007A4550">
          <w:rPr>
            <w:webHidden/>
          </w:rPr>
          <w:tab/>
        </w:r>
        <w:r w:rsidR="007A4550" w:rsidRPr="007A4550">
          <w:rPr>
            <w:webHidden/>
          </w:rPr>
          <w:fldChar w:fldCharType="begin"/>
        </w:r>
        <w:r w:rsidR="007A4550" w:rsidRPr="007A4550">
          <w:rPr>
            <w:webHidden/>
          </w:rPr>
          <w:instrText xml:space="preserve"> PAGEREF _Toc482711277 \h </w:instrText>
        </w:r>
        <w:r w:rsidR="007A4550" w:rsidRPr="007A4550">
          <w:rPr>
            <w:webHidden/>
          </w:rPr>
        </w:r>
        <w:r w:rsidR="007A4550" w:rsidRPr="007A4550">
          <w:rPr>
            <w:webHidden/>
          </w:rPr>
          <w:fldChar w:fldCharType="separate"/>
        </w:r>
        <w:r w:rsidR="00112BA3">
          <w:rPr>
            <w:webHidden/>
          </w:rPr>
          <w:t>203</w:t>
        </w:r>
        <w:r w:rsidR="007A4550" w:rsidRPr="007A4550">
          <w:rPr>
            <w:webHidden/>
          </w:rPr>
          <w:fldChar w:fldCharType="end"/>
        </w:r>
      </w:hyperlink>
    </w:p>
    <w:p w:rsidR="007A4550" w:rsidRPr="007A4550" w:rsidRDefault="00653EAB" w:rsidP="007A4550">
      <w:pPr>
        <w:pStyle w:val="TOC2"/>
        <w:rPr>
          <w:rFonts w:eastAsiaTheme="minorEastAsia"/>
        </w:rPr>
      </w:pPr>
      <w:hyperlink w:anchor="_Toc482711278" w:history="1">
        <w:r w:rsidR="007A4550" w:rsidRPr="007A4550">
          <w:rPr>
            <w:rStyle w:val="Hyperlink"/>
            <w:sz w:val="20"/>
            <w:szCs w:val="20"/>
          </w:rPr>
          <w:t>PROGRAMA 26</w:t>
        </w:r>
        <w:r w:rsidR="007A4550" w:rsidRPr="007A4550">
          <w:rPr>
            <w:rFonts w:eastAsiaTheme="minorEastAsia"/>
          </w:rPr>
          <w:tab/>
        </w:r>
        <w:r w:rsidR="007A4550" w:rsidRPr="007A4550">
          <w:rPr>
            <w:rStyle w:val="Hyperlink"/>
            <w:sz w:val="20"/>
            <w:szCs w:val="20"/>
          </w:rPr>
          <w:t>SUPERVISIÓN INTERNA</w:t>
        </w:r>
        <w:r w:rsidR="007A4550" w:rsidRPr="007A4550">
          <w:rPr>
            <w:webHidden/>
          </w:rPr>
          <w:tab/>
        </w:r>
        <w:r w:rsidR="007A4550" w:rsidRPr="007A4550">
          <w:rPr>
            <w:webHidden/>
          </w:rPr>
          <w:fldChar w:fldCharType="begin"/>
        </w:r>
        <w:r w:rsidR="007A4550" w:rsidRPr="007A4550">
          <w:rPr>
            <w:webHidden/>
          </w:rPr>
          <w:instrText xml:space="preserve"> PAGEREF _Toc482711278 \h </w:instrText>
        </w:r>
        <w:r w:rsidR="007A4550" w:rsidRPr="007A4550">
          <w:rPr>
            <w:webHidden/>
          </w:rPr>
        </w:r>
        <w:r w:rsidR="007A4550" w:rsidRPr="007A4550">
          <w:rPr>
            <w:webHidden/>
          </w:rPr>
          <w:fldChar w:fldCharType="separate"/>
        </w:r>
        <w:r w:rsidR="00112BA3">
          <w:rPr>
            <w:webHidden/>
          </w:rPr>
          <w:t>207</w:t>
        </w:r>
        <w:r w:rsidR="007A4550" w:rsidRPr="007A4550">
          <w:rPr>
            <w:webHidden/>
          </w:rPr>
          <w:fldChar w:fldCharType="end"/>
        </w:r>
      </w:hyperlink>
    </w:p>
    <w:p w:rsidR="007A4550" w:rsidRPr="007A4550" w:rsidRDefault="00653EAB" w:rsidP="007A4550">
      <w:pPr>
        <w:pStyle w:val="TOC2"/>
        <w:rPr>
          <w:rFonts w:eastAsiaTheme="minorEastAsia"/>
        </w:rPr>
      </w:pPr>
      <w:hyperlink w:anchor="_Toc482711279" w:history="1">
        <w:r w:rsidR="007A4550" w:rsidRPr="007A4550">
          <w:rPr>
            <w:rStyle w:val="Hyperlink"/>
            <w:sz w:val="20"/>
            <w:szCs w:val="20"/>
          </w:rPr>
          <w:t>PROGRAMA 27</w:t>
        </w:r>
        <w:r w:rsidR="007A4550" w:rsidRPr="007A4550">
          <w:rPr>
            <w:rFonts w:eastAsiaTheme="minorEastAsia"/>
          </w:rPr>
          <w:tab/>
        </w:r>
        <w:r w:rsidR="007A4550" w:rsidRPr="007A4550">
          <w:rPr>
            <w:rStyle w:val="Hyperlink"/>
            <w:sz w:val="20"/>
            <w:szCs w:val="20"/>
          </w:rPr>
          <w:t>SERVICIOS DE CONFERENCIAS Y LINGÜÍSTICOS</w:t>
        </w:r>
        <w:r w:rsidR="007A4550" w:rsidRPr="007A4550">
          <w:rPr>
            <w:webHidden/>
          </w:rPr>
          <w:tab/>
        </w:r>
        <w:r w:rsidR="007A4550" w:rsidRPr="007A4550">
          <w:rPr>
            <w:webHidden/>
          </w:rPr>
          <w:fldChar w:fldCharType="begin"/>
        </w:r>
        <w:r w:rsidR="007A4550" w:rsidRPr="007A4550">
          <w:rPr>
            <w:webHidden/>
          </w:rPr>
          <w:instrText xml:space="preserve"> PAGEREF _Toc482711279 \h </w:instrText>
        </w:r>
        <w:r w:rsidR="007A4550" w:rsidRPr="007A4550">
          <w:rPr>
            <w:webHidden/>
          </w:rPr>
        </w:r>
        <w:r w:rsidR="007A4550" w:rsidRPr="007A4550">
          <w:rPr>
            <w:webHidden/>
          </w:rPr>
          <w:fldChar w:fldCharType="separate"/>
        </w:r>
        <w:r w:rsidR="00112BA3">
          <w:rPr>
            <w:webHidden/>
          </w:rPr>
          <w:t>210</w:t>
        </w:r>
        <w:r w:rsidR="007A4550" w:rsidRPr="007A4550">
          <w:rPr>
            <w:webHidden/>
          </w:rPr>
          <w:fldChar w:fldCharType="end"/>
        </w:r>
      </w:hyperlink>
    </w:p>
    <w:p w:rsidR="007A4550" w:rsidRPr="007A4550" w:rsidRDefault="00653EAB" w:rsidP="007A4550">
      <w:pPr>
        <w:pStyle w:val="TOC2"/>
        <w:rPr>
          <w:rFonts w:eastAsiaTheme="minorEastAsia"/>
        </w:rPr>
      </w:pPr>
      <w:hyperlink w:anchor="_Toc482711280" w:history="1">
        <w:r w:rsidR="007A4550" w:rsidRPr="007A4550">
          <w:rPr>
            <w:rStyle w:val="Hyperlink"/>
            <w:sz w:val="20"/>
            <w:szCs w:val="20"/>
          </w:rPr>
          <w:t>PROGRAMA 28</w:t>
        </w:r>
        <w:r w:rsidR="007A4550" w:rsidRPr="007A4550">
          <w:rPr>
            <w:rFonts w:eastAsiaTheme="minorEastAsia"/>
          </w:rPr>
          <w:tab/>
        </w:r>
        <w:r w:rsidR="007A4550" w:rsidRPr="007A4550">
          <w:rPr>
            <w:rStyle w:val="Hyperlink"/>
            <w:sz w:val="20"/>
            <w:szCs w:val="20"/>
          </w:rPr>
          <w:t>ASEGURAMIENTO DE LA INFORMACIÓN, SEGURIDAD Y VIGILANCIA</w:t>
        </w:r>
        <w:r w:rsidR="007A4550" w:rsidRPr="007A4550">
          <w:rPr>
            <w:webHidden/>
          </w:rPr>
          <w:tab/>
        </w:r>
        <w:r w:rsidR="007A4550" w:rsidRPr="007A4550">
          <w:rPr>
            <w:webHidden/>
          </w:rPr>
          <w:fldChar w:fldCharType="begin"/>
        </w:r>
        <w:r w:rsidR="007A4550" w:rsidRPr="007A4550">
          <w:rPr>
            <w:webHidden/>
          </w:rPr>
          <w:instrText xml:space="preserve"> PAGEREF _Toc482711280 \h </w:instrText>
        </w:r>
        <w:r w:rsidR="007A4550" w:rsidRPr="007A4550">
          <w:rPr>
            <w:webHidden/>
          </w:rPr>
        </w:r>
        <w:r w:rsidR="007A4550" w:rsidRPr="007A4550">
          <w:rPr>
            <w:webHidden/>
          </w:rPr>
          <w:fldChar w:fldCharType="separate"/>
        </w:r>
        <w:r w:rsidR="00112BA3">
          <w:rPr>
            <w:webHidden/>
          </w:rPr>
          <w:t>213</w:t>
        </w:r>
        <w:r w:rsidR="007A4550" w:rsidRPr="007A4550">
          <w:rPr>
            <w:webHidden/>
          </w:rPr>
          <w:fldChar w:fldCharType="end"/>
        </w:r>
      </w:hyperlink>
    </w:p>
    <w:p w:rsidR="007A4550" w:rsidRPr="007A4550" w:rsidRDefault="00653EAB" w:rsidP="007A4550">
      <w:pPr>
        <w:pStyle w:val="TOC1"/>
        <w:rPr>
          <w:rFonts w:eastAsiaTheme="minorEastAsia"/>
        </w:rPr>
      </w:pPr>
      <w:hyperlink w:anchor="_Toc482711281" w:history="1">
        <w:r w:rsidR="007A4550" w:rsidRPr="007A4550">
          <w:rPr>
            <w:rStyle w:val="Hyperlink"/>
          </w:rPr>
          <w:t>V.</w:t>
        </w:r>
        <w:r w:rsidR="007A4550" w:rsidRPr="007A4550">
          <w:rPr>
            <w:rFonts w:eastAsiaTheme="minorEastAsia"/>
          </w:rPr>
          <w:tab/>
        </w:r>
        <w:r w:rsidR="007A4550" w:rsidRPr="007A4550">
          <w:rPr>
            <w:rStyle w:val="Hyperlink"/>
          </w:rPr>
          <w:t>APÉNDICES</w:t>
        </w:r>
        <w:r w:rsidR="007A4550" w:rsidRPr="007A4550">
          <w:rPr>
            <w:webHidden/>
          </w:rPr>
          <w:tab/>
        </w:r>
        <w:r w:rsidR="007A4550" w:rsidRPr="007A4550">
          <w:rPr>
            <w:webHidden/>
          </w:rPr>
          <w:fldChar w:fldCharType="begin"/>
        </w:r>
        <w:r w:rsidR="007A4550" w:rsidRPr="007A4550">
          <w:rPr>
            <w:webHidden/>
          </w:rPr>
          <w:instrText xml:space="preserve"> PAGEREF _Toc482711281 \h </w:instrText>
        </w:r>
        <w:r w:rsidR="007A4550" w:rsidRPr="007A4550">
          <w:rPr>
            <w:webHidden/>
          </w:rPr>
        </w:r>
        <w:r w:rsidR="007A4550" w:rsidRPr="007A4550">
          <w:rPr>
            <w:webHidden/>
          </w:rPr>
          <w:fldChar w:fldCharType="separate"/>
        </w:r>
        <w:r w:rsidR="00112BA3">
          <w:rPr>
            <w:webHidden/>
          </w:rPr>
          <w:t>217</w:t>
        </w:r>
        <w:r w:rsidR="007A4550" w:rsidRPr="007A4550">
          <w:rPr>
            <w:webHidden/>
          </w:rPr>
          <w:fldChar w:fldCharType="end"/>
        </w:r>
      </w:hyperlink>
    </w:p>
    <w:p w:rsidR="007A4550" w:rsidRPr="007A4550" w:rsidRDefault="00653EAB" w:rsidP="007A4550">
      <w:pPr>
        <w:pStyle w:val="TOC2"/>
        <w:rPr>
          <w:rFonts w:eastAsiaTheme="minorEastAsia"/>
        </w:rPr>
      </w:pPr>
      <w:hyperlink w:anchor="_Toc482711282" w:history="1">
        <w:r w:rsidR="007A4550" w:rsidRPr="007A4550">
          <w:rPr>
            <w:rStyle w:val="Hyperlink"/>
            <w:sz w:val="20"/>
            <w:szCs w:val="20"/>
          </w:rPr>
          <w:t xml:space="preserve">APÉNDICE I </w:t>
        </w:r>
        <w:r w:rsidR="007A4550">
          <w:rPr>
            <w:rStyle w:val="Hyperlink"/>
            <w:sz w:val="20"/>
            <w:szCs w:val="20"/>
          </w:rPr>
          <w:tab/>
        </w:r>
        <w:r w:rsidR="007A4550" w:rsidRPr="007A4550">
          <w:rPr>
            <w:rStyle w:val="Hyperlink"/>
            <w:sz w:val="20"/>
            <w:szCs w:val="20"/>
          </w:rPr>
          <w:t>DESGLOSE DE LA EVALUACIÓN DEL RENDIMIENTO DE CADA PROGRAMA</w:t>
        </w:r>
        <w:r w:rsidR="007A4550" w:rsidRPr="007A4550">
          <w:rPr>
            <w:webHidden/>
          </w:rPr>
          <w:tab/>
        </w:r>
        <w:r w:rsidR="007A4550" w:rsidRPr="007A4550">
          <w:rPr>
            <w:webHidden/>
          </w:rPr>
          <w:fldChar w:fldCharType="begin"/>
        </w:r>
        <w:r w:rsidR="007A4550" w:rsidRPr="007A4550">
          <w:rPr>
            <w:webHidden/>
          </w:rPr>
          <w:instrText xml:space="preserve"> PAGEREF _Toc482711282 \h </w:instrText>
        </w:r>
        <w:r w:rsidR="007A4550" w:rsidRPr="007A4550">
          <w:rPr>
            <w:webHidden/>
          </w:rPr>
        </w:r>
        <w:r w:rsidR="007A4550" w:rsidRPr="007A4550">
          <w:rPr>
            <w:webHidden/>
          </w:rPr>
          <w:fldChar w:fldCharType="separate"/>
        </w:r>
        <w:r w:rsidR="00112BA3">
          <w:rPr>
            <w:webHidden/>
          </w:rPr>
          <w:t>217</w:t>
        </w:r>
        <w:r w:rsidR="007A4550" w:rsidRPr="007A4550">
          <w:rPr>
            <w:webHidden/>
          </w:rPr>
          <w:fldChar w:fldCharType="end"/>
        </w:r>
      </w:hyperlink>
    </w:p>
    <w:p w:rsidR="007A4550" w:rsidRPr="007A4550" w:rsidRDefault="00653EAB" w:rsidP="007A4550">
      <w:pPr>
        <w:pStyle w:val="TOC2"/>
        <w:ind w:left="2127" w:hanging="1702"/>
        <w:rPr>
          <w:rFonts w:eastAsiaTheme="minorEastAsia"/>
        </w:rPr>
      </w:pPr>
      <w:hyperlink w:anchor="_Toc482711283" w:history="1">
        <w:r w:rsidR="007A4550" w:rsidRPr="007A4550">
          <w:rPr>
            <w:rStyle w:val="Hyperlink"/>
            <w:rFonts w:eastAsia="Arial"/>
            <w:sz w:val="20"/>
            <w:szCs w:val="20"/>
            <w:bdr w:val="nil"/>
          </w:rPr>
          <w:t xml:space="preserve">APÉNDICE II </w:t>
        </w:r>
        <w:r w:rsidR="007A4550">
          <w:rPr>
            <w:rStyle w:val="Hyperlink"/>
            <w:rFonts w:eastAsia="Arial"/>
            <w:sz w:val="20"/>
            <w:szCs w:val="20"/>
            <w:bdr w:val="nil"/>
          </w:rPr>
          <w:tab/>
        </w:r>
        <w:r w:rsidR="007A4550" w:rsidRPr="007A4550">
          <w:rPr>
            <w:rStyle w:val="Hyperlink"/>
            <w:rFonts w:eastAsia="Arial"/>
            <w:sz w:val="20"/>
            <w:szCs w:val="20"/>
            <w:bdr w:val="nil"/>
          </w:rPr>
          <w:t xml:space="preserve">ACTIVIDADES REALIZADAS CON CARGO A LOS FONDOS FIDUCIARIOS </w:t>
        </w:r>
        <w:r w:rsidR="007A4550">
          <w:rPr>
            <w:rStyle w:val="Hyperlink"/>
            <w:rFonts w:eastAsia="Arial"/>
            <w:sz w:val="20"/>
            <w:szCs w:val="20"/>
            <w:bdr w:val="nil"/>
          </w:rPr>
          <w:br/>
        </w:r>
        <w:r w:rsidR="007A4550" w:rsidRPr="007A4550">
          <w:rPr>
            <w:rStyle w:val="Hyperlink"/>
            <w:rFonts w:eastAsia="Arial"/>
            <w:sz w:val="20"/>
            <w:szCs w:val="20"/>
            <w:bdr w:val="nil"/>
          </w:rPr>
          <w:t>EN 2016</w:t>
        </w:r>
        <w:r w:rsidR="007A4550" w:rsidRPr="007A4550">
          <w:rPr>
            <w:webHidden/>
          </w:rPr>
          <w:tab/>
        </w:r>
        <w:r w:rsidR="007A4550" w:rsidRPr="007A4550">
          <w:rPr>
            <w:webHidden/>
          </w:rPr>
          <w:fldChar w:fldCharType="begin"/>
        </w:r>
        <w:r w:rsidR="007A4550" w:rsidRPr="007A4550">
          <w:rPr>
            <w:webHidden/>
          </w:rPr>
          <w:instrText xml:space="preserve"> PAGEREF _Toc482711283 \h </w:instrText>
        </w:r>
        <w:r w:rsidR="007A4550" w:rsidRPr="007A4550">
          <w:rPr>
            <w:webHidden/>
          </w:rPr>
        </w:r>
        <w:r w:rsidR="007A4550" w:rsidRPr="007A4550">
          <w:rPr>
            <w:webHidden/>
          </w:rPr>
          <w:fldChar w:fldCharType="separate"/>
        </w:r>
        <w:r w:rsidR="00112BA3">
          <w:rPr>
            <w:webHidden/>
          </w:rPr>
          <w:t>219</w:t>
        </w:r>
        <w:r w:rsidR="007A4550" w:rsidRPr="007A4550">
          <w:rPr>
            <w:webHidden/>
          </w:rPr>
          <w:fldChar w:fldCharType="end"/>
        </w:r>
      </w:hyperlink>
    </w:p>
    <w:p w:rsidR="007A4550" w:rsidRPr="007A4550" w:rsidRDefault="00653EAB" w:rsidP="007A4550">
      <w:pPr>
        <w:pStyle w:val="TOC2"/>
        <w:rPr>
          <w:rFonts w:eastAsiaTheme="minorEastAsia"/>
        </w:rPr>
      </w:pPr>
      <w:hyperlink w:anchor="_Toc482711284" w:history="1">
        <w:r w:rsidR="007A4550" w:rsidRPr="007A4550">
          <w:rPr>
            <w:rStyle w:val="Hyperlink"/>
            <w:sz w:val="20"/>
            <w:szCs w:val="20"/>
          </w:rPr>
          <w:t xml:space="preserve">APÉNDICE III </w:t>
        </w:r>
        <w:r w:rsidR="007A4550">
          <w:rPr>
            <w:rStyle w:val="Hyperlink"/>
            <w:sz w:val="20"/>
            <w:szCs w:val="20"/>
          </w:rPr>
          <w:tab/>
        </w:r>
        <w:r w:rsidR="007A4550" w:rsidRPr="007A4550">
          <w:rPr>
            <w:rStyle w:val="Hyperlink"/>
            <w:sz w:val="20"/>
            <w:szCs w:val="20"/>
          </w:rPr>
          <w:t>INFORME SOBRE LA MARCHA DEL PLAN MAESTRO DE MEJORAS DE INFRAESTRUCTURA (PMM) EN 2016</w:t>
        </w:r>
        <w:r w:rsidR="007A4550" w:rsidRPr="007A4550">
          <w:rPr>
            <w:webHidden/>
          </w:rPr>
          <w:tab/>
        </w:r>
        <w:r w:rsidR="007A4550" w:rsidRPr="007A4550">
          <w:rPr>
            <w:webHidden/>
          </w:rPr>
          <w:fldChar w:fldCharType="begin"/>
        </w:r>
        <w:r w:rsidR="007A4550" w:rsidRPr="007A4550">
          <w:rPr>
            <w:webHidden/>
          </w:rPr>
          <w:instrText xml:space="preserve"> PAGEREF _Toc482711284 \h </w:instrText>
        </w:r>
        <w:r w:rsidR="007A4550" w:rsidRPr="007A4550">
          <w:rPr>
            <w:webHidden/>
          </w:rPr>
        </w:r>
        <w:r w:rsidR="007A4550" w:rsidRPr="007A4550">
          <w:rPr>
            <w:webHidden/>
          </w:rPr>
          <w:fldChar w:fldCharType="separate"/>
        </w:r>
        <w:r w:rsidR="00112BA3">
          <w:rPr>
            <w:webHidden/>
          </w:rPr>
          <w:t>250</w:t>
        </w:r>
        <w:r w:rsidR="007A4550" w:rsidRPr="007A4550">
          <w:rPr>
            <w:webHidden/>
          </w:rPr>
          <w:fldChar w:fldCharType="end"/>
        </w:r>
      </w:hyperlink>
    </w:p>
    <w:p w:rsidR="007A4550" w:rsidRPr="007A4550" w:rsidRDefault="00653EAB" w:rsidP="007A4550">
      <w:pPr>
        <w:pStyle w:val="TOC3"/>
        <w:ind w:left="2410" w:hanging="1701"/>
        <w:rPr>
          <w:rFonts w:eastAsiaTheme="minorEastAsia"/>
          <w:lang w:val="en-US"/>
        </w:rPr>
      </w:pPr>
      <w:hyperlink w:anchor="_Toc482711285" w:history="1">
        <w:r w:rsidR="007A4550" w:rsidRPr="007A4550">
          <w:rPr>
            <w:rStyle w:val="Hyperlink"/>
            <w:bCs/>
          </w:rPr>
          <w:t>PROYECTO 1:</w:t>
        </w:r>
        <w:r w:rsidR="007A4550" w:rsidRPr="007A4550">
          <w:rPr>
            <w:rFonts w:eastAsiaTheme="minorEastAsia"/>
            <w:lang w:val="en-US"/>
          </w:rPr>
          <w:tab/>
        </w:r>
        <w:r w:rsidR="007A4550" w:rsidRPr="007A4550">
          <w:rPr>
            <w:rStyle w:val="Hyperlink"/>
            <w:bCs/>
          </w:rPr>
          <w:t>MEJORA DE LA SEGURIDAD:  CIFRADO DE DATOS Y GESTIÓN DE USUARIOS (PMM 1)</w:t>
        </w:r>
        <w:r w:rsidR="007A4550" w:rsidRPr="007A4550">
          <w:rPr>
            <w:webHidden/>
          </w:rPr>
          <w:tab/>
        </w:r>
        <w:r w:rsidR="007A4550" w:rsidRPr="007A4550">
          <w:rPr>
            <w:webHidden/>
          </w:rPr>
          <w:fldChar w:fldCharType="begin"/>
        </w:r>
        <w:r w:rsidR="007A4550" w:rsidRPr="007A4550">
          <w:rPr>
            <w:webHidden/>
          </w:rPr>
          <w:instrText xml:space="preserve"> PAGEREF _Toc482711285 \h </w:instrText>
        </w:r>
        <w:r w:rsidR="007A4550" w:rsidRPr="007A4550">
          <w:rPr>
            <w:webHidden/>
          </w:rPr>
        </w:r>
        <w:r w:rsidR="007A4550" w:rsidRPr="007A4550">
          <w:rPr>
            <w:webHidden/>
          </w:rPr>
          <w:fldChar w:fldCharType="separate"/>
        </w:r>
        <w:r w:rsidR="00112BA3">
          <w:rPr>
            <w:webHidden/>
          </w:rPr>
          <w:t>251</w:t>
        </w:r>
        <w:r w:rsidR="007A4550" w:rsidRPr="007A4550">
          <w:rPr>
            <w:webHidden/>
          </w:rPr>
          <w:fldChar w:fldCharType="end"/>
        </w:r>
      </w:hyperlink>
    </w:p>
    <w:p w:rsidR="007A4550" w:rsidRPr="007A4550" w:rsidRDefault="00653EAB" w:rsidP="007A4550">
      <w:pPr>
        <w:pStyle w:val="TOC3"/>
        <w:ind w:left="2410" w:hanging="1701"/>
        <w:rPr>
          <w:rFonts w:eastAsiaTheme="minorEastAsia"/>
          <w:lang w:val="en-US"/>
        </w:rPr>
      </w:pPr>
      <w:hyperlink w:anchor="_Toc482711286" w:history="1">
        <w:r w:rsidR="007A4550" w:rsidRPr="007A4550">
          <w:rPr>
            <w:rStyle w:val="Hyperlink"/>
            <w:bCs/>
          </w:rPr>
          <w:t>PROYECTO 2:</w:t>
        </w:r>
        <w:r w:rsidR="007A4550" w:rsidRPr="007A4550">
          <w:rPr>
            <w:rFonts w:eastAsiaTheme="minorEastAsia"/>
            <w:lang w:val="en-US"/>
          </w:rPr>
          <w:tab/>
        </w:r>
        <w:r w:rsidR="007A4550" w:rsidRPr="007A4550">
          <w:rPr>
            <w:rStyle w:val="Hyperlink"/>
            <w:bCs/>
          </w:rPr>
          <w:t>APLICACIÓN DE LA GESTIÓN DE CONTENIDOS INSTITUCIONALES (PMM 2)</w:t>
        </w:r>
        <w:r w:rsidR="007A4550" w:rsidRPr="007A4550">
          <w:rPr>
            <w:webHidden/>
          </w:rPr>
          <w:tab/>
        </w:r>
        <w:r w:rsidR="007A4550" w:rsidRPr="007A4550">
          <w:rPr>
            <w:webHidden/>
          </w:rPr>
          <w:fldChar w:fldCharType="begin"/>
        </w:r>
        <w:r w:rsidR="007A4550" w:rsidRPr="007A4550">
          <w:rPr>
            <w:webHidden/>
          </w:rPr>
          <w:instrText xml:space="preserve"> PAGEREF _Toc482711286 \h </w:instrText>
        </w:r>
        <w:r w:rsidR="007A4550" w:rsidRPr="007A4550">
          <w:rPr>
            <w:webHidden/>
          </w:rPr>
        </w:r>
        <w:r w:rsidR="007A4550" w:rsidRPr="007A4550">
          <w:rPr>
            <w:webHidden/>
          </w:rPr>
          <w:fldChar w:fldCharType="separate"/>
        </w:r>
        <w:r w:rsidR="00112BA3">
          <w:rPr>
            <w:webHidden/>
          </w:rPr>
          <w:t>254</w:t>
        </w:r>
        <w:r w:rsidR="007A4550" w:rsidRPr="007A4550">
          <w:rPr>
            <w:webHidden/>
          </w:rPr>
          <w:fldChar w:fldCharType="end"/>
        </w:r>
      </w:hyperlink>
    </w:p>
    <w:p w:rsidR="007A4550" w:rsidRPr="007A4550" w:rsidRDefault="00653EAB" w:rsidP="007A4550">
      <w:pPr>
        <w:pStyle w:val="TOC3"/>
        <w:ind w:left="2410" w:hanging="1701"/>
        <w:rPr>
          <w:rFonts w:eastAsiaTheme="minorEastAsia"/>
          <w:lang w:val="en-US"/>
        </w:rPr>
      </w:pPr>
      <w:hyperlink w:anchor="_Toc482711287" w:history="1">
        <w:r w:rsidR="007A4550" w:rsidRPr="007A4550">
          <w:rPr>
            <w:rStyle w:val="Hyperlink"/>
            <w:bCs/>
          </w:rPr>
          <w:t>PROYECTO 3</w:t>
        </w:r>
        <w:r w:rsidR="007A4550" w:rsidRPr="007A4550">
          <w:rPr>
            <w:rFonts w:eastAsiaTheme="minorEastAsia"/>
            <w:lang w:val="en-US"/>
          </w:rPr>
          <w:tab/>
        </w:r>
        <w:r w:rsidR="007A4550" w:rsidRPr="007A4550">
          <w:rPr>
            <w:rStyle w:val="Hyperlink"/>
            <w:bCs/>
          </w:rPr>
          <w:t>RENOVACIÓN DE LAS FACHADAS E INSTALACIÓN DE REFRIGERACIÓN/CALEFACCIÓN EN EL EDIFICIO PCT (PMM 3)</w:t>
        </w:r>
        <w:r w:rsidR="007A4550" w:rsidRPr="007A4550">
          <w:rPr>
            <w:webHidden/>
          </w:rPr>
          <w:tab/>
        </w:r>
        <w:r w:rsidR="007A4550" w:rsidRPr="007A4550">
          <w:rPr>
            <w:webHidden/>
          </w:rPr>
          <w:fldChar w:fldCharType="begin"/>
        </w:r>
        <w:r w:rsidR="007A4550" w:rsidRPr="007A4550">
          <w:rPr>
            <w:webHidden/>
          </w:rPr>
          <w:instrText xml:space="preserve"> PAGEREF _Toc482711287 \h </w:instrText>
        </w:r>
        <w:r w:rsidR="007A4550" w:rsidRPr="007A4550">
          <w:rPr>
            <w:webHidden/>
          </w:rPr>
        </w:r>
        <w:r w:rsidR="007A4550" w:rsidRPr="007A4550">
          <w:rPr>
            <w:webHidden/>
          </w:rPr>
          <w:fldChar w:fldCharType="separate"/>
        </w:r>
        <w:r w:rsidR="00112BA3">
          <w:rPr>
            <w:webHidden/>
          </w:rPr>
          <w:t>261</w:t>
        </w:r>
        <w:r w:rsidR="007A4550" w:rsidRPr="007A4550">
          <w:rPr>
            <w:webHidden/>
          </w:rPr>
          <w:fldChar w:fldCharType="end"/>
        </w:r>
      </w:hyperlink>
    </w:p>
    <w:p w:rsidR="007A4550" w:rsidRPr="007A4550" w:rsidRDefault="00653EAB" w:rsidP="007A4550">
      <w:pPr>
        <w:pStyle w:val="TOC3"/>
        <w:ind w:left="2410" w:hanging="1701"/>
        <w:rPr>
          <w:rFonts w:eastAsiaTheme="minorEastAsia"/>
          <w:lang w:val="en-US"/>
        </w:rPr>
      </w:pPr>
      <w:hyperlink w:anchor="_Toc482711288" w:history="1">
        <w:r w:rsidR="007A4550" w:rsidRPr="007A4550">
          <w:rPr>
            <w:rStyle w:val="Hyperlink"/>
            <w:bCs/>
          </w:rPr>
          <w:t>PROYECTO 4:</w:t>
        </w:r>
        <w:r w:rsidR="007A4550" w:rsidRPr="007A4550">
          <w:rPr>
            <w:rFonts w:eastAsiaTheme="minorEastAsia"/>
            <w:lang w:val="en-US"/>
          </w:rPr>
          <w:tab/>
        </w:r>
        <w:r w:rsidR="007A4550" w:rsidRPr="007A4550">
          <w:rPr>
            <w:rStyle w:val="Hyperlink"/>
            <w:bCs/>
          </w:rPr>
          <w:t>INSTALACIÓN EN LOS EDIFICIOS AB Y PCT DE UN SISTEMA DE REFRIGERACIÓN QUE UTILIZA EL AGUA DEL LAGO DE GINEBRA (“GLN”) (PMM 4)</w:t>
        </w:r>
        <w:r w:rsidR="007A4550" w:rsidRPr="007A4550">
          <w:rPr>
            <w:webHidden/>
          </w:rPr>
          <w:tab/>
        </w:r>
        <w:r w:rsidR="007A4550" w:rsidRPr="007A4550">
          <w:rPr>
            <w:webHidden/>
          </w:rPr>
          <w:fldChar w:fldCharType="begin"/>
        </w:r>
        <w:r w:rsidR="007A4550" w:rsidRPr="007A4550">
          <w:rPr>
            <w:webHidden/>
          </w:rPr>
          <w:instrText xml:space="preserve"> PAGEREF _Toc482711288 \h </w:instrText>
        </w:r>
        <w:r w:rsidR="007A4550" w:rsidRPr="007A4550">
          <w:rPr>
            <w:webHidden/>
          </w:rPr>
        </w:r>
        <w:r w:rsidR="007A4550" w:rsidRPr="007A4550">
          <w:rPr>
            <w:webHidden/>
          </w:rPr>
          <w:fldChar w:fldCharType="separate"/>
        </w:r>
        <w:r w:rsidR="00112BA3">
          <w:rPr>
            <w:webHidden/>
          </w:rPr>
          <w:t>265</w:t>
        </w:r>
        <w:r w:rsidR="007A4550" w:rsidRPr="007A4550">
          <w:rPr>
            <w:webHidden/>
          </w:rPr>
          <w:fldChar w:fldCharType="end"/>
        </w:r>
      </w:hyperlink>
    </w:p>
    <w:p w:rsidR="007A4550" w:rsidRPr="007A4550" w:rsidRDefault="00653EAB" w:rsidP="007A4550">
      <w:pPr>
        <w:pStyle w:val="TOC3"/>
        <w:ind w:left="2410" w:hanging="1701"/>
        <w:rPr>
          <w:rFonts w:eastAsiaTheme="minorEastAsia"/>
          <w:lang w:val="en-US"/>
        </w:rPr>
      </w:pPr>
      <w:hyperlink w:anchor="_Toc482711289" w:history="1">
        <w:r w:rsidR="007A4550" w:rsidRPr="007A4550">
          <w:rPr>
            <w:rStyle w:val="Hyperlink"/>
            <w:bCs/>
          </w:rPr>
          <w:t>PROYECTO 5:</w:t>
        </w:r>
        <w:r w:rsidR="007A4550" w:rsidRPr="007A4550">
          <w:rPr>
            <w:rFonts w:eastAsiaTheme="minorEastAsia"/>
            <w:lang w:val="en-US"/>
          </w:rPr>
          <w:tab/>
        </w:r>
        <w:r w:rsidR="007A4550" w:rsidRPr="007A4550">
          <w:rPr>
            <w:rStyle w:val="Hyperlink"/>
            <w:bCs/>
          </w:rPr>
          <w:t>EDIFICIO ARPAD BOGSCH – FASE 1 DE LA RENOVACIÓN DEL SUBSUELO (ADAPTACIÓN DE LAS DIMENSIONES DEL CENTRO DE DATOS Y RENOVACIÓN DE LA IMPRENTA) (PMM 5)</w:t>
        </w:r>
        <w:r w:rsidR="007A4550" w:rsidRPr="007A4550">
          <w:rPr>
            <w:webHidden/>
          </w:rPr>
          <w:tab/>
        </w:r>
        <w:r w:rsidR="007A4550" w:rsidRPr="007A4550">
          <w:rPr>
            <w:webHidden/>
          </w:rPr>
          <w:fldChar w:fldCharType="begin"/>
        </w:r>
        <w:r w:rsidR="007A4550" w:rsidRPr="007A4550">
          <w:rPr>
            <w:webHidden/>
          </w:rPr>
          <w:instrText xml:space="preserve"> PAGEREF _Toc482711289 \h </w:instrText>
        </w:r>
        <w:r w:rsidR="007A4550" w:rsidRPr="007A4550">
          <w:rPr>
            <w:webHidden/>
          </w:rPr>
        </w:r>
        <w:r w:rsidR="007A4550" w:rsidRPr="007A4550">
          <w:rPr>
            <w:webHidden/>
          </w:rPr>
          <w:fldChar w:fldCharType="separate"/>
        </w:r>
        <w:r w:rsidR="00112BA3">
          <w:rPr>
            <w:webHidden/>
          </w:rPr>
          <w:t>268</w:t>
        </w:r>
        <w:r w:rsidR="007A4550" w:rsidRPr="007A4550">
          <w:rPr>
            <w:webHidden/>
          </w:rPr>
          <w:fldChar w:fldCharType="end"/>
        </w:r>
      </w:hyperlink>
    </w:p>
    <w:p w:rsidR="007A4550" w:rsidRPr="007A4550" w:rsidRDefault="00653EAB" w:rsidP="007A4550">
      <w:pPr>
        <w:pStyle w:val="TOC3"/>
        <w:ind w:left="2410" w:hanging="1701"/>
        <w:rPr>
          <w:rFonts w:eastAsiaTheme="minorEastAsia"/>
          <w:lang w:val="en-US"/>
        </w:rPr>
      </w:pPr>
      <w:hyperlink w:anchor="_Toc482711290" w:history="1">
        <w:r w:rsidR="007A4550" w:rsidRPr="007A4550">
          <w:rPr>
            <w:rStyle w:val="Hyperlink"/>
            <w:bCs/>
          </w:rPr>
          <w:t>PROYECTO 6:</w:t>
        </w:r>
        <w:r w:rsidR="007A4550" w:rsidRPr="007A4550">
          <w:rPr>
            <w:rFonts w:eastAsiaTheme="minorEastAsia"/>
            <w:lang w:val="en-US"/>
          </w:rPr>
          <w:tab/>
        </w:r>
        <w:r w:rsidR="007A4550" w:rsidRPr="007A4550">
          <w:rPr>
            <w:rStyle w:val="Hyperlink"/>
            <w:bCs/>
          </w:rPr>
          <w:t>EDIFICIO ARPAD BOGSCH – SUSTITUCIÓN DE DETERMINADAS VENTANAS (PMM 6)</w:t>
        </w:r>
        <w:r w:rsidR="007A4550" w:rsidRPr="007A4550">
          <w:rPr>
            <w:webHidden/>
          </w:rPr>
          <w:tab/>
        </w:r>
        <w:r w:rsidR="007A4550" w:rsidRPr="007A4550">
          <w:rPr>
            <w:webHidden/>
          </w:rPr>
          <w:fldChar w:fldCharType="begin"/>
        </w:r>
        <w:r w:rsidR="007A4550" w:rsidRPr="007A4550">
          <w:rPr>
            <w:webHidden/>
          </w:rPr>
          <w:instrText xml:space="preserve"> PAGEREF _Toc482711290 \h </w:instrText>
        </w:r>
        <w:r w:rsidR="007A4550" w:rsidRPr="007A4550">
          <w:rPr>
            <w:webHidden/>
          </w:rPr>
        </w:r>
        <w:r w:rsidR="007A4550" w:rsidRPr="007A4550">
          <w:rPr>
            <w:webHidden/>
          </w:rPr>
          <w:fldChar w:fldCharType="separate"/>
        </w:r>
        <w:r w:rsidR="00112BA3">
          <w:rPr>
            <w:webHidden/>
          </w:rPr>
          <w:t>272</w:t>
        </w:r>
        <w:r w:rsidR="007A4550" w:rsidRPr="007A4550">
          <w:rPr>
            <w:webHidden/>
          </w:rPr>
          <w:fldChar w:fldCharType="end"/>
        </w:r>
      </w:hyperlink>
    </w:p>
    <w:p w:rsidR="007A4550" w:rsidRPr="007A4550" w:rsidRDefault="00653EAB" w:rsidP="007A4550">
      <w:pPr>
        <w:pStyle w:val="TOC3"/>
        <w:ind w:left="2410" w:hanging="1701"/>
        <w:rPr>
          <w:rFonts w:eastAsiaTheme="minorEastAsia"/>
          <w:lang w:val="en-US"/>
        </w:rPr>
      </w:pPr>
      <w:hyperlink w:anchor="_Toc482711291" w:history="1">
        <w:r w:rsidR="007A4550" w:rsidRPr="007A4550">
          <w:rPr>
            <w:rStyle w:val="Hyperlink"/>
            <w:bCs/>
          </w:rPr>
          <w:t>PROYECTO 7</w:t>
        </w:r>
        <w:r w:rsidR="007A4550" w:rsidRPr="007A4550">
          <w:rPr>
            <w:rFonts w:eastAsiaTheme="minorEastAsia"/>
            <w:lang w:val="en-US"/>
          </w:rPr>
          <w:tab/>
        </w:r>
        <w:r w:rsidR="007A4550" w:rsidRPr="007A4550">
          <w:rPr>
            <w:rStyle w:val="Hyperlink"/>
            <w:bCs/>
          </w:rPr>
          <w:t>MEDIDAS DE SEGURIDAD Y DE PROTECCIÓN CONTRA INCENDIOS (PMM 7)</w:t>
        </w:r>
        <w:r w:rsidR="007A4550" w:rsidRPr="007A4550">
          <w:rPr>
            <w:webHidden/>
          </w:rPr>
          <w:tab/>
        </w:r>
        <w:r w:rsidR="007A4550" w:rsidRPr="007A4550">
          <w:rPr>
            <w:webHidden/>
          </w:rPr>
          <w:fldChar w:fldCharType="begin"/>
        </w:r>
        <w:r w:rsidR="007A4550" w:rsidRPr="007A4550">
          <w:rPr>
            <w:webHidden/>
          </w:rPr>
          <w:instrText xml:space="preserve"> PAGEREF _Toc482711291 \h </w:instrText>
        </w:r>
        <w:r w:rsidR="007A4550" w:rsidRPr="007A4550">
          <w:rPr>
            <w:webHidden/>
          </w:rPr>
        </w:r>
        <w:r w:rsidR="007A4550" w:rsidRPr="007A4550">
          <w:rPr>
            <w:webHidden/>
          </w:rPr>
          <w:fldChar w:fldCharType="separate"/>
        </w:r>
        <w:r w:rsidR="00112BA3">
          <w:rPr>
            <w:webHidden/>
          </w:rPr>
          <w:t>275</w:t>
        </w:r>
        <w:r w:rsidR="007A4550" w:rsidRPr="007A4550">
          <w:rPr>
            <w:webHidden/>
          </w:rPr>
          <w:fldChar w:fldCharType="end"/>
        </w:r>
      </w:hyperlink>
    </w:p>
    <w:p w:rsidR="007A4550" w:rsidRPr="007A4550" w:rsidRDefault="00653EAB" w:rsidP="007A4550">
      <w:pPr>
        <w:pStyle w:val="TOC2"/>
        <w:rPr>
          <w:rFonts w:eastAsiaTheme="minorEastAsia"/>
        </w:rPr>
      </w:pPr>
      <w:hyperlink w:anchor="_Toc482711292" w:history="1">
        <w:r w:rsidR="007A4550" w:rsidRPr="007A4550">
          <w:rPr>
            <w:rStyle w:val="Hyperlink"/>
            <w:sz w:val="20"/>
            <w:szCs w:val="20"/>
          </w:rPr>
          <w:t xml:space="preserve">APÉNDICE IV </w:t>
        </w:r>
        <w:r w:rsidR="007A4550">
          <w:rPr>
            <w:rStyle w:val="Hyperlink"/>
            <w:sz w:val="20"/>
            <w:szCs w:val="20"/>
          </w:rPr>
          <w:tab/>
        </w:r>
        <w:r w:rsidR="007A4550" w:rsidRPr="007A4550">
          <w:rPr>
            <w:rStyle w:val="Hyperlink"/>
            <w:sz w:val="20"/>
            <w:szCs w:val="20"/>
          </w:rPr>
          <w:t>SIGLAS Y ABREVIATURAS EMPLEADAS EN EL PRESENTE DOCUMENTO</w:t>
        </w:r>
        <w:r w:rsidR="007A4550" w:rsidRPr="007A4550">
          <w:rPr>
            <w:webHidden/>
          </w:rPr>
          <w:tab/>
        </w:r>
        <w:r w:rsidR="007A4550" w:rsidRPr="007A4550">
          <w:rPr>
            <w:webHidden/>
          </w:rPr>
          <w:fldChar w:fldCharType="begin"/>
        </w:r>
        <w:r w:rsidR="007A4550" w:rsidRPr="007A4550">
          <w:rPr>
            <w:webHidden/>
          </w:rPr>
          <w:instrText xml:space="preserve"> PAGEREF _Toc482711292 \h </w:instrText>
        </w:r>
        <w:r w:rsidR="007A4550" w:rsidRPr="007A4550">
          <w:rPr>
            <w:webHidden/>
          </w:rPr>
        </w:r>
        <w:r w:rsidR="007A4550" w:rsidRPr="007A4550">
          <w:rPr>
            <w:webHidden/>
          </w:rPr>
          <w:fldChar w:fldCharType="separate"/>
        </w:r>
        <w:r w:rsidR="00112BA3">
          <w:rPr>
            <w:webHidden/>
          </w:rPr>
          <w:t>279</w:t>
        </w:r>
        <w:r w:rsidR="007A4550" w:rsidRPr="007A4550">
          <w:rPr>
            <w:webHidden/>
          </w:rPr>
          <w:fldChar w:fldCharType="end"/>
        </w:r>
      </w:hyperlink>
    </w:p>
    <w:p w:rsidR="00F95BFF" w:rsidRPr="00F95BFF" w:rsidRDefault="007A4550" w:rsidP="00F95BFF">
      <w:pPr>
        <w:pStyle w:val="Endofdocument-Annex"/>
        <w:ind w:left="0"/>
        <w:rPr>
          <w:sz w:val="20"/>
          <w:lang w:val="es-ES"/>
        </w:rPr>
      </w:pPr>
      <w:r w:rsidRPr="007A4550">
        <w:rPr>
          <w:sz w:val="20"/>
          <w:lang w:val="es-ES"/>
        </w:rPr>
        <w:fldChar w:fldCharType="end"/>
      </w:r>
    </w:p>
    <w:p w:rsidR="001456FB" w:rsidRDefault="001456FB" w:rsidP="001246DB">
      <w:pPr>
        <w:ind w:left="567" w:hanging="567"/>
        <w:rPr>
          <w:b/>
        </w:rPr>
      </w:pPr>
    </w:p>
    <w:p w:rsidR="001456FB" w:rsidRPr="007D1BBF" w:rsidRDefault="001456FB" w:rsidP="007D1BBF">
      <w:pPr>
        <w:pStyle w:val="Endofdocument-Annex"/>
        <w:ind w:left="0"/>
        <w:jc w:val="center"/>
        <w:rPr>
          <w:b/>
          <w:lang w:val="es-ES"/>
        </w:rPr>
      </w:pPr>
    </w:p>
    <w:p w:rsidR="007D1BBF" w:rsidRPr="007D1BBF" w:rsidRDefault="007D1BBF" w:rsidP="007D1BBF">
      <w:pPr>
        <w:pStyle w:val="Endofdocument-Annex"/>
        <w:ind w:left="0"/>
        <w:rPr>
          <w:lang w:val="es-ES"/>
        </w:rPr>
      </w:pPr>
    </w:p>
    <w:p w:rsidR="007D1BBF" w:rsidRPr="007D1BBF" w:rsidRDefault="007D1BBF" w:rsidP="007D1BBF">
      <w:pPr>
        <w:pStyle w:val="Endofdocument-Annex"/>
        <w:ind w:left="0"/>
        <w:rPr>
          <w:lang w:val="es-ES"/>
        </w:rPr>
      </w:pPr>
    </w:p>
    <w:p w:rsidR="007D1BBF" w:rsidRPr="007D1BBF" w:rsidRDefault="007D1BBF" w:rsidP="007D1BBF">
      <w:pPr>
        <w:pStyle w:val="Endofdocument-Annex"/>
        <w:ind w:left="0"/>
        <w:rPr>
          <w:lang w:val="es-ES"/>
        </w:rPr>
      </w:pPr>
    </w:p>
    <w:p w:rsidR="007D1BBF" w:rsidRPr="007D1BBF" w:rsidRDefault="007D1BBF" w:rsidP="007D1BBF">
      <w:pPr>
        <w:pStyle w:val="Endofdocument-Annex"/>
        <w:ind w:left="0"/>
        <w:rPr>
          <w:lang w:val="es-ES"/>
        </w:rPr>
      </w:pPr>
    </w:p>
    <w:p w:rsidR="007D1BBF" w:rsidRPr="007D1BBF" w:rsidRDefault="007D1BBF" w:rsidP="007D1BBF">
      <w:pPr>
        <w:pStyle w:val="Endofdocument-Annex"/>
        <w:ind w:left="0"/>
        <w:rPr>
          <w:lang w:val="es-ES"/>
        </w:rPr>
      </w:pPr>
    </w:p>
    <w:p w:rsidR="007D1BBF" w:rsidRPr="007D1BBF" w:rsidRDefault="007D1BBF" w:rsidP="007D1BBF">
      <w:pPr>
        <w:pStyle w:val="Endofdocument-Annex"/>
        <w:ind w:left="0"/>
        <w:rPr>
          <w:lang w:val="es-ES"/>
        </w:rPr>
        <w:sectPr w:rsidR="007D1BBF" w:rsidRPr="007D1BBF" w:rsidSect="00174BBF">
          <w:headerReference w:type="even" r:id="rId12"/>
          <w:headerReference w:type="default" r:id="rId13"/>
          <w:footerReference w:type="even" r:id="rId14"/>
          <w:headerReference w:type="first" r:id="rId15"/>
          <w:footerReference w:type="first" r:id="rId16"/>
          <w:pgSz w:w="11907" w:h="16840" w:code="9"/>
          <w:pgMar w:top="567" w:right="1134" w:bottom="1418" w:left="1418" w:header="510" w:footer="1021" w:gutter="0"/>
          <w:pgNumType w:start="1"/>
          <w:cols w:space="720"/>
          <w:titlePg/>
          <w:docGrid w:linePitch="299"/>
        </w:sectPr>
      </w:pPr>
    </w:p>
    <w:p w:rsidR="007D1BBF" w:rsidRPr="007D1BBF" w:rsidRDefault="007D1BBF" w:rsidP="00EE1CCE">
      <w:pPr>
        <w:pStyle w:val="Heading1"/>
        <w:numPr>
          <w:ilvl w:val="0"/>
          <w:numId w:val="6"/>
        </w:numPr>
        <w:ind w:left="720" w:hanging="578"/>
        <w:rPr>
          <w:rFonts w:eastAsia="Times New Roman"/>
          <w:caps w:val="0"/>
          <w:lang w:eastAsia="en-US"/>
        </w:rPr>
      </w:pPr>
      <w:bookmarkStart w:id="7" w:name="_Toc422210473"/>
      <w:bookmarkStart w:id="8" w:name="_Toc482087919"/>
      <w:bookmarkStart w:id="9" w:name="_Toc482087985"/>
      <w:bookmarkStart w:id="10" w:name="_Toc482105788"/>
      <w:bookmarkStart w:id="11" w:name="_Toc482711234"/>
      <w:r w:rsidRPr="007D1BBF">
        <w:rPr>
          <w:rFonts w:eastAsia="Times New Roman"/>
          <w:caps w:val="0"/>
          <w:lang w:eastAsia="en-US"/>
        </w:rPr>
        <w:lastRenderedPageBreak/>
        <w:t>INTRODUCCIÓN</w:t>
      </w:r>
      <w:bookmarkEnd w:id="7"/>
      <w:bookmarkEnd w:id="8"/>
      <w:bookmarkEnd w:id="9"/>
      <w:bookmarkEnd w:id="10"/>
      <w:bookmarkEnd w:id="11"/>
    </w:p>
    <w:p w:rsidR="007D1BBF" w:rsidRDefault="007D1BBF" w:rsidP="007D1BBF">
      <w:pPr>
        <w:jc w:val="both"/>
        <w:rPr>
          <w:rFonts w:cs="Times New Roman"/>
          <w:sz w:val="20"/>
        </w:rPr>
      </w:pPr>
    </w:p>
    <w:p w:rsidR="007D1BBF" w:rsidRPr="00274058" w:rsidRDefault="007D1BBF" w:rsidP="00EE1CCE">
      <w:pPr>
        <w:numPr>
          <w:ilvl w:val="0"/>
          <w:numId w:val="5"/>
        </w:numPr>
        <w:ind w:left="0" w:firstLine="0"/>
        <w:jc w:val="both"/>
        <w:rPr>
          <w:rFonts w:cs="Times New Roman"/>
          <w:sz w:val="20"/>
        </w:rPr>
      </w:pPr>
      <w:r w:rsidRPr="00A77C72">
        <w:rPr>
          <w:rFonts w:cs="Times New Roman"/>
          <w:sz w:val="20"/>
        </w:rPr>
        <w:t xml:space="preserve">El informe sobre el rendimiento de los programas (documento PPR) es el principal mecanismo de rendición de cuentas que se utiliza para informar a los Estados miembros sobre el rendimiento de la Organización y es un elemento esencial del marco de la OMPI de gestión por resultados.  El informe constituye asimismo una importante herramienta de aprendizaje que garantiza la adquisición de experiencia a partir del rendimiento </w:t>
      </w:r>
      <w:r>
        <w:rPr>
          <w:rFonts w:cs="Times New Roman"/>
          <w:sz w:val="20"/>
        </w:rPr>
        <w:t>de años anteriores</w:t>
      </w:r>
      <w:r w:rsidRPr="00A77C72">
        <w:rPr>
          <w:rFonts w:cs="Times New Roman"/>
          <w:sz w:val="20"/>
        </w:rPr>
        <w:t xml:space="preserve"> y su debida incorporación en la </w:t>
      </w:r>
      <w:r>
        <w:rPr>
          <w:rFonts w:cs="Times New Roman"/>
          <w:sz w:val="20"/>
        </w:rPr>
        <w:t xml:space="preserve">ulterior </w:t>
      </w:r>
      <w:r w:rsidRPr="00A77C72">
        <w:rPr>
          <w:rFonts w:cs="Times New Roman"/>
          <w:sz w:val="20"/>
        </w:rPr>
        <w:t xml:space="preserve">ejecución de las actividades de la OMPI.  El documento PPR constituye un ejercicio de autoevaluación a cargo de los directores de programa basado en el marco de resultados aprobado por los Estados miembros en el presupuesto por programas de 2016/17.  Para reafirmar la validez de la información contenida en el documento PPR, la División de Supervisión Interna (DSI) lleva a cabo una validación de los datos sobre el rendimiento con carácter bienal.  El próximo ejercicio de validación se efectuará con respecto al </w:t>
      </w:r>
      <w:r>
        <w:rPr>
          <w:rFonts w:cs="Times New Roman"/>
          <w:sz w:val="20"/>
        </w:rPr>
        <w:t xml:space="preserve">documento </w:t>
      </w:r>
      <w:r w:rsidRPr="00A77C72">
        <w:rPr>
          <w:rFonts w:cs="Times New Roman"/>
          <w:sz w:val="20"/>
        </w:rPr>
        <w:t xml:space="preserve">PPR </w:t>
      </w:r>
      <w:r>
        <w:rPr>
          <w:rFonts w:cs="Times New Roman"/>
          <w:sz w:val="20"/>
        </w:rPr>
        <w:t>en</w:t>
      </w:r>
      <w:r w:rsidRPr="00A77C72">
        <w:rPr>
          <w:rFonts w:cs="Times New Roman"/>
          <w:sz w:val="20"/>
        </w:rPr>
        <w:t xml:space="preserve"> </w:t>
      </w:r>
      <w:r w:rsidRPr="00274058">
        <w:rPr>
          <w:rFonts w:cs="Times New Roman"/>
          <w:sz w:val="20"/>
        </w:rPr>
        <w:t xml:space="preserve">2016/17.  </w:t>
      </w:r>
    </w:p>
    <w:p w:rsidR="007D1BBF" w:rsidRPr="00274058" w:rsidRDefault="007D1BBF" w:rsidP="007D1BBF">
      <w:pPr>
        <w:jc w:val="both"/>
        <w:rPr>
          <w:rFonts w:cs="Times New Roman"/>
          <w:sz w:val="20"/>
        </w:rPr>
      </w:pPr>
    </w:p>
    <w:p w:rsidR="007D1BBF" w:rsidRPr="00650F1A" w:rsidRDefault="007D1BBF" w:rsidP="00EE1CCE">
      <w:pPr>
        <w:numPr>
          <w:ilvl w:val="0"/>
          <w:numId w:val="5"/>
        </w:numPr>
        <w:ind w:left="0" w:firstLine="0"/>
        <w:jc w:val="both"/>
        <w:rPr>
          <w:rFonts w:cs="Times New Roman"/>
          <w:sz w:val="20"/>
        </w:rPr>
      </w:pPr>
      <w:r w:rsidRPr="00650F1A">
        <w:rPr>
          <w:rFonts w:cs="Times New Roman"/>
          <w:sz w:val="20"/>
        </w:rPr>
        <w:t>Para la elaboración del document</w:t>
      </w:r>
      <w:r>
        <w:rPr>
          <w:rFonts w:cs="Times New Roman"/>
          <w:sz w:val="20"/>
        </w:rPr>
        <w:t>o</w:t>
      </w:r>
      <w:r w:rsidRPr="00650F1A">
        <w:rPr>
          <w:rFonts w:cs="Times New Roman"/>
          <w:sz w:val="20"/>
        </w:rPr>
        <w:t xml:space="preserve"> PPR </w:t>
      </w:r>
      <w:r>
        <w:rPr>
          <w:rFonts w:cs="Times New Roman"/>
          <w:sz w:val="20"/>
        </w:rPr>
        <w:t>en</w:t>
      </w:r>
      <w:r w:rsidRPr="00650F1A">
        <w:rPr>
          <w:rFonts w:cs="Times New Roman"/>
          <w:sz w:val="20"/>
        </w:rPr>
        <w:t xml:space="preserve"> 2016 se está </w:t>
      </w:r>
      <w:r>
        <w:rPr>
          <w:rFonts w:cs="Times New Roman"/>
          <w:sz w:val="20"/>
        </w:rPr>
        <w:t>utilizando</w:t>
      </w:r>
      <w:r w:rsidRPr="00650F1A">
        <w:rPr>
          <w:rFonts w:cs="Times New Roman"/>
          <w:sz w:val="20"/>
        </w:rPr>
        <w:t xml:space="preserve"> un nuevo formato simplificado que permite distinguir más fácilmente los documentos PPR del primer año (en que se informa acerca de los </w:t>
      </w:r>
      <w:r>
        <w:rPr>
          <w:rFonts w:cs="Times New Roman"/>
          <w:sz w:val="20"/>
        </w:rPr>
        <w:t>avances</w:t>
      </w:r>
      <w:r w:rsidRPr="00650F1A">
        <w:rPr>
          <w:rFonts w:cs="Times New Roman"/>
          <w:sz w:val="20"/>
        </w:rPr>
        <w:t xml:space="preserve">) y el segundo año (en el que se informa </w:t>
      </w:r>
      <w:r>
        <w:rPr>
          <w:rFonts w:cs="Times New Roman"/>
          <w:sz w:val="20"/>
        </w:rPr>
        <w:t>acerca de los logros</w:t>
      </w:r>
      <w:r w:rsidRPr="00650F1A">
        <w:rPr>
          <w:rFonts w:cs="Times New Roman"/>
          <w:sz w:val="20"/>
        </w:rPr>
        <w:t xml:space="preserve">) en el bienio.  La concepción, planificación y ejecución de las actividades de la OMPI ha seguido rigiéndose por las recomendaciones pertinentes de la Agenda para el Desarrollo de 2016.  En el documento PPR </w:t>
      </w:r>
      <w:r>
        <w:rPr>
          <w:rFonts w:cs="Times New Roman"/>
          <w:sz w:val="20"/>
        </w:rPr>
        <w:t>en</w:t>
      </w:r>
      <w:r w:rsidRPr="00650F1A">
        <w:rPr>
          <w:rFonts w:cs="Times New Roman"/>
          <w:sz w:val="20"/>
        </w:rPr>
        <w:t xml:space="preserve"> 2016/17 se presentará información detallada acerca de la aplicación de la A.D.</w:t>
      </w:r>
    </w:p>
    <w:p w:rsidR="007D1BBF" w:rsidRPr="00650F1A" w:rsidRDefault="007D1BBF" w:rsidP="007D1BBF">
      <w:pPr>
        <w:jc w:val="both"/>
        <w:rPr>
          <w:rFonts w:cs="Times New Roman"/>
          <w:sz w:val="20"/>
          <w:szCs w:val="24"/>
          <w:highlight w:val="lightGray"/>
        </w:rPr>
      </w:pPr>
    </w:p>
    <w:p w:rsidR="007D1BBF" w:rsidRPr="00650F1A" w:rsidRDefault="007D1BBF" w:rsidP="00EE1CCE">
      <w:pPr>
        <w:numPr>
          <w:ilvl w:val="0"/>
          <w:numId w:val="5"/>
        </w:numPr>
        <w:ind w:left="0" w:firstLine="0"/>
        <w:jc w:val="both"/>
        <w:rPr>
          <w:rFonts w:cs="Times New Roman"/>
          <w:sz w:val="20"/>
        </w:rPr>
      </w:pPr>
      <w:r w:rsidRPr="00650F1A">
        <w:rPr>
          <w:rFonts w:cs="Times New Roman"/>
          <w:sz w:val="20"/>
        </w:rPr>
        <w:t xml:space="preserve">El documento PPR </w:t>
      </w:r>
      <w:r>
        <w:rPr>
          <w:rFonts w:cs="Times New Roman"/>
          <w:sz w:val="20"/>
        </w:rPr>
        <w:t xml:space="preserve">en </w:t>
      </w:r>
      <w:r w:rsidRPr="00650F1A">
        <w:rPr>
          <w:rFonts w:cs="Times New Roman"/>
          <w:sz w:val="20"/>
        </w:rPr>
        <w:t>2016 es un informe que se elabora a mitad de bienio para valorar los avances logrados en la consecución de los resultados previstos (</w:t>
      </w:r>
      <w:r>
        <w:rPr>
          <w:rFonts w:cs="Times New Roman"/>
          <w:sz w:val="20"/>
        </w:rPr>
        <w:t>mientras que en el</w:t>
      </w:r>
      <w:r w:rsidRPr="00650F1A">
        <w:rPr>
          <w:rFonts w:cs="Times New Roman"/>
          <w:sz w:val="20"/>
        </w:rPr>
        <w:t xml:space="preserve"> informe que se presenta </w:t>
      </w:r>
      <w:r>
        <w:rPr>
          <w:rFonts w:cs="Times New Roman"/>
          <w:sz w:val="20"/>
        </w:rPr>
        <w:t>al final</w:t>
      </w:r>
      <w:r w:rsidRPr="00650F1A">
        <w:rPr>
          <w:rFonts w:cs="Times New Roman"/>
          <w:sz w:val="20"/>
        </w:rPr>
        <w:t xml:space="preserve"> del bienio se evalúa el grado de consecución de los resultados previstos)</w:t>
      </w:r>
      <w:r>
        <w:rPr>
          <w:rFonts w:cs="Times New Roman"/>
          <w:sz w:val="20"/>
        </w:rPr>
        <w:t>,</w:t>
      </w:r>
      <w:r w:rsidR="00A97031">
        <w:rPr>
          <w:rFonts w:cs="Times New Roman"/>
          <w:sz w:val="20"/>
        </w:rPr>
        <w:t xml:space="preserve"> </w:t>
      </w:r>
      <w:r>
        <w:rPr>
          <w:rFonts w:cs="Times New Roman"/>
          <w:sz w:val="20"/>
        </w:rPr>
        <w:t>valoración que se efectúa</w:t>
      </w:r>
      <w:r w:rsidRPr="00650F1A">
        <w:rPr>
          <w:rFonts w:cs="Times New Roman"/>
          <w:sz w:val="20"/>
        </w:rPr>
        <w:t xml:space="preserve"> mediante indicadores de rendimiento y teniendo en cuenta los recursos aprobados en el presupuesto </w:t>
      </w:r>
      <w:r>
        <w:rPr>
          <w:rFonts w:cs="Times New Roman"/>
          <w:sz w:val="20"/>
        </w:rPr>
        <w:t>por</w:t>
      </w:r>
      <w:r w:rsidRPr="00650F1A">
        <w:rPr>
          <w:rFonts w:cs="Times New Roman"/>
          <w:sz w:val="20"/>
        </w:rPr>
        <w:t xml:space="preserve"> programas de 2016/17.</w:t>
      </w:r>
      <w:r w:rsidR="00A97031">
        <w:rPr>
          <w:rFonts w:cs="Times New Roman"/>
          <w:sz w:val="20"/>
        </w:rPr>
        <w:t xml:space="preserve"> </w:t>
      </w:r>
      <w:r w:rsidRPr="00650F1A">
        <w:rPr>
          <w:rFonts w:cs="Times New Roman"/>
          <w:sz w:val="20"/>
        </w:rPr>
        <w:t xml:space="preserve"> La </w:t>
      </w:r>
      <w:r>
        <w:rPr>
          <w:rFonts w:cs="Times New Roman"/>
          <w:sz w:val="20"/>
        </w:rPr>
        <w:t>ponderación</w:t>
      </w:r>
      <w:r w:rsidRPr="00650F1A">
        <w:rPr>
          <w:rFonts w:cs="Times New Roman"/>
          <w:sz w:val="20"/>
        </w:rPr>
        <w:t xml:space="preserve"> de un mismo indicador de rendimiento puede hacerse por medio de más de un o</w:t>
      </w:r>
      <w:r w:rsidR="00A97031">
        <w:rPr>
          <w:rFonts w:cs="Times New Roman"/>
          <w:sz w:val="20"/>
        </w:rPr>
        <w:t xml:space="preserve">bjetivo. </w:t>
      </w:r>
      <w:r w:rsidRPr="00650F1A">
        <w:rPr>
          <w:rFonts w:cs="Times New Roman"/>
          <w:sz w:val="20"/>
        </w:rPr>
        <w:t xml:space="preserve"> En tales casos, se proporciona la calificación de cada objetivo, </w:t>
      </w:r>
      <w:r>
        <w:rPr>
          <w:rFonts w:cs="Times New Roman"/>
          <w:sz w:val="20"/>
        </w:rPr>
        <w:t>de lo que se obtienen varias</w:t>
      </w:r>
      <w:r w:rsidRPr="00650F1A">
        <w:rPr>
          <w:rFonts w:cs="Times New Roman"/>
          <w:sz w:val="20"/>
        </w:rPr>
        <w:t xml:space="preserve"> calificaciones.  En el documento PPR </w:t>
      </w:r>
      <w:r>
        <w:rPr>
          <w:rFonts w:cs="Times New Roman"/>
          <w:sz w:val="20"/>
        </w:rPr>
        <w:t>en</w:t>
      </w:r>
      <w:r w:rsidRPr="00650F1A">
        <w:rPr>
          <w:rFonts w:cs="Times New Roman"/>
          <w:sz w:val="20"/>
        </w:rPr>
        <w:t xml:space="preserve"> 2016 se han utilizado los siguientes criterios de evaluación:</w:t>
      </w:r>
    </w:p>
    <w:p w:rsidR="007D1BBF" w:rsidRPr="00650F1A" w:rsidRDefault="007D1BBF" w:rsidP="007D1BBF">
      <w:pPr>
        <w:jc w:val="both"/>
        <w:rPr>
          <w:rFonts w:cs="Times New Roman"/>
          <w:sz w:val="20"/>
          <w:szCs w:val="24"/>
        </w:rPr>
      </w:pPr>
    </w:p>
    <w:p w:rsidR="007D1BBF" w:rsidRPr="00C331B2" w:rsidRDefault="007D1BBF" w:rsidP="00EE1CCE">
      <w:pPr>
        <w:widowControl w:val="0"/>
        <w:numPr>
          <w:ilvl w:val="0"/>
          <w:numId w:val="5"/>
        </w:numPr>
        <w:autoSpaceDE w:val="0"/>
        <w:autoSpaceDN w:val="0"/>
        <w:adjustRightInd w:val="0"/>
        <w:ind w:left="0" w:firstLine="0"/>
        <w:jc w:val="both"/>
        <w:rPr>
          <w:rFonts w:cs="Times New Roman"/>
          <w:sz w:val="20"/>
        </w:rPr>
      </w:pPr>
      <w:r>
        <w:rPr>
          <w:rFonts w:cs="Times New Roman"/>
          <w:sz w:val="20"/>
        </w:rPr>
        <w:t>Clave de colores</w:t>
      </w:r>
      <w:r w:rsidRPr="0061776C">
        <w:rPr>
          <w:rFonts w:cs="Times New Roman"/>
          <w:sz w:val="20"/>
        </w:rPr>
        <w:t>:</w:t>
      </w:r>
    </w:p>
    <w:p w:rsidR="007D1BBF" w:rsidRPr="00650F1A" w:rsidRDefault="007D1BBF" w:rsidP="00EE1CCE">
      <w:pPr>
        <w:numPr>
          <w:ilvl w:val="0"/>
          <w:numId w:val="4"/>
        </w:numPr>
        <w:spacing w:before="120"/>
        <w:jc w:val="both"/>
        <w:rPr>
          <w:rFonts w:cs="Times New Roman"/>
          <w:sz w:val="20"/>
        </w:rPr>
      </w:pPr>
      <w:r w:rsidRPr="00650F1A">
        <w:rPr>
          <w:b/>
          <w:bCs/>
          <w:color w:val="008000"/>
          <w:sz w:val="20"/>
        </w:rPr>
        <w:t>Avanza</w:t>
      </w:r>
      <w:r>
        <w:rPr>
          <w:b/>
          <w:bCs/>
          <w:color w:val="008000"/>
          <w:sz w:val="20"/>
        </w:rPr>
        <w:t>:</w:t>
      </w:r>
      <w:r w:rsidRPr="00650F1A">
        <w:rPr>
          <w:sz w:val="20"/>
        </w:rPr>
        <w:t xml:space="preserve"> </w:t>
      </w:r>
      <w:r w:rsidR="001E5F2E">
        <w:rPr>
          <w:sz w:val="20"/>
        </w:rPr>
        <w:t xml:space="preserve"> </w:t>
      </w:r>
      <w:r w:rsidRPr="00650F1A">
        <w:rPr>
          <w:sz w:val="20"/>
        </w:rPr>
        <w:t xml:space="preserve">se aplica cuando los avances </w:t>
      </w:r>
      <w:r>
        <w:rPr>
          <w:sz w:val="20"/>
        </w:rPr>
        <w:t>efectuados</w:t>
      </w:r>
      <w:r w:rsidRPr="00650F1A">
        <w:rPr>
          <w:sz w:val="20"/>
        </w:rPr>
        <w:t xml:space="preserve"> señalan u</w:t>
      </w:r>
      <w:r w:rsidR="00030B1C">
        <w:rPr>
          <w:sz w:val="20"/>
        </w:rPr>
        <w:t>na consecución del objetivo del </w:t>
      </w:r>
      <w:r w:rsidRPr="00650F1A">
        <w:rPr>
          <w:sz w:val="20"/>
        </w:rPr>
        <w:t>40% o más</w:t>
      </w:r>
      <w:r w:rsidRPr="00650F1A">
        <w:rPr>
          <w:rFonts w:cs="Times New Roman"/>
          <w:sz w:val="20"/>
        </w:rPr>
        <w:t>;</w:t>
      </w:r>
    </w:p>
    <w:p w:rsidR="007D1BBF" w:rsidRPr="00650F1A" w:rsidRDefault="007D1BBF" w:rsidP="00EE1CCE">
      <w:pPr>
        <w:numPr>
          <w:ilvl w:val="0"/>
          <w:numId w:val="4"/>
        </w:numPr>
        <w:spacing w:before="120"/>
        <w:jc w:val="both"/>
        <w:rPr>
          <w:rFonts w:cs="Times New Roman"/>
          <w:sz w:val="20"/>
        </w:rPr>
      </w:pPr>
      <w:r w:rsidRPr="00650F1A">
        <w:rPr>
          <w:b/>
          <w:bCs/>
          <w:color w:val="FF0000"/>
          <w:sz w:val="20"/>
        </w:rPr>
        <w:t>No avanza</w:t>
      </w:r>
      <w:r>
        <w:rPr>
          <w:b/>
          <w:bCs/>
          <w:color w:val="FF0000"/>
          <w:sz w:val="20"/>
        </w:rPr>
        <w:t>:</w:t>
      </w:r>
      <w:r w:rsidRPr="001E5F2E">
        <w:rPr>
          <w:bCs/>
          <w:sz w:val="20"/>
        </w:rPr>
        <w:t xml:space="preserve"> </w:t>
      </w:r>
      <w:r w:rsidR="001E5F2E" w:rsidRPr="001E5F2E">
        <w:rPr>
          <w:bCs/>
          <w:sz w:val="20"/>
        </w:rPr>
        <w:t xml:space="preserve"> </w:t>
      </w:r>
      <w:r w:rsidRPr="00650F1A">
        <w:rPr>
          <w:sz w:val="20"/>
        </w:rPr>
        <w:t xml:space="preserve">se aplica cuando los avances </w:t>
      </w:r>
      <w:r>
        <w:rPr>
          <w:sz w:val="20"/>
        </w:rPr>
        <w:t>efectuados</w:t>
      </w:r>
      <w:r w:rsidRPr="00650F1A">
        <w:rPr>
          <w:sz w:val="20"/>
        </w:rPr>
        <w:t xml:space="preserve"> señalan una consecución del objetivo de menos del 40%</w:t>
      </w:r>
      <w:r w:rsidRPr="00650F1A">
        <w:rPr>
          <w:i/>
          <w:sz w:val="20"/>
        </w:rPr>
        <w:t xml:space="preserve">; </w:t>
      </w:r>
    </w:p>
    <w:p w:rsidR="007D1BBF" w:rsidRPr="00650F1A" w:rsidRDefault="007D1BBF" w:rsidP="00EE1CCE">
      <w:pPr>
        <w:numPr>
          <w:ilvl w:val="0"/>
          <w:numId w:val="4"/>
        </w:numPr>
        <w:spacing w:before="120"/>
        <w:jc w:val="both"/>
        <w:rPr>
          <w:rFonts w:cs="Times New Roman"/>
          <w:sz w:val="20"/>
        </w:rPr>
      </w:pPr>
      <w:r w:rsidRPr="00650F1A">
        <w:rPr>
          <w:rFonts w:cs="Times New Roman"/>
          <w:b/>
          <w:bCs/>
          <w:color w:val="0070C0"/>
          <w:sz w:val="20"/>
        </w:rPr>
        <w:t>No disponible para 2016</w:t>
      </w:r>
      <w:r>
        <w:rPr>
          <w:rFonts w:cs="Times New Roman"/>
          <w:b/>
          <w:bCs/>
          <w:color w:val="0070C0"/>
          <w:sz w:val="20"/>
        </w:rPr>
        <w:t>:</w:t>
      </w:r>
      <w:r w:rsidRPr="00650F1A">
        <w:rPr>
          <w:rFonts w:cs="Times New Roman"/>
          <w:sz w:val="20"/>
        </w:rPr>
        <w:t xml:space="preserve"> </w:t>
      </w:r>
      <w:r w:rsidR="001E5F2E">
        <w:rPr>
          <w:rFonts w:cs="Times New Roman"/>
          <w:sz w:val="20"/>
        </w:rPr>
        <w:t xml:space="preserve"> </w:t>
      </w:r>
      <w:r w:rsidRPr="00650F1A">
        <w:rPr>
          <w:rFonts w:cs="Times New Roman"/>
          <w:sz w:val="20"/>
        </w:rPr>
        <w:t>se aplica cuando no existen datos sobre el rendimiento para 2016 pero se prevé disponer de ellos al término del bienio;</w:t>
      </w:r>
      <w:r w:rsidRPr="00650F1A">
        <w:rPr>
          <w:b/>
          <w:bCs/>
          <w:sz w:val="20"/>
        </w:rPr>
        <w:t xml:space="preserve"> </w:t>
      </w:r>
    </w:p>
    <w:p w:rsidR="007D1BBF" w:rsidRPr="00757EAB" w:rsidRDefault="007D1BBF" w:rsidP="00EE1CCE">
      <w:pPr>
        <w:numPr>
          <w:ilvl w:val="0"/>
          <w:numId w:val="4"/>
        </w:numPr>
        <w:spacing w:before="120"/>
        <w:jc w:val="both"/>
        <w:rPr>
          <w:rFonts w:cs="Times New Roman"/>
          <w:color w:val="002060"/>
          <w:sz w:val="20"/>
        </w:rPr>
      </w:pPr>
      <w:r w:rsidRPr="00B660C9">
        <w:rPr>
          <w:rFonts w:cs="Times New Roman"/>
          <w:b/>
          <w:bCs/>
          <w:color w:val="7F7F7F" w:themeColor="text1" w:themeTint="80"/>
          <w:sz w:val="20"/>
        </w:rPr>
        <w:t>No mensurable</w:t>
      </w:r>
      <w:r>
        <w:rPr>
          <w:rFonts w:cs="Times New Roman"/>
          <w:b/>
          <w:bCs/>
          <w:color w:val="7F7F7F" w:themeColor="text1" w:themeTint="80"/>
          <w:sz w:val="20"/>
        </w:rPr>
        <w:t>:</w:t>
      </w:r>
      <w:r w:rsidRPr="00770CF6">
        <w:rPr>
          <w:rFonts w:cs="Times New Roman"/>
          <w:bCs/>
          <w:sz w:val="20"/>
          <w:vertAlign w:val="superscript"/>
        </w:rPr>
        <w:footnoteReference w:id="2"/>
      </w:r>
      <w:r w:rsidRPr="001E5F2E">
        <w:rPr>
          <w:rFonts w:cs="Times New Roman"/>
          <w:bCs/>
          <w:sz w:val="20"/>
        </w:rPr>
        <w:t xml:space="preserve"> </w:t>
      </w:r>
      <w:r w:rsidR="001E5F2E" w:rsidRPr="001E5F2E">
        <w:rPr>
          <w:rFonts w:cs="Times New Roman"/>
          <w:bCs/>
          <w:sz w:val="20"/>
        </w:rPr>
        <w:t xml:space="preserve"> </w:t>
      </w:r>
      <w:r w:rsidRPr="00B660C9">
        <w:rPr>
          <w:rFonts w:cs="Times New Roman"/>
          <w:sz w:val="20"/>
        </w:rPr>
        <w:t xml:space="preserve">se aplica cuando no resulta viable evaluar el rendimiento por no haberse definido adecuadamente los datos </w:t>
      </w:r>
      <w:r>
        <w:rPr>
          <w:rFonts w:cs="Times New Roman"/>
          <w:sz w:val="20"/>
        </w:rPr>
        <w:t xml:space="preserve">del </w:t>
      </w:r>
      <w:r w:rsidRPr="00B660C9">
        <w:rPr>
          <w:rFonts w:cs="Times New Roman"/>
          <w:sz w:val="20"/>
        </w:rPr>
        <w:t>objetivo, cuando no se dispone de referencia</w:t>
      </w:r>
      <w:r>
        <w:rPr>
          <w:rFonts w:cs="Times New Roman"/>
          <w:sz w:val="20"/>
        </w:rPr>
        <w:t xml:space="preserve"> de base</w:t>
      </w:r>
      <w:r w:rsidRPr="00B660C9">
        <w:rPr>
          <w:rFonts w:cs="Times New Roman"/>
          <w:sz w:val="20"/>
        </w:rPr>
        <w:t xml:space="preserve"> o cuando los datos de rendimiento son insuficientes para determinar la clave de colores, </w:t>
      </w:r>
      <w:r w:rsidRPr="00757EAB">
        <w:rPr>
          <w:rFonts w:cs="Times New Roman"/>
          <w:color w:val="002060"/>
          <w:sz w:val="20"/>
        </w:rPr>
        <w:t>y;</w:t>
      </w:r>
    </w:p>
    <w:p w:rsidR="007D1BBF" w:rsidRPr="00B660C9" w:rsidRDefault="007D1BBF" w:rsidP="00EE1CCE">
      <w:pPr>
        <w:numPr>
          <w:ilvl w:val="0"/>
          <w:numId w:val="4"/>
        </w:numPr>
        <w:spacing w:before="120"/>
        <w:jc w:val="both"/>
        <w:rPr>
          <w:rFonts w:cs="Times New Roman"/>
          <w:sz w:val="20"/>
        </w:rPr>
      </w:pPr>
      <w:r w:rsidRPr="00B660C9">
        <w:rPr>
          <w:b/>
          <w:bCs/>
          <w:sz w:val="20"/>
        </w:rPr>
        <w:t>Discontinuado</w:t>
      </w:r>
      <w:r>
        <w:rPr>
          <w:b/>
          <w:bCs/>
          <w:sz w:val="20"/>
        </w:rPr>
        <w:t>:</w:t>
      </w:r>
      <w:r w:rsidRPr="001E5F2E">
        <w:rPr>
          <w:bCs/>
          <w:sz w:val="20"/>
        </w:rPr>
        <w:t xml:space="preserve"> </w:t>
      </w:r>
      <w:r w:rsidR="001E5F2E" w:rsidRPr="001E5F2E">
        <w:rPr>
          <w:sz w:val="20"/>
        </w:rPr>
        <w:t xml:space="preserve"> </w:t>
      </w:r>
      <w:r w:rsidRPr="00B660C9">
        <w:rPr>
          <w:sz w:val="20"/>
        </w:rPr>
        <w:t xml:space="preserve">se aplica cuando un indicador de rendimiento deja de </w:t>
      </w:r>
      <w:r>
        <w:rPr>
          <w:sz w:val="20"/>
        </w:rPr>
        <w:t>utilizarse</w:t>
      </w:r>
      <w:r w:rsidRPr="00B660C9">
        <w:rPr>
          <w:sz w:val="20"/>
        </w:rPr>
        <w:t xml:space="preserve"> para medir el rendimiento del programa</w:t>
      </w:r>
      <w:r w:rsidRPr="00B660C9">
        <w:rPr>
          <w:rFonts w:cs="Times New Roman"/>
          <w:sz w:val="20"/>
        </w:rPr>
        <w:t xml:space="preserve">.  </w:t>
      </w:r>
    </w:p>
    <w:p w:rsidR="007D1BBF" w:rsidRPr="00B660C9" w:rsidRDefault="007D1BBF" w:rsidP="007D1BBF">
      <w:pPr>
        <w:jc w:val="both"/>
        <w:rPr>
          <w:rFonts w:cs="Times New Roman"/>
          <w:sz w:val="20"/>
          <w:szCs w:val="24"/>
        </w:rPr>
      </w:pPr>
    </w:p>
    <w:p w:rsidR="007D1BBF" w:rsidRPr="007321D4" w:rsidRDefault="007D1BBF" w:rsidP="00EE1CCE">
      <w:pPr>
        <w:widowControl w:val="0"/>
        <w:numPr>
          <w:ilvl w:val="0"/>
          <w:numId w:val="5"/>
        </w:numPr>
        <w:autoSpaceDE w:val="0"/>
        <w:autoSpaceDN w:val="0"/>
        <w:adjustRightInd w:val="0"/>
        <w:ind w:left="0" w:firstLine="0"/>
        <w:jc w:val="both"/>
        <w:rPr>
          <w:rFonts w:cs="Times New Roman"/>
          <w:sz w:val="20"/>
        </w:rPr>
      </w:pPr>
      <w:r w:rsidRPr="00B660C9">
        <w:rPr>
          <w:rFonts w:cs="Times New Roman"/>
          <w:sz w:val="20"/>
        </w:rPr>
        <w:t xml:space="preserve">Del total de 455 indicadores de rendimiento previstos en </w:t>
      </w:r>
      <w:r w:rsidR="00A97031">
        <w:rPr>
          <w:rFonts w:cs="Times New Roman"/>
          <w:sz w:val="20"/>
        </w:rPr>
        <w:t>el presupuesto por programas de </w:t>
      </w:r>
      <w:r w:rsidRPr="00B660C9">
        <w:rPr>
          <w:rFonts w:cs="Times New Roman"/>
          <w:sz w:val="20"/>
        </w:rPr>
        <w:t xml:space="preserve">2016/17, 329 (el 72%) recibieron la calificación de </w:t>
      </w:r>
      <w:r w:rsidRPr="007321D4">
        <w:rPr>
          <w:rFonts w:cs="Times New Roman"/>
          <w:sz w:val="20"/>
        </w:rPr>
        <w:t>“</w:t>
      </w:r>
      <w:r w:rsidRPr="007321D4">
        <w:rPr>
          <w:rFonts w:cs="Times New Roman"/>
          <w:b/>
          <w:color w:val="008000"/>
          <w:sz w:val="20"/>
        </w:rPr>
        <w:t>Avanza</w:t>
      </w:r>
      <w:r w:rsidRPr="007321D4">
        <w:rPr>
          <w:rFonts w:cs="Times New Roman"/>
          <w:sz w:val="20"/>
        </w:rPr>
        <w:t>”.</w:t>
      </w:r>
      <w:r w:rsidRPr="00B660C9">
        <w:rPr>
          <w:rFonts w:cs="Times New Roman"/>
          <w:sz w:val="20"/>
        </w:rPr>
        <w:t xml:space="preserve"> A un total de 82 indicadores (el 18%), se les dio la calificación de </w:t>
      </w:r>
      <w:r w:rsidRPr="007321D4">
        <w:rPr>
          <w:rFonts w:cs="Times New Roman"/>
          <w:sz w:val="20"/>
        </w:rPr>
        <w:t>“</w:t>
      </w:r>
      <w:r w:rsidRPr="007321D4">
        <w:rPr>
          <w:b/>
          <w:bCs/>
          <w:color w:val="FF0000"/>
          <w:sz w:val="20"/>
        </w:rPr>
        <w:t>No avanza</w:t>
      </w:r>
      <w:r w:rsidRPr="007321D4">
        <w:rPr>
          <w:rFonts w:cs="Times New Roman"/>
          <w:sz w:val="20"/>
        </w:rPr>
        <w:t>”</w:t>
      </w:r>
      <w:r w:rsidRPr="00B660C9">
        <w:rPr>
          <w:rFonts w:cs="Times New Roman"/>
          <w:sz w:val="20"/>
        </w:rPr>
        <w:t xml:space="preserve">, y 20 indicadores (el 4,4%) recibieron la calificación de </w:t>
      </w:r>
      <w:r>
        <w:rPr>
          <w:rFonts w:cs="Times New Roman"/>
          <w:sz w:val="20"/>
        </w:rPr>
        <w:t>“</w:t>
      </w:r>
      <w:r w:rsidR="00D15CAE">
        <w:rPr>
          <w:rFonts w:cs="Times New Roman"/>
          <w:b/>
          <w:bCs/>
          <w:color w:val="0070C0"/>
          <w:sz w:val="20"/>
        </w:rPr>
        <w:t>No </w:t>
      </w:r>
      <w:r w:rsidRPr="007321D4">
        <w:rPr>
          <w:rFonts w:cs="Times New Roman"/>
          <w:b/>
          <w:bCs/>
          <w:color w:val="0070C0"/>
          <w:sz w:val="20"/>
        </w:rPr>
        <w:t>disponible para 2016</w:t>
      </w:r>
      <w:r w:rsidRPr="007321D4">
        <w:rPr>
          <w:rFonts w:cs="Times New Roman"/>
          <w:sz w:val="20"/>
        </w:rPr>
        <w:t xml:space="preserve">”.  </w:t>
      </w:r>
      <w:r w:rsidRPr="00B660C9">
        <w:rPr>
          <w:rFonts w:cs="Times New Roman"/>
          <w:sz w:val="20"/>
        </w:rPr>
        <w:t xml:space="preserve">Unos 18 indicadores (el 4%) recibieron la calificación de </w:t>
      </w:r>
      <w:r>
        <w:rPr>
          <w:rFonts w:cs="Times New Roman"/>
          <w:sz w:val="20"/>
        </w:rPr>
        <w:t>“</w:t>
      </w:r>
      <w:r w:rsidRPr="007321D4">
        <w:rPr>
          <w:rFonts w:cs="Times New Roman"/>
          <w:b/>
          <w:bCs/>
          <w:color w:val="7F7F7F" w:themeColor="text1" w:themeTint="80"/>
          <w:sz w:val="20"/>
        </w:rPr>
        <w:t>No mensurable</w:t>
      </w:r>
      <w:r w:rsidRPr="007321D4">
        <w:rPr>
          <w:rFonts w:cs="Times New Roman"/>
          <w:sz w:val="20"/>
        </w:rPr>
        <w:t>”</w:t>
      </w:r>
      <w:r w:rsidR="00A97031">
        <w:rPr>
          <w:rFonts w:cs="Times New Roman"/>
          <w:sz w:val="20"/>
        </w:rPr>
        <w:t>,</w:t>
      </w:r>
      <w:r w:rsidRPr="00B660C9">
        <w:rPr>
          <w:rFonts w:cs="Times New Roman"/>
          <w:sz w:val="20"/>
        </w:rPr>
        <w:t xml:space="preserve"> y 6 indicadores (el 1,3%) recibieron la calificación de </w:t>
      </w:r>
      <w:r>
        <w:rPr>
          <w:rFonts w:cs="Times New Roman"/>
          <w:sz w:val="20"/>
        </w:rPr>
        <w:t>“</w:t>
      </w:r>
      <w:r w:rsidRPr="007321D4">
        <w:rPr>
          <w:b/>
          <w:bCs/>
          <w:sz w:val="20"/>
        </w:rPr>
        <w:t>Discontinuado</w:t>
      </w:r>
      <w:r w:rsidRPr="007321D4">
        <w:rPr>
          <w:rFonts w:cs="Times New Roman"/>
          <w:sz w:val="20"/>
        </w:rPr>
        <w:t>”.</w:t>
      </w:r>
    </w:p>
    <w:p w:rsidR="001874B2" w:rsidRDefault="001874B2">
      <w:pPr>
        <w:rPr>
          <w:sz w:val="20"/>
        </w:rPr>
      </w:pPr>
    </w:p>
    <w:p w:rsidR="008271A4" w:rsidRPr="00A178B6" w:rsidRDefault="00762D7C" w:rsidP="008271A4">
      <w:pPr>
        <w:pStyle w:val="ONUME"/>
        <w:numPr>
          <w:ilvl w:val="0"/>
          <w:numId w:val="0"/>
        </w:numPr>
        <w:spacing w:after="0"/>
        <w:jc w:val="center"/>
        <w:rPr>
          <w:b/>
          <w:sz w:val="18"/>
          <w:szCs w:val="18"/>
        </w:rPr>
      </w:pPr>
      <w:r>
        <w:rPr>
          <w:b/>
          <w:bCs/>
          <w:sz w:val="18"/>
          <w:szCs w:val="18"/>
        </w:rPr>
        <w:lastRenderedPageBreak/>
        <w:t>Panorama general de los avances logrados hacia la consecución de los resultados previstos en 2016</w:t>
      </w:r>
    </w:p>
    <w:p w:rsidR="008271A4" w:rsidRPr="00484EE5" w:rsidRDefault="00BB3471" w:rsidP="008271A4">
      <w:pPr>
        <w:jc w:val="center"/>
        <w:rPr>
          <w:sz w:val="20"/>
        </w:rPr>
      </w:pPr>
      <w:r w:rsidRPr="00BB3471">
        <w:rPr>
          <w:noProof/>
          <w:lang w:val="en-US" w:eastAsia="en-US"/>
        </w:rPr>
        <w:drawing>
          <wp:inline distT="0" distB="0" distL="0" distR="0" wp14:anchorId="7598CC39" wp14:editId="01DFAFFB">
            <wp:extent cx="5399814" cy="2472589"/>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7060" cy="2475907"/>
                    </a:xfrm>
                    <a:prstGeom prst="rect">
                      <a:avLst/>
                    </a:prstGeom>
                    <a:noFill/>
                    <a:ln>
                      <a:noFill/>
                    </a:ln>
                  </pic:spPr>
                </pic:pic>
              </a:graphicData>
            </a:graphic>
          </wp:inline>
        </w:drawing>
      </w:r>
    </w:p>
    <w:p w:rsidR="008271A4" w:rsidRDefault="008271A4" w:rsidP="008271A4">
      <w:pPr>
        <w:pStyle w:val="DecisionInvitingPara"/>
        <w:ind w:left="0"/>
        <w:rPr>
          <w:i w:val="0"/>
          <w:iCs/>
        </w:rPr>
      </w:pPr>
    </w:p>
    <w:p w:rsidR="008271A4" w:rsidRPr="00F45954" w:rsidRDefault="008271A4" w:rsidP="00EE1CCE">
      <w:pPr>
        <w:pStyle w:val="Heading1"/>
        <w:numPr>
          <w:ilvl w:val="0"/>
          <w:numId w:val="6"/>
        </w:numPr>
        <w:ind w:left="720" w:hanging="578"/>
        <w:rPr>
          <w:rFonts w:eastAsia="Times New Roman"/>
          <w:caps w:val="0"/>
          <w:lang w:eastAsia="en-US"/>
        </w:rPr>
      </w:pPr>
      <w:bookmarkStart w:id="12" w:name="_Toc454544456"/>
      <w:bookmarkStart w:id="13" w:name="_Toc482087920"/>
      <w:bookmarkStart w:id="14" w:name="_Toc482087986"/>
      <w:bookmarkStart w:id="15" w:name="_Toc482105789"/>
      <w:bookmarkStart w:id="16" w:name="_Toc482711235"/>
      <w:r w:rsidRPr="00F45954">
        <w:rPr>
          <w:rFonts w:eastAsia="Times New Roman"/>
          <w:caps w:val="0"/>
          <w:lang w:eastAsia="en-US"/>
        </w:rPr>
        <w:t xml:space="preserve">RESUMEN – </w:t>
      </w:r>
      <w:r w:rsidRPr="002B7DA3">
        <w:rPr>
          <w:rFonts w:eastAsia="Times New Roman"/>
          <w:caps w:val="0"/>
          <w:lang w:eastAsia="en-US"/>
        </w:rPr>
        <w:t xml:space="preserve">ASPECTOS DESTACADOS DE </w:t>
      </w:r>
      <w:bookmarkEnd w:id="12"/>
      <w:r w:rsidRPr="002B7DA3">
        <w:rPr>
          <w:rFonts w:eastAsia="Times New Roman"/>
          <w:caps w:val="0"/>
          <w:lang w:eastAsia="en-US"/>
        </w:rPr>
        <w:t>2016</w:t>
      </w:r>
      <w:bookmarkEnd w:id="13"/>
      <w:bookmarkEnd w:id="14"/>
      <w:bookmarkEnd w:id="15"/>
      <w:bookmarkEnd w:id="16"/>
    </w:p>
    <w:p w:rsidR="008271A4" w:rsidRPr="00F45954" w:rsidRDefault="008271A4" w:rsidP="008271A4"/>
    <w:p w:rsidR="008271A4" w:rsidRPr="002B7DA3" w:rsidRDefault="008271A4" w:rsidP="00EE1CCE">
      <w:pPr>
        <w:pStyle w:val="ListParagraph"/>
        <w:numPr>
          <w:ilvl w:val="0"/>
          <w:numId w:val="10"/>
        </w:numPr>
        <w:ind w:left="0" w:firstLine="0"/>
        <w:jc w:val="both"/>
        <w:rPr>
          <w:lang w:val="es-ES"/>
        </w:rPr>
      </w:pPr>
      <w:r w:rsidRPr="00F45954">
        <w:rPr>
          <w:lang w:val="es-ES"/>
        </w:rPr>
        <w:t xml:space="preserve">El documento PPR de 2016 incluye cuadros sobre el rendimiento de cada una de las nueve metas estratégicas. </w:t>
      </w:r>
      <w:r>
        <w:rPr>
          <w:lang w:val="es-ES"/>
        </w:rPr>
        <w:t xml:space="preserve"> </w:t>
      </w:r>
      <w:r w:rsidRPr="00F45954">
        <w:rPr>
          <w:lang w:val="es-ES"/>
        </w:rPr>
        <w:t xml:space="preserve">Esos cuadros proporcionan un resumen gráfico de los avances logrados en 2016, tomando como referencia los indicadores de rendimiento de los programas que contribuyen a la consecución de las </w:t>
      </w:r>
      <w:r w:rsidRPr="002B7DA3">
        <w:rPr>
          <w:lang w:val="es-ES"/>
        </w:rPr>
        <w:t xml:space="preserve">metas respectivas. </w:t>
      </w:r>
      <w:r>
        <w:rPr>
          <w:lang w:val="es-ES"/>
        </w:rPr>
        <w:t xml:space="preserve"> </w:t>
      </w:r>
      <w:r w:rsidRPr="002B7DA3">
        <w:rPr>
          <w:lang w:val="es-ES"/>
        </w:rPr>
        <w:t>Al evaluar el rendimiento, se tuvieron debidamente en cuenta los efectos de los riesgos identificados en el presupuesto por programas de 2016/17.</w:t>
      </w:r>
      <w:r>
        <w:rPr>
          <w:lang w:val="es-ES"/>
        </w:rPr>
        <w:t xml:space="preserve"> </w:t>
      </w:r>
      <w:r w:rsidRPr="002B7DA3">
        <w:rPr>
          <w:lang w:val="es-ES"/>
        </w:rPr>
        <w:t xml:space="preserve"> En el PPR de 2016/17 se presentarán informes en materia de riesgos durante el bienio,  que incluye</w:t>
      </w:r>
      <w:r w:rsidR="00E72AF0">
        <w:rPr>
          <w:lang w:val="es-ES"/>
        </w:rPr>
        <w:t>n</w:t>
      </w:r>
      <w:r w:rsidRPr="002B7DA3">
        <w:rPr>
          <w:lang w:val="es-ES"/>
        </w:rPr>
        <w:t xml:space="preserve"> un análisis más a fondo de los riesgos y su incidencia en la consecución de los resultados previstos.</w:t>
      </w:r>
    </w:p>
    <w:p w:rsidR="008271A4" w:rsidRPr="00F45954" w:rsidRDefault="008271A4" w:rsidP="008271A4">
      <w:pPr>
        <w:pStyle w:val="ListParagraph"/>
        <w:ind w:left="0"/>
        <w:jc w:val="both"/>
        <w:rPr>
          <w:lang w:val="es-ES"/>
        </w:rPr>
      </w:pPr>
    </w:p>
    <w:p w:rsidR="008271A4" w:rsidRPr="00F45954" w:rsidRDefault="008271A4" w:rsidP="00EE1CCE">
      <w:pPr>
        <w:numPr>
          <w:ilvl w:val="0"/>
          <w:numId w:val="10"/>
        </w:numPr>
        <w:ind w:left="0" w:firstLine="0"/>
        <w:jc w:val="both"/>
        <w:rPr>
          <w:rFonts w:cs="Times New Roman"/>
          <w:sz w:val="20"/>
        </w:rPr>
      </w:pPr>
      <w:r w:rsidRPr="00F45954">
        <w:rPr>
          <w:rFonts w:cs="Times New Roman"/>
          <w:sz w:val="20"/>
        </w:rPr>
        <w:t xml:space="preserve">A continuación se </w:t>
      </w:r>
      <w:r>
        <w:rPr>
          <w:rFonts w:cs="Times New Roman"/>
          <w:sz w:val="20"/>
        </w:rPr>
        <w:t>resumen</w:t>
      </w:r>
      <w:r w:rsidRPr="00F45954">
        <w:rPr>
          <w:rFonts w:cs="Times New Roman"/>
          <w:sz w:val="20"/>
        </w:rPr>
        <w:t xml:space="preserve"> los avances más destacados </w:t>
      </w:r>
      <w:r>
        <w:rPr>
          <w:rFonts w:cs="Times New Roman"/>
          <w:sz w:val="20"/>
        </w:rPr>
        <w:t>en</w:t>
      </w:r>
      <w:r w:rsidRPr="00F45954">
        <w:rPr>
          <w:rFonts w:cs="Times New Roman"/>
          <w:sz w:val="20"/>
        </w:rPr>
        <w:t xml:space="preserve"> 2016 hacia la consecución de las nueve metas estratégicas. </w:t>
      </w:r>
    </w:p>
    <w:p w:rsidR="008271A4" w:rsidRPr="00F45954" w:rsidRDefault="008271A4" w:rsidP="008271A4">
      <w:pPr>
        <w:pStyle w:val="ListParagraph"/>
        <w:rPr>
          <w:lang w:val="es-ES"/>
        </w:rPr>
      </w:pPr>
    </w:p>
    <w:p w:rsidR="008271A4" w:rsidRPr="00F45954" w:rsidRDefault="008271A4" w:rsidP="008271A4">
      <w:pPr>
        <w:jc w:val="both"/>
        <w:rPr>
          <w:rFonts w:cs="Times New Roman"/>
          <w:sz w:val="20"/>
        </w:rPr>
      </w:pPr>
    </w:p>
    <w:p w:rsidR="008271A4" w:rsidRPr="00F45954" w:rsidRDefault="008271A4" w:rsidP="008271A4">
      <w:pPr>
        <w:pStyle w:val="ONUME"/>
        <w:numPr>
          <w:ilvl w:val="0"/>
          <w:numId w:val="0"/>
        </w:numPr>
        <w:spacing w:after="0"/>
        <w:jc w:val="center"/>
        <w:rPr>
          <w:b/>
          <w:sz w:val="18"/>
          <w:szCs w:val="18"/>
        </w:rPr>
      </w:pPr>
      <w:r w:rsidRPr="00F45954">
        <w:rPr>
          <w:b/>
          <w:sz w:val="18"/>
          <w:szCs w:val="18"/>
        </w:rPr>
        <w:t>Síntesis unificada de los avances logrados en el año 2016 hacia la consecución de los resultados previstos, por meta estratégica</w:t>
      </w:r>
    </w:p>
    <w:p w:rsidR="008271A4" w:rsidRPr="00F45954" w:rsidRDefault="008271A4" w:rsidP="008271A4">
      <w:pPr>
        <w:jc w:val="both"/>
      </w:pPr>
    </w:p>
    <w:p w:rsidR="008271A4" w:rsidRPr="00F45954" w:rsidRDefault="00A62D9E" w:rsidP="008271A4">
      <w:pPr>
        <w:jc w:val="center"/>
        <w:rPr>
          <w:sz w:val="18"/>
          <w:szCs w:val="18"/>
        </w:rPr>
      </w:pPr>
      <w:r w:rsidRPr="00A62D9E">
        <w:rPr>
          <w:noProof/>
          <w:lang w:val="en-US" w:eastAsia="en-US"/>
        </w:rPr>
        <w:drawing>
          <wp:inline distT="0" distB="0" distL="0" distR="0" wp14:anchorId="7D6EDAAA" wp14:editId="20C7AB97">
            <wp:extent cx="5940425" cy="3241916"/>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0425" cy="3241916"/>
                    </a:xfrm>
                    <a:prstGeom prst="rect">
                      <a:avLst/>
                    </a:prstGeom>
                    <a:noFill/>
                    <a:ln>
                      <a:noFill/>
                    </a:ln>
                  </pic:spPr>
                </pic:pic>
              </a:graphicData>
            </a:graphic>
          </wp:inline>
        </w:drawing>
      </w:r>
    </w:p>
    <w:p w:rsidR="008271A4" w:rsidRPr="00F45954" w:rsidRDefault="008271A4" w:rsidP="008271A4">
      <w:pPr>
        <w:jc w:val="center"/>
        <w:rPr>
          <w:iCs/>
        </w:rPr>
      </w:pPr>
    </w:p>
    <w:p w:rsidR="008271A4" w:rsidRPr="00F45954" w:rsidRDefault="008271A4" w:rsidP="008271A4">
      <w:pPr>
        <w:rPr>
          <w:b/>
          <w:iCs/>
        </w:rPr>
      </w:pPr>
    </w:p>
    <w:p w:rsidR="008271A4" w:rsidRPr="00F45954" w:rsidRDefault="008271A4" w:rsidP="008271A4">
      <w:pPr>
        <w:rPr>
          <w:b/>
          <w:iCs/>
        </w:rPr>
      </w:pPr>
    </w:p>
    <w:p w:rsidR="008271A4" w:rsidRPr="00F45954" w:rsidRDefault="008271A4" w:rsidP="008271A4">
      <w:pPr>
        <w:keepNext/>
        <w:keepLines/>
        <w:jc w:val="center"/>
        <w:rPr>
          <w:b/>
          <w:iCs/>
        </w:rPr>
      </w:pPr>
      <w:r w:rsidRPr="00F45954">
        <w:rPr>
          <w:b/>
          <w:iCs/>
        </w:rPr>
        <w:t>Meta estratégica I:  Evolución equilibrada del marco normativo internacional de P.I.</w:t>
      </w:r>
    </w:p>
    <w:p w:rsidR="008271A4" w:rsidRPr="00F45954" w:rsidRDefault="00340B48" w:rsidP="008271A4">
      <w:pPr>
        <w:jc w:val="center"/>
        <w:rPr>
          <w:highlight w:val="yellow"/>
        </w:rPr>
      </w:pPr>
      <w:r w:rsidRPr="00340B48">
        <w:rPr>
          <w:noProof/>
          <w:lang w:val="en-US" w:eastAsia="en-US"/>
        </w:rPr>
        <w:drawing>
          <wp:inline distT="0" distB="0" distL="0" distR="0" wp14:anchorId="270E859E" wp14:editId="7328B5FE">
            <wp:extent cx="4238625" cy="2467121"/>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8625" cy="2467121"/>
                    </a:xfrm>
                    <a:prstGeom prst="rect">
                      <a:avLst/>
                    </a:prstGeom>
                    <a:noFill/>
                    <a:ln>
                      <a:noFill/>
                    </a:ln>
                  </pic:spPr>
                </pic:pic>
              </a:graphicData>
            </a:graphic>
          </wp:inline>
        </w:drawing>
      </w:r>
    </w:p>
    <w:p w:rsidR="008271A4" w:rsidRPr="00F45954" w:rsidRDefault="008271A4" w:rsidP="00EE1CCE">
      <w:pPr>
        <w:numPr>
          <w:ilvl w:val="0"/>
          <w:numId w:val="10"/>
        </w:numPr>
        <w:spacing w:after="120"/>
        <w:ind w:left="0" w:firstLine="0"/>
        <w:jc w:val="both"/>
        <w:rPr>
          <w:rFonts w:cs="Times New Roman"/>
          <w:sz w:val="20"/>
        </w:rPr>
      </w:pPr>
      <w:r w:rsidRPr="00F45954">
        <w:rPr>
          <w:rFonts w:cs="Times New Roman"/>
          <w:sz w:val="20"/>
        </w:rPr>
        <w:t>En 2016 siguieron los avances en el marco de esta meta estratégica, si bien a un ritmo más moderado que el esperado.</w:t>
      </w:r>
      <w:r>
        <w:rPr>
          <w:rFonts w:cs="Times New Roman"/>
          <w:sz w:val="20"/>
        </w:rPr>
        <w:t xml:space="preserve"> </w:t>
      </w:r>
      <w:r w:rsidRPr="00F45954">
        <w:rPr>
          <w:rFonts w:cs="Times New Roman"/>
          <w:sz w:val="20"/>
        </w:rPr>
        <w:t xml:space="preserve"> A fines de 2016 todavía quedaban varias cuestiones pendientes en los comités permanentes.</w:t>
      </w:r>
    </w:p>
    <w:p w:rsidR="008271A4" w:rsidRPr="002B7DA3" w:rsidRDefault="008271A4" w:rsidP="00EE1CCE">
      <w:pPr>
        <w:pStyle w:val="ListParagraph"/>
        <w:numPr>
          <w:ilvl w:val="0"/>
          <w:numId w:val="7"/>
        </w:numPr>
        <w:spacing w:after="120"/>
        <w:jc w:val="both"/>
        <w:rPr>
          <w:lang w:val="es-ES"/>
        </w:rPr>
      </w:pPr>
      <w:r w:rsidRPr="00F45954">
        <w:rPr>
          <w:lang w:val="es-ES"/>
        </w:rPr>
        <w:t xml:space="preserve">Un acontecimiento destacado de 2016 fue la entrada en </w:t>
      </w:r>
      <w:r w:rsidRPr="002B7DA3">
        <w:rPr>
          <w:lang w:val="es-ES"/>
        </w:rPr>
        <w:t xml:space="preserve">vigor del Tratado de Marrakech el 30 de septiembre de 2016, al que se han adherido 25 miembros. </w:t>
      </w:r>
      <w:r>
        <w:rPr>
          <w:lang w:val="es-ES"/>
        </w:rPr>
        <w:t xml:space="preserve"> </w:t>
      </w:r>
      <w:r w:rsidRPr="002B7DA3">
        <w:rPr>
          <w:lang w:val="es-ES"/>
        </w:rPr>
        <w:t>La primera reunión del Tratado de Marrakech se celebró durante las Asambleas de 2016.</w:t>
      </w:r>
      <w:r>
        <w:rPr>
          <w:lang w:val="es-ES"/>
        </w:rPr>
        <w:t xml:space="preserve"> </w:t>
      </w:r>
      <w:r w:rsidRPr="002B7DA3">
        <w:rPr>
          <w:lang w:val="es-ES"/>
        </w:rPr>
        <w:t xml:space="preserve"> En general, 22 miembros nuevos se adhirieron a los tratados de la OMPI sobre derecho de autor en 2016, incluidos 12 </w:t>
      </w:r>
      <w:r>
        <w:rPr>
          <w:lang w:val="es-ES"/>
        </w:rPr>
        <w:t xml:space="preserve">nuevos </w:t>
      </w:r>
      <w:r w:rsidRPr="002B7DA3">
        <w:rPr>
          <w:lang w:val="es-ES"/>
        </w:rPr>
        <w:t>países que ratificaron el Tratado de Marrakech (Botswana, Canadá, Chile, Ecuador, Guatemala, Israel, Liberia, Perú, la República Popular Democrática de Corea, San Vicente y las Granadinas, Sri Lanka y Túnez) y 5 países que ratificaron el Tratado de Beijing (El Salvador, el Gabón, la República Popular Democrática de Corea, San Vicente y las Granadinas y Túnez), elevando el número total a 15 a</w:t>
      </w:r>
      <w:r>
        <w:rPr>
          <w:lang w:val="es-ES"/>
        </w:rPr>
        <w:t>l</w:t>
      </w:r>
      <w:r w:rsidRPr="002B7DA3">
        <w:rPr>
          <w:lang w:val="es-ES"/>
        </w:rPr>
        <w:t xml:space="preserve"> finalizar el año. </w:t>
      </w:r>
      <w:r>
        <w:rPr>
          <w:lang w:val="es-ES"/>
        </w:rPr>
        <w:t xml:space="preserve"> </w:t>
      </w:r>
      <w:r w:rsidRPr="002B7DA3">
        <w:rPr>
          <w:lang w:val="es-ES"/>
        </w:rPr>
        <w:t>Además, alrededor de 17 Estados miembros u organizaciones regionales solicitaron y recibieron asistencia legislativa de la OMPI en materia de derecho de autor en relación con 18 asuntos, entre ellos muchos vinculados con el proceso de actualizar la legislación para adaptarla a la era digital o incorporar nuevas disposiciones para adherirse a los tratados de la OMPI en materia de derecho de autor.</w:t>
      </w:r>
    </w:p>
    <w:p w:rsidR="008271A4" w:rsidRPr="002B7DA3" w:rsidRDefault="008271A4" w:rsidP="00EE1CCE">
      <w:pPr>
        <w:pStyle w:val="ListParagraph"/>
        <w:numPr>
          <w:ilvl w:val="0"/>
          <w:numId w:val="7"/>
        </w:numPr>
        <w:spacing w:after="120"/>
        <w:ind w:left="357"/>
        <w:jc w:val="both"/>
        <w:rPr>
          <w:lang w:val="es-ES"/>
        </w:rPr>
      </w:pPr>
      <w:r w:rsidRPr="002B7DA3">
        <w:rPr>
          <w:lang w:val="es-ES"/>
        </w:rPr>
        <w:t xml:space="preserve">El Comité Permanente de Derecho de Autor y Derechos Conexos (SCCR) mantuvo debates productivos acerca de un texto único para la protección de los organismos de radiodifusión y los principios para las limitaciones y excepciones; </w:t>
      </w:r>
      <w:r>
        <w:rPr>
          <w:lang w:val="es-ES"/>
        </w:rPr>
        <w:t xml:space="preserve"> </w:t>
      </w:r>
      <w:r w:rsidRPr="002B7DA3">
        <w:rPr>
          <w:lang w:val="es-ES"/>
        </w:rPr>
        <w:t>recibió los resultados de un estudio exhaustiv</w:t>
      </w:r>
      <w:r w:rsidR="00E72AF0">
        <w:rPr>
          <w:lang w:val="es-ES"/>
        </w:rPr>
        <w:t xml:space="preserve">o sobre educación;  y comenzó la labor sobre </w:t>
      </w:r>
      <w:r w:rsidRPr="002B7DA3">
        <w:rPr>
          <w:lang w:val="es-ES"/>
        </w:rPr>
        <w:t>dos asuntos adicionales relativos al derecho de autor en el entorno digital y el derecho de reventa.</w:t>
      </w:r>
    </w:p>
    <w:p w:rsidR="008271A4" w:rsidRPr="00F45954" w:rsidRDefault="008271A4" w:rsidP="00EE1CCE">
      <w:pPr>
        <w:pStyle w:val="ListParagraph"/>
        <w:numPr>
          <w:ilvl w:val="0"/>
          <w:numId w:val="7"/>
        </w:numPr>
        <w:spacing w:after="120"/>
        <w:jc w:val="both"/>
        <w:rPr>
          <w:rFonts w:cs="Arial"/>
          <w:lang w:val="es-ES"/>
        </w:rPr>
      </w:pPr>
      <w:r w:rsidRPr="00F45954">
        <w:rPr>
          <w:rFonts w:cs="Arial"/>
          <w:lang w:val="es-ES"/>
        </w:rPr>
        <w:t xml:space="preserve">Con el fin de mejorar la cooperación entre los Estados miembros en lo que atañe a seguir elaborando marcos normativos y de política equilibrados para el sistema internacional de patentes, en su vigesimocuarta y vigesimoquinta sesiones celebradas en junio y diciembre de 2016, respectivamente, el Comité Permanente sobre el Derecho de Patentes (SCP) avanzó en el debate de cinco cuestiones en su orden del día, a saber:  i) </w:t>
      </w:r>
      <w:r w:rsidRPr="00F45954">
        <w:rPr>
          <w:lang w:val="es-ES"/>
        </w:rPr>
        <w:t>las excepciones y limitaciones respecto de los derechos conferidos por las patentes;  ii) la calidad de las patentes, incluidos los procedimientos de oposición; iii) las patentes y la salud;  iv) la confidencialidad de las comunicaciones entre asesores de patente y sus clientes;  y v) la transferencia de tecnología.</w:t>
      </w:r>
    </w:p>
    <w:p w:rsidR="008271A4" w:rsidRPr="00F45954" w:rsidRDefault="008271A4" w:rsidP="00EE1CCE">
      <w:pPr>
        <w:pStyle w:val="ListParagraph"/>
        <w:numPr>
          <w:ilvl w:val="0"/>
          <w:numId w:val="7"/>
        </w:numPr>
        <w:spacing w:after="120"/>
        <w:jc w:val="both"/>
        <w:rPr>
          <w:rFonts w:cs="Arial"/>
          <w:lang w:val="es-ES"/>
        </w:rPr>
      </w:pPr>
      <w:r w:rsidRPr="00F45954">
        <w:rPr>
          <w:rFonts w:cs="Arial"/>
          <w:lang w:val="es-ES"/>
        </w:rPr>
        <w:t>Con respecto a los tratados administrados por la OMPI en el ámbito de las patentes, en 2016 Camboya, Djibouti y Kuwait se adhirieron al Tratado de Cooperación en materia de Patentes; Belarús, el Japón y Liberia se adhirieron al Tratado sobre el Derecho de Patentes; y Colombia se adhirió al Tratado de Budapest.</w:t>
      </w:r>
    </w:p>
    <w:p w:rsidR="008271A4" w:rsidRPr="00F45954" w:rsidRDefault="008271A4" w:rsidP="00EE1CCE">
      <w:pPr>
        <w:pStyle w:val="ListParagraph"/>
        <w:numPr>
          <w:ilvl w:val="0"/>
          <w:numId w:val="7"/>
        </w:numPr>
        <w:spacing w:after="120"/>
        <w:jc w:val="both"/>
        <w:rPr>
          <w:rFonts w:cs="Arial"/>
          <w:lang w:val="es-ES"/>
        </w:rPr>
      </w:pPr>
      <w:r w:rsidRPr="00F45954">
        <w:rPr>
          <w:rFonts w:cs="Arial"/>
          <w:lang w:val="es-ES"/>
        </w:rPr>
        <w:t xml:space="preserve">Además, la Secretaría siguió contribuyendo a promover una mayor concientización de los principios jurídicos y las prácticas del sistema de patentes, a través del suministro de información pertinente a las organizaciones intergubernamentales, los órganos de las Naciones Unidas, las organizaciones no gubernamentales y otras partes. </w:t>
      </w:r>
      <w:r>
        <w:rPr>
          <w:rFonts w:cs="Arial"/>
          <w:lang w:val="es-ES"/>
        </w:rPr>
        <w:t xml:space="preserve"> </w:t>
      </w:r>
      <w:r w:rsidRPr="00F45954">
        <w:rPr>
          <w:rFonts w:cs="Arial"/>
          <w:lang w:val="es-ES"/>
        </w:rPr>
        <w:t xml:space="preserve">A este respecto, por primera vez desde la adopción del Tratado de Budapest en 1979, la Secretaría y las Autoridades internacionales de depósito se reunieron en 2016 para debatir los diversos aspectos prácticos de </w:t>
      </w:r>
      <w:r>
        <w:rPr>
          <w:rFonts w:cs="Arial"/>
          <w:lang w:val="es-ES"/>
        </w:rPr>
        <w:t>las tareas que realizan</w:t>
      </w:r>
      <w:r w:rsidRPr="00F45954">
        <w:rPr>
          <w:rFonts w:cs="Arial"/>
          <w:lang w:val="es-ES"/>
        </w:rPr>
        <w:t xml:space="preserve"> en el marco del Tratado.</w:t>
      </w:r>
    </w:p>
    <w:p w:rsidR="008271A4" w:rsidRPr="00F45954" w:rsidRDefault="008271A4" w:rsidP="00EE1CCE">
      <w:pPr>
        <w:pStyle w:val="ListParagraph"/>
        <w:numPr>
          <w:ilvl w:val="0"/>
          <w:numId w:val="7"/>
        </w:numPr>
        <w:spacing w:after="120"/>
        <w:jc w:val="both"/>
        <w:rPr>
          <w:rFonts w:cs="Arial"/>
          <w:lang w:val="es-ES"/>
        </w:rPr>
      </w:pPr>
      <w:r w:rsidRPr="00F45954">
        <w:rPr>
          <w:rFonts w:cs="Arial"/>
          <w:lang w:val="es-ES"/>
        </w:rPr>
        <w:lastRenderedPageBreak/>
        <w:t xml:space="preserve">En octubre de 2016, se puso en </w:t>
      </w:r>
      <w:r w:rsidRPr="002B7DA3">
        <w:rPr>
          <w:rFonts w:cs="Arial"/>
          <w:lang w:val="es-ES"/>
        </w:rPr>
        <w:t xml:space="preserve">marcha oficialmente el Programa de Asistencia a Inventores (PAI). El PAI </w:t>
      </w:r>
      <w:r>
        <w:rPr>
          <w:rFonts w:cs="Arial"/>
          <w:lang w:val="es-ES"/>
        </w:rPr>
        <w:t xml:space="preserve">está en vigor </w:t>
      </w:r>
      <w:r w:rsidRPr="002B7DA3">
        <w:rPr>
          <w:rFonts w:cs="Arial"/>
          <w:lang w:val="es-ES"/>
        </w:rPr>
        <w:t xml:space="preserve">en Colombia, Marruecos y Filipinas, y puede comenzar a aplicarse progresivamente en otros Estados miembros de la OMPI. </w:t>
      </w:r>
      <w:r>
        <w:rPr>
          <w:rFonts w:cs="Arial"/>
          <w:lang w:val="es-ES"/>
        </w:rPr>
        <w:t xml:space="preserve"> </w:t>
      </w:r>
      <w:r w:rsidRPr="002B7DA3">
        <w:rPr>
          <w:rFonts w:cs="Arial"/>
          <w:lang w:val="es-ES"/>
        </w:rPr>
        <w:t>El programa cuenta con 50 abogados de patentes que trabajan en forma voluntaria y brindan asesoramiento de alta calidad a los inventores</w:t>
      </w:r>
      <w:r w:rsidRPr="00F45954">
        <w:rPr>
          <w:rFonts w:cs="Arial"/>
          <w:lang w:val="es-ES"/>
        </w:rPr>
        <w:t xml:space="preserve"> de los países beneficiarios. </w:t>
      </w:r>
      <w:r>
        <w:rPr>
          <w:rFonts w:cs="Arial"/>
          <w:lang w:val="es-ES"/>
        </w:rPr>
        <w:t xml:space="preserve"> </w:t>
      </w:r>
      <w:r w:rsidRPr="00F45954">
        <w:rPr>
          <w:rFonts w:cs="Arial"/>
          <w:lang w:val="es-ES"/>
        </w:rPr>
        <w:t>A finales de 2016, más de 30 inventores recibieron asesoramiento jurídico y técnico gratuito a través del programa.</w:t>
      </w:r>
    </w:p>
    <w:p w:rsidR="008271A4" w:rsidRPr="00F45954" w:rsidRDefault="008271A4" w:rsidP="00EE1CCE">
      <w:pPr>
        <w:pStyle w:val="ListParagraph"/>
        <w:numPr>
          <w:ilvl w:val="0"/>
          <w:numId w:val="7"/>
        </w:numPr>
        <w:spacing w:after="120"/>
        <w:jc w:val="both"/>
        <w:rPr>
          <w:lang w:val="es-ES"/>
        </w:rPr>
      </w:pPr>
      <w:r w:rsidRPr="00F45954">
        <w:rPr>
          <w:lang w:val="es-ES"/>
        </w:rPr>
        <w:t>La trigésimo quinta y trigésimo sexta sesiones del Comité Permanente sobre el Derecho de Marcas, Diseños Industriales e Indicaciones Geográficas (SCT) se celebraron en abril y octubre de 2016, respectivamente.</w:t>
      </w:r>
      <w:r>
        <w:rPr>
          <w:lang w:val="es-ES"/>
        </w:rPr>
        <w:t xml:space="preserve"> </w:t>
      </w:r>
      <w:r w:rsidRPr="00F45954">
        <w:rPr>
          <w:lang w:val="es-ES"/>
        </w:rPr>
        <w:t xml:space="preserve"> Se recuerda que la Asamblea General de la OMPI, durante su cuadragésimo séptimo período de sesiones (22º ordinario) celebrado en octubre de 2015, decidió “convocar una conferencia diplomática para la adopción del DLT hacia fines del primer semestre de 2017, únicamente si se dan por concluidos los debates en el SCT sobre la asistencia técnica y la divulgación en sus sesiones trigésima cuarta y trigésima quinta”.</w:t>
      </w:r>
      <w:r>
        <w:rPr>
          <w:lang w:val="es-ES"/>
        </w:rPr>
        <w:t xml:space="preserve"> </w:t>
      </w:r>
      <w:r w:rsidRPr="00F45954">
        <w:rPr>
          <w:lang w:val="es-ES"/>
        </w:rPr>
        <w:t xml:space="preserve"> Dado que no se concluyeron los debate</w:t>
      </w:r>
      <w:r w:rsidR="00E72AF0">
        <w:rPr>
          <w:lang w:val="es-ES"/>
        </w:rPr>
        <w:t>s durante las dos sesiones del S</w:t>
      </w:r>
      <w:r w:rsidRPr="00F45954">
        <w:rPr>
          <w:lang w:val="es-ES"/>
        </w:rPr>
        <w:t>CT en cuestión, el asunto volvió a la Asamblea, que decidió, en su cuadragésimo octavo período de sesiones (26º ordinario), celebrado en octubre de 2016, que “en su siguiente período de sesiones de octubre de 2017, continuará considerando la convocación de una conferencia diplomática relativa al DLT para que tenga lugar</w:t>
      </w:r>
      <w:r w:rsidR="00E615AB">
        <w:rPr>
          <w:lang w:val="es-ES"/>
        </w:rPr>
        <w:t xml:space="preserve"> a fines del primer semestre de </w:t>
      </w:r>
      <w:r w:rsidRPr="00F45954">
        <w:rPr>
          <w:lang w:val="es-ES"/>
        </w:rPr>
        <w:t>2018”.</w:t>
      </w:r>
      <w:r>
        <w:rPr>
          <w:lang w:val="es-ES"/>
        </w:rPr>
        <w:t xml:space="preserve"> </w:t>
      </w:r>
      <w:r w:rsidRPr="00F45954">
        <w:rPr>
          <w:lang w:val="es-ES"/>
        </w:rPr>
        <w:t xml:space="preserve"> En el trigésimo sexto período de sesiones del SCT, el presidente del SCT concluyó que “si bien el DLT se mantendrá en su orden del día, el SCT se someterá a la decisión de la Asamblea General”.</w:t>
      </w:r>
    </w:p>
    <w:p w:rsidR="008271A4" w:rsidRPr="004A4588" w:rsidRDefault="008271A4" w:rsidP="00EE1CCE">
      <w:pPr>
        <w:pStyle w:val="ListParagraph"/>
        <w:numPr>
          <w:ilvl w:val="0"/>
          <w:numId w:val="7"/>
        </w:numPr>
        <w:spacing w:after="120"/>
        <w:jc w:val="both"/>
        <w:rPr>
          <w:lang w:val="es-ES"/>
        </w:rPr>
      </w:pPr>
      <w:r w:rsidRPr="004A4588">
        <w:rPr>
          <w:lang w:val="es-ES"/>
        </w:rPr>
        <w:t xml:space="preserve">Siete nuevas Partes Contratantes ratificaron o se adhirieron al Tratado de Singapur sobre el Derecho de Marcas (Benin, Irlanda, Japón, Malí, la República de Corea, la </w:t>
      </w:r>
      <w:r w:rsidRPr="004A4588">
        <w:rPr>
          <w:rFonts w:ascii="Helvetica" w:hAnsi="Helvetica" w:cs="Helvetica"/>
          <w:sz w:val="21"/>
          <w:szCs w:val="21"/>
          <w:shd w:val="clear" w:color="auto" w:fill="F5F5F5"/>
          <w:lang w:val="es-ES"/>
        </w:rPr>
        <w:t>República Popular Democrática de Corea</w:t>
      </w:r>
      <w:r w:rsidRPr="004A4588">
        <w:rPr>
          <w:rStyle w:val="apple-converted-space"/>
          <w:rFonts w:ascii="Helvetica" w:hAnsi="Helvetica" w:cs="Helvetica"/>
          <w:sz w:val="21"/>
          <w:szCs w:val="21"/>
          <w:shd w:val="clear" w:color="auto" w:fill="F5F5F5"/>
          <w:lang w:val="es-ES"/>
        </w:rPr>
        <w:t xml:space="preserve"> y la Organización Africana de la Propiedad Intelectual (OAPI)), lo que elevó a 45 el número total de Partes Contratantes, a final de 2016. </w:t>
      </w:r>
    </w:p>
    <w:p w:rsidR="008271A4" w:rsidRPr="00F45954" w:rsidRDefault="008271A4" w:rsidP="00EE1CCE">
      <w:pPr>
        <w:pStyle w:val="ListParagraph"/>
        <w:numPr>
          <w:ilvl w:val="0"/>
          <w:numId w:val="7"/>
        </w:numPr>
        <w:spacing w:after="120"/>
        <w:jc w:val="both"/>
        <w:rPr>
          <w:lang w:val="es-ES"/>
        </w:rPr>
      </w:pPr>
      <w:r>
        <w:rPr>
          <w:lang w:val="es-ES"/>
        </w:rPr>
        <w:t>Tras no haber celebrado reuniones</w:t>
      </w:r>
      <w:r w:rsidRPr="004A4588">
        <w:rPr>
          <w:lang w:val="es-ES"/>
        </w:rPr>
        <w:t xml:space="preserve"> en 2015, el Comité Intergubernamental sobre Propiedad</w:t>
      </w:r>
      <w:r w:rsidRPr="00F45954">
        <w:rPr>
          <w:lang w:val="es-ES"/>
        </w:rPr>
        <w:t xml:space="preserve"> Intelectual y Recursos Genéticos, </w:t>
      </w:r>
      <w:r w:rsidRPr="002B7DA3">
        <w:rPr>
          <w:lang w:val="es-ES"/>
        </w:rPr>
        <w:t xml:space="preserve">Conocimientos Tradicionales y Folclore (CIG) volvió a </w:t>
      </w:r>
      <w:r>
        <w:rPr>
          <w:lang w:val="es-ES"/>
        </w:rPr>
        <w:t>reunir</w:t>
      </w:r>
      <w:r w:rsidRPr="002B7DA3">
        <w:rPr>
          <w:lang w:val="es-ES"/>
        </w:rPr>
        <w:t>s</w:t>
      </w:r>
      <w:r>
        <w:rPr>
          <w:lang w:val="es-ES"/>
        </w:rPr>
        <w:t>e</w:t>
      </w:r>
      <w:r w:rsidR="00E60CD1">
        <w:rPr>
          <w:lang w:val="es-ES"/>
        </w:rPr>
        <w:t xml:space="preserve"> en </w:t>
      </w:r>
      <w:r w:rsidRPr="002B7DA3">
        <w:rPr>
          <w:lang w:val="es-ES"/>
        </w:rPr>
        <w:t>2016 y siguió avanzando en las negociaciones basadas en textos en el marco de su nuevo mandato para el bienio, como estableció la Asamblea General de la OMPI en 2015.</w:t>
      </w:r>
      <w:r>
        <w:rPr>
          <w:lang w:val="es-ES"/>
        </w:rPr>
        <w:t xml:space="preserve"> </w:t>
      </w:r>
      <w:r w:rsidRPr="002B7DA3">
        <w:rPr>
          <w:lang w:val="es-ES"/>
        </w:rPr>
        <w:t xml:space="preserve"> En las cuatro sesiones celebradas en 2016 (sesio</w:t>
      </w:r>
      <w:r>
        <w:rPr>
          <w:lang w:val="es-ES"/>
        </w:rPr>
        <w:t xml:space="preserve">nes vigesimonovena, trigésima, trigésimo </w:t>
      </w:r>
      <w:r w:rsidRPr="002B7DA3">
        <w:rPr>
          <w:lang w:val="es-ES"/>
        </w:rPr>
        <w:t xml:space="preserve">primera y trigésimo segunda del CIG), se simplificaron los textos sobre recursos genéticos y conocimientos tradicionales del CIG y se siguieron aclarando las posiciones de las delegaciones. </w:t>
      </w:r>
      <w:r>
        <w:rPr>
          <w:lang w:val="es-ES"/>
        </w:rPr>
        <w:t xml:space="preserve"> </w:t>
      </w:r>
      <w:r w:rsidRPr="002B7DA3">
        <w:rPr>
          <w:lang w:val="es-ES"/>
        </w:rPr>
        <w:t>La Secretaría organizó dos seminarios que contribuyeron a crear conocimientos regionales e interregionales y a los avances logrados en el CIG. El número de miembros de comunidades indígenas y locales que participaron en el proceso del</w:t>
      </w:r>
      <w:r w:rsidRPr="00F45954">
        <w:rPr>
          <w:lang w:val="es-ES"/>
        </w:rPr>
        <w:t xml:space="preserve"> CIG no aumentó en parte debido a que el Fondo de la OMPI de Contribuciones Voluntarias para las Comunidades Indígenas y Locales Acreditadas siguió careciendo de recursos, pero la Secretaría siguió facilitando la participación de estas comunidades en el proceso en la medida de lo posible. </w:t>
      </w:r>
      <w:r>
        <w:rPr>
          <w:lang w:val="es-ES"/>
        </w:rPr>
        <w:t xml:space="preserve"> </w:t>
      </w:r>
      <w:r w:rsidRPr="00F45954">
        <w:rPr>
          <w:lang w:val="es-ES"/>
        </w:rPr>
        <w:t xml:space="preserve">El CIG examinará las expresiones culturales tradicionales en 2017. </w:t>
      </w:r>
      <w:r>
        <w:rPr>
          <w:lang w:val="es-ES"/>
        </w:rPr>
        <w:t xml:space="preserve"> </w:t>
      </w:r>
      <w:r w:rsidRPr="00F45954">
        <w:rPr>
          <w:lang w:val="es-ES"/>
        </w:rPr>
        <w:t xml:space="preserve">La Asamblea General de la OMPI evaluará los avances logrados por el CIG en 2016 y 2017 cuando vuelva a reunirse en octubre de 2017. </w:t>
      </w:r>
    </w:p>
    <w:p w:rsidR="008271A4" w:rsidRPr="00F45954" w:rsidRDefault="008271A4" w:rsidP="008271A4">
      <w:pPr>
        <w:spacing w:after="200"/>
        <w:jc w:val="both"/>
        <w:rPr>
          <w:bCs/>
          <w:highlight w:val="yellow"/>
        </w:rPr>
      </w:pPr>
    </w:p>
    <w:p w:rsidR="008271A4" w:rsidRPr="00F45954" w:rsidRDefault="008271A4" w:rsidP="001B0601">
      <w:pPr>
        <w:keepNext/>
        <w:jc w:val="center"/>
        <w:rPr>
          <w:b/>
          <w:iCs/>
        </w:rPr>
      </w:pPr>
      <w:r w:rsidRPr="00F45954">
        <w:rPr>
          <w:b/>
          <w:iCs/>
        </w:rPr>
        <w:lastRenderedPageBreak/>
        <w:t xml:space="preserve">Meta estratégica II:  Prestación de servicios mundiales de P.I. de calidad </w:t>
      </w:r>
    </w:p>
    <w:p w:rsidR="008271A4" w:rsidRPr="001B0601" w:rsidRDefault="008271A4" w:rsidP="001B0601">
      <w:pPr>
        <w:keepNext/>
        <w:jc w:val="center"/>
        <w:rPr>
          <w:b/>
          <w:iCs/>
          <w:sz w:val="16"/>
          <w:szCs w:val="16"/>
          <w:highlight w:val="yellow"/>
        </w:rPr>
      </w:pPr>
    </w:p>
    <w:p w:rsidR="008271A4" w:rsidRPr="00F45954" w:rsidRDefault="002541B0" w:rsidP="001B0601">
      <w:pPr>
        <w:keepNext/>
        <w:jc w:val="center"/>
        <w:rPr>
          <w:b/>
          <w:sz w:val="18"/>
          <w:szCs w:val="18"/>
          <w:highlight w:val="yellow"/>
        </w:rPr>
      </w:pPr>
      <w:r w:rsidRPr="002541B0">
        <w:rPr>
          <w:noProof/>
          <w:lang w:val="en-US" w:eastAsia="en-US"/>
        </w:rPr>
        <w:drawing>
          <wp:inline distT="0" distB="0" distL="0" distR="0">
            <wp:extent cx="4572000" cy="2874455"/>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572000" cy="2874455"/>
                    </a:xfrm>
                    <a:prstGeom prst="rect">
                      <a:avLst/>
                    </a:prstGeom>
                    <a:noFill/>
                    <a:ln>
                      <a:noFill/>
                    </a:ln>
                  </pic:spPr>
                </pic:pic>
              </a:graphicData>
            </a:graphic>
          </wp:inline>
        </w:drawing>
      </w:r>
      <w:r w:rsidRPr="002541B0">
        <w:t xml:space="preserve"> </w:t>
      </w:r>
    </w:p>
    <w:p w:rsidR="008271A4" w:rsidRPr="00F45954" w:rsidRDefault="008271A4" w:rsidP="00EE1CCE">
      <w:pPr>
        <w:keepNext/>
        <w:numPr>
          <w:ilvl w:val="0"/>
          <w:numId w:val="10"/>
        </w:numPr>
        <w:spacing w:after="120"/>
        <w:ind w:left="0" w:firstLine="0"/>
        <w:jc w:val="both"/>
        <w:rPr>
          <w:rFonts w:cs="Times New Roman"/>
          <w:sz w:val="20"/>
        </w:rPr>
      </w:pPr>
      <w:r>
        <w:rPr>
          <w:rFonts w:cs="Times New Roman"/>
          <w:sz w:val="20"/>
        </w:rPr>
        <w:t>El año 2016 volvió a ser excepcional para los</w:t>
      </w:r>
      <w:r w:rsidRPr="00F45954">
        <w:rPr>
          <w:rFonts w:cs="Times New Roman"/>
          <w:sz w:val="20"/>
        </w:rPr>
        <w:t xml:space="preserve"> sistemas de registro internacional de la OMPI</w:t>
      </w:r>
      <w:r>
        <w:rPr>
          <w:rFonts w:cs="Times New Roman"/>
          <w:sz w:val="20"/>
        </w:rPr>
        <w:t xml:space="preserve">, dado que se experimentó </w:t>
      </w:r>
      <w:r w:rsidRPr="00F45954">
        <w:rPr>
          <w:rFonts w:cs="Times New Roman"/>
          <w:sz w:val="20"/>
        </w:rPr>
        <w:t xml:space="preserve">un crecimiento considerable por séptimo año consecutivo. </w:t>
      </w:r>
    </w:p>
    <w:p w:rsidR="008271A4" w:rsidRPr="00F45954" w:rsidRDefault="008271A4" w:rsidP="00EE1CCE">
      <w:pPr>
        <w:pStyle w:val="ListParagraph"/>
        <w:numPr>
          <w:ilvl w:val="0"/>
          <w:numId w:val="8"/>
        </w:numPr>
        <w:spacing w:after="120"/>
        <w:jc w:val="both"/>
        <w:rPr>
          <w:lang w:val="es-ES"/>
        </w:rPr>
      </w:pPr>
      <w:r>
        <w:rPr>
          <w:lang w:val="es-ES"/>
        </w:rPr>
        <w:t xml:space="preserve">En el marco del </w:t>
      </w:r>
      <w:r w:rsidRPr="00EE5D66">
        <w:rPr>
          <w:lang w:val="es-ES"/>
        </w:rPr>
        <w:t xml:space="preserve">PCT, la Oficina Internacional recibió aproximadamente 233.000 ejemplares originales en 2016, lo que supone un aumento del 7,4% con respecto a 2015. </w:t>
      </w:r>
      <w:r>
        <w:rPr>
          <w:lang w:val="es-ES"/>
        </w:rPr>
        <w:t xml:space="preserve"> </w:t>
      </w:r>
      <w:r w:rsidRPr="00EE5D66">
        <w:rPr>
          <w:lang w:val="es-ES"/>
        </w:rPr>
        <w:t xml:space="preserve">Tres gigantes de las telecomunicaciones de China y los Estados Unidos de América siguieron liderando las actividades relacionadas con la presentación de solicitudes internacionales de patente. </w:t>
      </w:r>
      <w:r>
        <w:rPr>
          <w:lang w:val="es-ES"/>
        </w:rPr>
        <w:t xml:space="preserve"> </w:t>
      </w:r>
      <w:r w:rsidRPr="00EE5D66">
        <w:rPr>
          <w:lang w:val="es-ES"/>
        </w:rPr>
        <w:t>El porcentaje de solicitudes presentadas enteramente por medios electrónicos siguió aumentando y constituye el 96% de todas las solicitudes  presentadas en 2016</w:t>
      </w:r>
      <w:r w:rsidRPr="00F45954">
        <w:rPr>
          <w:lang w:val="es-ES"/>
        </w:rPr>
        <w:t xml:space="preserve">. </w:t>
      </w:r>
      <w:r>
        <w:rPr>
          <w:lang w:val="es-ES"/>
        </w:rPr>
        <w:t xml:space="preserve"> Si bien</w:t>
      </w:r>
      <w:r w:rsidRPr="00F45954">
        <w:rPr>
          <w:lang w:val="es-ES"/>
        </w:rPr>
        <w:t xml:space="preserve">, en 2016, el porcentaje más </w:t>
      </w:r>
      <w:r>
        <w:rPr>
          <w:lang w:val="es-ES"/>
        </w:rPr>
        <w:t xml:space="preserve">elevado de solicitudes </w:t>
      </w:r>
      <w:r w:rsidRPr="00F45954">
        <w:rPr>
          <w:lang w:val="es-ES"/>
        </w:rPr>
        <w:t xml:space="preserve">(45%) </w:t>
      </w:r>
      <w:r>
        <w:rPr>
          <w:lang w:val="es-ES"/>
        </w:rPr>
        <w:t>se presentó</w:t>
      </w:r>
      <w:r w:rsidRPr="00F45954">
        <w:rPr>
          <w:lang w:val="es-ES"/>
        </w:rPr>
        <w:t xml:space="preserve"> en inglés</w:t>
      </w:r>
      <w:r>
        <w:rPr>
          <w:lang w:val="es-ES"/>
        </w:rPr>
        <w:t>,</w:t>
      </w:r>
      <w:r w:rsidRPr="00F45954">
        <w:rPr>
          <w:lang w:val="es-ES"/>
        </w:rPr>
        <w:t xml:space="preserve"> el porcentaje de solicitudes presentadas en idiomas asiáticos siguió aumentando. </w:t>
      </w:r>
      <w:r>
        <w:rPr>
          <w:lang w:val="es-ES"/>
        </w:rPr>
        <w:t xml:space="preserve"> </w:t>
      </w:r>
      <w:r w:rsidRPr="00F45954">
        <w:rPr>
          <w:lang w:val="es-ES"/>
        </w:rPr>
        <w:t>El porcentaje combinado de solicitudes PCT presentadas en japonés, chino y coreano aumentó de un 29,5% en 2010 a un 42% en 2016.</w:t>
      </w:r>
    </w:p>
    <w:p w:rsidR="008271A4" w:rsidRPr="00EE5D66" w:rsidRDefault="008271A4" w:rsidP="00EE1CCE">
      <w:pPr>
        <w:pStyle w:val="ListParagraph"/>
        <w:numPr>
          <w:ilvl w:val="0"/>
          <w:numId w:val="8"/>
        </w:numPr>
        <w:spacing w:after="120"/>
        <w:jc w:val="both"/>
        <w:rPr>
          <w:lang w:val="es-ES"/>
        </w:rPr>
      </w:pPr>
      <w:r w:rsidRPr="00F45954">
        <w:rPr>
          <w:lang w:val="es-ES"/>
        </w:rPr>
        <w:t xml:space="preserve">En su novena reunión celebrada en </w:t>
      </w:r>
      <w:r w:rsidRPr="00EE5D66">
        <w:rPr>
          <w:lang w:val="es-ES"/>
        </w:rPr>
        <w:t xml:space="preserve">2016, el Grupo de Trabajo del PCT continuó los debates sobre algunas propuestas para alcanzar los objetivos del Tratado en beneficio de todas las partes interesadas, en sintonía con las recomendaciones de la hoja de ruta del PCT suscritas por los Estados miembros, que incluyen recomendaciones acerca de cómo el desarrollo futuro del PCT puede ajustarse a las recomendaciones aplicables de la Agenda para el Desarrollo (A.D.), en particular las de las Categorías A y C. </w:t>
      </w:r>
      <w:r>
        <w:rPr>
          <w:lang w:val="es-ES"/>
        </w:rPr>
        <w:t xml:space="preserve"> </w:t>
      </w:r>
      <w:r w:rsidRPr="00EE5D66">
        <w:rPr>
          <w:lang w:val="es-ES"/>
        </w:rPr>
        <w:t>El Grupo de Trabajo examinó, entre otras cosas, las cuestiones como  los servicios basados en las tecnologías de la información que ahora ofrecen nuevas oportunidades de colaboración entre Oficinas, formas más eficaces de cooperación y  de mejorar el intercambio de información;  una propuesta de reducir las tasas del P</w:t>
      </w:r>
      <w:r w:rsidR="008714E0">
        <w:rPr>
          <w:lang w:val="es-ES"/>
        </w:rPr>
        <w:t>CT para las universidades y las instituciones pública</w:t>
      </w:r>
      <w:r w:rsidR="008714E0" w:rsidRPr="00EE5D66">
        <w:rPr>
          <w:lang w:val="es-ES"/>
        </w:rPr>
        <w:t xml:space="preserve">s </w:t>
      </w:r>
      <w:r w:rsidRPr="00EE5D66">
        <w:rPr>
          <w:lang w:val="es-ES"/>
        </w:rPr>
        <w:t xml:space="preserve">de investigación; la coordinación de la asistencia técnica brindada en el marco del PCT; </w:t>
      </w:r>
      <w:r>
        <w:rPr>
          <w:lang w:val="es-ES"/>
        </w:rPr>
        <w:t xml:space="preserve"> </w:t>
      </w:r>
      <w:r w:rsidRPr="00EE5D66">
        <w:rPr>
          <w:lang w:val="es-ES"/>
        </w:rPr>
        <w:t xml:space="preserve">y una mejor coordinación entre Oficinas </w:t>
      </w:r>
      <w:r w:rsidR="008714E0">
        <w:rPr>
          <w:lang w:val="es-ES"/>
        </w:rPr>
        <w:t>para</w:t>
      </w:r>
      <w:r w:rsidRPr="00EE5D66">
        <w:rPr>
          <w:lang w:val="es-ES"/>
        </w:rPr>
        <w:t xml:space="preserve"> la formación de examinadores de patentes.</w:t>
      </w:r>
    </w:p>
    <w:p w:rsidR="008271A4" w:rsidRPr="00F45954" w:rsidRDefault="008271A4" w:rsidP="00EE1CCE">
      <w:pPr>
        <w:pStyle w:val="ListParagraph"/>
        <w:numPr>
          <w:ilvl w:val="0"/>
          <w:numId w:val="8"/>
        </w:numPr>
        <w:spacing w:after="120"/>
        <w:jc w:val="both"/>
        <w:rPr>
          <w:lang w:val="es-ES"/>
        </w:rPr>
      </w:pPr>
      <w:r w:rsidRPr="00EE5D66">
        <w:rPr>
          <w:lang w:val="es-ES"/>
        </w:rPr>
        <w:t>La utilización del sistema ePCT aumentó considerablemente en 2016. A fines de 2016, 45 oficinas receptoras, con la ayuda de la</w:t>
      </w:r>
      <w:r w:rsidRPr="00F45954">
        <w:rPr>
          <w:lang w:val="es-ES"/>
        </w:rPr>
        <w:t xml:space="preserve"> Oficina Internacional, comenzaron a aceptar solicitudes presentadas por el sistema ePCT, en comparación con 29 en 2015.</w:t>
      </w:r>
      <w:r>
        <w:rPr>
          <w:lang w:val="es-ES"/>
        </w:rPr>
        <w:t xml:space="preserve"> </w:t>
      </w:r>
      <w:r w:rsidRPr="00F45954">
        <w:rPr>
          <w:lang w:val="es-ES"/>
        </w:rPr>
        <w:t xml:space="preserve"> Las solicitudes internacionales presentadas a través de ePCT aumentaron un 50%, de 7.229 a 10.843.</w:t>
      </w:r>
      <w:r>
        <w:rPr>
          <w:lang w:val="es-ES"/>
        </w:rPr>
        <w:t xml:space="preserve"> </w:t>
      </w:r>
      <w:r w:rsidRPr="00F45954">
        <w:rPr>
          <w:lang w:val="es-ES"/>
        </w:rPr>
        <w:t xml:space="preserve"> Un total de 45 oficinas receptoras y 13 Administraciones encargadas de la búsqueda internacional (en comparación con 34 y 8, respectivamente) permitieron aportar documentos después de presentar la solicitud a través de ePCT. </w:t>
      </w:r>
      <w:r>
        <w:rPr>
          <w:lang w:val="es-ES"/>
        </w:rPr>
        <w:t xml:space="preserve"> </w:t>
      </w:r>
      <w:r w:rsidRPr="00F45954">
        <w:rPr>
          <w:lang w:val="es-ES"/>
        </w:rPr>
        <w:t xml:space="preserve">Además, la Oficina Internacional puso en marcha un nuevo servicio, eSearchCopy, que comenzó a funcionar </w:t>
      </w:r>
      <w:r>
        <w:rPr>
          <w:lang w:val="es-ES"/>
        </w:rPr>
        <w:t>en fase de prueba</w:t>
      </w:r>
      <w:r w:rsidRPr="00F45954">
        <w:rPr>
          <w:lang w:val="es-ES"/>
        </w:rPr>
        <w:t xml:space="preserve"> en 2014, mediante el cual la Oficina Internacional prepara y </w:t>
      </w:r>
      <w:r w:rsidRPr="00EE5D66">
        <w:rPr>
          <w:lang w:val="es-ES"/>
        </w:rPr>
        <w:t>transmite las copias para la búsqueda a la Administración encargada de la búsqueda internacional en nombre de la Oficina receptora con la finalidad de mejorar</w:t>
      </w:r>
      <w:r w:rsidRPr="00F45954">
        <w:rPr>
          <w:lang w:val="es-ES"/>
        </w:rPr>
        <w:t xml:space="preserve"> la puntualidad y la eficacia de la búsqueda internacional.</w:t>
      </w:r>
      <w:r>
        <w:rPr>
          <w:lang w:val="es-ES"/>
        </w:rPr>
        <w:t xml:space="preserve"> </w:t>
      </w:r>
      <w:r w:rsidRPr="00F45954">
        <w:rPr>
          <w:lang w:val="es-ES"/>
        </w:rPr>
        <w:t xml:space="preserve"> El servicio pasó de ser utilizado por 28 pares de Oficinas a fines de 2015, entre las que se encontraban 6 Administraciones encargadas de la búsqueda internacional y 15 Oficinas receptoras, a 65 pares, entre las que se encuentran 13 Administraciones encargadas de </w:t>
      </w:r>
      <w:r w:rsidR="008714E0">
        <w:rPr>
          <w:lang w:val="es-ES"/>
        </w:rPr>
        <w:t>la búsqueda internacional y 45 O</w:t>
      </w:r>
      <w:r w:rsidRPr="00F45954">
        <w:rPr>
          <w:lang w:val="es-ES"/>
        </w:rPr>
        <w:t>ficinas receptoras.</w:t>
      </w:r>
    </w:p>
    <w:p w:rsidR="008271A4" w:rsidRPr="00F45954" w:rsidRDefault="008271A4" w:rsidP="00EE1CCE">
      <w:pPr>
        <w:pStyle w:val="ListParagraph"/>
        <w:numPr>
          <w:ilvl w:val="0"/>
          <w:numId w:val="9"/>
        </w:numPr>
        <w:spacing w:after="120"/>
        <w:ind w:left="357" w:hanging="357"/>
        <w:jc w:val="both"/>
        <w:rPr>
          <w:lang w:val="es-ES"/>
        </w:rPr>
      </w:pPr>
      <w:r w:rsidRPr="00F45954">
        <w:rPr>
          <w:lang w:val="es-ES"/>
        </w:rPr>
        <w:lastRenderedPageBreak/>
        <w:t xml:space="preserve">El año 2016 </w:t>
      </w:r>
      <w:r w:rsidR="00D306F3">
        <w:rPr>
          <w:lang w:val="es-ES"/>
        </w:rPr>
        <w:t>constituy</w:t>
      </w:r>
      <w:r w:rsidRPr="00F45954">
        <w:rPr>
          <w:lang w:val="es-ES"/>
        </w:rPr>
        <w:t>ó un r</w:t>
      </w:r>
      <w:r>
        <w:rPr>
          <w:lang w:val="es-ES"/>
        </w:rPr>
        <w:t>é</w:t>
      </w:r>
      <w:r w:rsidRPr="00F45954">
        <w:rPr>
          <w:lang w:val="es-ES"/>
        </w:rPr>
        <w:t xml:space="preserve">cord para el Sistema de Madrid: </w:t>
      </w:r>
      <w:r>
        <w:rPr>
          <w:lang w:val="es-ES"/>
        </w:rPr>
        <w:t xml:space="preserve"> </w:t>
      </w:r>
      <w:r w:rsidRPr="00F45954">
        <w:rPr>
          <w:lang w:val="es-ES"/>
        </w:rPr>
        <w:t>se presentaron un total de 52.550 solicitudes internacionales, que supone un aumento del 7,2% de la</w:t>
      </w:r>
      <w:r w:rsidR="00A60B05">
        <w:rPr>
          <w:lang w:val="es-ES"/>
        </w:rPr>
        <w:t xml:space="preserve">s </w:t>
      </w:r>
      <w:r w:rsidR="008714E0">
        <w:rPr>
          <w:lang w:val="es-ES"/>
        </w:rPr>
        <w:t>solicitudes presentadas</w:t>
      </w:r>
      <w:r w:rsidR="00A60B05">
        <w:rPr>
          <w:lang w:val="es-ES"/>
        </w:rPr>
        <w:t xml:space="preserve"> con respecto a </w:t>
      </w:r>
      <w:r w:rsidRPr="00F45954">
        <w:rPr>
          <w:lang w:val="es-ES"/>
        </w:rPr>
        <w:t xml:space="preserve">2015. </w:t>
      </w:r>
      <w:r>
        <w:rPr>
          <w:lang w:val="es-ES"/>
        </w:rPr>
        <w:t xml:space="preserve"> </w:t>
      </w:r>
      <w:r w:rsidRPr="00F45954">
        <w:rPr>
          <w:lang w:val="es-ES"/>
        </w:rPr>
        <w:t>A fin de año, el Registro de Madrid contenía un total de 641.587 registros internacionales, que equivalen a 5,71 millones de registros de marcas nacionales y regionales.</w:t>
      </w:r>
    </w:p>
    <w:p w:rsidR="008271A4" w:rsidRPr="00F45954" w:rsidRDefault="008271A4" w:rsidP="00EE1CCE">
      <w:pPr>
        <w:pStyle w:val="ListParagraph"/>
        <w:numPr>
          <w:ilvl w:val="0"/>
          <w:numId w:val="9"/>
        </w:numPr>
        <w:spacing w:after="120"/>
        <w:jc w:val="both"/>
        <w:rPr>
          <w:lang w:val="es-ES"/>
        </w:rPr>
      </w:pPr>
      <w:r w:rsidRPr="00F45954">
        <w:rPr>
          <w:lang w:val="es-ES"/>
        </w:rPr>
        <w:t xml:space="preserve">El Grupo de Trabajo del Sistema de Madrid realizó sólidos progresos en 2016 y </w:t>
      </w:r>
      <w:r w:rsidR="008714E0">
        <w:rPr>
          <w:lang w:val="es-ES"/>
        </w:rPr>
        <w:t>adoptó una serie de cambios al R</w:t>
      </w:r>
      <w:r w:rsidRPr="00F45954">
        <w:rPr>
          <w:lang w:val="es-ES"/>
        </w:rPr>
        <w:t xml:space="preserve">eglamento, que fueron aprobados por la Asamblea de la Unión de Madrid. </w:t>
      </w:r>
      <w:r>
        <w:rPr>
          <w:lang w:val="es-ES"/>
        </w:rPr>
        <w:t xml:space="preserve"> </w:t>
      </w:r>
      <w:r w:rsidRPr="00F45954">
        <w:rPr>
          <w:lang w:val="es-ES"/>
        </w:rPr>
        <w:t>Además, el Grupo de Trabajo llegó a un acuerdo sobre una hoja de ruta para trabajar sobre temas específicos en el corto, mediano y largo plazo.</w:t>
      </w:r>
    </w:p>
    <w:p w:rsidR="008271A4" w:rsidRPr="00F45954" w:rsidRDefault="008271A4" w:rsidP="00EE1CCE">
      <w:pPr>
        <w:pStyle w:val="ListParagraph"/>
        <w:numPr>
          <w:ilvl w:val="0"/>
          <w:numId w:val="9"/>
        </w:numPr>
        <w:spacing w:after="120"/>
        <w:jc w:val="both"/>
        <w:rPr>
          <w:lang w:val="es-ES"/>
        </w:rPr>
      </w:pPr>
      <w:r w:rsidRPr="00F45954">
        <w:rPr>
          <w:lang w:val="es-ES"/>
        </w:rPr>
        <w:t>El Sistema de La Haya recibió un número de solicitudes sin precedentes en 2016 (5.562), que representa una tasa de crecimiento del 35% en 2015.</w:t>
      </w:r>
      <w:r>
        <w:rPr>
          <w:lang w:val="es-ES"/>
        </w:rPr>
        <w:t xml:space="preserve">  </w:t>
      </w:r>
      <w:r w:rsidRPr="00F45954">
        <w:rPr>
          <w:lang w:val="es-ES"/>
        </w:rPr>
        <w:t xml:space="preserve"> El número de </w:t>
      </w:r>
      <w:r w:rsidR="008714E0">
        <w:rPr>
          <w:lang w:val="es-ES"/>
        </w:rPr>
        <w:t>dibujos y modelos</w:t>
      </w:r>
      <w:r w:rsidRPr="00F45954">
        <w:rPr>
          <w:lang w:val="es-ES"/>
        </w:rPr>
        <w:t xml:space="preserve"> también registró un aumento del 14% en 2015, pero lo hizo a un paso más lento, lo que confirma una tendencia a la baja en </w:t>
      </w:r>
      <w:r>
        <w:rPr>
          <w:lang w:val="es-ES"/>
        </w:rPr>
        <w:t>el número promedio</w:t>
      </w:r>
      <w:r w:rsidRPr="00F45954">
        <w:rPr>
          <w:lang w:val="es-ES"/>
        </w:rPr>
        <w:t xml:space="preserve"> de </w:t>
      </w:r>
      <w:r w:rsidR="008714E0">
        <w:rPr>
          <w:lang w:val="es-ES"/>
        </w:rPr>
        <w:t>dibujos y modelos</w:t>
      </w:r>
      <w:r w:rsidRPr="00F45954">
        <w:rPr>
          <w:lang w:val="es-ES"/>
        </w:rPr>
        <w:t xml:space="preserve"> por solicitud debido a las jurisdicciones de examen adicionales que son consecuencia de la expansión del Sistema de La Haya.</w:t>
      </w:r>
    </w:p>
    <w:p w:rsidR="008271A4" w:rsidRPr="00F45954" w:rsidRDefault="008271A4" w:rsidP="00EE1CCE">
      <w:pPr>
        <w:pStyle w:val="ListParagraph"/>
        <w:numPr>
          <w:ilvl w:val="0"/>
          <w:numId w:val="9"/>
        </w:numPr>
        <w:spacing w:after="120"/>
        <w:jc w:val="both"/>
        <w:rPr>
          <w:lang w:val="es-ES"/>
        </w:rPr>
      </w:pPr>
      <w:r w:rsidRPr="00F45954">
        <w:rPr>
          <w:lang w:val="es-ES"/>
        </w:rPr>
        <w:t xml:space="preserve">Los países miembros </w:t>
      </w:r>
      <w:r w:rsidRPr="00EE5D66">
        <w:rPr>
          <w:lang w:val="es-ES"/>
        </w:rPr>
        <w:t>del Acta de Ginebra de 1999 del Arreglo de La Haya aumentaron a 52, tras las adhesiones de Camboya y la República</w:t>
      </w:r>
      <w:r w:rsidRPr="00F45954">
        <w:rPr>
          <w:lang w:val="es-ES"/>
        </w:rPr>
        <w:t xml:space="preserve"> Popular Democrática de Corea.</w:t>
      </w:r>
      <w:r>
        <w:rPr>
          <w:lang w:val="es-ES"/>
        </w:rPr>
        <w:t xml:space="preserve"> </w:t>
      </w:r>
      <w:r w:rsidRPr="00F45954">
        <w:rPr>
          <w:lang w:val="es-ES"/>
        </w:rPr>
        <w:t xml:space="preserve"> La adhesión de la República Popular Democrática de Corea también implica que el número de países obligados únicamente por el Acta de 1960 (sin tener en cuenta a los países miembros de la UE y la OAPI) se redujo a tres. </w:t>
      </w:r>
      <w:r>
        <w:rPr>
          <w:lang w:val="es-ES"/>
        </w:rPr>
        <w:t xml:space="preserve"> </w:t>
      </w:r>
      <w:r w:rsidRPr="00F45954">
        <w:rPr>
          <w:lang w:val="es-ES"/>
        </w:rPr>
        <w:t>El Acta de 1934 dejó de estar vigente el 18 de octubre de 2016, tras haber recibido el último co</w:t>
      </w:r>
      <w:r>
        <w:rPr>
          <w:lang w:val="es-ES"/>
        </w:rPr>
        <w:t>nsentimiento que faltaba para el cese de su aplicación</w:t>
      </w:r>
      <w:r w:rsidRPr="00F45954">
        <w:rPr>
          <w:lang w:val="es-ES"/>
        </w:rPr>
        <w:t xml:space="preserve">. </w:t>
      </w:r>
    </w:p>
    <w:p w:rsidR="008271A4" w:rsidRPr="00F45954" w:rsidRDefault="008271A4" w:rsidP="00EE1CCE">
      <w:pPr>
        <w:pStyle w:val="ListParagraph"/>
        <w:numPr>
          <w:ilvl w:val="0"/>
          <w:numId w:val="9"/>
        </w:numPr>
        <w:spacing w:after="120"/>
        <w:jc w:val="both"/>
        <w:rPr>
          <w:lang w:val="es-ES"/>
        </w:rPr>
      </w:pPr>
      <w:r w:rsidRPr="00F45954">
        <w:rPr>
          <w:lang w:val="es-ES"/>
        </w:rPr>
        <w:t xml:space="preserve">Como se decidió en la Asamblea de la Unión de Lisboa en 2015, la primera reunión del Grupo de Trabajo encargado de preparar el Reglamento Común de conformidad con el Arreglo de Lisboa y del Acta de Ginebra del Arreglo de Lisboa se celebró en junio de 2016. </w:t>
      </w:r>
      <w:r>
        <w:rPr>
          <w:lang w:val="es-ES"/>
        </w:rPr>
        <w:t xml:space="preserve"> </w:t>
      </w:r>
      <w:r w:rsidRPr="00F45954">
        <w:rPr>
          <w:lang w:val="es-ES"/>
        </w:rPr>
        <w:t xml:space="preserve">Además de examinar el proyecto de Reglamento Común, el Grupo de Trabajo examinó la situación financiera de la Unión de Lisboa en el bienio actual y su sostenibilidad financiera </w:t>
      </w:r>
      <w:r w:rsidR="008714E0">
        <w:rPr>
          <w:lang w:val="es-ES"/>
        </w:rPr>
        <w:t>a</w:t>
      </w:r>
      <w:r w:rsidRPr="00F45954">
        <w:rPr>
          <w:lang w:val="es-ES"/>
        </w:rPr>
        <w:t xml:space="preserve"> largo plazo. </w:t>
      </w:r>
      <w:r>
        <w:rPr>
          <w:lang w:val="es-ES"/>
        </w:rPr>
        <w:t xml:space="preserve"> </w:t>
      </w:r>
      <w:r w:rsidRPr="00F45954">
        <w:rPr>
          <w:lang w:val="es-ES"/>
        </w:rPr>
        <w:t xml:space="preserve">El Registro de Lisboa recibió 25 nuevas solicitudes para el registro de denominaciones de origen, 8 declaraciones de concesión de protección y 54 declaraciones de denegación, lo que representa un total de 89 transacciones. </w:t>
      </w:r>
      <w:r>
        <w:rPr>
          <w:lang w:val="es-ES"/>
        </w:rPr>
        <w:t xml:space="preserve"> </w:t>
      </w:r>
      <w:r w:rsidRPr="00F45954">
        <w:rPr>
          <w:lang w:val="es-ES"/>
        </w:rPr>
        <w:t xml:space="preserve">El número total de registros en vigor aumentó de  931 en 2015 a 1020 en 2016. De ese total, 95 procedieron de países en desarrollo o PMA (14 </w:t>
      </w:r>
      <w:r w:rsidR="00D306F3">
        <w:rPr>
          <w:lang w:val="es-ES"/>
        </w:rPr>
        <w:t>países</w:t>
      </w:r>
      <w:r w:rsidRPr="00F45954">
        <w:rPr>
          <w:lang w:val="es-ES"/>
        </w:rPr>
        <w:t xml:space="preserve"> </w:t>
      </w:r>
      <w:r w:rsidR="008714E0">
        <w:rPr>
          <w:lang w:val="es-ES"/>
        </w:rPr>
        <w:t>árabe</w:t>
      </w:r>
      <w:r w:rsidR="00D306F3">
        <w:rPr>
          <w:lang w:val="es-ES"/>
        </w:rPr>
        <w:t>s</w:t>
      </w:r>
      <w:r w:rsidRPr="00F45954">
        <w:rPr>
          <w:lang w:val="es-ES"/>
        </w:rPr>
        <w:t>, 38 de Asia y el Pacifico, y 43 de América Latina y el Caribe).</w:t>
      </w:r>
    </w:p>
    <w:p w:rsidR="008271A4" w:rsidRPr="00F45954" w:rsidRDefault="008271A4" w:rsidP="00EE1CCE">
      <w:pPr>
        <w:pStyle w:val="ListParagraph"/>
        <w:numPr>
          <w:ilvl w:val="0"/>
          <w:numId w:val="9"/>
        </w:numPr>
        <w:spacing w:after="120"/>
        <w:jc w:val="both"/>
        <w:rPr>
          <w:lang w:val="es-ES"/>
        </w:rPr>
      </w:pPr>
      <w:r w:rsidRPr="00F45954">
        <w:rPr>
          <w:lang w:val="es-ES"/>
        </w:rPr>
        <w:t xml:space="preserve">La Oficina Internacional </w:t>
      </w:r>
      <w:r w:rsidR="008714E0">
        <w:rPr>
          <w:lang w:val="es-ES"/>
        </w:rPr>
        <w:t>recaudó</w:t>
      </w:r>
      <w:r w:rsidRPr="00F45954">
        <w:rPr>
          <w:lang w:val="es-ES"/>
        </w:rPr>
        <w:t xml:space="preserve"> aproximadamente 390.000 francos suizos de los miembros de la Unión de Lisboa mediante subvenciones, de conformidad con el artículo 11.3).ii) del  Arreglo de Lisboa, en el marco de las medidas adoptadas por la Asamblea de la Unión de Lisboa en 2016 para eliminar el déficit </w:t>
      </w:r>
      <w:r w:rsidR="008714E0">
        <w:rPr>
          <w:lang w:val="es-ES"/>
        </w:rPr>
        <w:t>previsto para el bienio</w:t>
      </w:r>
      <w:r w:rsidRPr="00F45954">
        <w:rPr>
          <w:lang w:val="es-ES"/>
        </w:rPr>
        <w:t xml:space="preserve"> e</w:t>
      </w:r>
      <w:r w:rsidR="008714E0">
        <w:rPr>
          <w:lang w:val="es-ES"/>
        </w:rPr>
        <w:t>n</w:t>
      </w:r>
      <w:r w:rsidRPr="00F45954">
        <w:rPr>
          <w:lang w:val="es-ES"/>
        </w:rPr>
        <w:t xml:space="preserve"> la Unión de Lisboa.</w:t>
      </w:r>
    </w:p>
    <w:p w:rsidR="008271A4" w:rsidRPr="00F45954" w:rsidRDefault="008271A4" w:rsidP="00EE1CCE">
      <w:pPr>
        <w:pStyle w:val="ListParagraph"/>
        <w:numPr>
          <w:ilvl w:val="0"/>
          <w:numId w:val="9"/>
        </w:numPr>
        <w:tabs>
          <w:tab w:val="left" w:pos="709"/>
        </w:tabs>
        <w:spacing w:after="120"/>
        <w:jc w:val="both"/>
        <w:rPr>
          <w:rFonts w:cs="Arial"/>
          <w:lang w:val="es-ES"/>
        </w:rPr>
      </w:pPr>
      <w:r w:rsidRPr="00F45954">
        <w:rPr>
          <w:rFonts w:cs="Arial"/>
          <w:lang w:val="es-ES"/>
        </w:rPr>
        <w:t xml:space="preserve">El Centro de Arbitraje y Mediación de la OMPI (el Centro de la OMPI) siguió trabajando para optimizar el potencial de sus procedimientos para satisfacer las necesidades de los titulares y los usuarios de derechos de P.I. </w:t>
      </w:r>
      <w:r>
        <w:rPr>
          <w:rFonts w:cs="Arial"/>
          <w:lang w:val="es-ES"/>
        </w:rPr>
        <w:t xml:space="preserve"> </w:t>
      </w:r>
      <w:r w:rsidRPr="00F45954">
        <w:rPr>
          <w:rFonts w:cs="Arial"/>
          <w:lang w:val="es-ES"/>
        </w:rPr>
        <w:t xml:space="preserve">En 2016, </w:t>
      </w:r>
      <w:r w:rsidR="008714E0">
        <w:rPr>
          <w:rFonts w:cs="Arial"/>
          <w:lang w:val="es-ES"/>
        </w:rPr>
        <w:t>los propietarios de marca</w:t>
      </w:r>
      <w:r w:rsidRPr="00F45954">
        <w:rPr>
          <w:rFonts w:cs="Arial"/>
          <w:lang w:val="es-ES"/>
        </w:rPr>
        <w:t>s presentaron un número sin precedentes de 3.036 demandas con arreglo a la Política Uniforme de Solución de Controversias en materia de Nombres de Dominio (Política Uniforme) ante el Centro de</w:t>
      </w:r>
      <w:r w:rsidR="00A60B05">
        <w:rPr>
          <w:rFonts w:cs="Arial"/>
          <w:lang w:val="es-ES"/>
        </w:rPr>
        <w:t xml:space="preserve"> la OMPI, un incremento del </w:t>
      </w:r>
      <w:r w:rsidRPr="00F45954">
        <w:rPr>
          <w:rFonts w:cs="Arial"/>
          <w:lang w:val="es-ES"/>
        </w:rPr>
        <w:t xml:space="preserve">10% con respecto al </w:t>
      </w:r>
      <w:r w:rsidRPr="00EE5D66">
        <w:rPr>
          <w:rFonts w:cs="Arial"/>
          <w:lang w:val="es-ES"/>
        </w:rPr>
        <w:t xml:space="preserve">año anterior. </w:t>
      </w:r>
      <w:r>
        <w:rPr>
          <w:rFonts w:cs="Arial"/>
          <w:lang w:val="es-ES"/>
        </w:rPr>
        <w:t xml:space="preserve"> </w:t>
      </w:r>
      <w:r w:rsidRPr="00EE5D66">
        <w:rPr>
          <w:rFonts w:cs="Arial"/>
          <w:lang w:val="es-ES"/>
        </w:rPr>
        <w:t xml:space="preserve">Los procedimientos administrados ante la OMPI en virtud de la Política Uniforme involucraron a 109 países y se ejecutaron en 15 idiomas. </w:t>
      </w:r>
      <w:r>
        <w:rPr>
          <w:rFonts w:cs="Arial"/>
          <w:lang w:val="es-ES"/>
        </w:rPr>
        <w:t xml:space="preserve"> En la actualidad, </w:t>
      </w:r>
      <w:r w:rsidRPr="00EE5D66">
        <w:rPr>
          <w:rFonts w:cs="Arial"/>
          <w:lang w:val="es-ES"/>
        </w:rPr>
        <w:t>hay más de 1.200 nuevos dominios genéricos de nivel superior (nue</w:t>
      </w:r>
      <w:r w:rsidR="00A60B05">
        <w:rPr>
          <w:rFonts w:cs="Arial"/>
          <w:lang w:val="es-ES"/>
        </w:rPr>
        <w:t>vos gTLD) en funcionamiento, el </w:t>
      </w:r>
      <w:r w:rsidRPr="00EE5D66">
        <w:rPr>
          <w:rFonts w:cs="Arial"/>
          <w:lang w:val="es-ES"/>
        </w:rPr>
        <w:t xml:space="preserve">16% de los casos de la OMPI estaban relacionados con el registro de nuevos gTLD. </w:t>
      </w:r>
      <w:r>
        <w:rPr>
          <w:rFonts w:cs="Arial"/>
          <w:lang w:val="es-ES"/>
        </w:rPr>
        <w:t xml:space="preserve"> </w:t>
      </w:r>
      <w:r w:rsidRPr="00EE5D66">
        <w:rPr>
          <w:rFonts w:cs="Arial"/>
          <w:lang w:val="es-ES"/>
        </w:rPr>
        <w:t>Desde que</w:t>
      </w:r>
      <w:r w:rsidRPr="00F45954">
        <w:rPr>
          <w:rFonts w:cs="Arial"/>
          <w:lang w:val="es-ES"/>
        </w:rPr>
        <w:t xml:space="preserve"> el Centro de Arbitraje y Mediación de la OMPI administró en 1999 el primer procedimiento con arreglo a la Política Uniforme, el total de demandas presentadas ante la </w:t>
      </w:r>
      <w:r w:rsidR="00A60B05">
        <w:rPr>
          <w:rFonts w:cs="Arial"/>
          <w:lang w:val="es-ES"/>
        </w:rPr>
        <w:t>OMPI ha sobrepasado la cifra de </w:t>
      </w:r>
      <w:r w:rsidRPr="00F45954">
        <w:rPr>
          <w:rFonts w:cs="Arial"/>
          <w:lang w:val="es-ES"/>
        </w:rPr>
        <w:t>36.000 en 2016, abarcando más de 66.000 nombres de dominio.</w:t>
      </w:r>
    </w:p>
    <w:p w:rsidR="008271A4" w:rsidRPr="00F45954" w:rsidRDefault="008271A4" w:rsidP="00EE1CCE">
      <w:pPr>
        <w:pStyle w:val="ListParagraph"/>
        <w:numPr>
          <w:ilvl w:val="0"/>
          <w:numId w:val="9"/>
        </w:numPr>
        <w:tabs>
          <w:tab w:val="left" w:pos="709"/>
        </w:tabs>
        <w:spacing w:after="120"/>
        <w:jc w:val="both"/>
        <w:rPr>
          <w:rFonts w:cs="Arial"/>
          <w:lang w:val="es-ES"/>
        </w:rPr>
      </w:pPr>
      <w:r w:rsidRPr="00F45954">
        <w:rPr>
          <w:rFonts w:cs="Arial"/>
          <w:lang w:val="es-ES"/>
        </w:rPr>
        <w:t xml:space="preserve">Se presentaron </w:t>
      </w:r>
      <w:r>
        <w:rPr>
          <w:rFonts w:cs="Arial"/>
          <w:lang w:val="es-ES"/>
        </w:rPr>
        <w:t>60</w:t>
      </w:r>
      <w:r w:rsidRPr="00F45954">
        <w:rPr>
          <w:rFonts w:cs="Arial"/>
          <w:lang w:val="es-ES"/>
        </w:rPr>
        <w:t xml:space="preserve"> </w:t>
      </w:r>
      <w:r w:rsidR="008714E0">
        <w:rPr>
          <w:rFonts w:cs="Arial"/>
          <w:lang w:val="es-ES"/>
        </w:rPr>
        <w:t>demandas</w:t>
      </w:r>
      <w:r w:rsidRPr="00F45954">
        <w:rPr>
          <w:rFonts w:cs="Arial"/>
          <w:lang w:val="es-ES"/>
        </w:rPr>
        <w:t xml:space="preserve"> de mediación y arbitraje ante el Centro de la OMPI. </w:t>
      </w:r>
      <w:r>
        <w:rPr>
          <w:rFonts w:cs="Arial"/>
          <w:lang w:val="es-ES"/>
        </w:rPr>
        <w:t xml:space="preserve"> </w:t>
      </w:r>
      <w:r w:rsidRPr="00F45954">
        <w:rPr>
          <w:rFonts w:cs="Arial"/>
          <w:lang w:val="es-ES"/>
        </w:rPr>
        <w:t>Las controversias relacionadas con las patentes (34%) fueron las más frecuentes, seguidas de controversias en materia de TIC (20,5%), derecho de autor (13,6%) y marcas (13,6%), al igual que otras derivadas de acuerdos de distribución y franquicia, diseños industriales, y arte y patrimonio cultural.</w:t>
      </w:r>
    </w:p>
    <w:p w:rsidR="008271A4" w:rsidRPr="00F45954" w:rsidRDefault="008271A4" w:rsidP="00EE1CCE">
      <w:pPr>
        <w:pStyle w:val="ListParagraph"/>
        <w:numPr>
          <w:ilvl w:val="0"/>
          <w:numId w:val="9"/>
        </w:numPr>
        <w:tabs>
          <w:tab w:val="left" w:pos="709"/>
        </w:tabs>
        <w:spacing w:after="120"/>
        <w:jc w:val="both"/>
        <w:rPr>
          <w:rFonts w:cs="Arial"/>
          <w:lang w:val="es-ES"/>
        </w:rPr>
      </w:pPr>
      <w:r w:rsidRPr="00F45954">
        <w:rPr>
          <w:rFonts w:cs="Arial"/>
          <w:lang w:val="es-ES"/>
        </w:rPr>
        <w:t xml:space="preserve">En una encuesta sobre el uso del arbitraje para controversias en materia de tecnología, medios y telecomunicaciones realizada por la </w:t>
      </w:r>
      <w:r w:rsidRPr="00F45954">
        <w:rPr>
          <w:rFonts w:cs="Arial"/>
          <w:i/>
          <w:lang w:val="es-ES"/>
        </w:rPr>
        <w:t>School of International Arbitration</w:t>
      </w:r>
      <w:r w:rsidRPr="00F45954">
        <w:rPr>
          <w:rFonts w:cs="Arial"/>
          <w:lang w:val="es-ES"/>
        </w:rPr>
        <w:t xml:space="preserve"> de la Universidad Queen Mary de Londres, las personas consultadas con experiencia en controversias en materia de P.I. indicaron que el Centro de la OMPI es la segunda institución más utilizada. </w:t>
      </w:r>
      <w:r>
        <w:rPr>
          <w:rFonts w:cs="Arial"/>
          <w:lang w:val="es-ES"/>
        </w:rPr>
        <w:t xml:space="preserve"> </w:t>
      </w:r>
      <w:r w:rsidRPr="00F45954">
        <w:rPr>
          <w:rFonts w:cs="Arial"/>
          <w:lang w:val="es-ES"/>
        </w:rPr>
        <w:t xml:space="preserve">En los casos en que las personas </w:t>
      </w:r>
      <w:r w:rsidRPr="00F45954">
        <w:rPr>
          <w:rFonts w:cs="Arial"/>
          <w:lang w:val="es-ES"/>
        </w:rPr>
        <w:lastRenderedPageBreak/>
        <w:t>consultadas expresaron preferencia por una institución en estos ámbitos de controversia, el Centro de la OMPI se situó en primer lugar</w:t>
      </w:r>
      <w:r w:rsidRPr="00F45954">
        <w:rPr>
          <w:rStyle w:val="FootnoteReference"/>
          <w:rFonts w:cs="Arial"/>
          <w:lang w:val="es-ES"/>
        </w:rPr>
        <w:footnoteReference w:id="3"/>
      </w:r>
      <w:r w:rsidRPr="00F45954">
        <w:rPr>
          <w:rFonts w:cs="Arial"/>
          <w:lang w:val="es-ES"/>
        </w:rPr>
        <w:t>.</w:t>
      </w:r>
    </w:p>
    <w:p w:rsidR="00745A5C" w:rsidRPr="00D108D6" w:rsidRDefault="00745A5C" w:rsidP="00745A5C">
      <w:pPr>
        <w:spacing w:after="200"/>
        <w:rPr>
          <w:b/>
          <w:iCs/>
          <w:highlight w:val="yellow"/>
        </w:rPr>
      </w:pPr>
      <w:bookmarkStart w:id="17" w:name="_Toc382905012"/>
      <w:bookmarkStart w:id="18" w:name="_Toc420582484"/>
    </w:p>
    <w:p w:rsidR="00745A5C" w:rsidRPr="00D108D6" w:rsidRDefault="00745A5C" w:rsidP="00745A5C">
      <w:pPr>
        <w:jc w:val="center"/>
        <w:rPr>
          <w:b/>
          <w:iCs/>
        </w:rPr>
      </w:pPr>
      <w:r w:rsidRPr="00D108D6">
        <w:rPr>
          <w:b/>
          <w:iCs/>
        </w:rPr>
        <w:t xml:space="preserve">Meta estratégica III:  Facilitar el uso de la P.I. en aras del desarrollo </w:t>
      </w:r>
    </w:p>
    <w:p w:rsidR="00745A5C" w:rsidRPr="00D108D6" w:rsidRDefault="00745A5C" w:rsidP="00745A5C">
      <w:pPr>
        <w:jc w:val="center"/>
        <w:rPr>
          <w:b/>
          <w:iCs/>
        </w:rPr>
      </w:pPr>
      <w:r w:rsidRPr="00A75E89">
        <w:rPr>
          <w:noProof/>
          <w:lang w:val="en-US" w:eastAsia="en-US"/>
        </w:rPr>
        <w:drawing>
          <wp:inline distT="0" distB="0" distL="0" distR="0" wp14:anchorId="57F06F8E" wp14:editId="3DF475ED">
            <wp:extent cx="4763387" cy="257084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69941" cy="2574382"/>
                    </a:xfrm>
                    <a:prstGeom prst="rect">
                      <a:avLst/>
                    </a:prstGeom>
                    <a:noFill/>
                    <a:ln>
                      <a:noFill/>
                    </a:ln>
                  </pic:spPr>
                </pic:pic>
              </a:graphicData>
            </a:graphic>
          </wp:inline>
        </w:drawing>
      </w:r>
    </w:p>
    <w:p w:rsidR="00745A5C" w:rsidRPr="00D108D6" w:rsidRDefault="00745A5C" w:rsidP="00EE1CCE">
      <w:pPr>
        <w:numPr>
          <w:ilvl w:val="0"/>
          <w:numId w:val="10"/>
        </w:numPr>
        <w:spacing w:after="120"/>
        <w:ind w:left="0" w:firstLine="0"/>
        <w:jc w:val="both"/>
        <w:rPr>
          <w:rFonts w:cs="Times New Roman"/>
          <w:sz w:val="20"/>
        </w:rPr>
      </w:pPr>
      <w:r w:rsidRPr="00D108D6">
        <w:rPr>
          <w:rFonts w:cs="Times New Roman"/>
          <w:sz w:val="20"/>
        </w:rPr>
        <w:t>Facilitar el uso de la P.I. en aras del desarrollo y potenciar a los países en desarrollo y los PMA a fin de que utilicen la P.I. para aumentar el potencial y las capacidades de innovación nacional siguieron siendo cuestiones prioritarias en 2016.</w:t>
      </w:r>
    </w:p>
    <w:p w:rsidR="00745A5C" w:rsidRPr="00D108D6" w:rsidRDefault="00745A5C" w:rsidP="00EE1CCE">
      <w:pPr>
        <w:pStyle w:val="ListParagraph"/>
        <w:numPr>
          <w:ilvl w:val="0"/>
          <w:numId w:val="9"/>
        </w:numPr>
        <w:spacing w:after="120"/>
        <w:ind w:left="357" w:hanging="357"/>
        <w:jc w:val="both"/>
        <w:rPr>
          <w:lang w:val="es-ES"/>
        </w:rPr>
      </w:pPr>
      <w:r w:rsidRPr="00D108D6">
        <w:rPr>
          <w:lang w:val="es-ES"/>
        </w:rPr>
        <w:t xml:space="preserve">La OMPI siguió prestando asistencia a los países en desarrollo y </w:t>
      </w:r>
      <w:r>
        <w:rPr>
          <w:lang w:val="es-ES"/>
        </w:rPr>
        <w:t xml:space="preserve">a los </w:t>
      </w:r>
      <w:r w:rsidRPr="00D108D6">
        <w:rPr>
          <w:lang w:val="es-ES"/>
        </w:rPr>
        <w:t>PMA en la elaboración, el desarrollo y la aplicación de estrategias nacionales de P.I. coherentes con sus planes generales de desarrollo y capaces de impulsar la innovación y la creatividad.</w:t>
      </w:r>
      <w:r>
        <w:rPr>
          <w:lang w:val="es-ES"/>
        </w:rPr>
        <w:t xml:space="preserve">  </w:t>
      </w:r>
      <w:r w:rsidRPr="00D108D6">
        <w:rPr>
          <w:lang w:val="es-ES"/>
        </w:rPr>
        <w:t>El proceso siguió orientándose hacia la aplicación de una metodología normalizada, pero flexible, y un repertorio de herramientas prácticas para la formulación de estrategias y planes n</w:t>
      </w:r>
      <w:r>
        <w:rPr>
          <w:lang w:val="es-ES"/>
        </w:rPr>
        <w:t>acionales de P.I., creado</w:t>
      </w:r>
      <w:r w:rsidRPr="00D108D6">
        <w:rPr>
          <w:lang w:val="es-ES"/>
        </w:rPr>
        <w:t>s en el marco del proyecto de 2012 de la A.D. sobre la mejora de la capacidad de las instituciones de P.I. de ámbito nacional, subregional y regional y de los respectivos usuarios.  Como consecuencia, 11 países adicionales (tr</w:t>
      </w:r>
      <w:r>
        <w:rPr>
          <w:lang w:val="es-ES"/>
        </w:rPr>
        <w:t>es en África, dos en la región á</w:t>
      </w:r>
      <w:r w:rsidRPr="00D108D6">
        <w:rPr>
          <w:lang w:val="es-ES"/>
        </w:rPr>
        <w:t xml:space="preserve">rabe, dos de Asia y el Pacífico y cuatro en América Latina y el Caribe) </w:t>
      </w:r>
      <w:r>
        <w:rPr>
          <w:lang w:val="es-ES"/>
        </w:rPr>
        <w:t>iniciaron el proceso de formulación de</w:t>
      </w:r>
      <w:r w:rsidRPr="00D108D6">
        <w:rPr>
          <w:lang w:val="es-ES"/>
        </w:rPr>
        <w:t xml:space="preserve"> estrategias o planes de desarrollo nacionales de P</w:t>
      </w:r>
      <w:r>
        <w:rPr>
          <w:lang w:val="es-ES"/>
        </w:rPr>
        <w:t>.</w:t>
      </w:r>
      <w:r w:rsidRPr="00D108D6">
        <w:rPr>
          <w:lang w:val="es-ES"/>
        </w:rPr>
        <w:t>I.</w:t>
      </w:r>
      <w:r>
        <w:rPr>
          <w:lang w:val="es-ES"/>
        </w:rPr>
        <w:t xml:space="preserve">  </w:t>
      </w:r>
      <w:r w:rsidRPr="00D108D6">
        <w:rPr>
          <w:lang w:val="es-ES"/>
        </w:rPr>
        <w:t>A finales de 2016, se habían adoptado planes de desarrollo/estrategias nacionales de P</w:t>
      </w:r>
      <w:r>
        <w:rPr>
          <w:lang w:val="es-ES"/>
        </w:rPr>
        <w:t>.</w:t>
      </w:r>
      <w:r w:rsidRPr="00D108D6">
        <w:rPr>
          <w:lang w:val="es-ES"/>
        </w:rPr>
        <w:t>I</w:t>
      </w:r>
      <w:r>
        <w:rPr>
          <w:lang w:val="es-ES"/>
        </w:rPr>
        <w:t>.</w:t>
      </w:r>
      <w:r w:rsidRPr="00D108D6">
        <w:rPr>
          <w:lang w:val="es-ES"/>
        </w:rPr>
        <w:t xml:space="preserve"> en 42 países (25 en África, dos en la región </w:t>
      </w:r>
      <w:r>
        <w:rPr>
          <w:lang w:val="es-ES"/>
        </w:rPr>
        <w:t>árabe</w:t>
      </w:r>
      <w:r w:rsidRPr="00D108D6">
        <w:rPr>
          <w:lang w:val="es-ES"/>
        </w:rPr>
        <w:t xml:space="preserve">, siete en Asia y el Pacífico y ocho en América Latina y el Caribe) y estaban en curso de aplicación en un total de 43 países (27 en África, dos en la región </w:t>
      </w:r>
      <w:r>
        <w:rPr>
          <w:lang w:val="es-ES"/>
        </w:rPr>
        <w:t>á</w:t>
      </w:r>
      <w:r w:rsidRPr="00D108D6">
        <w:rPr>
          <w:lang w:val="es-ES"/>
        </w:rPr>
        <w:t>rabe, nueve en Asia y el Pacífico y cinco en América Latina y el Caribe), 20 de los cuales eran PMA.</w:t>
      </w:r>
    </w:p>
    <w:p w:rsidR="00745A5C" w:rsidRPr="00D108D6" w:rsidRDefault="00745A5C" w:rsidP="00EE1CCE">
      <w:pPr>
        <w:pStyle w:val="ListParagraph"/>
        <w:numPr>
          <w:ilvl w:val="0"/>
          <w:numId w:val="9"/>
        </w:numPr>
        <w:spacing w:after="120"/>
        <w:jc w:val="both"/>
        <w:rPr>
          <w:lang w:val="es-ES"/>
        </w:rPr>
      </w:pPr>
      <w:r>
        <w:rPr>
          <w:lang w:val="es-ES"/>
        </w:rPr>
        <w:t>La p</w:t>
      </w:r>
      <w:r w:rsidRPr="0093616E">
        <w:rPr>
          <w:lang w:val="es-ES"/>
        </w:rPr>
        <w:t>romoción de la importancia de las estrategias nacionales de P</w:t>
      </w:r>
      <w:r>
        <w:rPr>
          <w:lang w:val="es-ES"/>
        </w:rPr>
        <w:t>.</w:t>
      </w:r>
      <w:r w:rsidRPr="0093616E">
        <w:rPr>
          <w:lang w:val="es-ES"/>
        </w:rPr>
        <w:t>I</w:t>
      </w:r>
      <w:r>
        <w:rPr>
          <w:lang w:val="es-ES"/>
        </w:rPr>
        <w:t>. también siguió</w:t>
      </w:r>
      <w:r w:rsidRPr="0093616E">
        <w:rPr>
          <w:lang w:val="es-ES"/>
        </w:rPr>
        <w:t xml:space="preserve"> siendo una prioridad en </w:t>
      </w:r>
      <w:r>
        <w:rPr>
          <w:lang w:val="es-ES"/>
        </w:rPr>
        <w:t xml:space="preserve">los </w:t>
      </w:r>
      <w:r w:rsidRPr="0093616E">
        <w:rPr>
          <w:lang w:val="es-ES"/>
        </w:rPr>
        <w:t>países en transición en 2016.</w:t>
      </w:r>
      <w:r>
        <w:rPr>
          <w:lang w:val="es-ES"/>
        </w:rPr>
        <w:t xml:space="preserve">  Un país adoptó una estrategia nacional de P.I., otros tres países se hallaban en curso de formular o reformular las estrategias nacionales de P.I. y dos países estaban ultimando sus estrategias de P.I. al final de 2016.</w:t>
      </w:r>
    </w:p>
    <w:p w:rsidR="00745A5C" w:rsidRPr="0093616E" w:rsidRDefault="00745A5C" w:rsidP="00EE1CCE">
      <w:pPr>
        <w:pStyle w:val="ListParagraph"/>
        <w:numPr>
          <w:ilvl w:val="0"/>
          <w:numId w:val="9"/>
        </w:numPr>
        <w:spacing w:after="120"/>
        <w:ind w:left="357" w:hanging="357"/>
        <w:jc w:val="both"/>
        <w:rPr>
          <w:lang w:val="es-ES"/>
        </w:rPr>
      </w:pPr>
      <w:r w:rsidRPr="0093616E">
        <w:rPr>
          <w:lang w:val="es-ES"/>
        </w:rPr>
        <w:t>Conforme a los planes de cooperación y a las estrategias nacionales de P.I., y tras recibir asistencia de la OMPI que incluía actividades de promoción, los seis países siguientes modificaron su legislación nacional de P.I. en 2016:  Albania, la Federación de Rusia, Kazajstán, Letonia, Montenegro y la República de Moldova.</w:t>
      </w:r>
    </w:p>
    <w:p w:rsidR="00745A5C" w:rsidRPr="00DF7D1B" w:rsidRDefault="00745A5C" w:rsidP="00EE1CCE">
      <w:pPr>
        <w:pStyle w:val="ListParagraph"/>
        <w:numPr>
          <w:ilvl w:val="0"/>
          <w:numId w:val="9"/>
        </w:numPr>
        <w:spacing w:after="240"/>
        <w:jc w:val="both"/>
        <w:rPr>
          <w:lang w:val="es-ES"/>
        </w:rPr>
      </w:pPr>
      <w:r w:rsidRPr="00DF7D1B">
        <w:rPr>
          <w:lang w:val="es-ES"/>
        </w:rPr>
        <w:t xml:space="preserve">Con respecto al Programa de Perfeccionamiento Profesional, se ofrecieron unos 20 cursos de formación conjuntamente con 23 instituciones asociadas.  </w:t>
      </w:r>
      <w:r>
        <w:rPr>
          <w:lang w:val="es-ES"/>
        </w:rPr>
        <w:t xml:space="preserve">El 51% de </w:t>
      </w:r>
      <w:r w:rsidRPr="00DF7D1B">
        <w:rPr>
          <w:lang w:val="es-ES"/>
        </w:rPr>
        <w:t>los 301 funcionarios gubernamentales que se beneficia</w:t>
      </w:r>
      <w:r>
        <w:rPr>
          <w:lang w:val="es-ES"/>
        </w:rPr>
        <w:t xml:space="preserve">ron de los programas </w:t>
      </w:r>
      <w:r w:rsidRPr="00DF7D1B">
        <w:rPr>
          <w:lang w:val="es-ES"/>
        </w:rPr>
        <w:t>fueron mujeres.  El Programa de Enseñanza a Distancia siguió atrayendo a participantes de un amplio grupo de partes interesadas.  En·2016, unos 54.596 participantes (44.423 en los cursos generales y·10.173 en los cursos de nivel avanzado), un·25% menos que en 2015, se beneficiaron de las mejoras en la plataforma de enseñanza a distancia (WeLC).  Cabe destacar que en 2016 se puso en marcha el Curso General sobre P.I. (DL -101) para las personas con dificultades para acceder al texto impreso</w:t>
      </w:r>
      <w:r>
        <w:rPr>
          <w:lang w:val="es-ES"/>
        </w:rPr>
        <w:t>,</w:t>
      </w:r>
      <w:r w:rsidRPr="00DF7D1B">
        <w:rPr>
          <w:lang w:val="es-ES"/>
        </w:rPr>
        <w:t xml:space="preserve"> en siete </w:t>
      </w:r>
      <w:r w:rsidRPr="00DF7D1B">
        <w:rPr>
          <w:lang w:val="es-ES"/>
        </w:rPr>
        <w:lastRenderedPageBreak/>
        <w:t>idiomas.  La puesta en marcha formó parte de las festividades del Día Mundial de la P.I. de 2016, y desde entonces más de 500 participantes se han inscrito en el curso.</w:t>
      </w:r>
    </w:p>
    <w:tbl>
      <w:tblPr>
        <w:tblStyle w:val="TableGrid"/>
        <w:tblW w:w="0" w:type="auto"/>
        <w:jc w:val="center"/>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7"/>
        <w:gridCol w:w="4233"/>
      </w:tblGrid>
      <w:tr w:rsidR="00745A5C" w:rsidRPr="00D108D6" w:rsidTr="00A34E19">
        <w:trPr>
          <w:trHeight w:val="3349"/>
          <w:jc w:val="center"/>
        </w:trPr>
        <w:tc>
          <w:tcPr>
            <w:tcW w:w="4096" w:type="dxa"/>
          </w:tcPr>
          <w:p w:rsidR="00745A5C" w:rsidRPr="00D108D6" w:rsidRDefault="00745A5C" w:rsidP="00A34E19">
            <w:pPr>
              <w:pStyle w:val="Caption"/>
              <w:jc w:val="center"/>
              <w:rPr>
                <w:highlight w:val="yellow"/>
              </w:rPr>
            </w:pPr>
            <w:r w:rsidRPr="00DF7D1B">
              <w:rPr>
                <w:rFonts w:eastAsia="Times New Roman" w:cs="Times New Roman"/>
                <w:b w:val="0"/>
                <w:bCs w:val="0"/>
                <w:i/>
                <w:sz w:val="16"/>
                <w:szCs w:val="16"/>
                <w:lang w:eastAsia="en-US"/>
              </w:rPr>
              <w:t xml:space="preserve">Distribución por género de los </w:t>
            </w:r>
            <w:r>
              <w:rPr>
                <w:rFonts w:eastAsia="Times New Roman" w:cs="Times New Roman"/>
                <w:b w:val="0"/>
                <w:bCs w:val="0"/>
                <w:i/>
                <w:sz w:val="16"/>
                <w:szCs w:val="16"/>
                <w:lang w:eastAsia="en-US"/>
              </w:rPr>
              <w:t>participantes en el Programa de P</w:t>
            </w:r>
            <w:r w:rsidRPr="00DF7D1B">
              <w:rPr>
                <w:rFonts w:eastAsia="Times New Roman" w:cs="Times New Roman"/>
                <w:b w:val="0"/>
                <w:bCs w:val="0"/>
                <w:i/>
                <w:sz w:val="16"/>
                <w:szCs w:val="16"/>
                <w:lang w:eastAsia="en-US"/>
              </w:rPr>
              <w:t>erf</w:t>
            </w:r>
            <w:r>
              <w:rPr>
                <w:rFonts w:eastAsia="Times New Roman" w:cs="Times New Roman"/>
                <w:b w:val="0"/>
                <w:bCs w:val="0"/>
                <w:i/>
                <w:sz w:val="16"/>
                <w:szCs w:val="16"/>
                <w:lang w:eastAsia="en-US"/>
              </w:rPr>
              <w:t>eccionamiento Profesional (</w:t>
            </w:r>
            <w:r w:rsidRPr="00DF7D1B">
              <w:rPr>
                <w:rFonts w:eastAsia="Times New Roman" w:cs="Times New Roman"/>
                <w:b w:val="0"/>
                <w:bCs w:val="0"/>
                <w:i/>
                <w:sz w:val="16"/>
                <w:szCs w:val="16"/>
                <w:lang w:eastAsia="en-US"/>
              </w:rPr>
              <w:t>2016)</w:t>
            </w:r>
            <w:r>
              <w:rPr>
                <w:b w:val="0"/>
                <w:bCs w:val="0"/>
                <w:noProof/>
                <w:lang w:eastAsia="en-US"/>
              </w:rPr>
              <w:t xml:space="preserve"> </w:t>
            </w:r>
            <w:r>
              <w:rPr>
                <w:noProof/>
                <w:lang w:val="en-US" w:eastAsia="en-US"/>
              </w:rPr>
              <w:drawing>
                <wp:inline distT="0" distB="0" distL="0" distR="0" wp14:anchorId="665CC8AE" wp14:editId="108BB546">
                  <wp:extent cx="2711302" cy="233082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1252" cy="2330783"/>
                          </a:xfrm>
                          <a:prstGeom prst="rect">
                            <a:avLst/>
                          </a:prstGeom>
                          <a:noFill/>
                          <a:ln>
                            <a:noFill/>
                          </a:ln>
                        </pic:spPr>
                      </pic:pic>
                    </a:graphicData>
                  </a:graphic>
                </wp:inline>
              </w:drawing>
            </w:r>
          </w:p>
        </w:tc>
        <w:tc>
          <w:tcPr>
            <w:tcW w:w="4090" w:type="dxa"/>
          </w:tcPr>
          <w:p w:rsidR="00745A5C" w:rsidRPr="00D108D6" w:rsidRDefault="00745A5C" w:rsidP="00A34E19">
            <w:pPr>
              <w:pStyle w:val="ListParagraph"/>
              <w:ind w:left="0"/>
              <w:jc w:val="both"/>
              <w:rPr>
                <w:highlight w:val="yellow"/>
                <w:lang w:val="es-ES"/>
              </w:rPr>
            </w:pPr>
            <w:r w:rsidRPr="00DF7D1B">
              <w:rPr>
                <w:rFonts w:eastAsia="SimSun" w:cs="Arial"/>
                <w:bCs/>
                <w:i/>
                <w:sz w:val="16"/>
                <w:szCs w:val="16"/>
                <w:lang w:val="es-ES" w:eastAsia="zh-CN"/>
              </w:rPr>
              <w:t xml:space="preserve">Distribución por género de los participantes en el </w:t>
            </w:r>
            <w:r>
              <w:rPr>
                <w:rFonts w:eastAsia="SimSun" w:cs="Arial"/>
                <w:bCs/>
                <w:i/>
                <w:sz w:val="16"/>
                <w:szCs w:val="16"/>
                <w:lang w:val="es-ES" w:eastAsia="zh-CN"/>
              </w:rPr>
              <w:t xml:space="preserve">Programa </w:t>
            </w:r>
            <w:r w:rsidRPr="00DF7D1B">
              <w:rPr>
                <w:rFonts w:eastAsia="SimSun" w:cs="Arial"/>
                <w:bCs/>
                <w:i/>
                <w:sz w:val="16"/>
                <w:szCs w:val="16"/>
                <w:lang w:val="es-ES" w:eastAsia="zh-CN"/>
              </w:rPr>
              <w:t>de</w:t>
            </w:r>
            <w:r>
              <w:rPr>
                <w:rFonts w:eastAsia="SimSun" w:cs="Arial"/>
                <w:bCs/>
                <w:i/>
                <w:sz w:val="16"/>
                <w:szCs w:val="16"/>
                <w:lang w:val="es-ES" w:eastAsia="zh-CN"/>
              </w:rPr>
              <w:t xml:space="preserve"> Enseñanza a Distancia (</w:t>
            </w:r>
            <w:r w:rsidRPr="00DF7D1B">
              <w:rPr>
                <w:rFonts w:eastAsia="SimSun" w:cs="Arial"/>
                <w:bCs/>
                <w:i/>
                <w:sz w:val="16"/>
                <w:szCs w:val="16"/>
                <w:lang w:val="es-ES" w:eastAsia="zh-CN"/>
              </w:rPr>
              <w:t>2016)</w:t>
            </w:r>
            <w:r w:rsidRPr="002F663B">
              <w:rPr>
                <w:noProof/>
                <w:lang w:val="es-ES"/>
              </w:rPr>
              <w:t xml:space="preserve"> </w:t>
            </w:r>
            <w:r>
              <w:rPr>
                <w:noProof/>
              </w:rPr>
              <w:drawing>
                <wp:inline distT="0" distB="0" distL="0" distR="0" wp14:anchorId="5AB5EDC8" wp14:editId="10700A12">
                  <wp:extent cx="2708632" cy="232853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08481" cy="2328400"/>
                          </a:xfrm>
                          <a:prstGeom prst="rect">
                            <a:avLst/>
                          </a:prstGeom>
                          <a:noFill/>
                          <a:ln>
                            <a:noFill/>
                          </a:ln>
                        </pic:spPr>
                      </pic:pic>
                    </a:graphicData>
                  </a:graphic>
                </wp:inline>
              </w:drawing>
            </w:r>
          </w:p>
        </w:tc>
      </w:tr>
    </w:tbl>
    <w:p w:rsidR="00745A5C" w:rsidRPr="00096B34" w:rsidRDefault="00745A5C" w:rsidP="00EE1CCE">
      <w:pPr>
        <w:pStyle w:val="ListParagraph"/>
        <w:numPr>
          <w:ilvl w:val="0"/>
          <w:numId w:val="9"/>
        </w:numPr>
        <w:spacing w:after="120"/>
        <w:ind w:left="357" w:hanging="357"/>
        <w:jc w:val="both"/>
        <w:rPr>
          <w:lang w:val="es-ES"/>
        </w:rPr>
      </w:pPr>
      <w:r w:rsidRPr="00096B34">
        <w:rPr>
          <w:lang w:val="es-ES"/>
        </w:rPr>
        <w:t xml:space="preserve">En 2016, se puso en marcha la ejecución del Proyecto de la A.D. de cooperación en materia de desarrollo y de instrucción y formación profesional en derechos de propiedad intelectual con instituciones de formación judicial de países en desarrollo y países menos adelantados en los cuatro países piloto (Costa Rica, Líbano, Nepal y Nigeria), en representación de diferentes regiones, incluidos los PMA, con diversas tradiciones y antecedentes jurídicos.  El objetivo del proyecto consiste en prestar asistencia técnica y profesional a las instituciones de formación judicial para mejorar las capacidades y competencias de los jueces, fiscales, etc. para que puedan arbitrar eficazmente las controversias en derechos de P.I., de suerte que se satisfagan las necesidades y prioridades de </w:t>
      </w:r>
      <w:r>
        <w:rPr>
          <w:lang w:val="es-ES"/>
        </w:rPr>
        <w:t>desarrollo del país en cuestión.</w:t>
      </w:r>
    </w:p>
    <w:p w:rsidR="00745A5C" w:rsidRPr="00E745CC" w:rsidRDefault="00745A5C" w:rsidP="00EE1CCE">
      <w:pPr>
        <w:pStyle w:val="ListParagraph"/>
        <w:numPr>
          <w:ilvl w:val="0"/>
          <w:numId w:val="9"/>
        </w:numPr>
        <w:spacing w:after="120"/>
        <w:ind w:left="357" w:hanging="357"/>
        <w:jc w:val="both"/>
        <w:rPr>
          <w:lang w:val="es-ES"/>
        </w:rPr>
      </w:pPr>
      <w:r w:rsidRPr="00E745CC">
        <w:rPr>
          <w:lang w:val="es-ES"/>
        </w:rPr>
        <w:t>En 2016, siguió siendo prioritaria la tarea de mejorar las capacidades en el ámbito de los recursos humanos para hacer frente al amplio espectro de exigencias que supone la utilización eficaz de la P.I. en aras del desarrollo y potenciar la innovación y la creatividad.  Se llevaron a cabo programas específicos en los planos nacional, subregional y regional, de fortalecimiento de capacidades y de desarrollo de aptitudes destinados a grupos concretos, tales como funcionarios gubernamentales, responsables de la elaboración de políticas, profesionales de la P.I., funcionarios encargados de hacer cumplir la ley, investigadores y académicos, empresarios y miembros del sector industrial</w:t>
      </w:r>
      <w:r>
        <w:rPr>
          <w:lang w:val="es-ES"/>
        </w:rPr>
        <w:t xml:space="preserve">, </w:t>
      </w:r>
      <w:r w:rsidRPr="00E745CC">
        <w:rPr>
          <w:lang w:val="es-ES"/>
        </w:rPr>
        <w:t>así como pymes.  Se organizaron unos 17 programas sobre gestión eficaz de activos de P.I. por las pymes, incluido un seminario regional sobre la P.I. para las pymes, organizado por la Oficina de la OMPI en Singapur (OOS), y un Taller Internacional para mujeres inventoras y empresarias organizado por la OMPI, la Oficina Surcoreana de Propiedad Intelectual (KIPO) y la Asociación Surcoreana de Inventoras (KWIA), que beneficiaron a más de 1.000 participantes de 125 países, con el fin de crear una masa crítica de formadores en países específicos con conocimientos, aptitudes y experiencia para prestar asistencia básica a las pymes sobre la gestión de activos de PI.</w:t>
      </w:r>
    </w:p>
    <w:p w:rsidR="00745A5C" w:rsidRPr="005F4AC1" w:rsidRDefault="00745A5C" w:rsidP="00EE1CCE">
      <w:pPr>
        <w:pStyle w:val="ListParagraph"/>
        <w:numPr>
          <w:ilvl w:val="0"/>
          <w:numId w:val="9"/>
        </w:numPr>
        <w:spacing w:after="120"/>
        <w:ind w:left="357" w:hanging="357"/>
        <w:jc w:val="both"/>
        <w:rPr>
          <w:lang w:val="es-ES"/>
        </w:rPr>
      </w:pPr>
      <w:r w:rsidRPr="005F4AC1">
        <w:rPr>
          <w:lang w:val="es-ES"/>
        </w:rPr>
        <w:t xml:space="preserve">La OMPI también reforzó su cooperación con los PMA para la elaboración de un marco de políticas nacionales sobre innovación;  la evaluación de necesidades en materia de habilidades técnicas;  la facilitación del acceso a las plataformas mundiales de información científica y tecnológica; el  desarrollo de infraestructuras </w:t>
      </w:r>
      <w:r>
        <w:rPr>
          <w:lang w:val="es-ES"/>
        </w:rPr>
        <w:t>de apoyo a la innovación,</w:t>
      </w:r>
      <w:r w:rsidRPr="005F4AC1">
        <w:rPr>
          <w:lang w:val="es-ES"/>
        </w:rPr>
        <w:t xml:space="preserve"> y el apoyo a los inventarios y al fortalecimiento de capacidades en los conocimientos tradicionales.  Se registraron avances positivos en 2016 en la ejecución en tres PMA (Etiopía, Rwanda y República Unida de Tanzanía) de la fase II del Proyecto de la A.D. sobre el fortalecimiento de capacidades en el uso de información técnica y científica relativa a tecnologías apropiadas para solucionar determinados problemas de desarrollo.  En los países beneficiarios de la fase I del proyecto, al final de 2016 se habían comercializado tres tecnologías apropiadas</w:t>
      </w:r>
      <w:r w:rsidRPr="00D108D6">
        <w:rPr>
          <w:rFonts w:eastAsia="SimSun" w:cs="Arial"/>
          <w:color w:val="000000"/>
          <w:vertAlign w:val="superscript"/>
          <w:lang w:val="es-ES" w:eastAsia="zh-CN"/>
        </w:rPr>
        <w:footnoteReference w:id="4"/>
      </w:r>
      <w:r w:rsidRPr="005F4AC1">
        <w:rPr>
          <w:lang w:val="es-ES"/>
        </w:rPr>
        <w:t xml:space="preserve"> </w:t>
      </w:r>
      <w:r>
        <w:rPr>
          <w:lang w:val="es-ES"/>
        </w:rPr>
        <w:t>e</w:t>
      </w:r>
      <w:r w:rsidRPr="005F4AC1">
        <w:rPr>
          <w:lang w:val="es-ES"/>
        </w:rPr>
        <w:t xml:space="preserve">n </w:t>
      </w:r>
      <w:r>
        <w:rPr>
          <w:lang w:val="es-ES"/>
        </w:rPr>
        <w:t>PMA (una en Nepal y dos en Zambia), y se estaban examinando tres tecnologías apropiadas a fin de ser comercializadas a nivel gubernamental.</w:t>
      </w:r>
    </w:p>
    <w:p w:rsidR="00745A5C" w:rsidRDefault="00745A5C" w:rsidP="00EE1CCE">
      <w:pPr>
        <w:pStyle w:val="ListParagraph"/>
        <w:numPr>
          <w:ilvl w:val="0"/>
          <w:numId w:val="9"/>
        </w:numPr>
        <w:spacing w:after="120"/>
        <w:ind w:left="357" w:hanging="357"/>
        <w:jc w:val="both"/>
        <w:rPr>
          <w:lang w:val="es-ES"/>
        </w:rPr>
      </w:pPr>
      <w:r w:rsidRPr="003842CA">
        <w:rPr>
          <w:lang w:val="es-ES"/>
        </w:rPr>
        <w:t xml:space="preserve">A finales de 2016, se había puesto en marcha en cuatro países piloto (Egipto, Ecuador, Namibia y Sri Lanka) la ejecución del Proyecto de la A.D. sobre propiedad intelectual, turismo y cultura: apoyo a los </w:t>
      </w:r>
      <w:r w:rsidRPr="003842CA">
        <w:rPr>
          <w:lang w:val="es-ES"/>
        </w:rPr>
        <w:lastRenderedPageBreak/>
        <w:t xml:space="preserve">objetivos de desarrollo y promoción del patrimonio cultural de Egipto y otros países en desarrollo, que tiene por fin analizar, apoyar y fomentar la sensibilización acerca de la función del sistema de P.I. en las actividades económicas relacionadas con el turismo, </w:t>
      </w:r>
      <w:r>
        <w:rPr>
          <w:lang w:val="es-ES"/>
        </w:rPr>
        <w:t>incluidas l</w:t>
      </w:r>
      <w:r w:rsidRPr="003842CA">
        <w:rPr>
          <w:lang w:val="es-ES"/>
        </w:rPr>
        <w:t>as actividades relacionadas con la promoción de los conocimientos, las tradiciones y la cultura nacionales o locales.</w:t>
      </w:r>
    </w:p>
    <w:p w:rsidR="00745A5C" w:rsidRPr="003842CA" w:rsidRDefault="00745A5C" w:rsidP="00EE1CCE">
      <w:pPr>
        <w:pStyle w:val="ListParagraph"/>
        <w:numPr>
          <w:ilvl w:val="0"/>
          <w:numId w:val="9"/>
        </w:numPr>
        <w:spacing w:after="120"/>
        <w:jc w:val="both"/>
        <w:rPr>
          <w:lang w:val="es-ES"/>
        </w:rPr>
      </w:pPr>
      <w:r w:rsidRPr="00662E2C">
        <w:rPr>
          <w:lang w:val="es-ES"/>
        </w:rPr>
        <w:t xml:space="preserve">En 2016, el Comité de Desarrollo y Propiedad Intelectual (CDIP) examinó y debatió diversos documentos y estudios, con inclusión de un documento sobre el </w:t>
      </w:r>
      <w:r>
        <w:rPr>
          <w:lang w:val="es-ES"/>
        </w:rPr>
        <w:t>e</w:t>
      </w:r>
      <w:r w:rsidRPr="00662E2C">
        <w:rPr>
          <w:lang w:val="es-ES"/>
        </w:rPr>
        <w:t xml:space="preserve">squema de las </w:t>
      </w:r>
      <w:r>
        <w:rPr>
          <w:lang w:val="es-ES"/>
        </w:rPr>
        <w:t>a</w:t>
      </w:r>
      <w:r w:rsidRPr="00662E2C">
        <w:rPr>
          <w:lang w:val="es-ES"/>
        </w:rPr>
        <w:t xml:space="preserve">ctividades de la OMPI </w:t>
      </w:r>
      <w:r>
        <w:rPr>
          <w:lang w:val="es-ES"/>
        </w:rPr>
        <w:t>r</w:t>
      </w:r>
      <w:r w:rsidRPr="00662E2C">
        <w:rPr>
          <w:lang w:val="es-ES"/>
        </w:rPr>
        <w:t>elacionadas con los Objetivos de Desarrollo Sostenible (ODS) y u</w:t>
      </w:r>
      <w:r>
        <w:rPr>
          <w:lang w:val="es-ES"/>
        </w:rPr>
        <w:t>n documento en el que figura</w:t>
      </w:r>
      <w:r w:rsidRPr="00662E2C">
        <w:rPr>
          <w:lang w:val="es-ES"/>
        </w:rPr>
        <w:t xml:space="preserve"> una R</w:t>
      </w:r>
      <w:r>
        <w:rPr>
          <w:lang w:val="es-ES"/>
        </w:rPr>
        <w:t>e</w:t>
      </w:r>
      <w:r w:rsidRPr="00662E2C">
        <w:rPr>
          <w:lang w:val="es-ES"/>
        </w:rPr>
        <w:t xml:space="preserve">copilación de las aportaciones de los Estados miembros sobre los </w:t>
      </w:r>
      <w:r>
        <w:rPr>
          <w:lang w:val="es-ES"/>
        </w:rPr>
        <w:t>ODS</w:t>
      </w:r>
      <w:r w:rsidRPr="00662E2C">
        <w:rPr>
          <w:lang w:val="es-ES"/>
        </w:rPr>
        <w:t xml:space="preserve"> pertinentes para la labor de la OMPI y deci</w:t>
      </w:r>
      <w:r>
        <w:rPr>
          <w:lang w:val="es-ES"/>
        </w:rPr>
        <w:t>dió que la Secretaría presentara</w:t>
      </w:r>
      <w:r w:rsidRPr="00662E2C">
        <w:rPr>
          <w:lang w:val="es-ES"/>
        </w:rPr>
        <w:t xml:space="preserve"> un informe anual al Comité, en su prim</w:t>
      </w:r>
      <w:r>
        <w:rPr>
          <w:lang w:val="es-ES"/>
        </w:rPr>
        <w:t>era sesión del año, que contuviera</w:t>
      </w:r>
      <w:r w:rsidRPr="00662E2C">
        <w:rPr>
          <w:lang w:val="es-ES"/>
        </w:rPr>
        <w:t xml:space="preserve"> información sobre la contribución de la OMPI a la aplicación de los ODS y sus metas conexas.</w:t>
      </w:r>
    </w:p>
    <w:p w:rsidR="00745A5C" w:rsidRPr="00662E2C" w:rsidRDefault="00745A5C" w:rsidP="00EE1CCE">
      <w:pPr>
        <w:pStyle w:val="ListParagraph"/>
        <w:numPr>
          <w:ilvl w:val="0"/>
          <w:numId w:val="9"/>
        </w:numPr>
        <w:spacing w:after="120"/>
        <w:ind w:left="357" w:hanging="357"/>
        <w:jc w:val="both"/>
        <w:rPr>
          <w:lang w:val="es-ES"/>
        </w:rPr>
      </w:pPr>
      <w:r w:rsidRPr="00662E2C">
        <w:rPr>
          <w:lang w:val="es-ES"/>
        </w:rPr>
        <w:t>En su 18ª sesión, el CDIP e</w:t>
      </w:r>
      <w:r>
        <w:rPr>
          <w:lang w:val="es-ES"/>
        </w:rPr>
        <w:t>xaminó y tomó nota de la e</w:t>
      </w:r>
      <w:r w:rsidRPr="00662E2C">
        <w:rPr>
          <w:lang w:val="es-ES"/>
        </w:rPr>
        <w:t>valuación independiente de la Agenda para el Desarrollo</w:t>
      </w:r>
      <w:r w:rsidR="007355CE" w:rsidRPr="0098120D">
        <w:rPr>
          <w:rFonts w:eastAsia="SimSun" w:cs="Arial"/>
          <w:color w:val="000000"/>
          <w:vertAlign w:val="superscript"/>
          <w:lang w:eastAsia="zh-CN"/>
        </w:rPr>
        <w:footnoteReference w:id="5"/>
      </w:r>
      <w:r w:rsidRPr="00662E2C">
        <w:rPr>
          <w:lang w:val="es-ES"/>
        </w:rPr>
        <w:t>, y pidió a la Secretaría que preparara un documento que contuviera su respuesta a las recomendaciones examinadas, incluida la información proporcionada por los Estados miembros.</w:t>
      </w:r>
    </w:p>
    <w:p w:rsidR="00745A5C" w:rsidRDefault="00745A5C" w:rsidP="00EE1CCE">
      <w:pPr>
        <w:pStyle w:val="ListParagraph"/>
        <w:numPr>
          <w:ilvl w:val="0"/>
          <w:numId w:val="9"/>
        </w:numPr>
        <w:spacing w:after="200"/>
        <w:jc w:val="both"/>
        <w:rPr>
          <w:lang w:val="es-ES"/>
        </w:rPr>
      </w:pPr>
      <w:r w:rsidRPr="007D46DC">
        <w:rPr>
          <w:lang w:val="es-ES"/>
        </w:rPr>
        <w:t xml:space="preserve">Por último, el Comité aprobó igualmente ejecutar la segunda fase de un proyecto finalizado y evaluado y dos nuevos proyectos sobre el “uso de la información en el dominio público en favor del desarrollo económico” y sobre la “cooperación en materia de instrucción y formación profesional en derechos de propiedad intelectual con instituciones de formación judicial de países en desarrollo y países menos adelantados”. </w:t>
      </w:r>
    </w:p>
    <w:p w:rsidR="00745A5C" w:rsidRPr="007D46DC" w:rsidRDefault="00745A5C" w:rsidP="00745A5C">
      <w:pPr>
        <w:pStyle w:val="ListParagraph"/>
        <w:spacing w:after="200"/>
        <w:ind w:left="360"/>
        <w:jc w:val="both"/>
        <w:rPr>
          <w:lang w:val="es-ES"/>
        </w:rPr>
      </w:pPr>
    </w:p>
    <w:p w:rsidR="00745A5C" w:rsidRPr="00D108D6" w:rsidRDefault="00745A5C" w:rsidP="00745A5C">
      <w:pPr>
        <w:jc w:val="center"/>
        <w:rPr>
          <w:sz w:val="18"/>
          <w:szCs w:val="18"/>
          <w:highlight w:val="yellow"/>
        </w:rPr>
      </w:pPr>
      <w:r w:rsidRPr="00141C1E">
        <w:rPr>
          <w:b/>
          <w:iCs/>
        </w:rPr>
        <w:t xml:space="preserve">Meta estratégica IV:  Coordinación y desarrollo de la infraestructura mundial de P.I. </w:t>
      </w:r>
      <w:r w:rsidRPr="00DD32B2">
        <w:rPr>
          <w:noProof/>
          <w:lang w:val="en-US" w:eastAsia="en-US"/>
        </w:rPr>
        <w:drawing>
          <wp:inline distT="0" distB="0" distL="0" distR="0" wp14:anchorId="353F040B" wp14:editId="4D8AF9FB">
            <wp:extent cx="4832834" cy="2511812"/>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32746" cy="2511766"/>
                    </a:xfrm>
                    <a:prstGeom prst="rect">
                      <a:avLst/>
                    </a:prstGeom>
                    <a:noFill/>
                    <a:ln>
                      <a:noFill/>
                    </a:ln>
                  </pic:spPr>
                </pic:pic>
              </a:graphicData>
            </a:graphic>
          </wp:inline>
        </w:drawing>
      </w:r>
    </w:p>
    <w:p w:rsidR="00745A5C" w:rsidRPr="00F945CE" w:rsidRDefault="00745A5C" w:rsidP="00EE1CCE">
      <w:pPr>
        <w:numPr>
          <w:ilvl w:val="0"/>
          <w:numId w:val="10"/>
        </w:numPr>
        <w:spacing w:after="120"/>
        <w:ind w:left="0" w:firstLine="0"/>
        <w:jc w:val="both"/>
        <w:rPr>
          <w:rFonts w:cs="Times New Roman"/>
          <w:sz w:val="20"/>
        </w:rPr>
      </w:pPr>
      <w:r w:rsidRPr="00F945CE">
        <w:rPr>
          <w:rFonts w:cs="Times New Roman"/>
          <w:sz w:val="20"/>
        </w:rPr>
        <w:t>Con la mira puesta en fomentar la infraestructura mundial de P.I. para contribuir a satisfacer la creciente demanda mundial con respecto al sistema de P.I. y facilitar la participación en el mismo de los países en desarrollo y los PMA, en 2016 se lograron importantes avances en los ámbitos de las bases mundiales de datos de P.I., las clasificaciones, la modernización de las oficinas de P.I. y los CATI.</w:t>
      </w:r>
    </w:p>
    <w:p w:rsidR="00745A5C" w:rsidRPr="00D108D6" w:rsidRDefault="00745A5C" w:rsidP="00EE1CCE">
      <w:pPr>
        <w:pStyle w:val="ListParagraph"/>
        <w:numPr>
          <w:ilvl w:val="0"/>
          <w:numId w:val="11"/>
        </w:numPr>
        <w:spacing w:after="120"/>
        <w:jc w:val="both"/>
        <w:rPr>
          <w:lang w:val="es-ES"/>
        </w:rPr>
      </w:pPr>
      <w:r>
        <w:rPr>
          <w:lang w:val="es-ES"/>
        </w:rPr>
        <w:t>Se puso en marcha una nueva herramienta avanzada de traducción automática neuronal basada en la inteligencia artificial para traducir documentos de patente en tres pares de idiomas (inglés-chino, inglés-japonés e inglés-coreano), que proporciona a los innovadores de todo el mundo información accesible más fácilmente sobre las patentes y nuevas tecnologías.</w:t>
      </w:r>
    </w:p>
    <w:p w:rsidR="00745A5C" w:rsidRPr="00D108D6" w:rsidRDefault="00745A5C" w:rsidP="00EE1CCE">
      <w:pPr>
        <w:pStyle w:val="ListParagraph"/>
        <w:numPr>
          <w:ilvl w:val="0"/>
          <w:numId w:val="11"/>
        </w:numPr>
        <w:spacing w:after="120"/>
        <w:jc w:val="both"/>
        <w:rPr>
          <w:lang w:val="es-ES"/>
        </w:rPr>
      </w:pPr>
      <w:r>
        <w:rPr>
          <w:lang w:val="es-ES"/>
        </w:rPr>
        <w:t>Las bases mundiales de datos siguieron satisfaciendo una fuerte demanda del público, contando con una base estable de usuarios y experimentando un aumento constant</w:t>
      </w:r>
      <w:r w:rsidR="00C7419B">
        <w:rPr>
          <w:lang w:val="es-ES"/>
        </w:rPr>
        <w:t>e de la cobertura a lo largo de </w:t>
      </w:r>
      <w:r>
        <w:rPr>
          <w:lang w:val="es-ES"/>
        </w:rPr>
        <w:t>2016.  Además, en 2016 se amplió el conjunto de bases mundiales de datos para dar cabida a WIPO Lex, en la que se llevó a cabo un examen exhaustivo de las operaciones, y se inició una revisión completa.  Se siguió perfeccionando la capacidad de búsqueda de PATENTSCOPE para integrar una función de búsqueda especializada de compuestos químicos mediante las denominaciones comunes internacionales (DCI) y las fórmulas químicas.</w:t>
      </w:r>
    </w:p>
    <w:p w:rsidR="00745A5C" w:rsidRPr="00D108D6" w:rsidRDefault="00745A5C" w:rsidP="00EE1CCE">
      <w:pPr>
        <w:pStyle w:val="ListParagraph"/>
        <w:numPr>
          <w:ilvl w:val="0"/>
          <w:numId w:val="11"/>
        </w:numPr>
        <w:spacing w:after="120"/>
        <w:jc w:val="both"/>
        <w:rPr>
          <w:lang w:val="es-ES"/>
        </w:rPr>
      </w:pPr>
      <w:r w:rsidRPr="00855F42">
        <w:rPr>
          <w:lang w:val="es-ES"/>
        </w:rPr>
        <w:lastRenderedPageBreak/>
        <w:t xml:space="preserve">El uso de PATENTSCOPE se mantuvo estable con más de 245.000 visitantes </w:t>
      </w:r>
      <w:r>
        <w:rPr>
          <w:lang w:val="es-ES"/>
        </w:rPr>
        <w:t xml:space="preserve">diferentes </w:t>
      </w:r>
      <w:r w:rsidRPr="00855F42">
        <w:rPr>
          <w:lang w:val="es-ES"/>
        </w:rPr>
        <w:t>por trimestre en 2016.</w:t>
      </w:r>
      <w:r>
        <w:rPr>
          <w:lang w:val="es-ES"/>
        </w:rPr>
        <w:t xml:space="preserve">  </w:t>
      </w:r>
      <w:r w:rsidRPr="0082524E">
        <w:rPr>
          <w:lang w:val="es-ES"/>
        </w:rPr>
        <w:t xml:space="preserve">La Base Mundial de Datos sobre Marcas </w:t>
      </w:r>
      <w:r>
        <w:rPr>
          <w:lang w:val="es-ES"/>
        </w:rPr>
        <w:t>experimentó</w:t>
      </w:r>
      <w:r w:rsidRPr="0082524E">
        <w:rPr>
          <w:lang w:val="es-ES"/>
        </w:rPr>
        <w:t xml:space="preserve"> un </w:t>
      </w:r>
      <w:r>
        <w:rPr>
          <w:lang w:val="es-ES"/>
        </w:rPr>
        <w:t xml:space="preserve">aumento del </w:t>
      </w:r>
      <w:r w:rsidRPr="0082524E">
        <w:rPr>
          <w:lang w:val="es-ES"/>
        </w:rPr>
        <w:t xml:space="preserve">48% en el número de visitantes </w:t>
      </w:r>
      <w:r>
        <w:rPr>
          <w:lang w:val="es-ES"/>
        </w:rPr>
        <w:t xml:space="preserve">diferentes </w:t>
      </w:r>
      <w:r w:rsidRPr="0082524E">
        <w:rPr>
          <w:lang w:val="es-ES"/>
        </w:rPr>
        <w:t xml:space="preserve">por trimestre </w:t>
      </w:r>
      <w:r>
        <w:rPr>
          <w:lang w:val="es-ES"/>
        </w:rPr>
        <w:t xml:space="preserve">hasta superar los </w:t>
      </w:r>
      <w:r w:rsidRPr="0082524E">
        <w:rPr>
          <w:lang w:val="es-ES"/>
        </w:rPr>
        <w:t>119.000.</w:t>
      </w:r>
      <w:r>
        <w:rPr>
          <w:lang w:val="es-ES"/>
        </w:rPr>
        <w:t xml:space="preserve">  Al final de 2016, en su segundo año de servicio, la Base Mundial de Datos sobre Dibujos y Modelos  </w:t>
      </w:r>
      <w:r w:rsidRPr="0082524E">
        <w:rPr>
          <w:lang w:val="es-ES"/>
        </w:rPr>
        <w:t xml:space="preserve">ha experimentado un aumento del 6% en el número de documentos de dibujos y modelos industriales, con lo que el total </w:t>
      </w:r>
      <w:r>
        <w:rPr>
          <w:lang w:val="es-ES"/>
        </w:rPr>
        <w:t>asciende a</w:t>
      </w:r>
      <w:r w:rsidRPr="0082524E">
        <w:rPr>
          <w:lang w:val="es-ES"/>
        </w:rPr>
        <w:t xml:space="preserve"> 1,6 millones.</w:t>
      </w:r>
      <w:r>
        <w:rPr>
          <w:lang w:val="es-ES"/>
        </w:rPr>
        <w:t xml:space="preserve">  En los gráficos que figuran a continuación se indica el número de registros contenidos en las bases de datos de 2014 a 2016 en </w:t>
      </w:r>
      <w:r w:rsidRPr="00D108D6">
        <w:rPr>
          <w:lang w:val="es-ES"/>
        </w:rPr>
        <w:t xml:space="preserve">PATENTSCOPE </w:t>
      </w:r>
      <w:r>
        <w:rPr>
          <w:lang w:val="es-ES"/>
        </w:rPr>
        <w:t xml:space="preserve">y la Base Mundial de Datos sobre Marcas, y de </w:t>
      </w:r>
      <w:r w:rsidRPr="00D108D6">
        <w:rPr>
          <w:lang w:val="es-ES"/>
        </w:rPr>
        <w:t xml:space="preserve">2015 </w:t>
      </w:r>
      <w:r>
        <w:rPr>
          <w:lang w:val="es-ES"/>
        </w:rPr>
        <w:t xml:space="preserve">a </w:t>
      </w:r>
      <w:r w:rsidRPr="00D108D6">
        <w:rPr>
          <w:lang w:val="es-ES"/>
        </w:rPr>
        <w:t xml:space="preserve">2016 </w:t>
      </w:r>
      <w:r>
        <w:rPr>
          <w:lang w:val="es-ES"/>
        </w:rPr>
        <w:t>en la Base Mundial de Datos sobre Dibujos y Modelos</w:t>
      </w:r>
      <w:r w:rsidRPr="00D108D6">
        <w:rPr>
          <w:lang w:val="es-ES"/>
        </w:rPr>
        <w:t>.</w:t>
      </w:r>
      <w:r w:rsidRPr="002F663B">
        <w:rPr>
          <w:lang w:val="es-ES"/>
        </w:rPr>
        <w:t xml:space="preserve"> </w:t>
      </w:r>
    </w:p>
    <w:p w:rsidR="00745A5C" w:rsidRPr="00D108D6" w:rsidRDefault="00745A5C" w:rsidP="00745A5C">
      <w:pPr>
        <w:spacing w:before="240"/>
        <w:jc w:val="center"/>
      </w:pPr>
      <w:r w:rsidRPr="00DC2639">
        <w:t xml:space="preserve">Número de registros en PATENTSCOPE en </w:t>
      </w:r>
      <w:r w:rsidRPr="00D108D6">
        <w:t>2014-2016</w:t>
      </w:r>
    </w:p>
    <w:p w:rsidR="00745A5C" w:rsidRPr="00D108D6" w:rsidRDefault="00745A5C" w:rsidP="00745A5C">
      <w:pPr>
        <w:spacing w:after="120"/>
        <w:jc w:val="center"/>
      </w:pPr>
      <w:r w:rsidRPr="003D18CB">
        <w:rPr>
          <w:noProof/>
          <w:lang w:val="en-US" w:eastAsia="en-US"/>
        </w:rPr>
        <w:drawing>
          <wp:inline distT="0" distB="0" distL="0" distR="0" wp14:anchorId="67A4DFCF" wp14:editId="3B2AE8EF">
            <wp:extent cx="4438786" cy="2187081"/>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1724" cy="2193456"/>
                    </a:xfrm>
                    <a:prstGeom prst="rect">
                      <a:avLst/>
                    </a:prstGeom>
                    <a:noFill/>
                    <a:ln>
                      <a:noFill/>
                    </a:ln>
                  </pic:spPr>
                </pic:pic>
              </a:graphicData>
            </a:graphic>
          </wp:inline>
        </w:drawing>
      </w:r>
    </w:p>
    <w:p w:rsidR="00745A5C" w:rsidRPr="00D108D6" w:rsidRDefault="00745A5C" w:rsidP="00745A5C">
      <w:pPr>
        <w:spacing w:before="240"/>
        <w:jc w:val="center"/>
      </w:pPr>
      <w:r>
        <w:t xml:space="preserve">Número de registros </w:t>
      </w:r>
      <w:r w:rsidRPr="00DC2639">
        <w:t>en la Bas</w:t>
      </w:r>
      <w:r>
        <w:t>e Mundial de Datos sobre Marcas en</w:t>
      </w:r>
      <w:r w:rsidRPr="00DC2639">
        <w:t xml:space="preserve"> </w:t>
      </w:r>
      <w:r w:rsidRPr="00D108D6">
        <w:t>2014-2016</w:t>
      </w:r>
    </w:p>
    <w:p w:rsidR="00745A5C" w:rsidRPr="00D108D6" w:rsidRDefault="00745A5C" w:rsidP="00745A5C">
      <w:pPr>
        <w:spacing w:after="120"/>
        <w:jc w:val="center"/>
      </w:pPr>
      <w:r w:rsidRPr="00ED743A">
        <w:rPr>
          <w:noProof/>
          <w:lang w:val="en-US" w:eastAsia="en-US"/>
        </w:rPr>
        <w:drawing>
          <wp:inline distT="0" distB="0" distL="0" distR="0" wp14:anchorId="7836DF67" wp14:editId="6C2576AA">
            <wp:extent cx="4380614" cy="2251098"/>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86583" cy="2254165"/>
                    </a:xfrm>
                    <a:prstGeom prst="rect">
                      <a:avLst/>
                    </a:prstGeom>
                    <a:noFill/>
                    <a:ln>
                      <a:noFill/>
                    </a:ln>
                  </pic:spPr>
                </pic:pic>
              </a:graphicData>
            </a:graphic>
          </wp:inline>
        </w:drawing>
      </w:r>
    </w:p>
    <w:p w:rsidR="00745A5C" w:rsidRPr="00D108D6" w:rsidRDefault="00745A5C" w:rsidP="00745A5C">
      <w:pPr>
        <w:spacing w:before="240"/>
        <w:jc w:val="center"/>
      </w:pPr>
      <w:r w:rsidRPr="00DC2639">
        <w:t xml:space="preserve">Número de registros </w:t>
      </w:r>
      <w:r>
        <w:t xml:space="preserve">en la </w:t>
      </w:r>
      <w:r w:rsidRPr="00DC2639">
        <w:t xml:space="preserve">Base Mundial de Datos sobre Dibujos y Modelos </w:t>
      </w:r>
      <w:r>
        <w:t xml:space="preserve">en </w:t>
      </w:r>
      <w:r w:rsidRPr="00D108D6">
        <w:t>2015-2016</w:t>
      </w:r>
    </w:p>
    <w:p w:rsidR="00745A5C" w:rsidRPr="00D108D6" w:rsidRDefault="00745A5C" w:rsidP="00745A5C">
      <w:pPr>
        <w:spacing w:after="120"/>
        <w:jc w:val="center"/>
      </w:pPr>
      <w:r w:rsidRPr="002245BA">
        <w:rPr>
          <w:noProof/>
          <w:lang w:val="en-US" w:eastAsia="en-US"/>
        </w:rPr>
        <w:drawing>
          <wp:inline distT="0" distB="0" distL="0" distR="0" wp14:anchorId="74464886" wp14:editId="475924C1">
            <wp:extent cx="4140000" cy="248798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40000" cy="2487985"/>
                    </a:xfrm>
                    <a:prstGeom prst="rect">
                      <a:avLst/>
                    </a:prstGeom>
                    <a:noFill/>
                    <a:ln>
                      <a:noFill/>
                    </a:ln>
                  </pic:spPr>
                </pic:pic>
              </a:graphicData>
            </a:graphic>
          </wp:inline>
        </w:drawing>
      </w:r>
    </w:p>
    <w:p w:rsidR="00745A5C" w:rsidRPr="003C4239" w:rsidRDefault="00745A5C" w:rsidP="00EE1CCE">
      <w:pPr>
        <w:pStyle w:val="ListParagraph"/>
        <w:numPr>
          <w:ilvl w:val="0"/>
          <w:numId w:val="11"/>
        </w:numPr>
        <w:spacing w:after="120"/>
        <w:jc w:val="both"/>
        <w:rPr>
          <w:lang w:val="es-ES"/>
        </w:rPr>
      </w:pPr>
      <w:r w:rsidRPr="003C4239">
        <w:rPr>
          <w:lang w:val="es-ES"/>
        </w:rPr>
        <w:lastRenderedPageBreak/>
        <w:t xml:space="preserve">En lo que respecta a las </w:t>
      </w:r>
      <w:r>
        <w:rPr>
          <w:lang w:val="es-ES"/>
        </w:rPr>
        <w:t>c</w:t>
      </w:r>
      <w:r w:rsidRPr="003C4239">
        <w:rPr>
          <w:lang w:val="es-ES"/>
        </w:rPr>
        <w:t xml:space="preserve">lasificaciones </w:t>
      </w:r>
      <w:r>
        <w:rPr>
          <w:lang w:val="es-ES"/>
        </w:rPr>
        <w:t>i</w:t>
      </w:r>
      <w:r w:rsidRPr="003C4239">
        <w:rPr>
          <w:lang w:val="es-ES"/>
        </w:rPr>
        <w:t xml:space="preserve">nternacionales y </w:t>
      </w:r>
      <w:r>
        <w:rPr>
          <w:lang w:val="es-ES"/>
        </w:rPr>
        <w:t>n</w:t>
      </w:r>
      <w:r w:rsidRPr="003C4239">
        <w:rPr>
          <w:lang w:val="es-ES"/>
        </w:rPr>
        <w:t xml:space="preserve">ormas </w:t>
      </w:r>
      <w:r>
        <w:rPr>
          <w:lang w:val="es-ES"/>
        </w:rPr>
        <w:t>t</w:t>
      </w:r>
      <w:r w:rsidR="00B20722">
        <w:rPr>
          <w:lang w:val="es-ES"/>
        </w:rPr>
        <w:t>écnicas de la OMPI, en el año </w:t>
      </w:r>
      <w:r w:rsidRPr="003C4239">
        <w:rPr>
          <w:lang w:val="es-ES"/>
        </w:rPr>
        <w:t xml:space="preserve">2016 se registraron avances positivos.  </w:t>
      </w:r>
      <w:r>
        <w:rPr>
          <w:lang w:val="es-ES"/>
        </w:rPr>
        <w:t>En lo que atañe a las</w:t>
      </w:r>
      <w:r w:rsidR="00474DCA">
        <w:rPr>
          <w:lang w:val="es-ES"/>
        </w:rPr>
        <w:t xml:space="preserve"> normas técnicas de la OMPI, en </w:t>
      </w:r>
      <w:r>
        <w:rPr>
          <w:lang w:val="es-ES"/>
        </w:rPr>
        <w:t>2016 se produjo una recuperación, después de que 2015 transcurriera sin resultados oficiales, y se adoptaron oficialmente dos nuevas normas técnicas y se revisaron tres.  En cuanto a la Clasificación de Niza, se introdujo un total de 1.213 modificaciones</w:t>
      </w:r>
      <w:r w:rsidR="00474DCA">
        <w:rPr>
          <w:lang w:val="es-ES"/>
        </w:rPr>
        <w:t xml:space="preserve"> (en comparación con las 920 de </w:t>
      </w:r>
      <w:r>
        <w:rPr>
          <w:lang w:val="es-ES"/>
        </w:rPr>
        <w:t>2015) y 30 nuevos ficheros de información (en comparación con los 5 de 2015) y se revisaron 148 ficheros de información (en comparación con  los 4 de 2015).</w:t>
      </w:r>
    </w:p>
    <w:p w:rsidR="00745A5C" w:rsidRPr="00D108D6" w:rsidRDefault="00745A5C" w:rsidP="00EE1CCE">
      <w:pPr>
        <w:pStyle w:val="ListParagraph"/>
        <w:numPr>
          <w:ilvl w:val="0"/>
          <w:numId w:val="11"/>
        </w:numPr>
        <w:spacing w:after="120"/>
        <w:jc w:val="both"/>
        <w:rPr>
          <w:lang w:val="es-ES"/>
        </w:rPr>
      </w:pPr>
      <w:r w:rsidRPr="00A947E3">
        <w:rPr>
          <w:lang w:val="es-ES"/>
        </w:rPr>
        <w:t xml:space="preserve">Un total de 28 Centros de Apoyo </w:t>
      </w:r>
      <w:r>
        <w:rPr>
          <w:lang w:val="es-ES"/>
        </w:rPr>
        <w:t>a</w:t>
      </w:r>
      <w:r w:rsidRPr="00A947E3">
        <w:rPr>
          <w:lang w:val="es-ES"/>
        </w:rPr>
        <w:t xml:space="preserve"> la Tecnolog</w:t>
      </w:r>
      <w:r>
        <w:rPr>
          <w:lang w:val="es-ES"/>
        </w:rPr>
        <w:t>ía y la Innovación (CATI) reunió</w:t>
      </w:r>
      <w:r w:rsidRPr="00A947E3">
        <w:rPr>
          <w:lang w:val="es-ES"/>
        </w:rPr>
        <w:t xml:space="preserve"> los criterios </w:t>
      </w:r>
      <w:r>
        <w:rPr>
          <w:lang w:val="es-ES"/>
        </w:rPr>
        <w:t xml:space="preserve">necesarios </w:t>
      </w:r>
      <w:r w:rsidRPr="00A947E3">
        <w:rPr>
          <w:lang w:val="es-ES"/>
        </w:rPr>
        <w:t xml:space="preserve">para </w:t>
      </w:r>
      <w:r>
        <w:rPr>
          <w:lang w:val="es-ES"/>
        </w:rPr>
        <w:t>alcanzar</w:t>
      </w:r>
      <w:r w:rsidRPr="00A947E3">
        <w:rPr>
          <w:lang w:val="es-ES"/>
        </w:rPr>
        <w:t xml:space="preserve"> uno de los tres niveles de desarrollo de sostenibilidad en 2016.</w:t>
      </w:r>
      <w:r>
        <w:rPr>
          <w:lang w:val="es-ES"/>
        </w:rPr>
        <w:t xml:space="preserve">  A ese respecto, seis CATI ofrecían servicios de análisis de patentes (nivel de desarrollo 3) antes de que finalizara 2016.</w:t>
      </w:r>
    </w:p>
    <w:p w:rsidR="00745A5C" w:rsidRPr="00D108D6" w:rsidRDefault="00745A5C" w:rsidP="00EE1CCE">
      <w:pPr>
        <w:pStyle w:val="ListParagraph"/>
        <w:numPr>
          <w:ilvl w:val="0"/>
          <w:numId w:val="11"/>
        </w:numPr>
        <w:jc w:val="both"/>
        <w:rPr>
          <w:lang w:val="es-ES"/>
        </w:rPr>
      </w:pPr>
      <w:r>
        <w:rPr>
          <w:lang w:val="es-ES"/>
        </w:rPr>
        <w:t>Se siguieron desarrollando los servicios básicos de los CATI junto con el Programa de Asistencia a Inventores (PAI) en Colombia, Marruecos y Filipinas, y en 2016 se recibió un total de 35 peticiones, que constituyen un número bastante mayor al previsto inicialmente.</w:t>
      </w:r>
    </w:p>
    <w:p w:rsidR="00745A5C" w:rsidRPr="00D108D6" w:rsidRDefault="00745A5C" w:rsidP="00745A5C">
      <w:pPr>
        <w:pStyle w:val="ListParagraph"/>
        <w:ind w:left="360"/>
        <w:jc w:val="both"/>
        <w:rPr>
          <w:sz w:val="12"/>
          <w:szCs w:val="12"/>
          <w:lang w:val="es-ES"/>
        </w:rPr>
      </w:pPr>
    </w:p>
    <w:p w:rsidR="00745A5C" w:rsidRPr="00D108D6" w:rsidRDefault="00745A5C" w:rsidP="00EE1CCE">
      <w:pPr>
        <w:pStyle w:val="ListParagraph"/>
        <w:numPr>
          <w:ilvl w:val="0"/>
          <w:numId w:val="11"/>
        </w:numPr>
        <w:jc w:val="both"/>
        <w:rPr>
          <w:lang w:val="es-ES"/>
        </w:rPr>
      </w:pPr>
      <w:r w:rsidRPr="00A947E3">
        <w:rPr>
          <w:lang w:val="es-ES"/>
        </w:rPr>
        <w:t xml:space="preserve">En el gráfico siguiente se ofrece un panorama general del incremento constante en el uso de los sistemas de la OMPI para las Oficinas de P.I. en los últimos </w:t>
      </w:r>
      <w:r>
        <w:rPr>
          <w:lang w:val="es-ES"/>
        </w:rPr>
        <w:t xml:space="preserve">siete </w:t>
      </w:r>
      <w:r w:rsidRPr="00A947E3">
        <w:rPr>
          <w:lang w:val="es-ES"/>
        </w:rPr>
        <w:t>años.</w:t>
      </w:r>
      <w:r>
        <w:rPr>
          <w:lang w:val="es-ES"/>
        </w:rPr>
        <w:t xml:space="preserve">  Al final de 2016, unas 81 Oficinas de P.I. utilizaban dichos sistemas.</w:t>
      </w:r>
    </w:p>
    <w:p w:rsidR="00745A5C" w:rsidRPr="00D108D6" w:rsidRDefault="00745A5C" w:rsidP="00745A5C">
      <w:pPr>
        <w:pStyle w:val="ListParagraph"/>
        <w:keepNext/>
        <w:keepLines/>
        <w:spacing w:before="360"/>
        <w:ind w:left="357"/>
        <w:jc w:val="center"/>
        <w:rPr>
          <w:b/>
          <w:sz w:val="22"/>
          <w:szCs w:val="22"/>
          <w:lang w:val="es-ES"/>
        </w:rPr>
      </w:pPr>
      <w:r>
        <w:rPr>
          <w:b/>
          <w:sz w:val="22"/>
          <w:szCs w:val="22"/>
          <w:lang w:val="es-ES"/>
        </w:rPr>
        <w:t>Sistemas ofimáticos de la OMPI para las Oficinas de P.I. –</w:t>
      </w:r>
      <w:r w:rsidRPr="00D108D6">
        <w:rPr>
          <w:b/>
          <w:sz w:val="22"/>
          <w:szCs w:val="22"/>
          <w:lang w:val="es-ES"/>
        </w:rPr>
        <w:t xml:space="preserve"> Us</w:t>
      </w:r>
      <w:r>
        <w:rPr>
          <w:b/>
          <w:sz w:val="22"/>
          <w:szCs w:val="22"/>
          <w:lang w:val="es-ES"/>
        </w:rPr>
        <w:t>o por región</w:t>
      </w:r>
      <w:r w:rsidRPr="00D108D6">
        <w:rPr>
          <w:rStyle w:val="FootnoteReference"/>
          <w:rFonts w:eastAsia="SimSun"/>
          <w:b/>
          <w:lang w:val="es-ES"/>
        </w:rPr>
        <w:footnoteReference w:id="6"/>
      </w:r>
    </w:p>
    <w:p w:rsidR="00745A5C" w:rsidRPr="00D108D6" w:rsidRDefault="00745A5C" w:rsidP="00745A5C">
      <w:pPr>
        <w:pStyle w:val="ListParagraph"/>
        <w:spacing w:after="120"/>
        <w:ind w:left="360"/>
        <w:jc w:val="center"/>
        <w:rPr>
          <w:lang w:val="es-ES"/>
        </w:rPr>
      </w:pPr>
      <w:r w:rsidRPr="007D2FDC">
        <w:rPr>
          <w:noProof/>
        </w:rPr>
        <w:drawing>
          <wp:inline distT="0" distB="0" distL="0" distR="0" wp14:anchorId="41E3E57E" wp14:editId="5EE7E365">
            <wp:extent cx="4965251" cy="335585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62379" cy="3353914"/>
                    </a:xfrm>
                    <a:prstGeom prst="rect">
                      <a:avLst/>
                    </a:prstGeom>
                    <a:noFill/>
                    <a:ln>
                      <a:noFill/>
                    </a:ln>
                  </pic:spPr>
                </pic:pic>
              </a:graphicData>
            </a:graphic>
          </wp:inline>
        </w:drawing>
      </w:r>
    </w:p>
    <w:p w:rsidR="00745A5C" w:rsidRPr="00D108D6" w:rsidRDefault="00745A5C" w:rsidP="00EE1CCE">
      <w:pPr>
        <w:pStyle w:val="ListParagraph"/>
        <w:numPr>
          <w:ilvl w:val="0"/>
          <w:numId w:val="7"/>
        </w:numPr>
        <w:spacing w:after="120"/>
        <w:jc w:val="both"/>
        <w:rPr>
          <w:lang w:val="es-ES"/>
        </w:rPr>
      </w:pPr>
      <w:r>
        <w:rPr>
          <w:lang w:val="es-ES"/>
        </w:rPr>
        <w:t xml:space="preserve">En 2016, </w:t>
      </w:r>
      <w:r w:rsidRPr="00855E83">
        <w:rPr>
          <w:lang w:val="es-ES"/>
        </w:rPr>
        <w:t xml:space="preserve">el acceso centralizado a </w:t>
      </w:r>
      <w:r>
        <w:rPr>
          <w:lang w:val="es-ES"/>
        </w:rPr>
        <w:t>los resultados de l</w:t>
      </w:r>
      <w:r w:rsidRPr="00855E83">
        <w:rPr>
          <w:lang w:val="es-ES"/>
        </w:rPr>
        <w:t>a búsqueda y el examen</w:t>
      </w:r>
      <w:r>
        <w:rPr>
          <w:lang w:val="es-ES"/>
        </w:rPr>
        <w:t xml:space="preserve"> (WIPO CASE) estaba plenamente acoplado a</w:t>
      </w:r>
      <w:r w:rsidRPr="00855E83">
        <w:rPr>
          <w:lang w:val="es-ES"/>
        </w:rPr>
        <w:t>l S</w:t>
      </w:r>
      <w:r>
        <w:rPr>
          <w:lang w:val="es-ES"/>
        </w:rPr>
        <w:t>istema One Portal Dossier de la</w:t>
      </w:r>
      <w:r w:rsidRPr="00855E83">
        <w:rPr>
          <w:lang w:val="es-ES"/>
        </w:rPr>
        <w:t xml:space="preserve"> Oficina </w:t>
      </w:r>
      <w:r>
        <w:rPr>
          <w:lang w:val="es-ES"/>
        </w:rPr>
        <w:t>Europea</w:t>
      </w:r>
      <w:r w:rsidRPr="00855E83">
        <w:rPr>
          <w:lang w:val="es-ES"/>
        </w:rPr>
        <w:t xml:space="preserve"> de Patentes, la Oficina Japonesa de Patentes, la Oficina </w:t>
      </w:r>
      <w:r>
        <w:rPr>
          <w:lang w:val="es-ES"/>
        </w:rPr>
        <w:t>Surc</w:t>
      </w:r>
      <w:r w:rsidRPr="00855E83">
        <w:rPr>
          <w:lang w:val="es-ES"/>
        </w:rPr>
        <w:t xml:space="preserve">oreana de Propiedad Intelectual, </w:t>
      </w:r>
      <w:r>
        <w:rPr>
          <w:lang w:val="es-ES"/>
        </w:rPr>
        <w:t xml:space="preserve">la </w:t>
      </w:r>
      <w:r w:rsidRPr="00855E83">
        <w:rPr>
          <w:lang w:val="es-ES"/>
        </w:rPr>
        <w:t>Oficina Estatal de Propiedad Intelectual de China y la Oficina de Patentes y Marcas de los Estados Unidos de América.</w:t>
      </w:r>
      <w:r>
        <w:rPr>
          <w:lang w:val="es-ES"/>
        </w:rPr>
        <w:t xml:space="preserve">  El número de Oficinas que utilizaban </w:t>
      </w:r>
      <w:r w:rsidRPr="00A72AB6">
        <w:rPr>
          <w:lang w:val="es-ES"/>
        </w:rPr>
        <w:t>WIPO</w:t>
      </w:r>
      <w:r>
        <w:rPr>
          <w:lang w:val="es-ES"/>
        </w:rPr>
        <w:t xml:space="preserve"> Publish, un programa informático utilizado</w:t>
      </w:r>
      <w:r w:rsidRPr="00A72AB6">
        <w:rPr>
          <w:lang w:val="es-ES"/>
        </w:rPr>
        <w:t xml:space="preserve"> entre otras co</w:t>
      </w:r>
      <w:r>
        <w:rPr>
          <w:lang w:val="es-ES"/>
        </w:rPr>
        <w:t>sas</w:t>
      </w:r>
      <w:r w:rsidRPr="00A72AB6">
        <w:rPr>
          <w:lang w:val="es-ES"/>
        </w:rPr>
        <w:t xml:space="preserve"> para </w:t>
      </w:r>
      <w:r>
        <w:rPr>
          <w:lang w:val="es-ES"/>
        </w:rPr>
        <w:t>complementar</w:t>
      </w:r>
      <w:r w:rsidRPr="00A72AB6">
        <w:rPr>
          <w:lang w:val="es-ES"/>
        </w:rPr>
        <w:t xml:space="preserve"> los procesos </w:t>
      </w:r>
      <w:r>
        <w:rPr>
          <w:lang w:val="es-ES"/>
        </w:rPr>
        <w:t xml:space="preserve">internos </w:t>
      </w:r>
      <w:r w:rsidRPr="00A72AB6">
        <w:rPr>
          <w:lang w:val="es-ES"/>
        </w:rPr>
        <w:t xml:space="preserve">de búsqueda y examen o facilitar la búsqueda en </w:t>
      </w:r>
      <w:r>
        <w:rPr>
          <w:lang w:val="es-ES"/>
        </w:rPr>
        <w:t>I</w:t>
      </w:r>
      <w:r w:rsidRPr="00A72AB6">
        <w:rPr>
          <w:lang w:val="es-ES"/>
        </w:rPr>
        <w:t xml:space="preserve">nternet a los usuarios externos, aumentaron hasta </w:t>
      </w:r>
      <w:r>
        <w:rPr>
          <w:lang w:val="es-ES"/>
        </w:rPr>
        <w:t xml:space="preserve">llegar a las </w:t>
      </w:r>
      <w:r w:rsidRPr="00A72AB6">
        <w:rPr>
          <w:lang w:val="es-ES"/>
        </w:rPr>
        <w:t>25 Oficinas en 2016.</w:t>
      </w:r>
      <w:r>
        <w:rPr>
          <w:lang w:val="es-ES"/>
        </w:rPr>
        <w:t xml:space="preserve">  Además, otras seis Oficinas comenzaron a utilizar las plataformas de infraestructura de la OMPI.</w:t>
      </w:r>
    </w:p>
    <w:p w:rsidR="00745A5C" w:rsidRPr="00D108D6" w:rsidRDefault="00745A5C" w:rsidP="00EE1CCE">
      <w:pPr>
        <w:pStyle w:val="ListParagraph"/>
        <w:numPr>
          <w:ilvl w:val="0"/>
          <w:numId w:val="7"/>
        </w:numPr>
        <w:spacing w:after="120"/>
        <w:jc w:val="both"/>
        <w:rPr>
          <w:lang w:val="es-ES"/>
        </w:rPr>
      </w:pPr>
      <w:r>
        <w:rPr>
          <w:lang w:val="es-ES"/>
        </w:rPr>
        <w:t>El Consorcio de L</w:t>
      </w:r>
      <w:r w:rsidRPr="00A72AB6">
        <w:rPr>
          <w:lang w:val="es-ES"/>
        </w:rPr>
        <w:t xml:space="preserve">ibros </w:t>
      </w:r>
      <w:r>
        <w:rPr>
          <w:lang w:val="es-ES"/>
        </w:rPr>
        <w:t>A</w:t>
      </w:r>
      <w:r w:rsidRPr="00A72AB6">
        <w:rPr>
          <w:lang w:val="es-ES"/>
        </w:rPr>
        <w:t>ccesibles (ABC) experiment</w:t>
      </w:r>
      <w:r>
        <w:rPr>
          <w:lang w:val="es-ES"/>
        </w:rPr>
        <w:t xml:space="preserve">ó </w:t>
      </w:r>
      <w:r w:rsidRPr="00A72AB6">
        <w:rPr>
          <w:lang w:val="es-ES"/>
        </w:rPr>
        <w:t xml:space="preserve">excelentes resultados en 2016, </w:t>
      </w:r>
      <w:r>
        <w:rPr>
          <w:lang w:val="es-ES"/>
        </w:rPr>
        <w:t xml:space="preserve">y </w:t>
      </w:r>
      <w:r w:rsidRPr="00A72AB6">
        <w:rPr>
          <w:lang w:val="es-ES"/>
        </w:rPr>
        <w:t xml:space="preserve">10 </w:t>
      </w:r>
      <w:r>
        <w:rPr>
          <w:lang w:val="es-ES"/>
        </w:rPr>
        <w:t>nueva</w:t>
      </w:r>
      <w:r w:rsidRPr="00A72AB6">
        <w:rPr>
          <w:lang w:val="es-ES"/>
        </w:rPr>
        <w:t xml:space="preserve">s bibliotecas para ciegos </w:t>
      </w:r>
      <w:r>
        <w:rPr>
          <w:lang w:val="es-ES"/>
        </w:rPr>
        <w:t xml:space="preserve">se adhirieron </w:t>
      </w:r>
      <w:r w:rsidRPr="00A72AB6">
        <w:rPr>
          <w:lang w:val="es-ES"/>
        </w:rPr>
        <w:t>al Servicio de Libros del ABC, un catálogo internacional de obras accesibles.</w:t>
      </w:r>
      <w:r>
        <w:rPr>
          <w:lang w:val="es-ES"/>
        </w:rPr>
        <w:t xml:space="preserve">  </w:t>
      </w:r>
      <w:r w:rsidR="003D5A5F">
        <w:rPr>
          <w:lang w:val="es-ES"/>
        </w:rPr>
        <w:t>Gracias al Servicio, s</w:t>
      </w:r>
      <w:r>
        <w:rPr>
          <w:lang w:val="es-ES"/>
        </w:rPr>
        <w:t>e han descargado m</w:t>
      </w:r>
      <w:r w:rsidRPr="00A72AB6">
        <w:rPr>
          <w:lang w:val="es-ES"/>
        </w:rPr>
        <w:t xml:space="preserve">ás de 100.000 títulos </w:t>
      </w:r>
      <w:r>
        <w:rPr>
          <w:lang w:val="es-ES"/>
        </w:rPr>
        <w:t>en préstamo</w:t>
      </w:r>
      <w:r w:rsidRPr="00A72AB6">
        <w:rPr>
          <w:lang w:val="es-ES"/>
        </w:rPr>
        <w:t xml:space="preserve"> </w:t>
      </w:r>
      <w:r>
        <w:rPr>
          <w:lang w:val="es-ES"/>
        </w:rPr>
        <w:t>destinados a</w:t>
      </w:r>
      <w:r w:rsidRPr="00A72AB6">
        <w:rPr>
          <w:lang w:val="es-ES"/>
        </w:rPr>
        <w:t xml:space="preserve"> personas con dificultad para acceder al texto impreso a través de las bibliotecas </w:t>
      </w:r>
      <w:r w:rsidRPr="00A72AB6">
        <w:rPr>
          <w:lang w:val="es-ES"/>
        </w:rPr>
        <w:lastRenderedPageBreak/>
        <w:t xml:space="preserve">participantes del ABC, lo que representa un </w:t>
      </w:r>
      <w:r>
        <w:rPr>
          <w:lang w:val="es-ES"/>
        </w:rPr>
        <w:t xml:space="preserve">aumento del </w:t>
      </w:r>
      <w:r w:rsidRPr="00A72AB6">
        <w:rPr>
          <w:lang w:val="es-ES"/>
        </w:rPr>
        <w:t>76% con respecto a 2015.</w:t>
      </w:r>
      <w:r>
        <w:rPr>
          <w:lang w:val="es-ES"/>
        </w:rPr>
        <w:t xml:space="preserve">  Además, el ABC publicó </w:t>
      </w:r>
      <w:r w:rsidRPr="00A72AB6">
        <w:rPr>
          <w:lang w:val="es-ES"/>
        </w:rPr>
        <w:t>la guía de elementos básicos de la edición accesible</w:t>
      </w:r>
      <w:r>
        <w:rPr>
          <w:lang w:val="es-ES"/>
        </w:rPr>
        <w:t xml:space="preserve"> para países en desarrollo y menos adelantados, así como la </w:t>
      </w:r>
      <w:r w:rsidRPr="00A72AB6">
        <w:rPr>
          <w:lang w:val="es-ES"/>
        </w:rPr>
        <w:t>guía de accesibilidad para autores que se encargan por sí mismos de la edición de sus libros</w:t>
      </w:r>
      <w:r>
        <w:rPr>
          <w:lang w:val="es-ES"/>
        </w:rPr>
        <w:t>.</w:t>
      </w:r>
    </w:p>
    <w:p w:rsidR="00745A5C" w:rsidRPr="00D108D6" w:rsidRDefault="00745A5C" w:rsidP="00745A5C">
      <w:pPr>
        <w:spacing w:after="200"/>
        <w:rPr>
          <w:b/>
          <w:iCs/>
        </w:rPr>
      </w:pPr>
    </w:p>
    <w:p w:rsidR="00745A5C" w:rsidRDefault="00745A5C" w:rsidP="00745A5C">
      <w:pPr>
        <w:keepNext/>
        <w:keepLines/>
        <w:jc w:val="center"/>
        <w:rPr>
          <w:b/>
          <w:iCs/>
        </w:rPr>
      </w:pPr>
      <w:r w:rsidRPr="00DC2639">
        <w:rPr>
          <w:b/>
          <w:iCs/>
        </w:rPr>
        <w:t xml:space="preserve">Meta estratégica V:  Fuente de referencia en el mundo de información y análisis en materia de P.I. </w:t>
      </w:r>
    </w:p>
    <w:p w:rsidR="00745A5C" w:rsidRPr="00D108D6" w:rsidRDefault="00745A5C" w:rsidP="00745A5C">
      <w:pPr>
        <w:keepNext/>
        <w:keepLines/>
        <w:jc w:val="center"/>
        <w:rPr>
          <w:sz w:val="18"/>
          <w:szCs w:val="18"/>
        </w:rPr>
      </w:pPr>
      <w:r w:rsidRPr="007D61E4">
        <w:rPr>
          <w:noProof/>
          <w:lang w:val="en-US" w:eastAsia="en-US"/>
        </w:rPr>
        <w:drawing>
          <wp:inline distT="0" distB="0" distL="0" distR="0" wp14:anchorId="010B849E" wp14:editId="31EB5C98">
            <wp:extent cx="4222525" cy="2485124"/>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1142" cy="2490195"/>
                    </a:xfrm>
                    <a:prstGeom prst="rect">
                      <a:avLst/>
                    </a:prstGeom>
                    <a:noFill/>
                    <a:ln>
                      <a:noFill/>
                    </a:ln>
                  </pic:spPr>
                </pic:pic>
              </a:graphicData>
            </a:graphic>
          </wp:inline>
        </w:drawing>
      </w:r>
    </w:p>
    <w:p w:rsidR="00745A5C" w:rsidRPr="008046CB" w:rsidRDefault="00745A5C" w:rsidP="00EE1CCE">
      <w:pPr>
        <w:pStyle w:val="ListParagraph"/>
        <w:numPr>
          <w:ilvl w:val="0"/>
          <w:numId w:val="11"/>
        </w:numPr>
        <w:spacing w:after="120"/>
        <w:jc w:val="both"/>
        <w:rPr>
          <w:lang w:val="es-ES"/>
        </w:rPr>
      </w:pPr>
      <w:r w:rsidRPr="008046CB">
        <w:rPr>
          <w:lang w:val="es-ES"/>
        </w:rPr>
        <w:t>La OMPI prosiguió la labor de análisis económico al realizar avances importantes en 2016 en el objetivo de promover un análisis de alta calidad para tener en cuenta los desafíos económicos en el sistema internacional de P.I. y evaluar los efectos económicos de las opciones de política de P.I.</w:t>
      </w:r>
      <w:r w:rsidRPr="002F663B">
        <w:rPr>
          <w:lang w:val="es-ES"/>
        </w:rPr>
        <w:t xml:space="preserve">  </w:t>
      </w:r>
      <w:r w:rsidRPr="008046CB">
        <w:rPr>
          <w:lang w:val="es-ES"/>
        </w:rPr>
        <w:t>La publicación del Índice Mundial de Innovación de 2016 alcanzó nuevos niveles de cobertura y un seguimiento más amplio en la prensa y las redes sociales en comparación con años anteriores.</w:t>
      </w:r>
      <w:r w:rsidRPr="002F663B">
        <w:rPr>
          <w:lang w:val="es-ES"/>
        </w:rPr>
        <w:t xml:space="preserve"> </w:t>
      </w:r>
      <w:r w:rsidR="00B24783" w:rsidRPr="002F663B">
        <w:rPr>
          <w:lang w:val="es-ES"/>
        </w:rPr>
        <w:t xml:space="preserve"> </w:t>
      </w:r>
      <w:r w:rsidRPr="002F663B">
        <w:rPr>
          <w:lang w:val="es-ES"/>
        </w:rPr>
        <w:t xml:space="preserve">El </w:t>
      </w:r>
      <w:r w:rsidRPr="008046CB">
        <w:rPr>
          <w:lang w:val="es-ES"/>
        </w:rPr>
        <w:t>Índice</w:t>
      </w:r>
      <w:r w:rsidRPr="002F663B">
        <w:rPr>
          <w:lang w:val="es-ES"/>
        </w:rPr>
        <w:t xml:space="preserve">, </w:t>
      </w:r>
      <w:r w:rsidRPr="008046CB">
        <w:rPr>
          <w:lang w:val="es-ES"/>
        </w:rPr>
        <w:t>publicado junto con la Universidad de Cornell y el INSEAD, se ha convertido en una fuente consolidada de referencia para los sectores interesados en la innovación en todo el mundo, como ponen de manifiesto las citas, solicitudes de datos y peticiones de servicios de asesoramiento recibidas.</w:t>
      </w:r>
    </w:p>
    <w:p w:rsidR="00745A5C" w:rsidRPr="00152544" w:rsidRDefault="00745A5C" w:rsidP="00EE1CCE">
      <w:pPr>
        <w:pStyle w:val="ListParagraph"/>
        <w:numPr>
          <w:ilvl w:val="0"/>
          <w:numId w:val="11"/>
        </w:numPr>
        <w:spacing w:after="120"/>
        <w:jc w:val="both"/>
        <w:rPr>
          <w:lang w:val="es-ES"/>
        </w:rPr>
      </w:pPr>
      <w:r w:rsidRPr="00152544">
        <w:rPr>
          <w:lang w:val="es-ES"/>
        </w:rPr>
        <w:t>En 2016 se amplió la cobertura de la encuesta estadística anual de la OMPI a 131 Oficinas nacionales y regionales de P</w:t>
      </w:r>
      <w:r>
        <w:rPr>
          <w:lang w:val="es-ES"/>
        </w:rPr>
        <w:t>.</w:t>
      </w:r>
      <w:r w:rsidRPr="00152544">
        <w:rPr>
          <w:lang w:val="es-ES"/>
        </w:rPr>
        <w:t>I</w:t>
      </w:r>
      <w:r>
        <w:rPr>
          <w:lang w:val="es-ES"/>
        </w:rPr>
        <w:t>.</w:t>
      </w:r>
      <w:r w:rsidRPr="00152544">
        <w:rPr>
          <w:lang w:val="es-ES"/>
        </w:rPr>
        <w:t xml:space="preserve">, superándose el promedio de 127 oficinas del bienio 2014/15. Como en años anteriores, las colecciones estadísticas se pusieron a disposición </w:t>
      </w:r>
      <w:r>
        <w:rPr>
          <w:lang w:val="es-ES"/>
        </w:rPr>
        <w:t xml:space="preserve">de los usuarios </w:t>
      </w:r>
      <w:r w:rsidRPr="00152544">
        <w:rPr>
          <w:lang w:val="es-ES"/>
        </w:rPr>
        <w:t>por medio de una serie de publicaciones y herramientas de internet, especialmente los Indicadores mundiales de P.I. y los Datos y cifras sobre P.I.</w:t>
      </w:r>
      <w:r>
        <w:rPr>
          <w:lang w:val="es-ES"/>
        </w:rPr>
        <w:t>,</w:t>
      </w:r>
      <w:r w:rsidRPr="00152544">
        <w:rPr>
          <w:lang w:val="es-ES"/>
        </w:rPr>
        <w:t xml:space="preserve"> las reseñas anuales del PCT, Madrid y La Haya, el Centro de Datos Estadísticos sobre P.I. y los perfiles estadísticos de P.I. de los países.</w:t>
      </w:r>
    </w:p>
    <w:p w:rsidR="00745A5C" w:rsidRPr="00D108D6" w:rsidRDefault="00745A5C" w:rsidP="00EE1CCE">
      <w:pPr>
        <w:pStyle w:val="ListParagraph"/>
        <w:numPr>
          <w:ilvl w:val="0"/>
          <w:numId w:val="11"/>
        </w:numPr>
        <w:spacing w:after="120"/>
        <w:jc w:val="both"/>
        <w:rPr>
          <w:lang w:val="es-ES"/>
        </w:rPr>
      </w:pPr>
      <w:r w:rsidRPr="002D64C6">
        <w:rPr>
          <w:lang w:val="es-ES"/>
        </w:rPr>
        <w:t xml:space="preserve">Asimismo, se han realizado </w:t>
      </w:r>
      <w:r>
        <w:rPr>
          <w:lang w:val="es-ES"/>
        </w:rPr>
        <w:t>avances</w:t>
      </w:r>
      <w:r w:rsidRPr="002D64C6">
        <w:rPr>
          <w:lang w:val="es-ES"/>
        </w:rPr>
        <w:t xml:space="preserve"> considerables en la aplicación de estudios económicos, </w:t>
      </w:r>
      <w:r>
        <w:rPr>
          <w:lang w:val="es-ES"/>
        </w:rPr>
        <w:t>y</w:t>
      </w:r>
      <w:r w:rsidRPr="002D64C6">
        <w:rPr>
          <w:lang w:val="es-ES"/>
        </w:rPr>
        <w:t xml:space="preserve"> </w:t>
      </w:r>
      <w:r>
        <w:rPr>
          <w:lang w:val="es-ES"/>
        </w:rPr>
        <w:t xml:space="preserve">está previsto que </w:t>
      </w:r>
      <w:r w:rsidRPr="002D64C6">
        <w:rPr>
          <w:lang w:val="es-ES"/>
        </w:rPr>
        <w:t xml:space="preserve">la mayoría de los estudios </w:t>
      </w:r>
      <w:r>
        <w:rPr>
          <w:lang w:val="es-ES"/>
        </w:rPr>
        <w:t xml:space="preserve">se finalicen </w:t>
      </w:r>
      <w:r w:rsidRPr="002D64C6">
        <w:rPr>
          <w:lang w:val="es-ES"/>
        </w:rPr>
        <w:t>en 2017.</w:t>
      </w:r>
    </w:p>
    <w:p w:rsidR="00745A5C" w:rsidRPr="00D108D6" w:rsidRDefault="00745A5C" w:rsidP="00745A5C">
      <w:pPr>
        <w:keepNext/>
        <w:keepLines/>
        <w:jc w:val="center"/>
        <w:rPr>
          <w:b/>
          <w:iCs/>
          <w:sz w:val="10"/>
          <w:szCs w:val="10"/>
        </w:rPr>
      </w:pPr>
      <w:r w:rsidRPr="00DC2639">
        <w:rPr>
          <w:b/>
          <w:iCs/>
        </w:rPr>
        <w:lastRenderedPageBreak/>
        <w:t>Meta estratégica VI:  Cooperación internacional para cultivar el respeto por la P.I.</w:t>
      </w:r>
    </w:p>
    <w:p w:rsidR="00745A5C" w:rsidRPr="00D108D6" w:rsidRDefault="00745A5C" w:rsidP="00653EAB">
      <w:pPr>
        <w:keepNext/>
        <w:keepLines/>
        <w:spacing w:before="120" w:after="120"/>
        <w:jc w:val="center"/>
        <w:rPr>
          <w:b/>
          <w:noProof/>
          <w:sz w:val="18"/>
          <w:szCs w:val="18"/>
        </w:rPr>
      </w:pPr>
      <w:r w:rsidRPr="006B2A26">
        <w:rPr>
          <w:noProof/>
          <w:lang w:val="en-US" w:eastAsia="en-US"/>
        </w:rPr>
        <w:drawing>
          <wp:inline distT="0" distB="0" distL="0" distR="0" wp14:anchorId="0D742BB7" wp14:editId="3CBDBB5C">
            <wp:extent cx="4588581" cy="2320506"/>
            <wp:effectExtent l="0" t="0" r="254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7309" b="3322"/>
                    <a:stretch/>
                  </pic:blipFill>
                  <pic:spPr bwMode="auto">
                    <a:xfrm>
                      <a:off x="0" y="0"/>
                      <a:ext cx="4600085" cy="2326324"/>
                    </a:xfrm>
                    <a:prstGeom prst="rect">
                      <a:avLst/>
                    </a:prstGeom>
                    <a:noFill/>
                    <a:ln>
                      <a:noFill/>
                    </a:ln>
                    <a:extLst>
                      <a:ext uri="{53640926-AAD7-44D8-BBD7-CCE9431645EC}">
                        <a14:shadowObscured xmlns:a14="http://schemas.microsoft.com/office/drawing/2010/main"/>
                      </a:ext>
                    </a:extLst>
                  </pic:spPr>
                </pic:pic>
              </a:graphicData>
            </a:graphic>
          </wp:inline>
        </w:drawing>
      </w:r>
    </w:p>
    <w:p w:rsidR="00745A5C" w:rsidRPr="00152544" w:rsidRDefault="00745A5C" w:rsidP="00EE1CCE">
      <w:pPr>
        <w:pStyle w:val="ListParagraph"/>
        <w:numPr>
          <w:ilvl w:val="0"/>
          <w:numId w:val="11"/>
        </w:numPr>
        <w:spacing w:after="120"/>
        <w:jc w:val="both"/>
        <w:rPr>
          <w:lang w:val="es-ES"/>
        </w:rPr>
      </w:pPr>
      <w:r w:rsidRPr="00152544">
        <w:rPr>
          <w:lang w:val="es-ES"/>
        </w:rPr>
        <w:t>Con el fin de avanzar en el diálogo internacional de políticas entre los Estados miembros de la OMPI sobre el fomento del respeto por la P.I., la undécima sesión del Comité Asesor sobre Observancia (ACE) (5 a 7 de septiembre de 2016) sirvió de foro para que los Estados Miembros intercambiaran información sobre actividades de sensibili</w:t>
      </w:r>
      <w:r>
        <w:rPr>
          <w:lang w:val="es-ES"/>
        </w:rPr>
        <w:t xml:space="preserve">zación y campañas estratégicas, </w:t>
      </w:r>
      <w:r w:rsidRPr="00152544">
        <w:rPr>
          <w:lang w:val="es-ES"/>
        </w:rPr>
        <w:t>acuerdos institucionales relativos a la observancia de la P.I., la asistencia legislativa de la OMPI y las actividades de fortalecimiento de capacidades.</w:t>
      </w:r>
      <w:r w:rsidRPr="002F663B">
        <w:rPr>
          <w:lang w:val="es-ES"/>
        </w:rPr>
        <w:t xml:space="preserve">  Las </w:t>
      </w:r>
      <w:r w:rsidRPr="00152544">
        <w:rPr>
          <w:lang w:val="es-ES"/>
        </w:rPr>
        <w:t xml:space="preserve">ponencias de expertos y los debates en grupo dieron lugar a un diálogo </w:t>
      </w:r>
      <w:r>
        <w:rPr>
          <w:lang w:val="es-ES"/>
        </w:rPr>
        <w:t>enriquecedor</w:t>
      </w:r>
      <w:r w:rsidRPr="00152544">
        <w:rPr>
          <w:lang w:val="es-ES"/>
        </w:rPr>
        <w:t xml:space="preserve"> y productivo.  La undécima sesión estuvo acompañada de una exposición de obras audiovisuales sobre el respeto por la P.I. y el turismo.</w:t>
      </w:r>
    </w:p>
    <w:p w:rsidR="00745A5C" w:rsidRPr="00D108D6" w:rsidRDefault="00745A5C" w:rsidP="00EE1CCE">
      <w:pPr>
        <w:pStyle w:val="ListParagraph"/>
        <w:numPr>
          <w:ilvl w:val="0"/>
          <w:numId w:val="11"/>
        </w:numPr>
        <w:spacing w:after="120"/>
        <w:jc w:val="both"/>
        <w:rPr>
          <w:lang w:val="es-ES"/>
        </w:rPr>
      </w:pPr>
      <w:r w:rsidRPr="00152544">
        <w:rPr>
          <w:lang w:val="es-ES"/>
        </w:rPr>
        <w:t xml:space="preserve">La Conferencia Internacional sobre el </w:t>
      </w:r>
      <w:r>
        <w:rPr>
          <w:lang w:val="es-ES"/>
        </w:rPr>
        <w:t>f</w:t>
      </w:r>
      <w:r w:rsidRPr="00152544">
        <w:rPr>
          <w:lang w:val="es-ES"/>
        </w:rPr>
        <w:t xml:space="preserve">omento del </w:t>
      </w:r>
      <w:r>
        <w:rPr>
          <w:lang w:val="es-ES"/>
        </w:rPr>
        <w:t>r</w:t>
      </w:r>
      <w:r w:rsidRPr="00152544">
        <w:rPr>
          <w:lang w:val="es-ES"/>
        </w:rPr>
        <w:t xml:space="preserve">espeto por la </w:t>
      </w:r>
      <w:r>
        <w:rPr>
          <w:lang w:val="es-ES"/>
        </w:rPr>
        <w:t>p</w:t>
      </w:r>
      <w:r w:rsidRPr="00152544">
        <w:rPr>
          <w:lang w:val="es-ES"/>
        </w:rPr>
        <w:t xml:space="preserve">ropiedad </w:t>
      </w:r>
      <w:r>
        <w:rPr>
          <w:lang w:val="es-ES"/>
        </w:rPr>
        <w:t>i</w:t>
      </w:r>
      <w:r w:rsidRPr="00152544">
        <w:rPr>
          <w:lang w:val="es-ES"/>
        </w:rPr>
        <w:t>ntelectual, organizad</w:t>
      </w:r>
      <w:r>
        <w:rPr>
          <w:lang w:val="es-ES"/>
        </w:rPr>
        <w:t>a</w:t>
      </w:r>
      <w:r w:rsidRPr="00152544">
        <w:rPr>
          <w:lang w:val="es-ES"/>
        </w:rPr>
        <w:t xml:space="preserve"> por la OMPI y el </w:t>
      </w:r>
      <w:r>
        <w:rPr>
          <w:lang w:val="es-ES"/>
        </w:rPr>
        <w:t>G</w:t>
      </w:r>
      <w:r w:rsidRPr="00152544">
        <w:rPr>
          <w:lang w:val="es-ES"/>
        </w:rPr>
        <w:t xml:space="preserve">obierno </w:t>
      </w:r>
      <w:r>
        <w:rPr>
          <w:lang w:val="es-ES"/>
        </w:rPr>
        <w:t>Municipal de Shanghái</w:t>
      </w:r>
      <w:r w:rsidRPr="00152544">
        <w:rPr>
          <w:lang w:val="es-ES"/>
        </w:rPr>
        <w:t xml:space="preserve">, con el </w:t>
      </w:r>
      <w:r>
        <w:rPr>
          <w:lang w:val="es-ES"/>
        </w:rPr>
        <w:t>patrocinio</w:t>
      </w:r>
      <w:r w:rsidRPr="00152544">
        <w:rPr>
          <w:lang w:val="es-ES"/>
        </w:rPr>
        <w:t xml:space="preserve"> de la Oficina Estatal de Propiedad Intelectual de China (SIPO), reunió a altos representantes del gobierno y el sector privado, </w:t>
      </w:r>
      <w:r>
        <w:rPr>
          <w:lang w:val="es-ES"/>
        </w:rPr>
        <w:t xml:space="preserve">quienes tuvieron la oportunidad de </w:t>
      </w:r>
      <w:r w:rsidRPr="00152544">
        <w:rPr>
          <w:lang w:val="es-ES"/>
        </w:rPr>
        <w:t>intercambiar experiencias sobre la función de la P</w:t>
      </w:r>
      <w:r>
        <w:rPr>
          <w:lang w:val="es-ES"/>
        </w:rPr>
        <w:t>.</w:t>
      </w:r>
      <w:r w:rsidRPr="00152544">
        <w:rPr>
          <w:lang w:val="es-ES"/>
        </w:rPr>
        <w:t>I</w:t>
      </w:r>
      <w:r>
        <w:rPr>
          <w:lang w:val="es-ES"/>
        </w:rPr>
        <w:t>.</w:t>
      </w:r>
      <w:r w:rsidRPr="00152544">
        <w:rPr>
          <w:lang w:val="es-ES"/>
        </w:rPr>
        <w:t xml:space="preserve"> </w:t>
      </w:r>
      <w:r>
        <w:rPr>
          <w:lang w:val="es-ES"/>
        </w:rPr>
        <w:t xml:space="preserve">a la hora de fomentar la innovación e impulsar </w:t>
      </w:r>
      <w:r w:rsidRPr="00152544">
        <w:rPr>
          <w:lang w:val="es-ES"/>
        </w:rPr>
        <w:t>el desarrollo y el crecimiento.</w:t>
      </w:r>
      <w:r>
        <w:rPr>
          <w:lang w:val="es-ES"/>
        </w:rPr>
        <w:t xml:space="preserve"> </w:t>
      </w:r>
      <w:r w:rsidR="00B24783">
        <w:rPr>
          <w:lang w:val="es-ES"/>
        </w:rPr>
        <w:t xml:space="preserve"> </w:t>
      </w:r>
      <w:r w:rsidRPr="00152544">
        <w:rPr>
          <w:lang w:val="es-ES"/>
        </w:rPr>
        <w:t>La Confer</w:t>
      </w:r>
      <w:r>
        <w:rPr>
          <w:lang w:val="es-ES"/>
        </w:rPr>
        <w:t>encia, que tuvo lugar en Shanghá</w:t>
      </w:r>
      <w:r w:rsidRPr="00152544">
        <w:rPr>
          <w:lang w:val="es-ES"/>
        </w:rPr>
        <w:t xml:space="preserve">i (China), los días 17 y 18 de noviembre de 2016, </w:t>
      </w:r>
      <w:r>
        <w:rPr>
          <w:lang w:val="es-ES"/>
        </w:rPr>
        <w:t>re</w:t>
      </w:r>
      <w:r w:rsidRPr="00152544">
        <w:rPr>
          <w:lang w:val="es-ES"/>
        </w:rPr>
        <w:t xml:space="preserve">afirmó el </w:t>
      </w:r>
      <w:r>
        <w:rPr>
          <w:lang w:val="es-ES"/>
        </w:rPr>
        <w:t>empeño</w:t>
      </w:r>
      <w:r w:rsidRPr="00152544">
        <w:rPr>
          <w:lang w:val="es-ES"/>
        </w:rPr>
        <w:t xml:space="preserve"> compartido </w:t>
      </w:r>
      <w:r>
        <w:rPr>
          <w:lang w:val="es-ES"/>
        </w:rPr>
        <w:t>por continuar la labor de promover</w:t>
      </w:r>
      <w:r w:rsidRPr="00152544">
        <w:rPr>
          <w:lang w:val="es-ES"/>
        </w:rPr>
        <w:t xml:space="preserve"> el respeto </w:t>
      </w:r>
      <w:r>
        <w:rPr>
          <w:lang w:val="es-ES"/>
        </w:rPr>
        <w:t xml:space="preserve">de </w:t>
      </w:r>
      <w:r w:rsidRPr="00152544">
        <w:rPr>
          <w:lang w:val="es-ES"/>
        </w:rPr>
        <w:t>la P</w:t>
      </w:r>
      <w:r>
        <w:rPr>
          <w:lang w:val="es-ES"/>
        </w:rPr>
        <w:t>.</w:t>
      </w:r>
      <w:r w:rsidRPr="00152544">
        <w:rPr>
          <w:lang w:val="es-ES"/>
        </w:rPr>
        <w:t>I</w:t>
      </w:r>
      <w:r>
        <w:rPr>
          <w:lang w:val="es-ES"/>
        </w:rPr>
        <w:t>.</w:t>
      </w:r>
      <w:r w:rsidRPr="00152544">
        <w:rPr>
          <w:lang w:val="es-ES"/>
        </w:rPr>
        <w:t xml:space="preserve"> mediante el intercambio de información sobre las estrategias de fomento de la sensibilización y </w:t>
      </w:r>
      <w:r>
        <w:rPr>
          <w:lang w:val="es-ES"/>
        </w:rPr>
        <w:t xml:space="preserve">las </w:t>
      </w:r>
      <w:r w:rsidRPr="00152544">
        <w:rPr>
          <w:lang w:val="es-ES"/>
        </w:rPr>
        <w:t xml:space="preserve">cuestiones </w:t>
      </w:r>
      <w:r>
        <w:rPr>
          <w:lang w:val="es-ES"/>
        </w:rPr>
        <w:t xml:space="preserve">que surgen </w:t>
      </w:r>
      <w:r w:rsidRPr="00152544">
        <w:rPr>
          <w:lang w:val="es-ES"/>
        </w:rPr>
        <w:t>en resoluciones judiciales y</w:t>
      </w:r>
      <w:r>
        <w:rPr>
          <w:lang w:val="es-ES"/>
        </w:rPr>
        <w:t xml:space="preserve"> en la</w:t>
      </w:r>
      <w:r w:rsidRPr="00152544">
        <w:rPr>
          <w:lang w:val="es-ES"/>
        </w:rPr>
        <w:t xml:space="preserve"> jurisprudencia en materia de</w:t>
      </w:r>
      <w:r>
        <w:rPr>
          <w:lang w:val="es-ES"/>
        </w:rPr>
        <w:t xml:space="preserve"> P.I</w:t>
      </w:r>
      <w:r w:rsidRPr="00152544">
        <w:rPr>
          <w:lang w:val="es-ES"/>
        </w:rPr>
        <w:t>.</w:t>
      </w:r>
    </w:p>
    <w:p w:rsidR="00745A5C" w:rsidRPr="00C474C3" w:rsidRDefault="00745A5C" w:rsidP="00EE1CCE">
      <w:pPr>
        <w:pStyle w:val="ListParagraph"/>
        <w:numPr>
          <w:ilvl w:val="0"/>
          <w:numId w:val="11"/>
        </w:numPr>
        <w:spacing w:after="120"/>
        <w:jc w:val="both"/>
        <w:rPr>
          <w:lang w:val="es-ES"/>
        </w:rPr>
      </w:pPr>
      <w:r w:rsidRPr="00C474C3">
        <w:rPr>
          <w:lang w:val="es-ES"/>
        </w:rPr>
        <w:t>Por último, en reconocimiento a la labor de la OMPI en la formulación de un concepto equilibrado del fomento del respeto por la P.I., en consonancia con la recomendación 45 de la Agenda para el Desarrollo, en sus diversas actividades de fortalecimiento de capacidades, asistencia técnica e intercambio de conocimientos, y la creciente importancia del ACE de la OMPI, la Organización recibió el Premio Organismo Público Internacional durante la entrega de los galardones internacionales de lucha contra la falsificación (premios GAC) correspondientes a 2016.</w:t>
      </w:r>
    </w:p>
    <w:bookmarkEnd w:id="17"/>
    <w:bookmarkEnd w:id="18"/>
    <w:p w:rsidR="00653EAB" w:rsidRDefault="00653EAB" w:rsidP="007E58DC">
      <w:pPr>
        <w:jc w:val="center"/>
        <w:rPr>
          <w:b/>
          <w:iCs/>
        </w:rPr>
      </w:pPr>
    </w:p>
    <w:p w:rsidR="00653EAB" w:rsidRDefault="00653EAB" w:rsidP="007E58DC">
      <w:pPr>
        <w:jc w:val="center"/>
        <w:rPr>
          <w:b/>
          <w:iCs/>
        </w:rPr>
      </w:pPr>
      <w:r>
        <w:rPr>
          <w:b/>
          <w:iCs/>
        </w:rPr>
        <w:br w:type="page"/>
      </w:r>
    </w:p>
    <w:p w:rsidR="007E58DC" w:rsidRPr="004F4FD9" w:rsidRDefault="007E58DC" w:rsidP="007E58DC">
      <w:pPr>
        <w:jc w:val="center"/>
        <w:rPr>
          <w:b/>
          <w:iCs/>
        </w:rPr>
      </w:pPr>
      <w:r w:rsidRPr="004F4FD9">
        <w:rPr>
          <w:b/>
          <w:iCs/>
        </w:rPr>
        <w:lastRenderedPageBreak/>
        <w:t>Meta estratégica VII:  Vínculos entre la P.I. y los problemas mundiales de política pública</w:t>
      </w:r>
    </w:p>
    <w:p w:rsidR="007E58DC" w:rsidRPr="004F4FD9" w:rsidRDefault="007E58DC" w:rsidP="007E58DC">
      <w:pPr>
        <w:jc w:val="center"/>
        <w:rPr>
          <w:highlight w:val="yellow"/>
        </w:rPr>
      </w:pPr>
      <w:r w:rsidRPr="00E80293">
        <w:rPr>
          <w:noProof/>
          <w:lang w:val="en-US" w:eastAsia="en-US"/>
        </w:rPr>
        <w:drawing>
          <wp:inline distT="0" distB="0" distL="0" distR="0" wp14:anchorId="3505D62B" wp14:editId="3BF5EC77">
            <wp:extent cx="4051646" cy="2445717"/>
            <wp:effectExtent l="0" t="0" r="6350" b="0"/>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51660" cy="2445725"/>
                    </a:xfrm>
                    <a:prstGeom prst="rect">
                      <a:avLst/>
                    </a:prstGeom>
                    <a:noFill/>
                    <a:ln>
                      <a:noFill/>
                    </a:ln>
                  </pic:spPr>
                </pic:pic>
              </a:graphicData>
            </a:graphic>
          </wp:inline>
        </w:drawing>
      </w:r>
    </w:p>
    <w:p w:rsidR="007E58DC" w:rsidRPr="004F4FD9" w:rsidRDefault="007E58DC" w:rsidP="007E58DC">
      <w:pPr>
        <w:numPr>
          <w:ilvl w:val="0"/>
          <w:numId w:val="10"/>
        </w:numPr>
        <w:ind w:left="0" w:firstLine="0"/>
        <w:jc w:val="both"/>
        <w:rPr>
          <w:rFonts w:cs="Times New Roman"/>
          <w:sz w:val="20"/>
        </w:rPr>
      </w:pPr>
      <w:r w:rsidRPr="004F4FD9">
        <w:rPr>
          <w:rFonts w:cs="Times New Roman"/>
          <w:sz w:val="20"/>
        </w:rPr>
        <w:t>En la confluencia de varios problemas mundiales de carácter urgente relacionados entre sí, en particular, la salud, el cambio climático y la seguridad alimentaria, se logró un considerable avance en mejorar la comprensión de los responsables de la elaboración de políticas acerca de la relación entre los desafíos mundiales, la innovación y la propiedad intelectual.</w:t>
      </w:r>
    </w:p>
    <w:p w:rsidR="007E58DC" w:rsidRPr="004F4FD9" w:rsidRDefault="007E58DC" w:rsidP="007E58DC">
      <w:pPr>
        <w:spacing w:after="120"/>
        <w:contextualSpacing/>
        <w:jc w:val="both"/>
        <w:rPr>
          <w:sz w:val="20"/>
        </w:rPr>
      </w:pPr>
    </w:p>
    <w:p w:rsidR="007E58DC" w:rsidRPr="004F4FD9" w:rsidRDefault="007E58DC" w:rsidP="007E58DC">
      <w:pPr>
        <w:numPr>
          <w:ilvl w:val="0"/>
          <w:numId w:val="131"/>
        </w:numPr>
        <w:spacing w:after="120"/>
        <w:ind w:left="357" w:hanging="357"/>
        <w:contextualSpacing/>
        <w:jc w:val="both"/>
        <w:rPr>
          <w:sz w:val="20"/>
        </w:rPr>
      </w:pPr>
      <w:r w:rsidRPr="004F4FD9">
        <w:rPr>
          <w:rFonts w:eastAsiaTheme="minorHAnsi"/>
          <w:sz w:val="20"/>
        </w:rPr>
        <w:t xml:space="preserve">WIPO Re:Search – </w:t>
      </w:r>
      <w:r w:rsidRPr="004F4FD9">
        <w:rPr>
          <w:rFonts w:eastAsiaTheme="minorHAnsi"/>
          <w:i/>
          <w:sz w:val="20"/>
        </w:rPr>
        <w:t xml:space="preserve">Compartir la innovación en la lucha contra las enfermedades tropicales desatendidas </w:t>
      </w:r>
      <w:r w:rsidRPr="004F4FD9">
        <w:rPr>
          <w:rFonts w:eastAsiaTheme="minorHAnsi"/>
          <w:sz w:val="20"/>
        </w:rPr>
        <w:t>– logró un mayor</w:t>
      </w:r>
      <w:r w:rsidRPr="004F4FD9">
        <w:rPr>
          <w:bCs/>
          <w:sz w:val="20"/>
        </w:rPr>
        <w:t xml:space="preserve"> reconocimiento como plataforma de apoyo a la innovación, la transferencia de conocimientos y tecnología y el fortalecimientos de capacidades relacionados con la investigación en el ámbito de las enfermedades tropicales desatendidas, la tuberculosis y el paludismo</w:t>
      </w:r>
      <w:r w:rsidRPr="004F4FD9">
        <w:rPr>
          <w:sz w:val="20"/>
        </w:rPr>
        <w:t>;  a finales de 2016  se habían logrado dos hitos par</w:t>
      </w:r>
      <w:r>
        <w:rPr>
          <w:sz w:val="20"/>
        </w:rPr>
        <w:t>alelos, a saber, 108 miembros y </w:t>
      </w:r>
      <w:r w:rsidRPr="004F4FD9">
        <w:rPr>
          <w:sz w:val="20"/>
        </w:rPr>
        <w:t>108 colaboraciones.  Esos logros fueron puestos de relieve en mayo de 2016, durante un acto paralelo a la Asamblea Mundial de la Salud, que fue inaugurado por el ministro de salud de Etiopía.</w:t>
      </w:r>
    </w:p>
    <w:p w:rsidR="007E58DC" w:rsidRPr="004F4FD9" w:rsidRDefault="007E58DC" w:rsidP="007E58DC">
      <w:pPr>
        <w:spacing w:after="120"/>
        <w:ind w:left="357"/>
        <w:contextualSpacing/>
        <w:jc w:val="both"/>
        <w:rPr>
          <w:sz w:val="20"/>
        </w:rPr>
      </w:pPr>
    </w:p>
    <w:p w:rsidR="007E58DC" w:rsidRPr="004F4FD9" w:rsidRDefault="007E58DC" w:rsidP="007E58DC">
      <w:pPr>
        <w:numPr>
          <w:ilvl w:val="0"/>
          <w:numId w:val="131"/>
        </w:numPr>
        <w:contextualSpacing/>
        <w:jc w:val="both"/>
        <w:rPr>
          <w:sz w:val="20"/>
        </w:rPr>
      </w:pPr>
      <w:r w:rsidRPr="004F4FD9">
        <w:rPr>
          <w:sz w:val="20"/>
        </w:rPr>
        <w:t>WIPO GREEN – Mercado de tecnología sostenible, continuó también ampliando su red, a la que se añadieron nueve asociados adicionales y 318 usuarios adicionales en 2016, con lo que el total de asociados pasó a ser de 74 y el de usuarios, de 808.  A finales de año, en la base de datos de WIPO GREEN estaban comprendidas más de 2600 tecnologías que podían ser objeto de licencia, venta o de colaboración, así como 150 necesidades (en su mayoría de países en desarrollo), lo que representa un 20 % de aumento en comparación con 2015.  Además, WIPO GREEN facilitó 127 conexiones por conducto de la base de datos, un acto de establecimiento de contactos en África oriental, una exposición de pymes innovadoras en la COP22 y otras actividades destinadas a emparejar necesidades y recursos.</w:t>
      </w:r>
    </w:p>
    <w:p w:rsidR="007E58DC" w:rsidRPr="004F4FD9" w:rsidRDefault="007E58DC" w:rsidP="007E58DC">
      <w:pPr>
        <w:contextualSpacing/>
        <w:jc w:val="both"/>
        <w:rPr>
          <w:sz w:val="20"/>
        </w:rPr>
      </w:pPr>
    </w:p>
    <w:p w:rsidR="007E58DC" w:rsidRPr="004F4FD9" w:rsidRDefault="007E58DC" w:rsidP="007E58DC">
      <w:pPr>
        <w:pStyle w:val="ListParagraph"/>
        <w:numPr>
          <w:ilvl w:val="0"/>
          <w:numId w:val="131"/>
        </w:numPr>
        <w:jc w:val="both"/>
        <w:rPr>
          <w:lang w:val="es-ES"/>
        </w:rPr>
      </w:pPr>
      <w:r w:rsidRPr="004F4FD9">
        <w:rPr>
          <w:lang w:val="es-ES"/>
        </w:rPr>
        <w:t xml:space="preserve">En abril de 2016 tuvo lugar un seminario en torno al tema de los </w:t>
      </w:r>
      <w:r w:rsidRPr="004F4FD9">
        <w:rPr>
          <w:i/>
          <w:lang w:val="es-ES"/>
        </w:rPr>
        <w:t>Desafíos mundiales relativos a las patentes y la lista de medicamentos esenciales de la OMS (18ª edición):  Aclarar el debate en torno a la propiedad intelectual y el acceso</w:t>
      </w:r>
      <w:r w:rsidRPr="004F4FD9">
        <w:rPr>
          <w:lang w:val="es-ES"/>
        </w:rPr>
        <w:t xml:space="preserve"> en cuyo marco, los participantes intercambiaron ideas, conocimientos e información en relación con tres ámbitos esenciales y se presentó un informe sobre el tema.  Dicho documento, destinado a los encargados de la formulación de políticas, resume el informe técnico por el que se rigen los agentes de salud en todo el mundo en relación con los medicamentos que deberían estar a disposición en los sistemas de salud, como mínimo.  A la presentación que realizaron los autores acerca del análisis asistieron numerosos participantes, lo que dio lugar a un debate muy animado sobre la información en materia de patentes en el ámbito de los medicamentos. </w:t>
      </w:r>
    </w:p>
    <w:p w:rsidR="007E58DC" w:rsidRPr="004F4FD9" w:rsidRDefault="007E58DC" w:rsidP="007E58DC">
      <w:pPr>
        <w:spacing w:after="120"/>
        <w:contextualSpacing/>
        <w:jc w:val="both"/>
        <w:rPr>
          <w:sz w:val="20"/>
        </w:rPr>
      </w:pPr>
    </w:p>
    <w:p w:rsidR="007E58DC" w:rsidRPr="004F4FD9" w:rsidRDefault="007E58DC" w:rsidP="007E58DC">
      <w:pPr>
        <w:numPr>
          <w:ilvl w:val="0"/>
          <w:numId w:val="131"/>
        </w:numPr>
        <w:spacing w:after="120"/>
        <w:contextualSpacing/>
        <w:jc w:val="both"/>
        <w:rPr>
          <w:sz w:val="20"/>
        </w:rPr>
      </w:pPr>
      <w:r w:rsidRPr="004F4FD9">
        <w:rPr>
          <w:sz w:val="20"/>
        </w:rPr>
        <w:t xml:space="preserve">En 2016 empezó a impartirse un curso de enseñanza a distancia organizado por la OMS, la OMPI y la OMC en torno al tema </w:t>
      </w:r>
      <w:r w:rsidRPr="004F4FD9">
        <w:rPr>
          <w:i/>
          <w:sz w:val="20"/>
        </w:rPr>
        <w:t>Promover el acceso a las tecnologías y la innovación en medicina</w:t>
      </w:r>
      <w:r w:rsidRPr="004F4FD9">
        <w:rPr>
          <w:sz w:val="20"/>
        </w:rPr>
        <w:t>.  Dicho curso tiene por finalidad abordar las intersecciones de la salud pública, la P.I. y el comercio y ha sido concebido en el marco de un acuerdo de cooperación trilateral entre la OMS, la OMPI y la OMC, en colaboración con la Academia de la OMPI.  El curso fue inaugurado con ocasión del “Simposio técnico OMC-OMPI-OMS- sobre la resistencia a los antimicrobianos: Cómo promover la innovación, el acceso y un uso apropiado en materia de antibióticos”, en el que participaron unas 300 personas y que fue una oportunidad para el intercambio intenso de ideas sobre la importancia de la cooperación mundial acerca de la innovación y el acceso a los medicamentos antimicrobianos y el uso apropiado de los antibióticos.</w:t>
      </w:r>
    </w:p>
    <w:p w:rsidR="007E58DC" w:rsidRPr="004F4FD9" w:rsidRDefault="007E58DC" w:rsidP="007E58DC">
      <w:pPr>
        <w:jc w:val="center"/>
        <w:rPr>
          <w:b/>
          <w:iCs/>
        </w:rPr>
      </w:pPr>
      <w:r w:rsidRPr="004F4FD9">
        <w:rPr>
          <w:b/>
          <w:iCs/>
        </w:rPr>
        <w:lastRenderedPageBreak/>
        <w:t>Meta estratégica VIII:  Comunicación eficaz entre la OMPI, sus Estados miembros y todas las partes interesadas</w:t>
      </w:r>
    </w:p>
    <w:p w:rsidR="007E58DC" w:rsidRPr="004F4FD9" w:rsidRDefault="007E58DC" w:rsidP="007E58DC">
      <w:pPr>
        <w:jc w:val="center"/>
        <w:rPr>
          <w:b/>
          <w:sz w:val="18"/>
          <w:szCs w:val="18"/>
          <w:highlight w:val="yellow"/>
        </w:rPr>
      </w:pPr>
      <w:r w:rsidRPr="0049271D">
        <w:rPr>
          <w:noProof/>
          <w:lang w:val="en-US" w:eastAsia="en-US"/>
        </w:rPr>
        <w:drawing>
          <wp:inline distT="0" distB="0" distL="0" distR="0" wp14:anchorId="72925060" wp14:editId="72226331">
            <wp:extent cx="3966932" cy="2466630"/>
            <wp:effectExtent l="0" t="0" r="0" b="0"/>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6806" cy="2466552"/>
                    </a:xfrm>
                    <a:prstGeom prst="rect">
                      <a:avLst/>
                    </a:prstGeom>
                    <a:noFill/>
                    <a:ln>
                      <a:noFill/>
                    </a:ln>
                  </pic:spPr>
                </pic:pic>
              </a:graphicData>
            </a:graphic>
          </wp:inline>
        </w:drawing>
      </w:r>
    </w:p>
    <w:p w:rsidR="007E58DC" w:rsidRDefault="007E58DC" w:rsidP="007E58DC">
      <w:pPr>
        <w:numPr>
          <w:ilvl w:val="0"/>
          <w:numId w:val="10"/>
        </w:numPr>
        <w:ind w:left="0" w:firstLine="0"/>
        <w:jc w:val="both"/>
        <w:rPr>
          <w:rFonts w:cs="Times New Roman"/>
          <w:sz w:val="20"/>
        </w:rPr>
      </w:pPr>
      <w:r w:rsidRPr="004F4FD9">
        <w:rPr>
          <w:rFonts w:cs="Times New Roman"/>
          <w:sz w:val="20"/>
        </w:rPr>
        <w:t>Entre las prioridades de esta meta figuraba seguir centrando la atención en la elaboración y difusión de contenidos pertinentes y de alto nivel, aumentar la visibilidad de la OMPI y el entendimiento del público respecto de sus actividades, y fortalecer la cultura orientada a la prestación de servicios en el seno de la Organización.</w:t>
      </w:r>
    </w:p>
    <w:p w:rsidR="007E58DC" w:rsidRPr="004F4FD9" w:rsidRDefault="007E58DC" w:rsidP="007E58DC">
      <w:pPr>
        <w:jc w:val="both"/>
        <w:rPr>
          <w:rFonts w:cs="Times New Roman"/>
          <w:sz w:val="20"/>
        </w:rPr>
      </w:pPr>
    </w:p>
    <w:p w:rsidR="007E58DC" w:rsidRPr="004F4FD9" w:rsidRDefault="007E58DC" w:rsidP="007E58DC">
      <w:pPr>
        <w:numPr>
          <w:ilvl w:val="0"/>
          <w:numId w:val="132"/>
        </w:numPr>
        <w:spacing w:after="120"/>
        <w:jc w:val="both"/>
        <w:rPr>
          <w:sz w:val="20"/>
        </w:rPr>
      </w:pPr>
      <w:r w:rsidRPr="004F4FD9">
        <w:rPr>
          <w:i/>
          <w:sz w:val="20"/>
        </w:rPr>
        <w:t>Sólida imagen institucional.</w:t>
      </w:r>
      <w:r w:rsidRPr="004F4FD9">
        <w:rPr>
          <w:sz w:val="20"/>
        </w:rPr>
        <w:t xml:space="preserve">  El video de tres minutos “¿Qué es la O</w:t>
      </w:r>
      <w:r w:rsidR="00632AB7">
        <w:rPr>
          <w:sz w:val="20"/>
        </w:rPr>
        <w:t>MPI?2, presentado en octubre de </w:t>
      </w:r>
      <w:r w:rsidRPr="004F4FD9">
        <w:rPr>
          <w:sz w:val="20"/>
        </w:rPr>
        <w:t xml:space="preserve">2016, tuvo muy buen recibimiento por ser un recurso muy útil para proyectar la imagen institucional.  El boletín de la OMPI “WIPO Wire” (en seis idiomas) consiguió 12.750 abonados y pasó a ser el principal canal para los seguidores de la OMPI.  Con la encuesta bienal que se realiza entre las partes interesadas de la Organización se obtuvo una muestra representativa </w:t>
      </w:r>
      <w:r>
        <w:rPr>
          <w:sz w:val="20"/>
        </w:rPr>
        <w:t>de </w:t>
      </w:r>
      <w:r w:rsidRPr="004F4FD9">
        <w:rPr>
          <w:sz w:val="20"/>
        </w:rPr>
        <w:t>7.680 partes interesadas, y el 74% de los encuestados dijo que la OMPI es el foro mun</w:t>
      </w:r>
      <w:r>
        <w:rPr>
          <w:sz w:val="20"/>
        </w:rPr>
        <w:t>dial en materia de P.I. y el 84</w:t>
      </w:r>
      <w:r w:rsidRPr="004F4FD9">
        <w:rPr>
          <w:sz w:val="20"/>
        </w:rPr>
        <w:t xml:space="preserve">% considera que la OMPI goza de buena reputación. </w:t>
      </w:r>
    </w:p>
    <w:p w:rsidR="007E58DC" w:rsidRPr="004F4FD9" w:rsidRDefault="007E58DC" w:rsidP="007E58DC">
      <w:pPr>
        <w:numPr>
          <w:ilvl w:val="0"/>
          <w:numId w:val="132"/>
        </w:numPr>
        <w:spacing w:after="120"/>
        <w:ind w:left="357" w:hanging="357"/>
        <w:jc w:val="both"/>
        <w:rPr>
          <w:sz w:val="20"/>
        </w:rPr>
      </w:pPr>
      <w:r w:rsidRPr="004F4FD9">
        <w:rPr>
          <w:i/>
          <w:sz w:val="20"/>
        </w:rPr>
        <w:t xml:space="preserve">Alcance y visibilidad. </w:t>
      </w:r>
      <w:r w:rsidRPr="004F4FD9">
        <w:rPr>
          <w:sz w:val="20"/>
        </w:rPr>
        <w:t>Los principales productos y reuniones de la OMPI, que se consideran prioridades estratégicas de comunicación, tuvieron un impacto y un alcance mayores como resultado de una difusión selectiva en los medios informativos y de comunicaciones</w:t>
      </w:r>
      <w:r w:rsidRPr="004F4FD9">
        <w:rPr>
          <w:i/>
          <w:sz w:val="20"/>
        </w:rPr>
        <w:t xml:space="preserve"> </w:t>
      </w:r>
      <w:r w:rsidRPr="004F4FD9">
        <w:rPr>
          <w:sz w:val="20"/>
        </w:rPr>
        <w:t xml:space="preserve"> por múltiples canales.  Las ediciones de 2016 del “Índice Mundial de Innovación” y de “Indicadores mundiales de propiedad intelectual” fueron objeto de la mayor cobertura internacional lograda hasta el momento</w:t>
      </w:r>
      <w:r w:rsidRPr="004F4FD9">
        <w:rPr>
          <w:rStyle w:val="FootnoteReference"/>
          <w:sz w:val="20"/>
        </w:rPr>
        <w:footnoteReference w:id="7"/>
      </w:r>
      <w:r w:rsidRPr="004F4FD9">
        <w:rPr>
          <w:sz w:val="20"/>
        </w:rPr>
        <w:t xml:space="preserve">, lo que ha reforzado el reconocimiento del público acerca de la OMPI como fuente mundial de referencia en materia de información de P.I.  También gozó de gran cobertura en la prensa la innovadora tecnología WIPO Translate, que fue objeto de más de 50 informes en la prensa, con el potencial de ser leídos por  62,6 millones de lectores así como 7.200 visualizaciones de contenido promocional en el sitio web. </w:t>
      </w:r>
    </w:p>
    <w:p w:rsidR="007E58DC" w:rsidRPr="004F4FD9" w:rsidRDefault="007E58DC" w:rsidP="007E58DC">
      <w:pPr>
        <w:numPr>
          <w:ilvl w:val="0"/>
          <w:numId w:val="132"/>
        </w:numPr>
        <w:spacing w:after="120"/>
        <w:jc w:val="both"/>
        <w:rPr>
          <w:sz w:val="20"/>
        </w:rPr>
      </w:pPr>
      <w:r w:rsidRPr="004F4FD9">
        <w:rPr>
          <w:i/>
          <w:sz w:val="20"/>
        </w:rPr>
        <w:t xml:space="preserve">Participación de las partes interesadas. </w:t>
      </w:r>
      <w:r w:rsidRPr="004F4FD9">
        <w:rPr>
          <w:sz w:val="20"/>
        </w:rPr>
        <w:t xml:space="preserve"> Se llevaron a cabo campañas en varias plataformas digitales para cubrir los principales eventos, incluida la Conferencia Mundial de la OMPI sobre el mercado mundial de contenidos digitales (67.200 visualizaciones del tuit más popular, #GDCM), y la entrada en vigor del Tratado de Marrakech (más de 103.100 visualizaciones de los principales tuit).  La campaña del Día Mundial de la P.I., respaldada por las oficinas de la OMPI en el exterior, fue más seguida que nunca, con la organización de 450 eventos en 122 países y una base mundial de seguidores en Facebook, encabezada respectivamente por la India, los Estados Unidos de América, México, Egipto y el Brasil, con un alcance diario de más de 363.800 personas.  En Twitter, el índice de interacción positiva con el contenido de la OMPI (cerca de</w:t>
      </w:r>
      <w:r>
        <w:rPr>
          <w:sz w:val="20"/>
        </w:rPr>
        <w:t> </w:t>
      </w:r>
      <w:r w:rsidRPr="004F4FD9">
        <w:rPr>
          <w:sz w:val="20"/>
        </w:rPr>
        <w:t xml:space="preserve">19.700 retuits) en relación con el número de seguidores (más de 40.000) puso en evidencia el sólido compromiso de los círculos interesados. </w:t>
      </w:r>
    </w:p>
    <w:p w:rsidR="007E58DC" w:rsidRPr="004F4FD9" w:rsidRDefault="007E58DC" w:rsidP="007E58DC">
      <w:pPr>
        <w:numPr>
          <w:ilvl w:val="0"/>
          <w:numId w:val="132"/>
        </w:numPr>
        <w:spacing w:after="120"/>
        <w:jc w:val="both"/>
        <w:rPr>
          <w:sz w:val="20"/>
        </w:rPr>
      </w:pPr>
      <w:r w:rsidRPr="004F4FD9">
        <w:rPr>
          <w:i/>
          <w:sz w:val="20"/>
        </w:rPr>
        <w:t>Mayor acceso y disponibilidad geográfica de las publicaciones.</w:t>
      </w:r>
      <w:r w:rsidRPr="004F4FD9">
        <w:rPr>
          <w:sz w:val="20"/>
        </w:rPr>
        <w:t xml:space="preserve">  La política de acceso abierto fue adoptada a los fines de facilitar la utilización y traducción gratuitas de las publicaciones de la OMPI:  </w:t>
      </w:r>
      <w:r w:rsidRPr="004F4FD9">
        <w:rPr>
          <w:sz w:val="20"/>
        </w:rPr>
        <w:lastRenderedPageBreak/>
        <w:t xml:space="preserve">con arreglo a la licencia de </w:t>
      </w:r>
      <w:r w:rsidRPr="004F4FD9">
        <w:rPr>
          <w:i/>
          <w:sz w:val="20"/>
        </w:rPr>
        <w:t>Creative Commons</w:t>
      </w:r>
      <w:r w:rsidRPr="004F4FD9">
        <w:rPr>
          <w:sz w:val="20"/>
        </w:rPr>
        <w:t xml:space="preserve"> (CC BY) de mayor apertura se editaron 81 publicaciones.  Cuatro Estados miembros se añadieron a la lista de Estados miembros con bibliotecas de depósito de la OMPI, en la actualidad de 109.  A raíz del compromiso expresado por la OMPI con la Carta de la edición accesible  se procedió a la publicación de los primeros 17 materiales en formato accesible para lectores con discapacidad visual.</w:t>
      </w:r>
    </w:p>
    <w:p w:rsidR="007E58DC" w:rsidRPr="004F4FD9" w:rsidRDefault="007E58DC" w:rsidP="007E58DC">
      <w:pPr>
        <w:numPr>
          <w:ilvl w:val="0"/>
          <w:numId w:val="132"/>
        </w:numPr>
        <w:spacing w:after="120"/>
        <w:ind w:left="357" w:hanging="357"/>
        <w:jc w:val="both"/>
        <w:rPr>
          <w:sz w:val="20"/>
        </w:rPr>
      </w:pPr>
      <w:r w:rsidRPr="004F4FD9">
        <w:rPr>
          <w:i/>
          <w:sz w:val="20"/>
        </w:rPr>
        <w:t>Orientación hacia la prestación de servicios.</w:t>
      </w:r>
      <w:r w:rsidRPr="004F4FD9">
        <w:rPr>
          <w:sz w:val="20"/>
        </w:rPr>
        <w:t xml:space="preserve">  La nueva Junta de Servicios al Cliente, presidida por el director general, comenzó a introducir como norma la realización de encuestas de usuarios en todos los sistemas mundiales de P.I. y otros servicios, con inclusión de las oficinas en el exterior.</w:t>
      </w:r>
    </w:p>
    <w:p w:rsidR="007E58DC" w:rsidRPr="004F4FD9" w:rsidRDefault="007E58DC" w:rsidP="007E58DC">
      <w:pPr>
        <w:pStyle w:val="ListParagraph"/>
        <w:numPr>
          <w:ilvl w:val="0"/>
          <w:numId w:val="132"/>
        </w:numPr>
        <w:spacing w:after="120"/>
        <w:jc w:val="both"/>
        <w:rPr>
          <w:lang w:val="es-ES"/>
        </w:rPr>
      </w:pPr>
      <w:r w:rsidRPr="004F4FD9">
        <w:rPr>
          <w:lang w:val="es-ES"/>
        </w:rPr>
        <w:t xml:space="preserve">En lo que respecta a las relaciones exteriores, durante 2016 comenzaron varias iniciativas intergubernamentales y de NN.UU.  de interés para la OMPI, entre otras, la Agenda 2030 para el Desarrollo Sostenible, la tercera Conferencia Internacional sobre la Financiación para el Desarrollo (FFD3), el Acuerdo de París aprobado en virtud de la Convención Marco de las Naciones Unidas sobre el Cambio Climático, y la 14ª Conferencia de las Naciones Unidas sobre Comercio y Desarrollo (UNCTAD).  En su calidad de organismo especializado de las Naciones Unidas, y en sintonía con su mandato y las Recomendaciones 30 y 40 de la Agenda de la OMPI para el Desarrollo, la OMPI siguió desempeñando la función que le corresponde en esos procesos, mediante una participación estratégica y  el suministro de información equilibrada y empíricamente contrastada, y respondió oportunamente a solicitudes específicas de contribución y cooperación.  </w:t>
      </w:r>
    </w:p>
    <w:p w:rsidR="007E58DC" w:rsidRPr="004F4FD9" w:rsidRDefault="007E58DC" w:rsidP="007E58DC">
      <w:pPr>
        <w:pStyle w:val="ListParagraph"/>
        <w:numPr>
          <w:ilvl w:val="0"/>
          <w:numId w:val="132"/>
        </w:numPr>
        <w:spacing w:after="120"/>
        <w:jc w:val="both"/>
        <w:rPr>
          <w:lang w:val="es-ES"/>
        </w:rPr>
      </w:pPr>
      <w:r w:rsidRPr="004F4FD9">
        <w:rPr>
          <w:lang w:val="es-ES"/>
        </w:rPr>
        <w:t>Como miembro del Equipo de Tareas Interinstitucional de las Naciones Unidas sobre la Ciencia, la Tecnología y la Innovación en pro de los ODS, la OMPI contribuyó a la organización del primer foro anual  de múltiples partes interesadas sobre ciencia, tecnología e innovación (Foro ITS) para los ODS.  El foro fue convocado por el presidente del ECOSOC en torno al potencial de la ciencia, la tecnología y la innovación para la consecución de los ODS.  En calidad de observador, la OMPI respaldó la labor del Grupo Interinstitucional y de Expertos sobre los Indicadores de los Objetivos de Desarrollo Sostenible  y la Comisión de Estadística y, a petición de los Estados miembros, puso a disposición sus series de datos y metodologías de datos.</w:t>
      </w:r>
    </w:p>
    <w:p w:rsidR="007E58DC" w:rsidRPr="004F4FD9" w:rsidRDefault="007E58DC" w:rsidP="007E58DC">
      <w:pPr>
        <w:pStyle w:val="ListParagraph"/>
        <w:numPr>
          <w:ilvl w:val="0"/>
          <w:numId w:val="132"/>
        </w:numPr>
        <w:spacing w:after="120"/>
        <w:jc w:val="both"/>
        <w:rPr>
          <w:lang w:val="es-ES"/>
        </w:rPr>
      </w:pPr>
      <w:r w:rsidRPr="004F4FD9">
        <w:rPr>
          <w:lang w:val="es-ES"/>
        </w:rPr>
        <w:t xml:space="preserve">La red de oficinas de la OMPI en el exterior siguió formando parte integrante de la Organización,  </w:t>
      </w:r>
      <w:r w:rsidR="00901851">
        <w:rPr>
          <w:lang w:val="es-ES"/>
        </w:rPr>
        <w:t>acercando así</w:t>
      </w:r>
      <w:r w:rsidRPr="004F4FD9">
        <w:rPr>
          <w:lang w:val="es-ES"/>
        </w:rPr>
        <w:t xml:space="preserve"> los servicios y la cooperación de la OMPI a los Estados miembros, las partes interesadas y los asociados, </w:t>
      </w:r>
      <w:r w:rsidR="00901851">
        <w:rPr>
          <w:lang w:val="es-ES"/>
        </w:rPr>
        <w:t>y logrando de esa forma</w:t>
      </w:r>
      <w:r w:rsidRPr="004F4FD9">
        <w:rPr>
          <w:lang w:val="es-ES"/>
        </w:rPr>
        <w:t xml:space="preserve"> una mayor eficacia en la ejecución de los programas y </w:t>
      </w:r>
      <w:r w:rsidR="00901851">
        <w:rPr>
          <w:lang w:val="es-ES"/>
        </w:rPr>
        <w:t>en la respuesta</w:t>
      </w:r>
      <w:r w:rsidRPr="004F4FD9">
        <w:rPr>
          <w:lang w:val="es-ES"/>
        </w:rPr>
        <w:t xml:space="preserve"> a las necesidades y priorida</w:t>
      </w:r>
      <w:r w:rsidR="00901851">
        <w:rPr>
          <w:lang w:val="es-ES"/>
        </w:rPr>
        <w:t xml:space="preserve">des específicas de los países </w:t>
      </w:r>
      <w:r w:rsidRPr="004F4FD9">
        <w:rPr>
          <w:lang w:val="es-ES"/>
        </w:rPr>
        <w:t>o regiones en los que operan.  En 2016, las oficinas centraron sus esfuerzos en promover los sistemas de registro internacional, las plataformas internacionales y los sistemas de la OMPI para las oficinas de P.I. así como en consolidar las relaciones con varias partes interesadas.</w:t>
      </w:r>
    </w:p>
    <w:p w:rsidR="007E58DC" w:rsidRPr="004F4FD9" w:rsidRDefault="007E58DC" w:rsidP="007E58DC">
      <w:pPr>
        <w:spacing w:after="200"/>
        <w:jc w:val="center"/>
        <w:rPr>
          <w:b/>
          <w:iCs/>
        </w:rPr>
      </w:pPr>
    </w:p>
    <w:p w:rsidR="007E58DC" w:rsidRPr="004F4FD9" w:rsidRDefault="007E58DC" w:rsidP="007E58DC">
      <w:pPr>
        <w:jc w:val="center"/>
        <w:rPr>
          <w:b/>
          <w:iCs/>
        </w:rPr>
      </w:pPr>
      <w:r w:rsidRPr="004F4FD9">
        <w:rPr>
          <w:b/>
          <w:iCs/>
        </w:rPr>
        <w:t>Meta estratégica IX:  Estructura eficiente de apoyo administrativo y financiero que permita la ejecución de los programas de la OMPI</w:t>
      </w:r>
    </w:p>
    <w:p w:rsidR="007E58DC" w:rsidRPr="004F4FD9" w:rsidRDefault="009F3F34" w:rsidP="007E58DC">
      <w:pPr>
        <w:jc w:val="center"/>
      </w:pPr>
      <w:r w:rsidRPr="009F3F34">
        <w:rPr>
          <w:noProof/>
          <w:lang w:val="en-US" w:eastAsia="en-US"/>
        </w:rPr>
        <w:drawing>
          <wp:inline distT="0" distB="0" distL="0" distR="0">
            <wp:extent cx="3996000" cy="2623541"/>
            <wp:effectExtent l="0" t="0" r="5080" b="5715"/>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96000" cy="2623541"/>
                    </a:xfrm>
                    <a:prstGeom prst="rect">
                      <a:avLst/>
                    </a:prstGeom>
                    <a:noFill/>
                    <a:ln>
                      <a:noFill/>
                    </a:ln>
                  </pic:spPr>
                </pic:pic>
              </a:graphicData>
            </a:graphic>
          </wp:inline>
        </w:drawing>
      </w:r>
      <w:r w:rsidRPr="009F3F34">
        <w:t xml:space="preserve"> </w:t>
      </w:r>
    </w:p>
    <w:p w:rsidR="007E58DC" w:rsidRPr="004F4FD9" w:rsidRDefault="007E58DC" w:rsidP="007E58DC">
      <w:pPr>
        <w:pStyle w:val="ListParagraph"/>
        <w:numPr>
          <w:ilvl w:val="0"/>
          <w:numId w:val="10"/>
        </w:numPr>
        <w:ind w:left="0" w:firstLine="0"/>
        <w:jc w:val="both"/>
        <w:rPr>
          <w:rFonts w:eastAsia="SimSun"/>
          <w:lang w:val="es-ES" w:eastAsia="zh-CN"/>
        </w:rPr>
      </w:pPr>
      <w:r w:rsidRPr="004F4FD9">
        <w:rPr>
          <w:rFonts w:eastAsia="SimSun"/>
          <w:lang w:val="es-ES" w:eastAsia="zh-CN"/>
        </w:rPr>
        <w:t>En 2016 se siguió fortaleciendo la gestión de los programas y la gestión financiera con el fin de utilizar más eficazmente los recursos así como de establecer mejores prácticas en el ámbito de la administración, que atañen a la planificación, la gestión del rendimiento, la facilitación y el apoyo de diversas actividades operacionales a través de la Organización.</w:t>
      </w:r>
    </w:p>
    <w:p w:rsidR="007E58DC" w:rsidRPr="004F4FD9" w:rsidRDefault="007E58DC" w:rsidP="007E58DC">
      <w:pPr>
        <w:numPr>
          <w:ilvl w:val="0"/>
          <w:numId w:val="133"/>
        </w:numPr>
        <w:spacing w:after="120"/>
        <w:jc w:val="both"/>
        <w:rPr>
          <w:sz w:val="20"/>
        </w:rPr>
      </w:pPr>
      <w:r w:rsidRPr="004F4FD9">
        <w:rPr>
          <w:sz w:val="20"/>
        </w:rPr>
        <w:lastRenderedPageBreak/>
        <w:t>La OMPI cerró el año con un resultado global positivo de 32 millones de francos suizos, con arreglo a las IPSAS.  Los ingresos antes de los ajustes con arreglo a las IPSAS en 2016 totalizaron 384,7 millones de francos suizos, es decir, 11,4 millones más que la meta lineal de</w:t>
      </w:r>
      <w:r>
        <w:rPr>
          <w:sz w:val="20"/>
        </w:rPr>
        <w:t> </w:t>
      </w:r>
      <w:r w:rsidRPr="004F4FD9">
        <w:rPr>
          <w:sz w:val="20"/>
        </w:rPr>
        <w:t>373,3 millones de francos suizos.  El gasto presupuestario total fue del 92,6 % de la correspondiente meta lineal (322,2 millones de francos suizos en comparación con la meta lineal de 347,9 millones de francos suiz</w:t>
      </w:r>
      <w:r w:rsidR="00091624">
        <w:rPr>
          <w:sz w:val="20"/>
        </w:rPr>
        <w:t>os en </w:t>
      </w:r>
      <w:r w:rsidRPr="004F4FD9">
        <w:rPr>
          <w:sz w:val="20"/>
        </w:rPr>
        <w:t>2016).</w:t>
      </w:r>
    </w:p>
    <w:p w:rsidR="007E58DC" w:rsidRPr="004F4FD9" w:rsidRDefault="007E58DC" w:rsidP="007E58DC">
      <w:pPr>
        <w:numPr>
          <w:ilvl w:val="0"/>
          <w:numId w:val="133"/>
        </w:numPr>
        <w:spacing w:after="120"/>
        <w:ind w:left="357" w:hanging="357"/>
        <w:jc w:val="both"/>
        <w:rPr>
          <w:sz w:val="12"/>
          <w:szCs w:val="12"/>
        </w:rPr>
      </w:pPr>
      <w:r w:rsidRPr="004F4FD9">
        <w:rPr>
          <w:sz w:val="20"/>
        </w:rPr>
        <w:t>En 2016 se siguieron reforzando los procesos anuales de planificación del trabajo, con la introducción  de un examen más sistemático de la aplicación de los planes de trabajo, lo que entraña un examen tanto a mitad de año como a fines de año a nivel de toda la Organización.</w:t>
      </w:r>
    </w:p>
    <w:p w:rsidR="007E58DC" w:rsidRPr="004F4FD9" w:rsidRDefault="007E58DC" w:rsidP="007E58DC">
      <w:pPr>
        <w:numPr>
          <w:ilvl w:val="0"/>
          <w:numId w:val="133"/>
        </w:numPr>
        <w:spacing w:after="120"/>
        <w:jc w:val="both"/>
        <w:rPr>
          <w:sz w:val="20"/>
        </w:rPr>
      </w:pPr>
      <w:r w:rsidRPr="004F4FD9">
        <w:rPr>
          <w:sz w:val="20"/>
        </w:rPr>
        <w:t xml:space="preserve">Se avanzó en varios proyectos de PRI, entre otros, los de gestión del talento, gestión de contactos, gestión del tiempo y autoservicio.  En el marco del proyecto de gestión de ingresos se llevó a cabo un amplio examen de la estructura en materia de pagos.  Se adoptó sin contratiempos el paquete de retribuciones revisado de la CAPI  y se mejoró la previsión y la presupuestación en materia de traducción en el PCT mediante la herramienta de planificación de la OMPI.  La duración del proceso de contratación se redujo a 18,81 semanas en 2016, en comparación con 2015, en el que </w:t>
      </w:r>
      <w:r w:rsidR="0085003C">
        <w:rPr>
          <w:sz w:val="20"/>
        </w:rPr>
        <w:t>era de </w:t>
      </w:r>
      <w:r w:rsidRPr="004F4FD9">
        <w:rPr>
          <w:sz w:val="20"/>
        </w:rPr>
        <w:t>26,32 semanas, a medida que fue estabilizándose durante el año la herramienta de contratación Taleo.</w:t>
      </w:r>
    </w:p>
    <w:p w:rsidR="007E58DC" w:rsidRPr="004F4FD9" w:rsidRDefault="007E58DC" w:rsidP="007E58DC">
      <w:pPr>
        <w:numPr>
          <w:ilvl w:val="0"/>
          <w:numId w:val="133"/>
        </w:numPr>
        <w:spacing w:after="120"/>
        <w:ind w:left="357" w:hanging="357"/>
        <w:jc w:val="both"/>
        <w:rPr>
          <w:sz w:val="20"/>
        </w:rPr>
      </w:pPr>
      <w:r w:rsidRPr="004F4FD9">
        <w:rPr>
          <w:sz w:val="20"/>
        </w:rPr>
        <w:t>Mejoró la presentación de informes en materia de riesgos con la presentación de un informe trimestral en el que se expone un panorama de alta precisión de la cartera de riesgos junto con una exposición de factores externos que influyen en el entorno operativo y de riesgos de la Organización.</w:t>
      </w:r>
    </w:p>
    <w:p w:rsidR="007E58DC" w:rsidRPr="00027A9C" w:rsidRDefault="007E58DC" w:rsidP="007E58DC">
      <w:pPr>
        <w:numPr>
          <w:ilvl w:val="0"/>
          <w:numId w:val="133"/>
        </w:numPr>
        <w:spacing w:after="120"/>
        <w:ind w:left="357" w:hanging="357"/>
        <w:jc w:val="both"/>
        <w:rPr>
          <w:sz w:val="20"/>
        </w:rPr>
      </w:pPr>
      <w:r w:rsidRPr="00027A9C">
        <w:rPr>
          <w:sz w:val="20"/>
        </w:rPr>
        <w:t xml:space="preserve">Se realizaron progresos considerables en el fortalecimiento de los controles internos de la OMPI, llevándose a cabo una autoevaluación sistemática respecto de 39 controles a nivel de toda la </w:t>
      </w:r>
      <w:r w:rsidR="00027A9C" w:rsidRPr="00027A9C">
        <w:rPr>
          <w:sz w:val="20"/>
        </w:rPr>
        <w:t>Organización</w:t>
      </w:r>
      <w:r w:rsidRPr="00027A9C">
        <w:rPr>
          <w:sz w:val="20"/>
        </w:rPr>
        <w:t xml:space="preserve"> para evaluar la eficacia y la madurez de los controles.  En ello se basó la firma por altos funcionarios de la Organización de cartas de manifestaciones como parte de la clausura financiera anual. </w:t>
      </w:r>
    </w:p>
    <w:p w:rsidR="007E58DC" w:rsidRPr="002417A1" w:rsidRDefault="007E58DC" w:rsidP="002417A1">
      <w:pPr>
        <w:numPr>
          <w:ilvl w:val="0"/>
          <w:numId w:val="133"/>
        </w:numPr>
        <w:spacing w:after="120"/>
        <w:ind w:left="357" w:hanging="357"/>
        <w:jc w:val="both"/>
        <w:rPr>
          <w:sz w:val="20"/>
        </w:rPr>
      </w:pPr>
      <w:r w:rsidRPr="002417A1">
        <w:rPr>
          <w:sz w:val="20"/>
        </w:rPr>
        <w:t xml:space="preserve">Para ofrecer mayor flexibilidad y mejores servicios a los clientes, en 2016:  i) se adoptó un convertidor dinámico de divisas para reducir el margen </w:t>
      </w:r>
      <w:r w:rsidR="002417A1" w:rsidRPr="002417A1">
        <w:rPr>
          <w:sz w:val="20"/>
        </w:rPr>
        <w:t>que cobran</w:t>
      </w:r>
      <w:r w:rsidRPr="002417A1">
        <w:rPr>
          <w:sz w:val="20"/>
        </w:rPr>
        <w:t xml:space="preserve"> las tarjetas de crédito del 2,2% al 1,4 %, </w:t>
      </w:r>
      <w:r w:rsidR="002417A1" w:rsidRPr="002417A1">
        <w:rPr>
          <w:sz w:val="20"/>
        </w:rPr>
        <w:t>así como</w:t>
      </w:r>
      <w:r w:rsidRPr="002417A1">
        <w:rPr>
          <w:sz w:val="20"/>
        </w:rPr>
        <w:t xml:space="preserve"> las comisiones y ofrecer más opciones a los clientes;  ii) se amplió la plataforma de pago electrónico para incluir el Centro de Mediación y Arbitraje;  y iii) se mejoró el sistema de cuentas corrientes  para ofrecer a los clientes mejores opciones de </w:t>
      </w:r>
      <w:r w:rsidR="002417A1" w:rsidRPr="002417A1">
        <w:rPr>
          <w:sz w:val="20"/>
        </w:rPr>
        <w:t>pago</w:t>
      </w:r>
      <w:r w:rsidRPr="002417A1">
        <w:rPr>
          <w:sz w:val="20"/>
        </w:rPr>
        <w:t xml:space="preserve"> y facilitar la apertura y el mantenimiento de cuentas. </w:t>
      </w:r>
    </w:p>
    <w:p w:rsidR="007E58DC" w:rsidRPr="00B33863" w:rsidRDefault="007E58DC" w:rsidP="007E58DC">
      <w:pPr>
        <w:numPr>
          <w:ilvl w:val="0"/>
          <w:numId w:val="133"/>
        </w:numPr>
        <w:spacing w:after="120"/>
        <w:ind w:left="357" w:hanging="357"/>
        <w:jc w:val="both"/>
        <w:rPr>
          <w:sz w:val="20"/>
        </w:rPr>
      </w:pPr>
      <w:r w:rsidRPr="00B33863">
        <w:rPr>
          <w:sz w:val="20"/>
        </w:rPr>
        <w:t xml:space="preserve">Se inició el reembolso anticipado del préstamo a la </w:t>
      </w:r>
      <w:r w:rsidRPr="00B33863">
        <w:rPr>
          <w:i/>
          <w:sz w:val="20"/>
        </w:rPr>
        <w:t xml:space="preserve">Banque Cantonale de Genève </w:t>
      </w:r>
      <w:r w:rsidRPr="00B33863">
        <w:rPr>
          <w:sz w:val="20"/>
        </w:rPr>
        <w:t xml:space="preserve">recurriendo a saldos del efectivo básico, con el consiguiente ahorro de 300.000 francos suizos en </w:t>
      </w:r>
      <w:r w:rsidR="007979FA" w:rsidRPr="00B33863">
        <w:rPr>
          <w:sz w:val="20"/>
        </w:rPr>
        <w:t>el pago de</w:t>
      </w:r>
      <w:r w:rsidRPr="00B33863">
        <w:rPr>
          <w:sz w:val="20"/>
        </w:rPr>
        <w:t xml:space="preserve"> intereses.  Aumentó la vigilancia y la diversificación de riesgos en los saldos operativos de efectivo, </w:t>
      </w:r>
      <w:r w:rsidR="00F14627" w:rsidRPr="00B33863">
        <w:rPr>
          <w:sz w:val="20"/>
        </w:rPr>
        <w:t xml:space="preserve">aumentando en un 33 % en 2016 </w:t>
      </w:r>
      <w:r w:rsidR="00B33863" w:rsidRPr="00B33863">
        <w:rPr>
          <w:sz w:val="20"/>
        </w:rPr>
        <w:t>el número de</w:t>
      </w:r>
      <w:r w:rsidRPr="00B33863">
        <w:rPr>
          <w:sz w:val="20"/>
        </w:rPr>
        <w:t xml:space="preserve"> </w:t>
      </w:r>
      <w:r w:rsidR="00F14627" w:rsidRPr="00B33863">
        <w:rPr>
          <w:sz w:val="20"/>
        </w:rPr>
        <w:t>contrapartes de inversión</w:t>
      </w:r>
      <w:r w:rsidRPr="00B33863">
        <w:rPr>
          <w:sz w:val="20"/>
        </w:rPr>
        <w:t xml:space="preserve"> </w:t>
      </w:r>
      <w:r w:rsidR="00B33863" w:rsidRPr="00B33863">
        <w:rPr>
          <w:sz w:val="20"/>
        </w:rPr>
        <w:t>para</w:t>
      </w:r>
      <w:r w:rsidRPr="00B33863">
        <w:rPr>
          <w:sz w:val="20"/>
        </w:rPr>
        <w:t xml:space="preserve"> incluir </w:t>
      </w:r>
      <w:r w:rsidR="00B33863" w:rsidRPr="00B33863">
        <w:rPr>
          <w:sz w:val="20"/>
        </w:rPr>
        <w:t xml:space="preserve">otros </w:t>
      </w:r>
      <w:r w:rsidRPr="00B33863">
        <w:rPr>
          <w:sz w:val="20"/>
        </w:rPr>
        <w:t>bancos (</w:t>
      </w:r>
      <w:r w:rsidRPr="00B33863">
        <w:rPr>
          <w:i/>
          <w:sz w:val="20"/>
        </w:rPr>
        <w:t>Barclays Bank PLC,</w:t>
      </w:r>
      <w:r w:rsidRPr="00B33863">
        <w:rPr>
          <w:sz w:val="20"/>
        </w:rPr>
        <w:t xml:space="preserve"> </w:t>
      </w:r>
      <w:proofErr w:type="spellStart"/>
      <w:r w:rsidRPr="00B33863">
        <w:rPr>
          <w:i/>
          <w:sz w:val="20"/>
        </w:rPr>
        <w:t>Crédit</w:t>
      </w:r>
      <w:proofErr w:type="spellEnd"/>
      <w:r w:rsidRPr="00B33863">
        <w:rPr>
          <w:i/>
          <w:sz w:val="20"/>
        </w:rPr>
        <w:t xml:space="preserve"> </w:t>
      </w:r>
      <w:proofErr w:type="spellStart"/>
      <w:r w:rsidRPr="00B33863">
        <w:rPr>
          <w:i/>
          <w:sz w:val="20"/>
        </w:rPr>
        <w:t>Mutuel</w:t>
      </w:r>
      <w:proofErr w:type="spellEnd"/>
      <w:r w:rsidRPr="00B33863">
        <w:rPr>
          <w:i/>
          <w:sz w:val="20"/>
        </w:rPr>
        <w:t xml:space="preserve"> </w:t>
      </w:r>
      <w:r w:rsidRPr="009C7707">
        <w:rPr>
          <w:sz w:val="20"/>
        </w:rPr>
        <w:t>y</w:t>
      </w:r>
      <w:r w:rsidRPr="00B33863">
        <w:rPr>
          <w:sz w:val="20"/>
        </w:rPr>
        <w:t xml:space="preserve"> </w:t>
      </w:r>
      <w:r w:rsidRPr="00B33863">
        <w:rPr>
          <w:i/>
          <w:sz w:val="20"/>
        </w:rPr>
        <w:t>Raiffeisen</w:t>
      </w:r>
      <w:r w:rsidRPr="00B33863">
        <w:rPr>
          <w:sz w:val="20"/>
        </w:rPr>
        <w:t xml:space="preserve">) que reúnen los criterios de solvencia de la OMPI. </w:t>
      </w:r>
    </w:p>
    <w:p w:rsidR="007E58DC" w:rsidRPr="004F4FD9" w:rsidRDefault="007E58DC" w:rsidP="007E58DC">
      <w:pPr>
        <w:numPr>
          <w:ilvl w:val="0"/>
          <w:numId w:val="133"/>
        </w:numPr>
        <w:spacing w:after="120"/>
        <w:jc w:val="both"/>
        <w:rPr>
          <w:sz w:val="20"/>
        </w:rPr>
      </w:pPr>
      <w:r w:rsidRPr="004F4FD9">
        <w:rPr>
          <w:sz w:val="20"/>
        </w:rPr>
        <w:t>Tras la adopción de la nueva política de inversiones a finales de 2015, en 2016 finalizó la solicitud de ofertas para la gestión de fondos de inversión y se inició una nueva solicitud de ofertas para seleccionar un banco custodio global.</w:t>
      </w:r>
    </w:p>
    <w:p w:rsidR="007E58DC" w:rsidRPr="00114022" w:rsidRDefault="00672926" w:rsidP="007E58DC">
      <w:pPr>
        <w:numPr>
          <w:ilvl w:val="0"/>
          <w:numId w:val="133"/>
        </w:numPr>
        <w:spacing w:after="120"/>
        <w:ind w:left="357" w:hanging="357"/>
        <w:jc w:val="both"/>
        <w:rPr>
          <w:sz w:val="20"/>
        </w:rPr>
      </w:pPr>
      <w:r w:rsidRPr="00672926">
        <w:rPr>
          <w:sz w:val="20"/>
          <w:lang w:val="es-ES_tradnl"/>
        </w:rPr>
        <w:t xml:space="preserve">Entre las demás iniciativas en materia de tesorería cabe citar: i) aumentar la capacidad operativa y optimizar la </w:t>
      </w:r>
      <w:r w:rsidR="009C7707">
        <w:rPr>
          <w:sz w:val="20"/>
          <w:lang w:val="es-ES_tradnl"/>
        </w:rPr>
        <w:t>obten</w:t>
      </w:r>
      <w:r w:rsidRPr="00672926">
        <w:rPr>
          <w:sz w:val="20"/>
          <w:lang w:val="es-ES_tradnl"/>
        </w:rPr>
        <w:t xml:space="preserve">ción de cotizaciones para </w:t>
      </w:r>
      <w:r w:rsidRPr="009C7707">
        <w:rPr>
          <w:sz w:val="20"/>
        </w:rPr>
        <w:t>transaccionar</w:t>
      </w:r>
      <w:r w:rsidRPr="00672926">
        <w:rPr>
          <w:sz w:val="20"/>
          <w:lang w:val="es-ES_tradnl"/>
        </w:rPr>
        <w:t xml:space="preserve"> </w:t>
      </w:r>
      <w:r w:rsidRPr="009C7707">
        <w:rPr>
          <w:i/>
          <w:sz w:val="20"/>
          <w:lang w:val="es-ES_tradnl"/>
        </w:rPr>
        <w:t>forwards</w:t>
      </w:r>
      <w:r w:rsidRPr="00672926">
        <w:rPr>
          <w:sz w:val="20"/>
          <w:lang w:val="es-ES_tradnl"/>
        </w:rPr>
        <w:t xml:space="preserve"> y </w:t>
      </w:r>
      <w:r w:rsidRPr="009C7707">
        <w:rPr>
          <w:i/>
          <w:sz w:val="20"/>
          <w:lang w:val="es-ES_tradnl"/>
        </w:rPr>
        <w:t>swaps</w:t>
      </w:r>
      <w:r w:rsidRPr="00672926">
        <w:rPr>
          <w:sz w:val="20"/>
          <w:lang w:val="es-ES_tradnl"/>
        </w:rPr>
        <w:t xml:space="preserve"> de </w:t>
      </w:r>
      <w:r w:rsidRPr="00672926">
        <w:rPr>
          <w:i/>
          <w:sz w:val="20"/>
          <w:lang w:val="es-ES_tradnl"/>
        </w:rPr>
        <w:t>Crédit Suisse</w:t>
      </w:r>
      <w:r w:rsidRPr="00672926">
        <w:rPr>
          <w:sz w:val="20"/>
          <w:lang w:val="es-ES_tradnl"/>
        </w:rPr>
        <w:t xml:space="preserve"> mediante la inclusión de UBS, </w:t>
      </w:r>
      <w:r w:rsidRPr="00672926">
        <w:rPr>
          <w:i/>
          <w:sz w:val="20"/>
          <w:lang w:val="es-ES_tradnl"/>
        </w:rPr>
        <w:t>Société Générale</w:t>
      </w:r>
      <w:r w:rsidRPr="00672926">
        <w:rPr>
          <w:sz w:val="20"/>
          <w:lang w:val="es-ES_tradnl"/>
        </w:rPr>
        <w:t xml:space="preserve"> y </w:t>
      </w:r>
      <w:r w:rsidRPr="00672926">
        <w:rPr>
          <w:i/>
          <w:sz w:val="20"/>
          <w:lang w:val="es-ES_tradnl"/>
        </w:rPr>
        <w:t xml:space="preserve">Bank of </w:t>
      </w:r>
      <w:proofErr w:type="spellStart"/>
      <w:r w:rsidRPr="00672926">
        <w:rPr>
          <w:i/>
          <w:sz w:val="20"/>
          <w:lang w:val="es-ES_tradnl"/>
        </w:rPr>
        <w:t>America</w:t>
      </w:r>
      <w:proofErr w:type="spellEnd"/>
      <w:r w:rsidRPr="00672926">
        <w:rPr>
          <w:sz w:val="20"/>
          <w:lang w:val="es-ES_tradnl"/>
        </w:rPr>
        <w:t xml:space="preserve">; ii) calcular diariamente la posición de efectivo de la OMPI y la previsión de efectivo a 3 meses, para gestionar la posición de liquidez de la Organización, los gastos generados por los tipos de interés negativos y velar por que la Organización goce siempre de acceso a suficientes recursos de efectivo para responder a sus obligaciones financieras; y iii) optimizar la </w:t>
      </w:r>
      <w:r w:rsidR="009C7707">
        <w:rPr>
          <w:sz w:val="20"/>
          <w:lang w:val="es-ES_tradnl"/>
        </w:rPr>
        <w:t>obten</w:t>
      </w:r>
      <w:r w:rsidRPr="00672926">
        <w:rPr>
          <w:sz w:val="20"/>
          <w:lang w:val="es-ES_tradnl"/>
        </w:rPr>
        <w:t xml:space="preserve">ción de cotizaciones y fomentar la competencia en las transacciones de cambio de divisas al contado ampliando el número de proveedores de liquidez para esa clase de activos, a través de colaboraciones con </w:t>
      </w:r>
      <w:r w:rsidRPr="00672926">
        <w:rPr>
          <w:i/>
          <w:sz w:val="20"/>
          <w:lang w:val="es-ES_tradnl"/>
        </w:rPr>
        <w:t>Société Générale</w:t>
      </w:r>
      <w:r w:rsidRPr="00672926">
        <w:rPr>
          <w:sz w:val="20"/>
          <w:lang w:val="es-ES_tradnl"/>
        </w:rPr>
        <w:t xml:space="preserve"> y </w:t>
      </w:r>
      <w:r w:rsidRPr="00672926">
        <w:rPr>
          <w:i/>
          <w:sz w:val="20"/>
          <w:lang w:val="es-ES_tradnl"/>
        </w:rPr>
        <w:t xml:space="preserve">Bank of </w:t>
      </w:r>
      <w:proofErr w:type="spellStart"/>
      <w:r w:rsidRPr="00672926">
        <w:rPr>
          <w:i/>
          <w:sz w:val="20"/>
          <w:lang w:val="es-ES_tradnl"/>
        </w:rPr>
        <w:t>America</w:t>
      </w:r>
      <w:proofErr w:type="spellEnd"/>
      <w:r>
        <w:rPr>
          <w:sz w:val="20"/>
          <w:lang w:val="es-ES_tradnl"/>
        </w:rPr>
        <w:t>.</w:t>
      </w:r>
    </w:p>
    <w:p w:rsidR="007E58DC" w:rsidRPr="004F4FD9" w:rsidRDefault="007E58DC" w:rsidP="007E58DC">
      <w:pPr>
        <w:numPr>
          <w:ilvl w:val="0"/>
          <w:numId w:val="133"/>
        </w:numPr>
        <w:spacing w:after="120"/>
        <w:ind w:left="357" w:hanging="357"/>
        <w:jc w:val="both"/>
        <w:rPr>
          <w:sz w:val="20"/>
        </w:rPr>
      </w:pPr>
      <w:r w:rsidRPr="004F4FD9">
        <w:rPr>
          <w:sz w:val="20"/>
        </w:rPr>
        <w:t>En 2016 se dedicaron muchos esfuerzos a forjar nuevas relaciones con instituciones bancarias  de países sede de oficinas de la OMPI con miras a facilitar las operaciones diarias de las oficinas y reforzar la gestión financiera global.</w:t>
      </w:r>
    </w:p>
    <w:p w:rsidR="007E58DC" w:rsidRPr="004F4FD9" w:rsidRDefault="007E58DC" w:rsidP="007E58DC">
      <w:pPr>
        <w:numPr>
          <w:ilvl w:val="0"/>
          <w:numId w:val="133"/>
        </w:numPr>
        <w:spacing w:after="120"/>
        <w:ind w:left="357" w:hanging="357"/>
        <w:jc w:val="both"/>
        <w:rPr>
          <w:bCs/>
          <w:sz w:val="20"/>
          <w:szCs w:val="22"/>
        </w:rPr>
      </w:pPr>
      <w:r w:rsidRPr="004F4FD9">
        <w:rPr>
          <w:bCs/>
          <w:sz w:val="20"/>
          <w:szCs w:val="22"/>
        </w:rPr>
        <w:t>En 2016 se reforzó la planificación de los recursos humanos mediante procedimientos más estratégicos, de alto nivel y dinámicos encaminados a analizar las lagunas/riesgos de los sectores/programas en un calendario de tres a cinco años a los fines de una planificación bienal más fundamentada.</w:t>
      </w:r>
    </w:p>
    <w:p w:rsidR="007E58DC" w:rsidRPr="004F4FD9" w:rsidRDefault="007E58DC" w:rsidP="00653EAB">
      <w:pPr>
        <w:numPr>
          <w:ilvl w:val="0"/>
          <w:numId w:val="133"/>
        </w:numPr>
        <w:spacing w:after="240"/>
        <w:jc w:val="both"/>
        <w:rPr>
          <w:sz w:val="20"/>
        </w:rPr>
      </w:pPr>
      <w:r w:rsidRPr="004F4FD9">
        <w:rPr>
          <w:bCs/>
          <w:sz w:val="20"/>
          <w:szCs w:val="22"/>
        </w:rPr>
        <w:lastRenderedPageBreak/>
        <w:t>En 2016, la OMPI siguió demostrando su voluntad de incorporar la perspectiva de género en sus actividades y su objetivo específico de lograr el equilibrio de género en toda la dotación de personal.  Con ese fin se introdujeron marcadores en materia de género en los procesos de planificación.  Mientras que el porcentaje de mujeres de nivel P4 (45,6) disminuyó en un punto porcentual en relación con 2015, el número de mujeres en los niveles P5 y D1 aumentó en un 4,3 y un 13,2 puntos porcentuales respectivamente.  En el nivel D2 se siguió acusando un descenso en el número de mujeres, a saber, una disminución de 5,5 punt</w:t>
      </w:r>
      <w:r>
        <w:rPr>
          <w:bCs/>
          <w:sz w:val="20"/>
          <w:szCs w:val="22"/>
        </w:rPr>
        <w:t>os porcentuales en relación con </w:t>
      </w:r>
      <w:r w:rsidRPr="004F4FD9">
        <w:rPr>
          <w:bCs/>
          <w:sz w:val="20"/>
          <w:szCs w:val="22"/>
        </w:rPr>
        <w:t xml:space="preserve">2015. </w:t>
      </w:r>
    </w:p>
    <w:p w:rsidR="007E58DC" w:rsidRPr="004F4FD9" w:rsidRDefault="007E58DC" w:rsidP="00653EAB">
      <w:pPr>
        <w:pStyle w:val="Caption"/>
        <w:keepNext/>
        <w:spacing w:before="120"/>
        <w:jc w:val="center"/>
        <w:rPr>
          <w:b w:val="0"/>
          <w:i/>
          <w:sz w:val="16"/>
          <w:szCs w:val="16"/>
        </w:rPr>
      </w:pPr>
      <w:r w:rsidRPr="004F4FD9">
        <w:rPr>
          <w:b w:val="0"/>
          <w:i/>
          <w:noProof/>
          <w:sz w:val="16"/>
          <w:szCs w:val="16"/>
        </w:rPr>
        <w:t>Porcentaje de personal en las categorías profesional y superiores, por género, 2013-2016</w:t>
      </w:r>
    </w:p>
    <w:p w:rsidR="007E58DC" w:rsidRDefault="007E58DC" w:rsidP="007E58DC">
      <w:pPr>
        <w:spacing w:after="120"/>
        <w:contextualSpacing/>
        <w:jc w:val="center"/>
      </w:pPr>
      <w:r w:rsidRPr="00CD3342">
        <w:rPr>
          <w:noProof/>
          <w:lang w:val="en-US" w:eastAsia="en-US"/>
        </w:rPr>
        <w:drawing>
          <wp:inline distT="0" distB="0" distL="0" distR="0" wp14:anchorId="2E6B0C0F" wp14:editId="5BBA5D89">
            <wp:extent cx="4625162" cy="2564187"/>
            <wp:effectExtent l="0" t="0" r="4445" b="7620"/>
            <wp:docPr id="1151"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625264" cy="2564243"/>
                    </a:xfrm>
                    <a:prstGeom prst="rect">
                      <a:avLst/>
                    </a:prstGeom>
                    <a:noFill/>
                    <a:ln>
                      <a:noFill/>
                    </a:ln>
                  </pic:spPr>
                </pic:pic>
              </a:graphicData>
            </a:graphic>
          </wp:inline>
        </w:drawing>
      </w:r>
    </w:p>
    <w:p w:rsidR="00653EAB" w:rsidRPr="00653EAB" w:rsidRDefault="00653EAB" w:rsidP="007E58DC">
      <w:pPr>
        <w:spacing w:after="120"/>
        <w:contextualSpacing/>
        <w:jc w:val="center"/>
        <w:rPr>
          <w:sz w:val="10"/>
          <w:szCs w:val="10"/>
        </w:rPr>
      </w:pPr>
    </w:p>
    <w:p w:rsidR="007E58DC" w:rsidRPr="004F4FD9" w:rsidRDefault="007E58DC" w:rsidP="00653EAB">
      <w:pPr>
        <w:numPr>
          <w:ilvl w:val="0"/>
          <w:numId w:val="133"/>
        </w:numPr>
        <w:spacing w:before="120" w:after="120"/>
        <w:ind w:left="357" w:hanging="357"/>
        <w:jc w:val="both"/>
        <w:rPr>
          <w:sz w:val="20"/>
        </w:rPr>
      </w:pPr>
      <w:r w:rsidRPr="004F4FD9">
        <w:rPr>
          <w:sz w:val="20"/>
        </w:rPr>
        <w:t>En lo que respecta a la diversidad geográfica, en 2016 aumentó el porcentaje de miembros del personal procedentes de las regiones de África, Asia y el Pacífico, Europa del Este y Central y Asia Central y Oriente Medio, mientras que en las regiones de América Latina y el Caribe y América del Norte disminuyó levemente.  El porcentaje de personal procedente de Europa Occidental fue objeto de una disminución más acusada, de 3,6 puntos porcentuales.</w:t>
      </w:r>
    </w:p>
    <w:p w:rsidR="007E58DC" w:rsidRPr="004F4FD9" w:rsidRDefault="007E58DC" w:rsidP="007E58DC">
      <w:pPr>
        <w:ind w:left="360"/>
        <w:contextualSpacing/>
        <w:jc w:val="both"/>
        <w:rPr>
          <w:sz w:val="20"/>
        </w:rPr>
      </w:pPr>
    </w:p>
    <w:p w:rsidR="007E58DC" w:rsidRPr="004F4FD9" w:rsidRDefault="007E58DC" w:rsidP="007E58DC">
      <w:pPr>
        <w:pStyle w:val="Caption"/>
        <w:keepNext/>
        <w:jc w:val="center"/>
        <w:rPr>
          <w:b w:val="0"/>
          <w:i/>
          <w:sz w:val="16"/>
          <w:szCs w:val="16"/>
        </w:rPr>
      </w:pPr>
      <w:r w:rsidRPr="004F4FD9">
        <w:rPr>
          <w:b w:val="0"/>
          <w:i/>
          <w:sz w:val="16"/>
          <w:szCs w:val="16"/>
        </w:rPr>
        <w:t>Porcentaje de personal en las categorías profesional y superior, por región, 2012-2016</w:t>
      </w:r>
    </w:p>
    <w:p w:rsidR="007E58DC" w:rsidRPr="004F4FD9" w:rsidRDefault="007E58DC" w:rsidP="007E58DC">
      <w:pPr>
        <w:spacing w:after="120"/>
        <w:contextualSpacing/>
        <w:jc w:val="center"/>
      </w:pPr>
      <w:r w:rsidRPr="00BF699D">
        <w:rPr>
          <w:noProof/>
          <w:lang w:val="en-US" w:eastAsia="en-US"/>
        </w:rPr>
        <w:drawing>
          <wp:inline distT="0" distB="0" distL="0" distR="0" wp14:anchorId="0D5B1567" wp14:editId="7A50D20D">
            <wp:extent cx="5350798" cy="2787869"/>
            <wp:effectExtent l="0" t="0" r="2540" b="0"/>
            <wp:docPr id="896" name="Picture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55679" cy="2790412"/>
                    </a:xfrm>
                    <a:prstGeom prst="rect">
                      <a:avLst/>
                    </a:prstGeom>
                    <a:noFill/>
                    <a:ln>
                      <a:noFill/>
                    </a:ln>
                  </pic:spPr>
                </pic:pic>
              </a:graphicData>
            </a:graphic>
          </wp:inline>
        </w:drawing>
      </w:r>
    </w:p>
    <w:p w:rsidR="007E58DC" w:rsidRPr="004F4FD9" w:rsidRDefault="007E58DC" w:rsidP="007E58DC">
      <w:pPr>
        <w:numPr>
          <w:ilvl w:val="0"/>
          <w:numId w:val="133"/>
        </w:numPr>
        <w:spacing w:after="120"/>
        <w:jc w:val="both"/>
        <w:rPr>
          <w:sz w:val="20"/>
        </w:rPr>
      </w:pPr>
      <w:r w:rsidRPr="004F4FD9">
        <w:rPr>
          <w:sz w:val="20"/>
        </w:rPr>
        <w:t>En 2016 se emprendieron iniciativas de compra con miras a optimizar el costo de productos y servicios que adquiere la OMPI y de racionalizar sus procedimientos, obteniéndose un ahorro global de 1,8 millones de francos suizos.  En lo que respecta a los gastos de viaje, gracias a la herramienta de reservas en línea se lograron nuevas disminucione</w:t>
      </w:r>
      <w:r>
        <w:rPr>
          <w:sz w:val="20"/>
        </w:rPr>
        <w:t>s en las tasas de servicios (de </w:t>
      </w:r>
      <w:r w:rsidRPr="004F4FD9">
        <w:rPr>
          <w:sz w:val="20"/>
        </w:rPr>
        <w:t>95 a 92 francos suizos) y en el precio medio de la tarifa de billete de avión ( de 1481 a 1315 francos suizos).  El porcentaje de productos y servicios suministrados localmente para las actividades relacionadas con el desarrollo aumentó hasta situarse en el 60,3% en 2016, lo que representa un aumento de 3 puntos porcentuales con respecto a 2015.</w:t>
      </w:r>
    </w:p>
    <w:p w:rsidR="007E58DC" w:rsidRPr="004F4FD9" w:rsidRDefault="007E58DC" w:rsidP="007E58DC">
      <w:pPr>
        <w:pStyle w:val="ListParagraph"/>
        <w:numPr>
          <w:ilvl w:val="0"/>
          <w:numId w:val="133"/>
        </w:numPr>
        <w:spacing w:after="120"/>
        <w:ind w:left="357" w:hanging="357"/>
        <w:jc w:val="both"/>
        <w:rPr>
          <w:lang w:val="es-ES"/>
        </w:rPr>
      </w:pPr>
      <w:r w:rsidRPr="004F4FD9">
        <w:rPr>
          <w:lang w:val="es-ES"/>
        </w:rPr>
        <w:lastRenderedPageBreak/>
        <w:t xml:space="preserve">La OMPI recibió el premio de arquitectura “Green Good Design” en 2016 por su sala de conferencias (que se caracteriza por su estructura de madera y gran utilización de la madera en el acabado de interiores y exteriores), concedido por el </w:t>
      </w:r>
      <w:r w:rsidRPr="004F4FD9">
        <w:rPr>
          <w:i/>
          <w:lang w:val="es-ES"/>
        </w:rPr>
        <w:t>Chicago Athenaeum Museum of Architecture and Design</w:t>
      </w:r>
      <w:r w:rsidRPr="004F4FD9">
        <w:rPr>
          <w:lang w:val="es-ES"/>
        </w:rPr>
        <w:t>.  La OMPI recibió también un certificado del proveedor de electricidad en el que se destaca que la OMPI optó por un abastecimiento a partir de fuentes 100% suizas de energía hidráulica en los años</w:t>
      </w:r>
      <w:r w:rsidR="003B1260">
        <w:rPr>
          <w:lang w:val="es-ES"/>
        </w:rPr>
        <w:t> </w:t>
      </w:r>
      <w:r w:rsidRPr="004F4FD9">
        <w:rPr>
          <w:lang w:val="es-ES"/>
        </w:rPr>
        <w:t xml:space="preserve">2015 a 2017, contribuyendo así al desarrollo de </w:t>
      </w:r>
      <w:r w:rsidR="009823CC">
        <w:rPr>
          <w:lang w:val="es-ES"/>
        </w:rPr>
        <w:t xml:space="preserve">la </w:t>
      </w:r>
      <w:r w:rsidRPr="004F4FD9">
        <w:rPr>
          <w:lang w:val="es-ES"/>
        </w:rPr>
        <w:t>energía renovable.</w:t>
      </w:r>
    </w:p>
    <w:p w:rsidR="007E58DC" w:rsidRPr="004F4FD9" w:rsidRDefault="007E58DC" w:rsidP="007E58DC">
      <w:pPr>
        <w:pStyle w:val="ListParagraph"/>
        <w:numPr>
          <w:ilvl w:val="0"/>
          <w:numId w:val="133"/>
        </w:numPr>
        <w:spacing w:after="120"/>
        <w:jc w:val="both"/>
        <w:rPr>
          <w:lang w:val="es-ES"/>
        </w:rPr>
      </w:pPr>
      <w:r w:rsidRPr="004F4FD9">
        <w:rPr>
          <w:lang w:val="es-ES"/>
        </w:rPr>
        <w:t>En lo que respecta a las mejoras en materia de TIC, en 2016 se obtuvieron los siguientes logros concretos:  un ahorro en los costos de 300.000 francos suizos tras la aplicación, al final de 2015, de una nueva política de aseguramiento de datos gracias a la cual se redujo el volumen del almacenamiento de datos necesario;  una reducción de más del 30% en el número de incidentes en servicios de TIC con una incidencia media o alta;  mejoras en la continuidad de los servicios y en la capacidad de reacción y recuperación de la infraestructura de las TIC a fin de incluir otros servicios básicos, como el sistema de gestión de la identidad y el acceso externos y los servicios de impresión y archivo en red;  el establecimiento de una nueva plataforma de reanudación de actividades en caso de desastre aplicable al sistema de correo electrónico y la puesta en marcha de una solución de arquitectura global (GOA) para las Oficinas de la OMPI en el exterior, que se aplicará en dos nuevas Oficinas en el exterior (la OOC y la OOB).</w:t>
      </w:r>
    </w:p>
    <w:p w:rsidR="007E58DC" w:rsidRPr="004F4FD9" w:rsidRDefault="007E58DC" w:rsidP="007E58DC">
      <w:pPr>
        <w:pStyle w:val="ListParagraph"/>
        <w:numPr>
          <w:ilvl w:val="0"/>
          <w:numId w:val="133"/>
        </w:numPr>
        <w:spacing w:after="120"/>
        <w:jc w:val="both"/>
        <w:rPr>
          <w:lang w:val="es-ES"/>
        </w:rPr>
      </w:pPr>
      <w:r w:rsidRPr="004F4FD9">
        <w:rPr>
          <w:lang w:val="es-ES"/>
        </w:rPr>
        <w:t xml:space="preserve">La Asamblea General celebrada en octubre de 2016 aprobó la Carta de Supervisión Interna revisada.  Los principales cambios comprenden lo siguiente:  i) disposiciones concretas acerca de las investigaciones de presunta conducta indebida del director general, los directores generales adjuntos y los subdirectores generales así como el director de la DSI;  ii) mejorar y aclarar la definición de la independencia de la DSI en los niveles operativo y funcional;  y iii) facilitar a los Estados miembros acceso a las versiones completas de los informes sobre las consecuencias para la dirección así como los informes de evaluación y de auditoría publicados de forma modificada o que no se dan a conocer.  </w:t>
      </w:r>
    </w:p>
    <w:p w:rsidR="007E58DC" w:rsidRPr="004F4FD9" w:rsidRDefault="007E58DC" w:rsidP="007E58DC">
      <w:pPr>
        <w:pStyle w:val="ListParagraph"/>
        <w:numPr>
          <w:ilvl w:val="0"/>
          <w:numId w:val="133"/>
        </w:numPr>
        <w:spacing w:after="120"/>
        <w:jc w:val="both"/>
        <w:rPr>
          <w:lang w:val="es-ES"/>
        </w:rPr>
      </w:pPr>
      <w:r w:rsidRPr="004F4FD9">
        <w:rPr>
          <w:lang w:val="es-ES"/>
        </w:rPr>
        <w:t>Se siguió aplicando eficazmente la política lingüística de la OMPI al incluir a los grupos de trabajo en la cobertura lingüística que se ofrece en seis idiomas, mediante la adopción de un enfoque gradual y eficaz en función de los costos.  Con arreglo al calendario estableci</w:t>
      </w:r>
      <w:r w:rsidR="0023287E">
        <w:rPr>
          <w:lang w:val="es-ES"/>
        </w:rPr>
        <w:t>do por los Estados miembros, en </w:t>
      </w:r>
      <w:r w:rsidRPr="004F4FD9">
        <w:rPr>
          <w:lang w:val="es-ES"/>
        </w:rPr>
        <w:t>2016, se amplió la cobertura lingüística par a dar cabida a:  i) el Grupo de Trabajo encargado de preparar el Reglamento Común del Arreglo de Lisboa y del Acta de Ginebra del Arreglo de Lisboa;  y ii) el Comité de Expertos de la Unión de la CIP.</w:t>
      </w:r>
    </w:p>
    <w:p w:rsidR="007E58DC" w:rsidRPr="004F4FD9" w:rsidRDefault="007E58DC" w:rsidP="007E58DC">
      <w:pPr>
        <w:pStyle w:val="ListParagraph"/>
        <w:numPr>
          <w:ilvl w:val="0"/>
          <w:numId w:val="133"/>
        </w:numPr>
        <w:spacing w:after="120"/>
        <w:jc w:val="both"/>
        <w:rPr>
          <w:lang w:val="es-ES"/>
        </w:rPr>
      </w:pPr>
      <w:r w:rsidRPr="004F4FD9">
        <w:rPr>
          <w:lang w:val="es-ES"/>
        </w:rPr>
        <w:t xml:space="preserve">En 2016, los costos de correo se redujeron en un 9% gracias a la combinación de medidas para aumentar la costoeficacia, una mayor concienciación del personal y una reducción del volumen de material enviado. </w:t>
      </w:r>
    </w:p>
    <w:p w:rsidR="007E58DC" w:rsidRPr="004F4FD9" w:rsidRDefault="007E58DC" w:rsidP="007E58DC">
      <w:pPr>
        <w:pStyle w:val="ListParagraph"/>
        <w:numPr>
          <w:ilvl w:val="0"/>
          <w:numId w:val="133"/>
        </w:numPr>
        <w:spacing w:after="120"/>
        <w:jc w:val="both"/>
        <w:rPr>
          <w:lang w:val="es-ES"/>
        </w:rPr>
      </w:pPr>
      <w:r w:rsidRPr="004F4FD9">
        <w:rPr>
          <w:lang w:val="es-ES"/>
        </w:rPr>
        <w:t>En el ámbito del aseguramiento de la información, en el marco del proceso de continuas mejoras impulsadas por la norma ISO 27001, en octubre de 2016 las operaciones de los Sistemas del PCT, de Madrid y de La Haya fueron certificadas de nuevo conforme a la normativa internacional, ampliando su alcance de suerte que incumbiera asimismo al Centro de Arbitraje y Mediación.  No se señalaron deficiencias de conformidad de mayor o menor entidad.</w:t>
      </w:r>
    </w:p>
    <w:p w:rsidR="007E58DC" w:rsidRPr="004F4FD9" w:rsidRDefault="007E58DC" w:rsidP="007E58DC">
      <w:pPr>
        <w:pStyle w:val="ListParagraph"/>
        <w:numPr>
          <w:ilvl w:val="0"/>
          <w:numId w:val="133"/>
        </w:numPr>
        <w:spacing w:after="120"/>
        <w:jc w:val="both"/>
        <w:rPr>
          <w:lang w:val="es-ES"/>
        </w:rPr>
      </w:pPr>
      <w:r w:rsidRPr="004F4FD9">
        <w:rPr>
          <w:lang w:val="es-ES"/>
        </w:rPr>
        <w:t xml:space="preserve">Se emprendieron iniciativas de sensibilización acerca de la seguridad de la información a fin de aumentar la concienciación sobre las amenazas en ese ámbito y de impartir formación al personal encargado de las TIC en asuntos de seguridad de la información.  En octubre se emprendió un nuevo curso obligatorio de informática sobre medidas básicas de seguridad de la información, que </w:t>
      </w:r>
      <w:r w:rsidR="0023287E">
        <w:rPr>
          <w:lang w:val="es-ES"/>
        </w:rPr>
        <w:t>en </w:t>
      </w:r>
      <w:r w:rsidRPr="004F4FD9">
        <w:rPr>
          <w:lang w:val="es-ES"/>
        </w:rPr>
        <w:t>2016 fue seguido por más del 70% de miembros del personal y contratistas.  La ISAEP impulsó asimismo el lanzamiento de cuatro campañas de simulación de robo de datos personales por Internet para seguir fomentando la concienciación de los usuarios respecto de las amenazas a la seguridad de la información, como pone de manifiesto el notable aumento del número de usuarios que dieron cuenta de intentos de fraude de ese tipo (que pasó de un promedio del 25% en 2015 a un promedio del 46% en 2016).</w:t>
      </w:r>
    </w:p>
    <w:p w:rsidR="007E58DC" w:rsidRPr="004F4FD9" w:rsidRDefault="007E58DC" w:rsidP="007E58DC">
      <w:pPr>
        <w:pStyle w:val="ListParagraph"/>
        <w:numPr>
          <w:ilvl w:val="0"/>
          <w:numId w:val="133"/>
        </w:numPr>
        <w:spacing w:after="120"/>
        <w:jc w:val="both"/>
        <w:rPr>
          <w:lang w:val="es-ES"/>
        </w:rPr>
      </w:pPr>
      <w:r w:rsidRPr="004F4FD9">
        <w:rPr>
          <w:lang w:val="es-ES"/>
        </w:rPr>
        <w:t>El contexto de seguridad y vigilancia en que la OMPI llevó a cabo sus actividades en 2016 siguió siendo complejo en el plano mundial, pero al mismo tiempo se mantuvo estable por lo general en los países en los que la Organización está presente.  En 2016 se siguió prestando especial atención a la cuestión de la seguridad de los viajes internacionales de los miembros del personal de la OMPI, ya que en varias de las regiones visitadas se produjeron incidentes relacionados con la inestabilidad y la seguridad.  En 2016 se aplicaron nuevas medidas de seguridad y vigilancia, entre otras, el fortalecimiento de la colaboración de la Organización con el Gobierno anfitrión.</w:t>
      </w:r>
    </w:p>
    <w:p w:rsidR="00762D7C" w:rsidRDefault="00762D7C" w:rsidP="007D1BBF">
      <w:pPr>
        <w:pStyle w:val="Endofdocument-Annex"/>
        <w:ind w:left="0"/>
        <w:rPr>
          <w:b/>
          <w:sz w:val="20"/>
          <w:lang w:val="es-ES"/>
        </w:rPr>
      </w:pPr>
    </w:p>
    <w:p w:rsidR="00762D7C" w:rsidRDefault="00762D7C">
      <w:pPr>
        <w:rPr>
          <w:b/>
          <w:sz w:val="20"/>
        </w:rPr>
        <w:sectPr w:rsidR="00762D7C" w:rsidSect="007C3D10">
          <w:headerReference w:type="even" r:id="rId36"/>
          <w:headerReference w:type="default" r:id="rId37"/>
          <w:footerReference w:type="even" r:id="rId38"/>
          <w:footerReference w:type="default" r:id="rId39"/>
          <w:headerReference w:type="first" r:id="rId40"/>
          <w:pgSz w:w="11907" w:h="16840" w:code="9"/>
          <w:pgMar w:top="567" w:right="1134" w:bottom="1418" w:left="1418" w:header="510" w:footer="1021" w:gutter="0"/>
          <w:cols w:space="720"/>
          <w:titlePg/>
          <w:docGrid w:linePitch="299"/>
        </w:sectPr>
      </w:pPr>
    </w:p>
    <w:p w:rsidR="00762D7C" w:rsidRPr="00CA1E19" w:rsidRDefault="00762D7C" w:rsidP="00762D7C">
      <w:pPr>
        <w:pStyle w:val="Heading1"/>
        <w:keepNext w:val="0"/>
        <w:spacing w:before="0" w:after="0"/>
        <w:ind w:left="567" w:hanging="567"/>
      </w:pPr>
      <w:bookmarkStart w:id="19" w:name="_Toc454544459"/>
      <w:bookmarkStart w:id="20" w:name="_Toc482711236"/>
      <w:r w:rsidRPr="00CA1E19">
        <w:lastRenderedPageBreak/>
        <w:t>III.</w:t>
      </w:r>
      <w:r w:rsidRPr="00CA1E19">
        <w:tab/>
      </w:r>
      <w:bookmarkStart w:id="21" w:name="_Toc391987560"/>
      <w:r w:rsidRPr="00CA1E19">
        <w:t>INFORME SOBRE LA APLICACIÓN DE LAS MEDIDAS DESTINADAS A FOMENTAR LA EFICACIA EN FUNCIÓN DE LOS COSTOS EN </w:t>
      </w:r>
      <w:bookmarkEnd w:id="19"/>
      <w:bookmarkEnd w:id="21"/>
      <w:r w:rsidRPr="00CA1E19">
        <w:t>2016</w:t>
      </w:r>
      <w:bookmarkEnd w:id="20"/>
    </w:p>
    <w:p w:rsidR="00762D7C" w:rsidRPr="00CA1E19" w:rsidRDefault="00762D7C" w:rsidP="00762D7C">
      <w:pPr>
        <w:rPr>
          <w:sz w:val="20"/>
        </w:rPr>
      </w:pPr>
    </w:p>
    <w:p w:rsidR="00762D7C" w:rsidRPr="00CA1E19" w:rsidRDefault="00762D7C" w:rsidP="00762D7C">
      <w:pPr>
        <w:jc w:val="center"/>
        <w:rPr>
          <w:sz w:val="20"/>
        </w:rPr>
      </w:pPr>
      <w:r w:rsidRPr="00CA1E19">
        <w:rPr>
          <w:sz w:val="20"/>
        </w:rPr>
        <w:t>MEJORAS DE LA EFICACIA EN FUNCIÓN DE LOS COSTOS CONSEGUIDAS EN 2016</w:t>
      </w:r>
    </w:p>
    <w:p w:rsidR="00762D7C" w:rsidRPr="00CA1E19" w:rsidRDefault="00762D7C" w:rsidP="00762D7C">
      <w:pPr>
        <w:jc w:val="center"/>
        <w:rPr>
          <w:sz w:val="20"/>
        </w:rPr>
      </w:pPr>
      <w:r w:rsidRPr="00CA1E19">
        <w:rPr>
          <w:sz w:val="20"/>
        </w:rPr>
        <w:t>(en francos suizos)</w:t>
      </w:r>
    </w:p>
    <w:p w:rsidR="00762D7C" w:rsidRPr="00CA1E19" w:rsidRDefault="00762D7C" w:rsidP="00762D7C">
      <w:pPr>
        <w:jc w:val="center"/>
        <w:rPr>
          <w:sz w:val="20"/>
        </w:rPr>
      </w:pPr>
    </w:p>
    <w:tbl>
      <w:tblPr>
        <w:tblW w:w="4963" w:type="pct"/>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57" w:type="dxa"/>
        </w:tblCellMar>
        <w:tblLook w:val="04A0" w:firstRow="1" w:lastRow="0" w:firstColumn="1" w:lastColumn="0" w:noHBand="0" w:noVBand="1"/>
      </w:tblPr>
      <w:tblGrid>
        <w:gridCol w:w="2395"/>
        <w:gridCol w:w="1801"/>
        <w:gridCol w:w="1802"/>
        <w:gridCol w:w="2385"/>
        <w:gridCol w:w="2072"/>
        <w:gridCol w:w="4504"/>
      </w:tblGrid>
      <w:tr w:rsidR="00762D7C" w:rsidRPr="00CA1E19" w:rsidTr="00A34E19">
        <w:trPr>
          <w:trHeight w:val="20"/>
          <w:tblHeader/>
        </w:trPr>
        <w:tc>
          <w:tcPr>
            <w:tcW w:w="1508" w:type="dxa"/>
            <w:tcBorders>
              <w:bottom w:val="single" w:sz="4" w:space="0" w:color="auto"/>
            </w:tcBorders>
            <w:shd w:val="clear" w:color="000000" w:fill="8DB4E2"/>
            <w:tcMar>
              <w:top w:w="85" w:type="dxa"/>
              <w:bottom w:w="85" w:type="dxa"/>
            </w:tcMar>
            <w:vAlign w:val="center"/>
            <w:hideMark/>
          </w:tcPr>
          <w:p w:rsidR="00762D7C" w:rsidRPr="00CA1E19" w:rsidRDefault="00762D7C" w:rsidP="00A34E19">
            <w:pPr>
              <w:jc w:val="center"/>
              <w:rPr>
                <w:b/>
                <w:bCs/>
                <w:color w:val="000000"/>
                <w:sz w:val="17"/>
                <w:szCs w:val="17"/>
              </w:rPr>
            </w:pPr>
            <w:r w:rsidRPr="00CA1E19">
              <w:rPr>
                <w:b/>
                <w:bCs/>
                <w:color w:val="000000"/>
                <w:sz w:val="17"/>
                <w:szCs w:val="17"/>
              </w:rPr>
              <w:t>Área</w:t>
            </w:r>
          </w:p>
        </w:tc>
        <w:tc>
          <w:tcPr>
            <w:tcW w:w="1134" w:type="dxa"/>
            <w:tcBorders>
              <w:bottom w:val="single" w:sz="4" w:space="0" w:color="auto"/>
            </w:tcBorders>
            <w:shd w:val="clear" w:color="000000" w:fill="8DB4E2"/>
            <w:tcMar>
              <w:top w:w="85" w:type="dxa"/>
              <w:bottom w:w="85" w:type="dxa"/>
            </w:tcMar>
            <w:vAlign w:val="center"/>
            <w:hideMark/>
          </w:tcPr>
          <w:p w:rsidR="00762D7C" w:rsidRPr="00CA1E19" w:rsidRDefault="00762D7C" w:rsidP="00A34E19">
            <w:pPr>
              <w:jc w:val="center"/>
              <w:rPr>
                <w:b/>
                <w:bCs/>
                <w:color w:val="000000"/>
                <w:sz w:val="17"/>
                <w:szCs w:val="17"/>
              </w:rPr>
            </w:pPr>
            <w:r w:rsidRPr="00CA1E19">
              <w:rPr>
                <w:b/>
                <w:bCs/>
                <w:color w:val="000000"/>
                <w:sz w:val="17"/>
                <w:szCs w:val="17"/>
              </w:rPr>
              <w:t>Ahorros totales en 2015 *</w:t>
            </w:r>
          </w:p>
        </w:tc>
        <w:tc>
          <w:tcPr>
            <w:tcW w:w="1134" w:type="dxa"/>
            <w:tcBorders>
              <w:bottom w:val="single" w:sz="4" w:space="0" w:color="auto"/>
            </w:tcBorders>
            <w:shd w:val="clear" w:color="000000" w:fill="8DB4E2"/>
            <w:tcMar>
              <w:top w:w="85" w:type="dxa"/>
              <w:bottom w:w="85" w:type="dxa"/>
            </w:tcMar>
            <w:vAlign w:val="center"/>
            <w:hideMark/>
          </w:tcPr>
          <w:p w:rsidR="00762D7C" w:rsidRPr="00CA1E19" w:rsidRDefault="00762D7C" w:rsidP="00A34E19">
            <w:pPr>
              <w:jc w:val="center"/>
              <w:rPr>
                <w:b/>
                <w:bCs/>
                <w:color w:val="000000"/>
                <w:sz w:val="17"/>
                <w:szCs w:val="17"/>
              </w:rPr>
            </w:pPr>
            <w:r w:rsidRPr="00CA1E19">
              <w:rPr>
                <w:b/>
                <w:bCs/>
                <w:color w:val="000000"/>
                <w:sz w:val="17"/>
                <w:szCs w:val="17"/>
              </w:rPr>
              <w:t>Ahorros totales en 2016 **</w:t>
            </w:r>
          </w:p>
        </w:tc>
        <w:tc>
          <w:tcPr>
            <w:tcW w:w="1304" w:type="dxa"/>
            <w:tcBorders>
              <w:bottom w:val="single" w:sz="4" w:space="0" w:color="auto"/>
            </w:tcBorders>
            <w:shd w:val="clear" w:color="000000" w:fill="8DB4E2"/>
            <w:tcMar>
              <w:top w:w="85" w:type="dxa"/>
              <w:bottom w:w="85" w:type="dxa"/>
            </w:tcMar>
            <w:vAlign w:val="center"/>
            <w:hideMark/>
          </w:tcPr>
          <w:p w:rsidR="00762D7C" w:rsidRPr="00CA1E19" w:rsidRDefault="00762D7C" w:rsidP="00A34E19">
            <w:pPr>
              <w:jc w:val="center"/>
              <w:rPr>
                <w:b/>
                <w:bCs/>
                <w:color w:val="000000"/>
                <w:sz w:val="17"/>
                <w:szCs w:val="17"/>
              </w:rPr>
            </w:pPr>
            <w:r w:rsidRPr="00CA1E19">
              <w:rPr>
                <w:b/>
                <w:bCs/>
                <w:color w:val="000000"/>
                <w:sz w:val="17"/>
                <w:szCs w:val="17"/>
              </w:rPr>
              <w:t>Disminución del costo unitario en 2015</w:t>
            </w:r>
          </w:p>
        </w:tc>
        <w:tc>
          <w:tcPr>
            <w:tcW w:w="1304" w:type="dxa"/>
            <w:tcBorders>
              <w:bottom w:val="single" w:sz="4" w:space="0" w:color="auto"/>
            </w:tcBorders>
            <w:shd w:val="clear" w:color="000000" w:fill="8DB4E2"/>
            <w:tcMar>
              <w:top w:w="85" w:type="dxa"/>
              <w:bottom w:w="85" w:type="dxa"/>
            </w:tcMar>
            <w:vAlign w:val="center"/>
            <w:hideMark/>
          </w:tcPr>
          <w:p w:rsidR="00762D7C" w:rsidRPr="00CA1E19" w:rsidRDefault="00762D7C" w:rsidP="00A34E19">
            <w:pPr>
              <w:jc w:val="center"/>
              <w:rPr>
                <w:b/>
                <w:bCs/>
                <w:color w:val="000000"/>
                <w:sz w:val="17"/>
                <w:szCs w:val="17"/>
              </w:rPr>
            </w:pPr>
            <w:r w:rsidRPr="00CA1E19">
              <w:rPr>
                <w:b/>
                <w:bCs/>
                <w:color w:val="000000"/>
                <w:sz w:val="17"/>
                <w:szCs w:val="17"/>
              </w:rPr>
              <w:t>Disminución del costo unitario en 2016 ***</w:t>
            </w:r>
          </w:p>
        </w:tc>
        <w:tc>
          <w:tcPr>
            <w:tcW w:w="2835" w:type="dxa"/>
            <w:tcBorders>
              <w:bottom w:val="single" w:sz="4" w:space="0" w:color="auto"/>
            </w:tcBorders>
            <w:shd w:val="clear" w:color="000000" w:fill="8DB4E2"/>
            <w:tcMar>
              <w:top w:w="85" w:type="dxa"/>
              <w:bottom w:w="85" w:type="dxa"/>
            </w:tcMar>
            <w:vAlign w:val="center"/>
            <w:hideMark/>
          </w:tcPr>
          <w:p w:rsidR="00762D7C" w:rsidRPr="00CA1E19" w:rsidRDefault="00762D7C" w:rsidP="00A34E19">
            <w:pPr>
              <w:jc w:val="center"/>
              <w:rPr>
                <w:b/>
                <w:bCs/>
                <w:color w:val="000000"/>
                <w:sz w:val="17"/>
                <w:szCs w:val="17"/>
              </w:rPr>
            </w:pPr>
            <w:r w:rsidRPr="00CA1E19">
              <w:rPr>
                <w:b/>
                <w:bCs/>
                <w:color w:val="000000"/>
                <w:sz w:val="17"/>
                <w:szCs w:val="17"/>
              </w:rPr>
              <w:t>Notas</w:t>
            </w:r>
          </w:p>
        </w:tc>
      </w:tr>
      <w:tr w:rsidR="00762D7C" w:rsidRPr="00CA1E19" w:rsidTr="00A34E19">
        <w:trPr>
          <w:trHeight w:val="20"/>
        </w:trPr>
        <w:tc>
          <w:tcPr>
            <w:tcW w:w="9219" w:type="dxa"/>
            <w:gridSpan w:val="6"/>
            <w:shd w:val="clear" w:color="auto" w:fill="8DB4E2"/>
            <w:tcMar>
              <w:top w:w="57" w:type="dxa"/>
              <w:bottom w:w="57" w:type="dxa"/>
            </w:tcMar>
            <w:vAlign w:val="center"/>
          </w:tcPr>
          <w:p w:rsidR="00762D7C" w:rsidRPr="00CA1E19" w:rsidRDefault="00762D7C" w:rsidP="00A34E19">
            <w:pPr>
              <w:rPr>
                <w:rFonts w:eastAsia="Times New Roman"/>
                <w:sz w:val="17"/>
                <w:szCs w:val="17"/>
                <w:lang w:eastAsia="en-US"/>
              </w:rPr>
            </w:pPr>
            <w:r w:rsidRPr="00CA1E19">
              <w:rPr>
                <w:rFonts w:eastAsia="Times New Roman"/>
                <w:b/>
                <w:bCs/>
                <w:color w:val="000000"/>
                <w:sz w:val="17"/>
                <w:szCs w:val="17"/>
                <w:lang w:eastAsia="en-US"/>
              </w:rPr>
              <w:t>1. Sistemas de registro</w:t>
            </w:r>
          </w:p>
        </w:tc>
      </w:tr>
      <w:tr w:rsidR="00762D7C" w:rsidRPr="00AC551F" w:rsidTr="00A34E19">
        <w:trPr>
          <w:trHeight w:val="81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unitario de la tramitación de solicitudes PCT</w:t>
            </w:r>
          </w:p>
        </w:tc>
        <w:tc>
          <w:tcPr>
            <w:tcW w:w="113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13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Aumento de 662 CHF en 2014 a 735 CHF en 2015, es decir 73 CHF (11%)</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 735 CHF en 2015 a 685 CHF en 2016, es decir 50 CHF (</w:t>
            </w:r>
            <w:r w:rsidRPr="00CA1E19">
              <w:rPr>
                <w:rFonts w:eastAsia="Times New Roman"/>
                <w:color w:val="000000"/>
                <w:sz w:val="17"/>
                <w:szCs w:val="17"/>
                <w:lang w:eastAsia="en-US"/>
              </w:rPr>
              <w:noBreakHyphen/>
              <w:t>6</w:t>
            </w:r>
            <w:r>
              <w:rPr>
                <w:rFonts w:eastAsia="Times New Roman"/>
                <w:color w:val="000000"/>
                <w:sz w:val="17"/>
                <w:szCs w:val="17"/>
                <w:lang w:eastAsia="en-US"/>
              </w:rPr>
              <w:t>,</w:t>
            </w:r>
            <w:r w:rsidRPr="00CA1E19">
              <w:rPr>
                <w:rFonts w:eastAsia="Times New Roman"/>
                <w:color w:val="000000"/>
                <w:sz w:val="17"/>
                <w:szCs w:val="17"/>
                <w:lang w:eastAsia="en-US"/>
              </w:rPr>
              <w:t>8%)</w:t>
            </w:r>
          </w:p>
        </w:tc>
        <w:tc>
          <w:tcPr>
            <w:tcW w:w="2835" w:type="dxa"/>
            <w:shd w:val="clear" w:color="auto" w:fill="auto"/>
            <w:hideMark/>
          </w:tcPr>
          <w:p w:rsidR="00762D7C" w:rsidRPr="00CA1E19" w:rsidRDefault="00762D7C" w:rsidP="00A34E19">
            <w:pPr>
              <w:rPr>
                <w:rFonts w:eastAsia="Times New Roman"/>
                <w:sz w:val="17"/>
                <w:szCs w:val="17"/>
                <w:lang w:eastAsia="en-US"/>
              </w:rPr>
            </w:pPr>
            <w:r w:rsidRPr="00CA1E19">
              <w:rPr>
                <w:rFonts w:eastAsia="Times New Roman"/>
                <w:sz w:val="17"/>
                <w:szCs w:val="17"/>
                <w:lang w:eastAsia="en-US"/>
              </w:rPr>
              <w:t xml:space="preserve">La disminución de los costos generales para la tramitación de solicitudes PCT </w:t>
            </w:r>
            <w:r w:rsidR="0048069B">
              <w:rPr>
                <w:rFonts w:eastAsia="Times New Roman"/>
                <w:sz w:val="17"/>
                <w:szCs w:val="17"/>
                <w:lang w:eastAsia="en-US"/>
              </w:rPr>
              <w:t>se debió</w:t>
            </w:r>
            <w:r w:rsidRPr="00CA1E19">
              <w:rPr>
                <w:rFonts w:eastAsia="Times New Roman"/>
                <w:sz w:val="17"/>
                <w:szCs w:val="17"/>
                <w:lang w:eastAsia="en-US"/>
              </w:rPr>
              <w:t xml:space="preserve"> a una reducción del 2,3% del costo total de producción, combinado con un aumento del 4,7% del número de solicitudes.</w:t>
            </w:r>
          </w:p>
        </w:tc>
      </w:tr>
      <w:tr w:rsidR="00762D7C" w:rsidRPr="00AC551F" w:rsidTr="00A34E19">
        <w:trPr>
          <w:trHeight w:val="825"/>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unitario de los trámites relativos al Sistema de Madrid</w:t>
            </w:r>
          </w:p>
        </w:tc>
        <w:tc>
          <w:tcPr>
            <w:tcW w:w="113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13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 837 CHF en 2014 a 743 CHF en 2015, es decir 94 CHF</w:t>
            </w:r>
            <w:r>
              <w:rPr>
                <w:rFonts w:eastAsia="Times New Roman"/>
                <w:color w:val="000000"/>
                <w:sz w:val="17"/>
                <w:szCs w:val="17"/>
                <w:lang w:eastAsia="en-US"/>
              </w:rPr>
              <w:t> </w:t>
            </w:r>
            <w:r w:rsidRPr="00CA1E19">
              <w:rPr>
                <w:rFonts w:eastAsia="Times New Roman"/>
                <w:color w:val="000000"/>
                <w:sz w:val="17"/>
                <w:szCs w:val="17"/>
                <w:lang w:eastAsia="en-US"/>
              </w:rPr>
              <w:t>(</w:t>
            </w:r>
            <w:r w:rsidRPr="00CA1E19">
              <w:rPr>
                <w:rFonts w:eastAsia="Times New Roman"/>
                <w:color w:val="000000"/>
                <w:sz w:val="17"/>
                <w:szCs w:val="17"/>
                <w:lang w:eastAsia="en-US"/>
              </w:rPr>
              <w:noBreakHyphen/>
              <w:t>11</w:t>
            </w:r>
            <w:r>
              <w:rPr>
                <w:rFonts w:eastAsia="Times New Roman"/>
                <w:color w:val="000000"/>
                <w:sz w:val="17"/>
                <w:szCs w:val="17"/>
                <w:lang w:eastAsia="en-US"/>
              </w:rPr>
              <w:t>,</w:t>
            </w:r>
            <w:r w:rsidRPr="00CA1E19">
              <w:rPr>
                <w:rFonts w:eastAsia="Times New Roman"/>
                <w:color w:val="000000"/>
                <w:sz w:val="17"/>
                <w:szCs w:val="17"/>
                <w:lang w:eastAsia="en-US"/>
              </w:rPr>
              <w:t>2%)</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Ligero aumento de 743 CHF en 2015 a 746 CHF en 2016, es decir 3 CHF (+0</w:t>
            </w:r>
            <w:r>
              <w:rPr>
                <w:rFonts w:eastAsia="Times New Roman"/>
                <w:color w:val="000000"/>
                <w:sz w:val="17"/>
                <w:szCs w:val="17"/>
                <w:lang w:eastAsia="en-US"/>
              </w:rPr>
              <w:t>,</w:t>
            </w:r>
            <w:r w:rsidRPr="00CA1E19">
              <w:rPr>
                <w:rFonts w:eastAsia="Times New Roman"/>
                <w:color w:val="000000"/>
                <w:sz w:val="17"/>
                <w:szCs w:val="17"/>
                <w:lang w:eastAsia="en-US"/>
              </w:rPr>
              <w:t>4%)</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en los costos de tramitación de los nuevos registros internacionales, o de su renovación, en el marco del Sistema de Madrid.</w:t>
            </w:r>
          </w:p>
        </w:tc>
      </w:tr>
      <w:tr w:rsidR="00762D7C" w:rsidRPr="00AC551F" w:rsidTr="00A34E19">
        <w:trPr>
          <w:trHeight w:val="1620"/>
        </w:trPr>
        <w:tc>
          <w:tcPr>
            <w:tcW w:w="1508"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unitario de los trámites relativos al Sistema de La Haya</w:t>
            </w:r>
          </w:p>
        </w:tc>
        <w:tc>
          <w:tcPr>
            <w:tcW w:w="1134" w:type="dxa"/>
            <w:tcBorders>
              <w:bottom w:val="single" w:sz="4" w:space="0" w:color="auto"/>
            </w:tcBorders>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134" w:type="dxa"/>
            <w:tcBorders>
              <w:bottom w:val="single" w:sz="4" w:space="0" w:color="auto"/>
            </w:tcBorders>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 366 CHF en 2014 a 337 CHF en 2015, es decir de 29 CHF (</w:t>
            </w:r>
            <w:r w:rsidRPr="00CA1E19">
              <w:rPr>
                <w:rFonts w:eastAsia="Times New Roman"/>
                <w:color w:val="000000"/>
                <w:sz w:val="17"/>
                <w:szCs w:val="17"/>
                <w:lang w:eastAsia="en-US"/>
              </w:rPr>
              <w:noBreakHyphen/>
              <w:t xml:space="preserve">8%). </w:t>
            </w:r>
            <w:r w:rsidRPr="00CA1E19">
              <w:rPr>
                <w:rFonts w:eastAsia="Times New Roman"/>
                <w:color w:val="000000"/>
                <w:sz w:val="17"/>
                <w:szCs w:val="17"/>
                <w:lang w:eastAsia="en-US"/>
              </w:rPr>
              <w:br/>
              <w:t>Reducción de 330 CHF (</w:t>
            </w:r>
            <w:r w:rsidRPr="00CA1E19">
              <w:rPr>
                <w:rFonts w:eastAsia="Times New Roman"/>
                <w:color w:val="000000"/>
                <w:sz w:val="17"/>
                <w:szCs w:val="17"/>
                <w:lang w:eastAsia="en-US"/>
              </w:rPr>
              <w:noBreakHyphen/>
              <w:t>22</w:t>
            </w:r>
            <w:r>
              <w:rPr>
                <w:rFonts w:eastAsia="Times New Roman"/>
                <w:color w:val="000000"/>
                <w:sz w:val="17"/>
                <w:szCs w:val="17"/>
                <w:lang w:eastAsia="en-US"/>
              </w:rPr>
              <w:t>,</w:t>
            </w:r>
            <w:r w:rsidRPr="00CA1E19">
              <w:rPr>
                <w:rFonts w:eastAsia="Times New Roman"/>
                <w:color w:val="000000"/>
                <w:sz w:val="17"/>
                <w:szCs w:val="17"/>
                <w:lang w:eastAsia="en-US"/>
              </w:rPr>
              <w:t>3%) por documento registrado, es decir de 1.483 CHF en 2014 a 1.153 CHF en 2015</w:t>
            </w:r>
          </w:p>
        </w:tc>
        <w:tc>
          <w:tcPr>
            <w:tcW w:w="1304"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Aumento de 337 CHF en 2015 a 443 CHF en 2016, es decir 106 CHF (+31%). </w:t>
            </w:r>
            <w:r w:rsidRPr="00CA1E19">
              <w:rPr>
                <w:rFonts w:eastAsia="Times New Roman"/>
                <w:color w:val="000000"/>
                <w:sz w:val="17"/>
                <w:szCs w:val="17"/>
                <w:lang w:eastAsia="en-US"/>
              </w:rPr>
              <w:br/>
              <w:t>Aumento de 19 CHF (+2%) por documento registrado, es decir de 1.153 CHF en 2015 a 1.172 CHF en 2016</w:t>
            </w:r>
          </w:p>
        </w:tc>
        <w:tc>
          <w:tcPr>
            <w:tcW w:w="2835"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El aumento de los costos unitarios se explica por las mejoras aportadas a la metodología aplicada en el cálculo de estos costos, que ha permitido una mejor repartición de los mismos entre los sistemas de Madrid y de La Haya (para más información, véase el Anexo sobre los indicadores de La Haya).</w:t>
            </w:r>
          </w:p>
        </w:tc>
      </w:tr>
      <w:tr w:rsidR="00762D7C" w:rsidRPr="00CA1E19" w:rsidTr="00A34E19">
        <w:trPr>
          <w:trHeight w:val="20"/>
        </w:trPr>
        <w:tc>
          <w:tcPr>
            <w:tcW w:w="9219" w:type="dxa"/>
            <w:gridSpan w:val="6"/>
            <w:shd w:val="clear" w:color="auto" w:fill="8DB4E2"/>
            <w:tcMar>
              <w:top w:w="57" w:type="dxa"/>
              <w:bottom w:w="57" w:type="dxa"/>
            </w:tcMar>
            <w:vAlign w:val="center"/>
          </w:tcPr>
          <w:p w:rsidR="00762D7C" w:rsidRPr="00CA1E19" w:rsidRDefault="00762D7C" w:rsidP="00A34E19">
            <w:pPr>
              <w:rPr>
                <w:rFonts w:eastAsia="Times New Roman"/>
                <w:b/>
                <w:bCs/>
                <w:color w:val="000000"/>
                <w:sz w:val="17"/>
                <w:szCs w:val="17"/>
                <w:lang w:eastAsia="en-US"/>
              </w:rPr>
            </w:pPr>
            <w:r w:rsidRPr="00CA1E19">
              <w:rPr>
                <w:rFonts w:eastAsia="Times New Roman"/>
                <w:b/>
                <w:bCs/>
                <w:color w:val="000000"/>
                <w:sz w:val="17"/>
                <w:szCs w:val="17"/>
                <w:lang w:eastAsia="en-US"/>
              </w:rPr>
              <w:t>2. Viajes</w:t>
            </w:r>
          </w:p>
        </w:tc>
      </w:tr>
      <w:tr w:rsidR="00762D7C" w:rsidRPr="00AC551F" w:rsidTr="00A34E19">
        <w:trPr>
          <w:trHeight w:val="945"/>
        </w:trPr>
        <w:tc>
          <w:tcPr>
            <w:tcW w:w="1508"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Costos de los viajes por vacaciones en el país de origen</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267.000</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1.091.811</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sz w:val="17"/>
                <w:szCs w:val="17"/>
                <w:lang w:eastAsia="en-US"/>
              </w:rPr>
            </w:pPr>
            <w:r>
              <w:rPr>
                <w:rFonts w:eastAsia="Times New Roman"/>
                <w:sz w:val="17"/>
                <w:szCs w:val="17"/>
                <w:lang w:eastAsia="en-US"/>
              </w:rPr>
              <w:t xml:space="preserve">Tras </w:t>
            </w:r>
            <w:r w:rsidRPr="00CA1E19">
              <w:rPr>
                <w:rFonts w:eastAsia="Times New Roman"/>
                <w:sz w:val="17"/>
                <w:szCs w:val="17"/>
                <w:lang w:eastAsia="en-US"/>
              </w:rPr>
              <w:t xml:space="preserve">el período de transición de 2014/15, en 2016 se notaron los beneficios de la plena aplicación de la nueva política de viajes por vacaciones en el país de origen, </w:t>
            </w:r>
            <w:r>
              <w:rPr>
                <w:rFonts w:eastAsia="Times New Roman"/>
                <w:sz w:val="17"/>
                <w:szCs w:val="17"/>
                <w:lang w:eastAsia="en-US"/>
              </w:rPr>
              <w:t>en virtud de la cual se lograron considerables ahorros gracias a</w:t>
            </w:r>
            <w:r w:rsidRPr="00CA1E19">
              <w:rPr>
                <w:rFonts w:eastAsia="Times New Roman"/>
                <w:sz w:val="17"/>
                <w:szCs w:val="17"/>
                <w:lang w:eastAsia="en-US"/>
              </w:rPr>
              <w:t xml:space="preserve"> la contratación de viajes en clase económica, en vez </w:t>
            </w:r>
            <w:r>
              <w:rPr>
                <w:rFonts w:eastAsia="Times New Roman"/>
                <w:sz w:val="17"/>
                <w:szCs w:val="17"/>
                <w:lang w:eastAsia="en-US"/>
              </w:rPr>
              <w:t>d</w:t>
            </w:r>
            <w:r w:rsidRPr="00CA1E19">
              <w:rPr>
                <w:rFonts w:eastAsia="Times New Roman"/>
                <w:sz w:val="17"/>
                <w:szCs w:val="17"/>
                <w:lang w:eastAsia="en-US"/>
              </w:rPr>
              <w:t xml:space="preserve">e clase </w:t>
            </w:r>
            <w:r w:rsidRPr="00AC551F">
              <w:rPr>
                <w:rFonts w:eastAsia="Times New Roman"/>
                <w:i/>
                <w:sz w:val="17"/>
                <w:szCs w:val="17"/>
                <w:lang w:eastAsia="en-US"/>
              </w:rPr>
              <w:t>business</w:t>
            </w:r>
            <w:r w:rsidRPr="00CA1E19">
              <w:rPr>
                <w:rFonts w:eastAsia="Times New Roman"/>
                <w:sz w:val="17"/>
                <w:szCs w:val="17"/>
                <w:lang w:eastAsia="en-US"/>
              </w:rPr>
              <w:t xml:space="preserve"> como se hacía antes.</w:t>
            </w:r>
          </w:p>
        </w:tc>
      </w:tr>
      <w:tr w:rsidR="00762D7C" w:rsidRPr="00AC551F" w:rsidTr="00A34E19">
        <w:trPr>
          <w:trHeight w:val="1425"/>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Costos de los desplazamientos ocasionados por las misiones</w:t>
            </w:r>
            <w:r w:rsidRPr="00CA1E19">
              <w:rPr>
                <w:rFonts w:eastAsia="Times New Roman"/>
                <w:color w:val="000000"/>
                <w:sz w:val="17"/>
                <w:szCs w:val="17"/>
                <w:lang w:eastAsia="en-US"/>
              </w:rPr>
              <w:br/>
              <w:t>(Precio medio general del billete</w:t>
            </w:r>
            <w:r>
              <w:rPr>
                <w:rFonts w:eastAsia="Times New Roman"/>
                <w:color w:val="000000"/>
                <w:sz w:val="17"/>
                <w:szCs w:val="17"/>
                <w:lang w:eastAsia="en-US"/>
              </w:rPr>
              <w:t xml:space="preserve"> de transporte</w:t>
            </w:r>
            <w:r w:rsidRPr="00CA1E19">
              <w:rPr>
                <w:rFonts w:eastAsia="Times New Roman"/>
                <w:color w:val="000000"/>
                <w:sz w:val="17"/>
                <w:szCs w:val="17"/>
                <w:lang w:eastAsia="en-US"/>
              </w:rPr>
              <w:t>)</w:t>
            </w:r>
          </w:p>
        </w:tc>
        <w:tc>
          <w:tcPr>
            <w:tcW w:w="113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13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 1.481 CHF en 2015, es decir del 7,3%</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 1.315 CHF en 2016, es decir del 11,2%</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La disminución de estos costos en 2016 es consecuencia de la aplicación de las nuevas herramientas tecnológicas para los viajes y la formación para promover la compra de billetes por adelantado.  Además, en 2016 disminuyeron los viajes tanto de los miembros del personal como del personal externo (</w:t>
            </w:r>
            <w:r w:rsidRPr="00CA1E19">
              <w:rPr>
                <w:rFonts w:eastAsia="Times New Roman"/>
                <w:color w:val="000000"/>
                <w:sz w:val="17"/>
                <w:szCs w:val="17"/>
                <w:lang w:eastAsia="en-US"/>
              </w:rPr>
              <w:noBreakHyphen/>
              <w:t>7,9% respecto de 2015), lo que también contribuyó a la reducción general de los costos de viaje.</w:t>
            </w:r>
          </w:p>
        </w:tc>
      </w:tr>
      <w:tr w:rsidR="00762D7C" w:rsidRPr="00AC551F" w:rsidTr="00A34E19">
        <w:trPr>
          <w:trHeight w:val="100"/>
        </w:trPr>
        <w:tc>
          <w:tcPr>
            <w:tcW w:w="1508" w:type="dxa"/>
            <w:tcBorders>
              <w:bottom w:val="single" w:sz="4" w:space="0" w:color="auto"/>
            </w:tcBorders>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lastRenderedPageBreak/>
              <w:t>Comisión de la empresa de viajes</w:t>
            </w:r>
          </w:p>
        </w:tc>
        <w:tc>
          <w:tcPr>
            <w:tcW w:w="1134" w:type="dxa"/>
            <w:tcBorders>
              <w:bottom w:val="single" w:sz="4" w:space="0" w:color="auto"/>
            </w:tcBorders>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134" w:type="dxa"/>
            <w:tcBorders>
              <w:bottom w:val="single" w:sz="4" w:space="0" w:color="auto"/>
            </w:tcBorders>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tcBorders>
              <w:bottom w:val="single" w:sz="4" w:space="0" w:color="auto"/>
            </w:tcBorders>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95 CHF</w:t>
            </w:r>
          </w:p>
        </w:tc>
        <w:tc>
          <w:tcPr>
            <w:tcW w:w="1304" w:type="dxa"/>
            <w:tcBorders>
              <w:bottom w:val="single" w:sz="4" w:space="0" w:color="auto"/>
            </w:tcBorders>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92 CHF</w:t>
            </w:r>
          </w:p>
        </w:tc>
        <w:tc>
          <w:tcPr>
            <w:tcW w:w="2835"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La disminución de las comisiones abonadas al PNUD y a la empresa de gestión de viajes </w:t>
            </w:r>
            <w:r w:rsidR="0048069B">
              <w:rPr>
                <w:rFonts w:eastAsia="Times New Roman"/>
                <w:color w:val="000000"/>
                <w:sz w:val="17"/>
                <w:szCs w:val="17"/>
                <w:lang w:eastAsia="en-US"/>
              </w:rPr>
              <w:t>se debió</w:t>
            </w:r>
            <w:r w:rsidRPr="00CA1E19">
              <w:rPr>
                <w:rFonts w:eastAsia="Times New Roman"/>
                <w:color w:val="000000"/>
                <w:sz w:val="17"/>
                <w:szCs w:val="17"/>
                <w:lang w:eastAsia="en-US"/>
              </w:rPr>
              <w:t xml:space="preserve"> principalmente al mayor uso de las herramientas tecnológicas para los viajes (el 69% de todos los billetes se adquirieron mediante estas herramientas).</w:t>
            </w:r>
          </w:p>
        </w:tc>
      </w:tr>
      <w:tr w:rsidR="00762D7C" w:rsidRPr="00CA1E19" w:rsidTr="00A34E19">
        <w:trPr>
          <w:trHeight w:val="20"/>
        </w:trPr>
        <w:tc>
          <w:tcPr>
            <w:tcW w:w="9219" w:type="dxa"/>
            <w:gridSpan w:val="6"/>
            <w:shd w:val="clear" w:color="auto" w:fill="8DB4E2"/>
            <w:tcMar>
              <w:top w:w="57" w:type="dxa"/>
              <w:bottom w:w="57" w:type="dxa"/>
            </w:tcMar>
            <w:vAlign w:val="center"/>
          </w:tcPr>
          <w:p w:rsidR="00762D7C" w:rsidRPr="00CA1E19" w:rsidRDefault="00762D7C" w:rsidP="00A34E19">
            <w:pPr>
              <w:rPr>
                <w:rFonts w:eastAsia="Times New Roman"/>
                <w:color w:val="000000"/>
                <w:sz w:val="17"/>
                <w:szCs w:val="17"/>
                <w:lang w:eastAsia="en-US"/>
              </w:rPr>
            </w:pPr>
            <w:r w:rsidRPr="00CA1E19">
              <w:rPr>
                <w:rFonts w:eastAsia="Times New Roman"/>
                <w:b/>
                <w:bCs/>
                <w:color w:val="000000"/>
                <w:sz w:val="17"/>
                <w:szCs w:val="17"/>
                <w:lang w:eastAsia="en-US"/>
              </w:rPr>
              <w:t>3. Gestión de locales</w:t>
            </w:r>
          </w:p>
        </w:tc>
      </w:tr>
      <w:tr w:rsidR="00762D7C" w:rsidRPr="00AC551F" w:rsidTr="00A34E19">
        <w:trPr>
          <w:trHeight w:val="1185"/>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del consumo de energía</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75.000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33.800</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La reducción en el consumo de electricidad se debió a la conexión en 2015 con el sistema de refrigeración de agua del lago de Ginebra que no requiere sistemas adicionales para disminuir la temperatura del agua.  Los ahorros para el edificio del PCT ascendieron a 33.800 CHF en 2016.</w:t>
            </w:r>
          </w:p>
        </w:tc>
      </w:tr>
      <w:tr w:rsidR="00762D7C" w:rsidRPr="00AC551F" w:rsidTr="00A34E19">
        <w:trPr>
          <w:trHeight w:val="87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del consumo de luz</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45.000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25.610</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Los ahorros fueron consecuencia de la instalación de detectores de movimiento para la iluminación, bombillas de bajo consumo, un mecanismo de temporización en el aparcamiento y nuevos cuadros de distribución más eficaces.</w:t>
            </w:r>
          </w:p>
        </w:tc>
      </w:tr>
      <w:tr w:rsidR="00762D7C" w:rsidRPr="00AC551F" w:rsidTr="00A34E19">
        <w:trPr>
          <w:trHeight w:val="72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del consumo de agua</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125.500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2.500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del consumo de agua como consecuencia del uso de agua del lago en lugar de agua de la red de distribución urbana.  No se consiguieron ahorros sustanciales en 2016 ya que la disminución en el consumo fue compensada por el ligero incremento de las tarifas por la utilización del agua.</w:t>
            </w:r>
          </w:p>
        </w:tc>
      </w:tr>
      <w:tr w:rsidR="00762D7C" w:rsidRPr="00AC551F" w:rsidTr="00A34E19">
        <w:trPr>
          <w:trHeight w:val="1035"/>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del consumo de electricidad</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164.000</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No hay ahorros adicionales en 2016 respecto de 2015.  Sin embargo, los costos en 2016 se basan en tarifas más bajas, contratadas en enero de 2015 por un período de tres años. Los ahorros en 2016, en base a la diferencia con las tarifas anteriores, deberían ascender a 155.000 CHF.</w:t>
            </w:r>
          </w:p>
        </w:tc>
      </w:tr>
      <w:tr w:rsidR="00762D7C" w:rsidRPr="00AC551F" w:rsidTr="00A34E19">
        <w:trPr>
          <w:trHeight w:val="602"/>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 las áreas de almacenamiento (rescisión de los contratos de alquiler)</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54.150</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No hay ahorros adicionales en 2016, pues no se planea rescindir ninguno de los contratos de alquiler de áreas de almacenamiento todavía vigentes.</w:t>
            </w:r>
          </w:p>
        </w:tc>
      </w:tr>
      <w:tr w:rsidR="00762D7C" w:rsidRPr="00AC551F" w:rsidTr="00A34E19">
        <w:trPr>
          <w:trHeight w:val="111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 aparcamientos ("Parking des Nations")</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123.492</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25.280</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Las cifras para 2015 corresponden a los ahorros por la rescisión del contrato de alquiler de 52 plazas de estacionamiento en el Parking des Nations, en 2015.</w:t>
            </w:r>
          </w:p>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Las cifras para 2016 corresponden a los ahorros por la rescisión del contrato de alquiler de otras 35 plazas de estacionamiento en el Parking des Nations, en 2016.</w:t>
            </w:r>
          </w:p>
        </w:tc>
      </w:tr>
      <w:tr w:rsidR="00762D7C" w:rsidRPr="00AC551F" w:rsidTr="00A34E19">
        <w:trPr>
          <w:trHeight w:val="111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lastRenderedPageBreak/>
              <w:t>Costo de aparcamientos (edificio CAM)</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8.340</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29.190</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Las cifras para 2015 corresponden a los ahorros por la rescisión del contrato de alquiler de 5 plazas de estacionamiento en el aparcamiento del edificio CAM, en 2015.</w:t>
            </w:r>
          </w:p>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Las cifras para 2016 corresponden a los ahorros por la rescisión del contrato de alquiler de otras 30 plazas de estacionamiento en el aparcamiento del edificio CAM, en 2016.</w:t>
            </w:r>
          </w:p>
        </w:tc>
      </w:tr>
      <w:tr w:rsidR="00762D7C" w:rsidRPr="00AC551F" w:rsidTr="00A34E19">
        <w:trPr>
          <w:trHeight w:val="431"/>
        </w:trPr>
        <w:tc>
          <w:tcPr>
            <w:tcW w:w="1508"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 los suministros de oficinas</w:t>
            </w:r>
          </w:p>
        </w:tc>
        <w:tc>
          <w:tcPr>
            <w:tcW w:w="1134" w:type="dxa"/>
            <w:tcBorders>
              <w:bottom w:val="single" w:sz="4" w:space="0" w:color="auto"/>
            </w:tcBorders>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9.269</w:t>
            </w:r>
          </w:p>
        </w:tc>
        <w:tc>
          <w:tcPr>
            <w:tcW w:w="1134" w:type="dxa"/>
            <w:tcBorders>
              <w:bottom w:val="single" w:sz="4" w:space="0" w:color="auto"/>
            </w:tcBorders>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w:t>
            </w:r>
          </w:p>
        </w:tc>
        <w:tc>
          <w:tcPr>
            <w:tcW w:w="1304" w:type="dxa"/>
            <w:tcBorders>
              <w:bottom w:val="single" w:sz="4" w:space="0" w:color="auto"/>
            </w:tcBorders>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tcBorders>
              <w:bottom w:val="single" w:sz="4" w:space="0" w:color="auto"/>
            </w:tcBorders>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No hay ahorros en 2016.  El uso de suministros de oficina ha permanecido estable respecto de 2015.</w:t>
            </w:r>
          </w:p>
        </w:tc>
      </w:tr>
      <w:tr w:rsidR="00762D7C" w:rsidRPr="00CA1E19" w:rsidTr="00A34E19">
        <w:trPr>
          <w:trHeight w:val="20"/>
        </w:trPr>
        <w:tc>
          <w:tcPr>
            <w:tcW w:w="9219" w:type="dxa"/>
            <w:gridSpan w:val="6"/>
            <w:shd w:val="clear" w:color="auto" w:fill="8DB4E2"/>
            <w:noWrap/>
            <w:tcMar>
              <w:top w:w="57" w:type="dxa"/>
              <w:bottom w:w="57" w:type="dxa"/>
            </w:tcMar>
            <w:vAlign w:val="center"/>
          </w:tcPr>
          <w:p w:rsidR="00762D7C" w:rsidRPr="00CA1E19" w:rsidRDefault="00762D7C" w:rsidP="00A34E19">
            <w:pPr>
              <w:rPr>
                <w:rFonts w:eastAsia="Times New Roman"/>
                <w:color w:val="000000"/>
                <w:sz w:val="17"/>
                <w:szCs w:val="17"/>
                <w:lang w:eastAsia="en-US"/>
              </w:rPr>
            </w:pPr>
            <w:r w:rsidRPr="00CA1E19">
              <w:rPr>
                <w:rFonts w:eastAsia="Times New Roman"/>
                <w:b/>
                <w:bCs/>
                <w:color w:val="000000"/>
                <w:sz w:val="17"/>
                <w:szCs w:val="17"/>
                <w:lang w:eastAsia="en-US"/>
              </w:rPr>
              <w:t>4. TIC</w:t>
            </w:r>
          </w:p>
        </w:tc>
      </w:tr>
      <w:tr w:rsidR="00762D7C" w:rsidRPr="00AC551F" w:rsidTr="00A34E19">
        <w:trPr>
          <w:trHeight w:val="639"/>
        </w:trPr>
        <w:tc>
          <w:tcPr>
            <w:tcW w:w="1508"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 las comunicaciones por móvil</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227.540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45.253</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del costo medio de suscripción a servicios de móviles de 177 CHF en 2013 a 115 CHF en 2015 (-35%)</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Reducción del costo medio de suscripción a servicios de móviles de 115 CHF en 2015 a 108 CHF en 2016 (-6%)</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2015:  el gasto total fue de 522.276 CHF (378 suscripciones en promedio durante el año).</w:t>
            </w:r>
          </w:p>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2016:  el gasto total fue de 477.023 CHF (370 suscripciones en promedio durante el año).</w:t>
            </w:r>
          </w:p>
          <w:p w:rsidR="00762D7C" w:rsidRPr="00CA1E19" w:rsidRDefault="00762D7C" w:rsidP="00A34E19">
            <w:pPr>
              <w:rPr>
                <w:rFonts w:eastAsia="Times New Roman"/>
                <w:color w:val="000000"/>
                <w:sz w:val="17"/>
                <w:szCs w:val="17"/>
                <w:lang w:eastAsia="en-US"/>
              </w:rPr>
            </w:pPr>
          </w:p>
        </w:tc>
      </w:tr>
      <w:tr w:rsidR="00762D7C" w:rsidRPr="00AC551F" w:rsidTr="00A34E19">
        <w:trPr>
          <w:trHeight w:val="123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 la gestión del correo electrónico</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70.000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38.675</w:t>
            </w: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Los ahorros fueron consecuencia de la reducción del número de buzones, cuyo promedio pasó de 3.300 en 2015 a 2.650 en 2016 (política puesta en práctica en el cuarto trimestre de 2015).  El costo total de administración de los buzones aumentó de 288.182 CHF a 291.258 CHF en 2016.  Este aumento se debió a la prestación de servicios adicionales como el registro diario y la búsqueda avanzada.</w:t>
            </w:r>
          </w:p>
        </w:tc>
      </w:tr>
      <w:tr w:rsidR="00762D7C" w:rsidRPr="00AC551F" w:rsidTr="00A34E19">
        <w:trPr>
          <w:trHeight w:val="1260"/>
        </w:trPr>
        <w:tc>
          <w:tcPr>
            <w:tcW w:w="1508" w:type="dxa"/>
            <w:tcBorders>
              <w:bottom w:val="single" w:sz="4" w:space="0" w:color="auto"/>
            </w:tcBorders>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 de las copias de seguridad de los datos</w:t>
            </w:r>
          </w:p>
        </w:tc>
        <w:tc>
          <w:tcPr>
            <w:tcW w:w="1134" w:type="dxa"/>
            <w:tcBorders>
              <w:bottom w:val="single" w:sz="4" w:space="0" w:color="auto"/>
            </w:tcBorders>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n.d.</w:t>
            </w:r>
          </w:p>
        </w:tc>
        <w:tc>
          <w:tcPr>
            <w:tcW w:w="1134" w:type="dxa"/>
            <w:tcBorders>
              <w:bottom w:val="single" w:sz="4" w:space="0" w:color="auto"/>
            </w:tcBorders>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300.000 </w:t>
            </w:r>
          </w:p>
        </w:tc>
        <w:tc>
          <w:tcPr>
            <w:tcW w:w="1304" w:type="dxa"/>
            <w:tcBorders>
              <w:bottom w:val="single" w:sz="4" w:space="0" w:color="auto"/>
            </w:tcBorders>
            <w:shd w:val="clear" w:color="000000" w:fill="D9D9D9"/>
            <w:hideMark/>
          </w:tcPr>
          <w:p w:rsidR="00762D7C" w:rsidRPr="00CA1E19" w:rsidRDefault="00762D7C" w:rsidP="00A34E19">
            <w:pPr>
              <w:rPr>
                <w:rFonts w:eastAsia="Times New Roman"/>
                <w:color w:val="000000"/>
                <w:sz w:val="17"/>
                <w:szCs w:val="17"/>
                <w:lang w:eastAsia="en-US"/>
              </w:rPr>
            </w:pPr>
          </w:p>
        </w:tc>
        <w:tc>
          <w:tcPr>
            <w:tcW w:w="1304" w:type="dxa"/>
            <w:tcBorders>
              <w:bottom w:val="single" w:sz="4" w:space="0" w:color="auto"/>
            </w:tcBorders>
            <w:shd w:val="clear" w:color="000000" w:fill="D9D9D9"/>
            <w:hideMark/>
          </w:tcPr>
          <w:p w:rsidR="00762D7C" w:rsidRPr="00CA1E19" w:rsidRDefault="00762D7C" w:rsidP="00A34E19">
            <w:pPr>
              <w:rPr>
                <w:rFonts w:eastAsia="Times New Roman"/>
                <w:color w:val="000000"/>
                <w:sz w:val="17"/>
                <w:szCs w:val="17"/>
                <w:lang w:eastAsia="en-US"/>
              </w:rPr>
            </w:pPr>
          </w:p>
        </w:tc>
        <w:tc>
          <w:tcPr>
            <w:tcW w:w="2835" w:type="dxa"/>
            <w:tcBorders>
              <w:bottom w:val="single" w:sz="4" w:space="0" w:color="auto"/>
            </w:tcBorders>
            <w:shd w:val="clear" w:color="auto" w:fill="auto"/>
            <w:hideMark/>
          </w:tcPr>
          <w:p w:rsidR="00762D7C" w:rsidRPr="00CA1E19" w:rsidRDefault="00762D7C" w:rsidP="00A34E19">
            <w:pPr>
              <w:rPr>
                <w:rFonts w:eastAsia="Times New Roman"/>
                <w:sz w:val="17"/>
                <w:szCs w:val="17"/>
                <w:lang w:eastAsia="en-US"/>
              </w:rPr>
            </w:pPr>
            <w:r w:rsidRPr="00CA1E19">
              <w:rPr>
                <w:rFonts w:eastAsia="Times New Roman"/>
                <w:sz w:val="17"/>
                <w:szCs w:val="17"/>
                <w:lang w:eastAsia="en-US"/>
              </w:rPr>
              <w:t>La aplicación en el tercer trimestre de 2015 de una nueva política en materia de copias de seguridad, permitió reducir el volumen de datos almacenados.  La menor cantidad de datos representa una disminución de los costos mensuales de 25.000 CHF.  Para 2016, se asume un modelo de ahorro mensual lineal.  El ahorro anual de 300.000 CHF es resultado de la extrapolación de 25.000 CHF por 12 meses.</w:t>
            </w:r>
          </w:p>
        </w:tc>
      </w:tr>
      <w:tr w:rsidR="00762D7C" w:rsidRPr="00CA1E19" w:rsidTr="00A34E19">
        <w:trPr>
          <w:trHeight w:val="20"/>
        </w:trPr>
        <w:tc>
          <w:tcPr>
            <w:tcW w:w="9219" w:type="dxa"/>
            <w:gridSpan w:val="6"/>
            <w:shd w:val="clear" w:color="auto" w:fill="8DB4E2"/>
            <w:noWrap/>
            <w:tcMar>
              <w:top w:w="57" w:type="dxa"/>
              <w:bottom w:w="57" w:type="dxa"/>
            </w:tcMar>
            <w:vAlign w:val="center"/>
          </w:tcPr>
          <w:p w:rsidR="00762D7C" w:rsidRPr="00CA1E19" w:rsidRDefault="00762D7C" w:rsidP="00A34E19">
            <w:pPr>
              <w:rPr>
                <w:rFonts w:eastAsia="Times New Roman"/>
                <w:color w:val="000000"/>
                <w:sz w:val="17"/>
                <w:szCs w:val="17"/>
                <w:lang w:eastAsia="en-US"/>
              </w:rPr>
            </w:pPr>
            <w:r w:rsidRPr="00CA1E19">
              <w:rPr>
                <w:rFonts w:eastAsia="Times New Roman"/>
                <w:b/>
                <w:bCs/>
                <w:color w:val="000000"/>
                <w:sz w:val="17"/>
                <w:szCs w:val="17"/>
                <w:lang w:eastAsia="en-US"/>
              </w:rPr>
              <w:t>5. Otras áreas</w:t>
            </w:r>
          </w:p>
        </w:tc>
      </w:tr>
      <w:tr w:rsidR="00762D7C" w:rsidRPr="00AC551F" w:rsidTr="00A34E19">
        <w:trPr>
          <w:trHeight w:val="885"/>
        </w:trPr>
        <w:tc>
          <w:tcPr>
            <w:tcW w:w="1508"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Costos de traducción</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601.084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313.587 </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Reducción en el costo de traducción por palabra, de 0,59 CHF en 2014 a 0,57 CHF en 2015 (es decir, una disminución de </w:t>
            </w:r>
            <w:r w:rsidRPr="00CA1E19">
              <w:rPr>
                <w:rFonts w:eastAsia="Times New Roman"/>
                <w:color w:val="000000"/>
                <w:sz w:val="17"/>
                <w:szCs w:val="17"/>
                <w:lang w:eastAsia="en-US"/>
              </w:rPr>
              <w:lastRenderedPageBreak/>
              <w:t>0,02 CHF por palabra)</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lastRenderedPageBreak/>
              <w:t xml:space="preserve">Reducción en el costo de traducción por palabra, de 0,57 CHF en 2015 a 0,55 CHF en 2016 (es decir, otra </w:t>
            </w:r>
            <w:r w:rsidRPr="00CA1E19">
              <w:rPr>
                <w:rFonts w:eastAsia="Times New Roman"/>
                <w:color w:val="000000"/>
                <w:sz w:val="17"/>
                <w:szCs w:val="17"/>
                <w:lang w:eastAsia="en-US"/>
              </w:rPr>
              <w:lastRenderedPageBreak/>
              <w:t>disminución de 0,02 CHF por palabra)</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lastRenderedPageBreak/>
              <w:t xml:space="preserve">Los ahorros en los costos </w:t>
            </w:r>
            <w:r w:rsidR="0048069B">
              <w:rPr>
                <w:rFonts w:eastAsia="Times New Roman"/>
                <w:color w:val="000000"/>
                <w:sz w:val="17"/>
                <w:szCs w:val="17"/>
                <w:lang w:eastAsia="en-US"/>
              </w:rPr>
              <w:t>se deben</w:t>
            </w:r>
            <w:r w:rsidRPr="00CA1E19">
              <w:rPr>
                <w:rFonts w:eastAsia="Times New Roman"/>
                <w:color w:val="000000"/>
                <w:sz w:val="17"/>
                <w:szCs w:val="17"/>
                <w:lang w:eastAsia="en-US"/>
              </w:rPr>
              <w:t xml:space="preserve"> a la renegociación de contratos con los traductores externos, la puesta en marcha de licitaciones internacionales para traducciones al árabe, chino y ruso, y el uso de herramientas de terminología y traducción asistida por computadora.</w:t>
            </w:r>
          </w:p>
        </w:tc>
      </w:tr>
      <w:tr w:rsidR="00762D7C" w:rsidRPr="00AC551F" w:rsidTr="00A34E19">
        <w:trPr>
          <w:trHeight w:val="1155"/>
        </w:trPr>
        <w:tc>
          <w:tcPr>
            <w:tcW w:w="1508"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lastRenderedPageBreak/>
              <w:t>Costos de imprenta</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399.000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26.947 </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Mismo costo de 0,153 CHF por página, en 2015 y en 2014 </w:t>
            </w:r>
          </w:p>
        </w:tc>
        <w:tc>
          <w:tcPr>
            <w:tcW w:w="1304"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Aumento del costo por página a 0,161 CHF en 2016 (+5% respecto de 2015)</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Si bien los costos totales de imprenta decrecieron en 2016 (2,4 millones de CHF en 2016 frente a 2,58 millones de CHF en 2015), disminuyó aún más el número de copias (14,9 millones de copias en 2016 frente a 16,9 millones de copias en 2015), lo que implica un mayor costo por página en 2016. </w:t>
            </w:r>
          </w:p>
        </w:tc>
      </w:tr>
      <w:tr w:rsidR="00762D7C" w:rsidRPr="00AC551F" w:rsidTr="00A34E19">
        <w:trPr>
          <w:trHeight w:val="22"/>
        </w:trPr>
        <w:tc>
          <w:tcPr>
            <w:tcW w:w="1508"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Costos de despacho del correo</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189.367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135.477</w:t>
            </w: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Disminución del 9% de los costos de despacho de correo en 2016 (1.381.137 CHF) respecto de los costos de 2015 (1.516.614 CHF). </w:t>
            </w:r>
          </w:p>
        </w:tc>
      </w:tr>
      <w:tr w:rsidR="00762D7C" w:rsidRPr="00CA1E19" w:rsidTr="00A34E19">
        <w:trPr>
          <w:trHeight w:val="242"/>
        </w:trPr>
        <w:tc>
          <w:tcPr>
            <w:tcW w:w="1508"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Costos del servicio de guardias de seguridad</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708.739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(160.163)</w:t>
            </w: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El valor del contrato base bajó de 3,13 millones de CHF en 2015 a 3,07 millones de CHF en 2016, mientras que los costos correspondientes a la capacidad de intervención rápida aumentaron de 143.352 CHF a 359.807  CHF.  Como resultado, los </w:t>
            </w:r>
            <w:r>
              <w:rPr>
                <w:rFonts w:eastAsia="Times New Roman"/>
                <w:color w:val="000000"/>
                <w:sz w:val="17"/>
                <w:szCs w:val="17"/>
                <w:lang w:eastAsia="en-US"/>
              </w:rPr>
              <w:t>costo</w:t>
            </w:r>
            <w:r w:rsidRPr="00CA1E19">
              <w:rPr>
                <w:rFonts w:eastAsia="Times New Roman"/>
                <w:color w:val="000000"/>
                <w:sz w:val="17"/>
                <w:szCs w:val="17"/>
                <w:lang w:eastAsia="en-US"/>
              </w:rPr>
              <w:t>s totales aumentaron en 160.163 CHF en 2016.</w:t>
            </w:r>
          </w:p>
        </w:tc>
      </w:tr>
      <w:tr w:rsidR="00762D7C" w:rsidRPr="00AC551F" w:rsidTr="00A34E19">
        <w:trPr>
          <w:trHeight w:val="72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Seguros de accidentes profesionales para los empleados</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200.000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(55.000)</w:t>
            </w: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El aumento de los costos en 2016 respecto de 2015 se explica por el cambio de aseguradora en 2016, y las correspondientes mejoras en cuanto a calidad y cobertura de los servicios en comparación con 2015. </w:t>
            </w:r>
          </w:p>
        </w:tc>
      </w:tr>
      <w:tr w:rsidR="00762D7C" w:rsidRPr="00AC551F" w:rsidTr="00A34E19">
        <w:trPr>
          <w:trHeight w:val="1140"/>
        </w:trPr>
        <w:tc>
          <w:tcPr>
            <w:tcW w:w="1508"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Adquisición de bienes y servicios</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3.826.361 </w:t>
            </w:r>
          </w:p>
        </w:tc>
        <w:tc>
          <w:tcPr>
            <w:tcW w:w="1134" w:type="dxa"/>
            <w:shd w:val="clear" w:color="auto" w:fill="auto"/>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xml:space="preserve">1.801.919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1304" w:type="dxa"/>
            <w:shd w:val="clear" w:color="000000" w:fill="D9D9D9"/>
            <w:noWrap/>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 </w:t>
            </w:r>
          </w:p>
        </w:tc>
        <w:tc>
          <w:tcPr>
            <w:tcW w:w="2835" w:type="dxa"/>
            <w:shd w:val="clear" w:color="auto" w:fill="auto"/>
            <w:hideMark/>
          </w:tcPr>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El ahorro total fue resultado de una combinación de los ahorros generados a través del CPAG que ascendieron a 760.901 CHF y de los descuentos negociados en contratos que supusieron 1.062.892 CHF.</w:t>
            </w:r>
          </w:p>
          <w:p w:rsidR="00762D7C" w:rsidRPr="00CA1E19" w:rsidRDefault="00762D7C" w:rsidP="00A34E19">
            <w:pPr>
              <w:rPr>
                <w:rFonts w:eastAsia="Times New Roman"/>
                <w:color w:val="000000"/>
                <w:sz w:val="17"/>
                <w:szCs w:val="17"/>
                <w:lang w:eastAsia="en-US"/>
              </w:rPr>
            </w:pPr>
            <w:r w:rsidRPr="00CA1E19">
              <w:rPr>
                <w:rFonts w:eastAsia="Times New Roman"/>
                <w:color w:val="000000"/>
                <w:sz w:val="17"/>
                <w:szCs w:val="17"/>
                <w:lang w:eastAsia="en-US"/>
              </w:rPr>
              <w:t>Para calcular los ahorros se toma el descuento negociado sobre el precio original/de lista, que se multiplica por doce meses para conseguir el monto del ahorro anual.</w:t>
            </w:r>
          </w:p>
        </w:tc>
      </w:tr>
    </w:tbl>
    <w:p w:rsidR="00762D7C" w:rsidRPr="00CA1E19" w:rsidRDefault="00762D7C" w:rsidP="00762D7C">
      <w:pPr>
        <w:rPr>
          <w:sz w:val="18"/>
          <w:szCs w:val="18"/>
        </w:rPr>
      </w:pPr>
    </w:p>
    <w:tbl>
      <w:tblPr>
        <w:tblW w:w="9325" w:type="dxa"/>
        <w:tblInd w:w="93" w:type="dxa"/>
        <w:tblLook w:val="04A0" w:firstRow="1" w:lastRow="0" w:firstColumn="1" w:lastColumn="0" w:noHBand="0" w:noVBand="1"/>
      </w:tblPr>
      <w:tblGrid>
        <w:gridCol w:w="9325"/>
      </w:tblGrid>
      <w:tr w:rsidR="00762D7C" w:rsidRPr="00AC551F" w:rsidTr="00A34E19">
        <w:trPr>
          <w:trHeight w:val="255"/>
        </w:trPr>
        <w:tc>
          <w:tcPr>
            <w:tcW w:w="9325" w:type="dxa"/>
            <w:tcBorders>
              <w:top w:val="nil"/>
              <w:left w:val="nil"/>
              <w:bottom w:val="nil"/>
              <w:right w:val="nil"/>
            </w:tcBorders>
            <w:shd w:val="clear" w:color="auto" w:fill="auto"/>
            <w:noWrap/>
            <w:vAlign w:val="bottom"/>
            <w:hideMark/>
          </w:tcPr>
          <w:p w:rsidR="00762D7C" w:rsidRPr="00CA1E19" w:rsidRDefault="00762D7C" w:rsidP="00A34E19">
            <w:pPr>
              <w:rPr>
                <w:rFonts w:eastAsia="Times New Roman" w:cs="Times New Roman"/>
                <w:i/>
                <w:sz w:val="18"/>
                <w:szCs w:val="18"/>
                <w:lang w:eastAsia="en-US"/>
              </w:rPr>
            </w:pPr>
            <w:r w:rsidRPr="00CA1E19">
              <w:rPr>
                <w:rFonts w:eastAsia="Times New Roman" w:cs="Times New Roman"/>
                <w:i/>
                <w:sz w:val="18"/>
                <w:szCs w:val="18"/>
                <w:lang w:eastAsia="en-US"/>
              </w:rPr>
              <w:t>* La información sobre las mejoras de la eficacia en función de los costos conseguidas en 2015 figura en la sección V del Informe sobre el rendimiento de los programas en 2014/15.</w:t>
            </w:r>
          </w:p>
        </w:tc>
      </w:tr>
      <w:tr w:rsidR="00762D7C" w:rsidRPr="00AC551F" w:rsidTr="00A34E19">
        <w:trPr>
          <w:trHeight w:val="255"/>
        </w:trPr>
        <w:tc>
          <w:tcPr>
            <w:tcW w:w="9325" w:type="dxa"/>
            <w:tcBorders>
              <w:top w:val="nil"/>
              <w:left w:val="nil"/>
              <w:bottom w:val="nil"/>
              <w:right w:val="nil"/>
            </w:tcBorders>
            <w:shd w:val="clear" w:color="auto" w:fill="auto"/>
            <w:noWrap/>
            <w:vAlign w:val="bottom"/>
            <w:hideMark/>
          </w:tcPr>
          <w:p w:rsidR="00762D7C" w:rsidRPr="00CA1E19" w:rsidRDefault="00762D7C" w:rsidP="00A34E19">
            <w:pPr>
              <w:rPr>
                <w:rFonts w:eastAsia="Times New Roman" w:cs="Times New Roman"/>
                <w:i/>
                <w:sz w:val="18"/>
                <w:szCs w:val="18"/>
                <w:lang w:eastAsia="en-US"/>
              </w:rPr>
            </w:pPr>
            <w:r w:rsidRPr="00CA1E19">
              <w:rPr>
                <w:rFonts w:eastAsia="Times New Roman" w:cs="Times New Roman"/>
                <w:i/>
                <w:sz w:val="18"/>
                <w:szCs w:val="18"/>
                <w:lang w:eastAsia="en-US"/>
              </w:rPr>
              <w:t>** Ahorros anuales en 2016 con respecto a 2015.</w:t>
            </w:r>
          </w:p>
        </w:tc>
      </w:tr>
      <w:tr w:rsidR="00762D7C" w:rsidRPr="00AC551F" w:rsidTr="00A34E19">
        <w:trPr>
          <w:trHeight w:val="255"/>
        </w:trPr>
        <w:tc>
          <w:tcPr>
            <w:tcW w:w="9325" w:type="dxa"/>
            <w:tcBorders>
              <w:top w:val="nil"/>
              <w:left w:val="nil"/>
              <w:bottom w:val="nil"/>
              <w:right w:val="nil"/>
            </w:tcBorders>
            <w:shd w:val="clear" w:color="auto" w:fill="auto"/>
            <w:noWrap/>
            <w:vAlign w:val="bottom"/>
            <w:hideMark/>
          </w:tcPr>
          <w:p w:rsidR="00762D7C" w:rsidRPr="00CA1E19" w:rsidRDefault="00762D7C" w:rsidP="00A34E19">
            <w:pPr>
              <w:rPr>
                <w:rFonts w:eastAsia="Times New Roman" w:cs="Times New Roman"/>
                <w:i/>
                <w:sz w:val="18"/>
                <w:szCs w:val="18"/>
                <w:lang w:eastAsia="en-US"/>
              </w:rPr>
            </w:pPr>
            <w:r w:rsidRPr="00CA1E19">
              <w:rPr>
                <w:rFonts w:eastAsia="Times New Roman" w:cs="Times New Roman"/>
                <w:i/>
                <w:sz w:val="18"/>
                <w:szCs w:val="18"/>
                <w:lang w:eastAsia="en-US"/>
              </w:rPr>
              <w:t>*** Disminución de los costos unitarios en 2016 con respecto a 2015.</w:t>
            </w:r>
          </w:p>
        </w:tc>
      </w:tr>
      <w:tr w:rsidR="00762D7C" w:rsidRPr="00AC551F" w:rsidTr="00A34E19">
        <w:trPr>
          <w:trHeight w:val="255"/>
        </w:trPr>
        <w:tc>
          <w:tcPr>
            <w:tcW w:w="9325" w:type="dxa"/>
            <w:tcBorders>
              <w:top w:val="nil"/>
              <w:left w:val="nil"/>
              <w:bottom w:val="nil"/>
              <w:right w:val="nil"/>
            </w:tcBorders>
            <w:shd w:val="clear" w:color="auto" w:fill="auto"/>
            <w:noWrap/>
            <w:vAlign w:val="bottom"/>
            <w:hideMark/>
          </w:tcPr>
          <w:p w:rsidR="00762D7C" w:rsidRPr="00CA1E19" w:rsidRDefault="00762D7C" w:rsidP="00A34E19">
            <w:pPr>
              <w:rPr>
                <w:rFonts w:eastAsia="Times New Roman" w:cs="Times New Roman"/>
                <w:i/>
                <w:sz w:val="18"/>
                <w:szCs w:val="18"/>
                <w:lang w:eastAsia="en-US"/>
              </w:rPr>
            </w:pPr>
            <w:r w:rsidRPr="00CA1E19">
              <w:rPr>
                <w:rFonts w:eastAsia="Times New Roman" w:cs="Times New Roman"/>
                <w:i/>
                <w:sz w:val="18"/>
                <w:szCs w:val="18"/>
                <w:lang w:eastAsia="en-US"/>
              </w:rPr>
              <w:t>**** Representa una estimación de los ahorros anuales (12 meses), en base a la extrapolación de los ahorros observados en el cuarto trimestre de 2015.</w:t>
            </w:r>
          </w:p>
        </w:tc>
      </w:tr>
    </w:tbl>
    <w:p w:rsidR="004B4473" w:rsidRDefault="004B4473" w:rsidP="007D1BBF">
      <w:pPr>
        <w:pStyle w:val="Endofdocument-Annex"/>
        <w:ind w:left="0"/>
        <w:rPr>
          <w:b/>
          <w:sz w:val="20"/>
          <w:lang w:val="es-ES"/>
        </w:rPr>
        <w:sectPr w:rsidR="004B4473" w:rsidSect="00762D7C">
          <w:headerReference w:type="first" r:id="rId41"/>
          <w:pgSz w:w="16840" w:h="11907" w:orient="landscape" w:code="9"/>
          <w:pgMar w:top="1135" w:right="567" w:bottom="1134" w:left="1418" w:header="510" w:footer="1021" w:gutter="0"/>
          <w:cols w:space="720"/>
          <w:titlePg/>
          <w:docGrid w:linePitch="299"/>
        </w:sectPr>
      </w:pPr>
    </w:p>
    <w:p w:rsidR="00EE1CCE" w:rsidRPr="008635E4" w:rsidRDefault="00EE1CCE" w:rsidP="00EE1CCE">
      <w:pPr>
        <w:rPr>
          <w:color w:val="808080"/>
          <w:sz w:val="20"/>
        </w:rPr>
      </w:pPr>
    </w:p>
    <w:p w:rsidR="00EE1CCE" w:rsidRPr="00CA1E19" w:rsidRDefault="00A97612" w:rsidP="00EE1CCE">
      <w:pPr>
        <w:pStyle w:val="Heading1"/>
        <w:keepNext w:val="0"/>
        <w:spacing w:before="0" w:after="0"/>
        <w:ind w:left="567" w:hanging="567"/>
      </w:pPr>
      <w:bookmarkStart w:id="22" w:name="_Toc482711237"/>
      <w:r>
        <w:rPr>
          <w:caps w:val="0"/>
        </w:rPr>
        <w:t>IV</w:t>
      </w:r>
      <w:r w:rsidRPr="00CA1E19">
        <w:rPr>
          <w:caps w:val="0"/>
        </w:rPr>
        <w:t>.</w:t>
      </w:r>
      <w:r w:rsidRPr="00CA1E19">
        <w:rPr>
          <w:caps w:val="0"/>
        </w:rPr>
        <w:tab/>
      </w:r>
      <w:r w:rsidRPr="002671EB">
        <w:rPr>
          <w:caps w:val="0"/>
        </w:rPr>
        <w:t>LOGROS DE LOS PROGRAMAS EN 201</w:t>
      </w:r>
      <w:r>
        <w:rPr>
          <w:caps w:val="0"/>
        </w:rPr>
        <w:t>6</w:t>
      </w:r>
      <w:r w:rsidRPr="002671EB">
        <w:rPr>
          <w:caps w:val="0"/>
        </w:rPr>
        <w:t xml:space="preserve"> POR META ESTRATÉGICA</w:t>
      </w:r>
      <w:bookmarkEnd w:id="22"/>
    </w:p>
    <w:p w:rsidR="00EE1CCE" w:rsidRPr="00246433" w:rsidRDefault="00EE1CCE" w:rsidP="00EE1CCE">
      <w:pPr>
        <w:rPr>
          <w:sz w:val="20"/>
          <w:lang w:val="es-ES_tradnl"/>
        </w:rPr>
      </w:pPr>
    </w:p>
    <w:p w:rsidR="00EE1CCE" w:rsidRPr="00246433" w:rsidRDefault="00EE1CCE" w:rsidP="00EE1CCE">
      <w:pPr>
        <w:pStyle w:val="Heading2"/>
        <w:keepNext w:val="0"/>
        <w:spacing w:before="0" w:after="0"/>
        <w:jc w:val="center"/>
        <w:rPr>
          <w:b/>
          <w:sz w:val="20"/>
          <w:szCs w:val="20"/>
        </w:rPr>
      </w:pPr>
      <w:bookmarkStart w:id="23" w:name="_Toc482711238"/>
      <w:r w:rsidRPr="00246433">
        <w:rPr>
          <w:b/>
          <w:sz w:val="20"/>
          <w:szCs w:val="20"/>
          <w:lang w:val="es-ES_tradnl"/>
        </w:rPr>
        <w:t>META ESTRATÉGICA I</w:t>
      </w:r>
      <w:bookmarkEnd w:id="23"/>
    </w:p>
    <w:p w:rsidR="00EE1CCE" w:rsidRPr="00246433" w:rsidRDefault="00EE1CCE" w:rsidP="00EE1CCE">
      <w:pPr>
        <w:jc w:val="center"/>
        <w:rPr>
          <w:rFonts w:eastAsia="Times New Roman" w:cs="Times New Roman"/>
          <w:b/>
          <w:sz w:val="20"/>
          <w:lang w:eastAsia="en-US"/>
        </w:rPr>
      </w:pPr>
    </w:p>
    <w:p w:rsidR="00EE1CCE" w:rsidRPr="00246433" w:rsidRDefault="00EE1CCE" w:rsidP="00EE1CCE">
      <w:pPr>
        <w:jc w:val="center"/>
        <w:rPr>
          <w:rFonts w:eastAsia="Times New Roman" w:cs="Times New Roman"/>
          <w:sz w:val="20"/>
          <w:lang w:eastAsia="en-US"/>
        </w:rPr>
      </w:pPr>
      <w:r w:rsidRPr="00246433">
        <w:rPr>
          <w:rFonts w:eastAsia="Times New Roman" w:cs="Times New Roman"/>
          <w:b/>
          <w:sz w:val="20"/>
          <w:lang w:val="es-ES_tradnl" w:eastAsia="en-US"/>
        </w:rPr>
        <w:t>EVOLUCIÓN EQUILIBRADA DEL MARCO NORMATIVO INTERNACIONAL DE P.I.</w:t>
      </w:r>
    </w:p>
    <w:p w:rsidR="00EE1CCE" w:rsidRPr="008635E4" w:rsidRDefault="00EE1CCE" w:rsidP="00EE1CCE">
      <w:pPr>
        <w:jc w:val="center"/>
        <w:rPr>
          <w:rFonts w:eastAsia="Times New Roman" w:cs="Times New Roman"/>
          <w:b/>
          <w:sz w:val="20"/>
          <w:szCs w:val="24"/>
          <w:lang w:eastAsia="en-US"/>
        </w:rPr>
      </w:pPr>
    </w:p>
    <w:p w:rsidR="00EE1CCE" w:rsidRPr="008635E4" w:rsidRDefault="00EE1CCE" w:rsidP="00EE1CCE">
      <w:pPr>
        <w:jc w:val="center"/>
        <w:rPr>
          <w:rFonts w:eastAsia="Times New Roman" w:cs="Times New Roman"/>
          <w:b/>
          <w:sz w:val="20"/>
          <w:szCs w:val="24"/>
          <w:lang w:eastAsia="en-US"/>
        </w:rPr>
      </w:pPr>
      <w:r w:rsidRPr="008635E4">
        <w:rPr>
          <w:rFonts w:eastAsia="Times New Roman" w:cs="Times New Roman"/>
          <w:b/>
          <w:sz w:val="20"/>
          <w:szCs w:val="24"/>
          <w:lang w:eastAsia="en-US"/>
        </w:rPr>
        <w:t>Tablero de control del rendimiento a mediano plazo (2016)</w:t>
      </w:r>
    </w:p>
    <w:p w:rsidR="00EE1CCE" w:rsidRPr="008635E4" w:rsidRDefault="00EE1CCE" w:rsidP="00EE1CCE">
      <w:pPr>
        <w:rPr>
          <w:sz w:val="20"/>
        </w:rPr>
      </w:pPr>
    </w:p>
    <w:p w:rsidR="00EE1CCE" w:rsidRPr="008635E4" w:rsidRDefault="00EE1CCE" w:rsidP="00EE1CCE">
      <w:pPr>
        <w:jc w:val="both"/>
        <w:rPr>
          <w:sz w:val="20"/>
        </w:rPr>
      </w:pPr>
      <w:r w:rsidRPr="008635E4">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C42284" w:rsidRDefault="00EE1CCE" w:rsidP="00EE1CCE">
      <w:pPr>
        <w:jc w:val="center"/>
        <w:rPr>
          <w:sz w:val="16"/>
          <w:szCs w:val="16"/>
        </w:rPr>
      </w:pPr>
      <w:r w:rsidRPr="0005694F">
        <w:rPr>
          <w:noProof/>
          <w:lang w:val="en-US" w:eastAsia="en-US"/>
        </w:rPr>
        <w:drawing>
          <wp:inline distT="0" distB="0" distL="0" distR="0" wp14:anchorId="39C0E2A9" wp14:editId="37C44B35">
            <wp:extent cx="4362450" cy="24955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365786" cy="2497458"/>
                    </a:xfrm>
                    <a:prstGeom prst="rect">
                      <a:avLst/>
                    </a:prstGeom>
                    <a:noFill/>
                    <a:ln>
                      <a:noFill/>
                    </a:ln>
                  </pic:spPr>
                </pic:pic>
              </a:graphicData>
            </a:graphic>
          </wp:inline>
        </w:drawing>
      </w:r>
    </w:p>
    <w:tbl>
      <w:tblPr>
        <w:tblW w:w="9216" w:type="dxa"/>
        <w:tblInd w:w="108" w:type="dxa"/>
        <w:tblLayout w:type="fixed"/>
        <w:tblCellMar>
          <w:left w:w="115" w:type="dxa"/>
          <w:right w:w="115" w:type="dxa"/>
        </w:tblCellMar>
        <w:tblLook w:val="0000" w:firstRow="0" w:lastRow="0" w:firstColumn="0" w:lastColumn="0" w:noHBand="0" w:noVBand="0"/>
      </w:tblPr>
      <w:tblGrid>
        <w:gridCol w:w="2726"/>
        <w:gridCol w:w="3854"/>
        <w:gridCol w:w="1508"/>
        <w:gridCol w:w="1128"/>
      </w:tblGrid>
      <w:tr w:rsidR="00EE1CCE" w:rsidRPr="00940C78" w:rsidTr="00653EAB">
        <w:trPr>
          <w:trHeight w:val="535"/>
          <w:tblHeader/>
        </w:trPr>
        <w:tc>
          <w:tcPr>
            <w:tcW w:w="1479" w:type="pct"/>
            <w:shd w:val="clear" w:color="auto" w:fill="B8CCE4" w:themeFill="accent1" w:themeFillTint="66"/>
            <w:tcMar>
              <w:top w:w="57" w:type="dxa"/>
              <w:bottom w:w="57" w:type="dxa"/>
            </w:tcMar>
            <w:vAlign w:val="center"/>
          </w:tcPr>
          <w:p w:rsidR="00EE1CCE" w:rsidRPr="008635E4" w:rsidRDefault="00EE1CCE" w:rsidP="00A34E19">
            <w:pPr>
              <w:rPr>
                <w:b/>
                <w:bCs/>
                <w:sz w:val="18"/>
                <w:szCs w:val="18"/>
              </w:rPr>
            </w:pPr>
            <w:r w:rsidRPr="008635E4">
              <w:rPr>
                <w:b/>
                <w:bCs/>
                <w:sz w:val="18"/>
                <w:szCs w:val="18"/>
                <w:lang w:val="es-ES_tradnl"/>
              </w:rPr>
              <w:t>Resultado previsto</w:t>
            </w:r>
          </w:p>
        </w:tc>
        <w:tc>
          <w:tcPr>
            <w:tcW w:w="2091" w:type="pct"/>
            <w:shd w:val="clear" w:color="auto" w:fill="B8CCE4" w:themeFill="accent1" w:themeFillTint="66"/>
            <w:tcMar>
              <w:top w:w="57" w:type="dxa"/>
              <w:bottom w:w="57" w:type="dxa"/>
            </w:tcMar>
            <w:vAlign w:val="center"/>
          </w:tcPr>
          <w:p w:rsidR="00EE1CCE" w:rsidRPr="008635E4" w:rsidRDefault="00EE1CCE" w:rsidP="00A34E19">
            <w:pPr>
              <w:rPr>
                <w:b/>
                <w:sz w:val="18"/>
                <w:szCs w:val="18"/>
              </w:rPr>
            </w:pPr>
            <w:r w:rsidRPr="008635E4">
              <w:rPr>
                <w:b/>
                <w:sz w:val="18"/>
                <w:szCs w:val="18"/>
                <w:lang w:val="es-ES_tradnl"/>
              </w:rPr>
              <w:t>Indicadores de rendimiento</w:t>
            </w:r>
          </w:p>
        </w:tc>
        <w:tc>
          <w:tcPr>
            <w:tcW w:w="818" w:type="pct"/>
            <w:shd w:val="clear" w:color="auto" w:fill="B8CCE4" w:themeFill="accent1" w:themeFillTint="66"/>
            <w:tcMar>
              <w:top w:w="57" w:type="dxa"/>
              <w:bottom w:w="57" w:type="dxa"/>
            </w:tcMar>
            <w:vAlign w:val="center"/>
          </w:tcPr>
          <w:p w:rsidR="00EE1CCE" w:rsidRPr="008635E4" w:rsidRDefault="00EE1CCE" w:rsidP="00A34E19">
            <w:pPr>
              <w:ind w:left="85"/>
              <w:rPr>
                <w:sz w:val="18"/>
                <w:szCs w:val="18"/>
              </w:rPr>
            </w:pPr>
            <w:r w:rsidRPr="008635E4">
              <w:rPr>
                <w:b/>
                <w:sz w:val="18"/>
                <w:szCs w:val="18"/>
                <w:lang w:val="es-ES_tradnl"/>
              </w:rPr>
              <w:t>Programas responsables</w:t>
            </w:r>
          </w:p>
        </w:tc>
        <w:tc>
          <w:tcPr>
            <w:tcW w:w="613" w:type="pct"/>
            <w:shd w:val="clear" w:color="auto" w:fill="B8CCE4" w:themeFill="accent1" w:themeFillTint="66"/>
            <w:tcMar>
              <w:top w:w="57" w:type="dxa"/>
              <w:bottom w:w="57" w:type="dxa"/>
            </w:tcMar>
            <w:vAlign w:val="center"/>
          </w:tcPr>
          <w:p w:rsidR="00EE1CCE" w:rsidRPr="008635E4" w:rsidRDefault="00EE1CCE" w:rsidP="00A34E19">
            <w:pPr>
              <w:ind w:left="85"/>
              <w:rPr>
                <w:b/>
                <w:bCs/>
                <w:sz w:val="18"/>
                <w:szCs w:val="18"/>
              </w:rPr>
            </w:pPr>
            <w:r w:rsidRPr="008635E4">
              <w:rPr>
                <w:b/>
                <w:bCs/>
                <w:sz w:val="18"/>
                <w:szCs w:val="18"/>
                <w:lang w:val="es-ES_tradnl"/>
              </w:rPr>
              <w:t>Clave de colores</w:t>
            </w:r>
          </w:p>
        </w:tc>
      </w:tr>
      <w:tr w:rsidR="00EE1CCE" w:rsidRPr="00940C78" w:rsidTr="00653EAB">
        <w:trPr>
          <w:trHeight w:val="353"/>
        </w:trPr>
        <w:tc>
          <w:tcPr>
            <w:tcW w:w="1479" w:type="pct"/>
            <w:vMerge w:val="restar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I.1  Mayor cooperación entre los Estados miembros en la elaboración de marcos normativos internacionales de P.I. equilibrados</w:t>
            </w: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Nivel de satisfacción de los participantes en talleres/seminarios específicos organizados sobre cuestiones específicas relacionadas con las patentes</w:t>
            </w:r>
          </w:p>
        </w:tc>
        <w:tc>
          <w:tcPr>
            <w:tcW w:w="818" w:type="pct"/>
            <w:shd w:val="clear" w:color="auto" w:fill="auto"/>
            <w:tcMar>
              <w:top w:w="57" w:type="dxa"/>
              <w:bottom w:w="57" w:type="dxa"/>
            </w:tcMar>
          </w:tcPr>
          <w:p w:rsidR="00EE1CCE" w:rsidRPr="008635E4" w:rsidRDefault="00EE1CCE" w:rsidP="00A34E19">
            <w:pPr>
              <w:jc w:val="center"/>
              <w:rPr>
                <w:sz w:val="16"/>
                <w:szCs w:val="16"/>
              </w:rPr>
            </w:pPr>
            <w:r w:rsidRPr="008635E4">
              <w:rPr>
                <w:sz w:val="16"/>
                <w:szCs w:val="16"/>
                <w:lang w:val="es-ES_tradnl"/>
              </w:rPr>
              <w:t>Programa 1</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Nivel de satisfacción de los participantes en el Programa de Asistencia a Inventores (PAI)</w:t>
            </w:r>
          </w:p>
        </w:tc>
        <w:tc>
          <w:tcPr>
            <w:tcW w:w="818" w:type="pct"/>
            <w:shd w:val="clear" w:color="auto" w:fill="auto"/>
            <w:tcMar>
              <w:top w:w="57" w:type="dxa"/>
              <w:bottom w:w="57" w:type="dxa"/>
            </w:tcMar>
          </w:tcPr>
          <w:p w:rsidR="00EE1CCE" w:rsidRPr="008635E4" w:rsidRDefault="00EE1CCE" w:rsidP="00A34E19">
            <w:pPr>
              <w:jc w:val="center"/>
              <w:rPr>
                <w:sz w:val="16"/>
                <w:szCs w:val="16"/>
              </w:rPr>
            </w:pPr>
            <w:r w:rsidRPr="008635E4">
              <w:rPr>
                <w:sz w:val="16"/>
                <w:szCs w:val="16"/>
                <w:lang w:val="es-ES_tradnl"/>
              </w:rPr>
              <w:t>Programa 1</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rPr>
          <w:trHeight w:val="345"/>
        </w:trPr>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Avances en la ejecución de la labor acordada con arreglo al programa del SCP</w:t>
            </w:r>
          </w:p>
        </w:tc>
        <w:tc>
          <w:tcPr>
            <w:tcW w:w="818" w:type="pct"/>
            <w:shd w:val="clear" w:color="auto" w:fill="auto"/>
            <w:tcMar>
              <w:top w:w="57" w:type="dxa"/>
              <w:bottom w:w="57" w:type="dxa"/>
            </w:tcMar>
          </w:tcPr>
          <w:p w:rsidR="00EE1CCE" w:rsidRPr="008635E4" w:rsidRDefault="00EE1CCE" w:rsidP="00A34E19">
            <w:pPr>
              <w:jc w:val="center"/>
              <w:rPr>
                <w:sz w:val="16"/>
                <w:szCs w:val="16"/>
              </w:rPr>
            </w:pPr>
            <w:r w:rsidRPr="008635E4">
              <w:rPr>
                <w:sz w:val="16"/>
                <w:szCs w:val="16"/>
                <w:lang w:val="es-ES_tradnl"/>
              </w:rPr>
              <w:t>Programa 1</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rPr>
          <w:trHeight w:val="124"/>
        </w:trPr>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ratificaciones/adhesiones al Tratado de Singapur</w:t>
            </w:r>
          </w:p>
        </w:tc>
        <w:tc>
          <w:tcPr>
            <w:tcW w:w="818" w:type="pct"/>
            <w:shd w:val="clear" w:color="auto" w:fill="auto"/>
            <w:tcMar>
              <w:top w:w="57" w:type="dxa"/>
              <w:bottom w:w="57" w:type="dxa"/>
            </w:tcMar>
          </w:tcPr>
          <w:p w:rsidR="00EE1CCE" w:rsidRPr="008635E4" w:rsidRDefault="00EE1CCE" w:rsidP="00A34E19">
            <w:pPr>
              <w:spacing w:after="120"/>
              <w:ind w:left="184"/>
              <w:rPr>
                <w:sz w:val="16"/>
                <w:szCs w:val="16"/>
              </w:rPr>
            </w:pPr>
            <w:r w:rsidRPr="008635E4">
              <w:rPr>
                <w:sz w:val="16"/>
                <w:szCs w:val="16"/>
                <w:lang w:val="es-ES_tradnl"/>
              </w:rPr>
              <w:t>Programa 2</w:t>
            </w:r>
          </w:p>
          <w:p w:rsidR="00EE1CCE" w:rsidRPr="008635E4" w:rsidRDefault="00EE1CCE" w:rsidP="00A34E19">
            <w:pPr>
              <w:ind w:left="184"/>
              <w:rPr>
                <w:sz w:val="16"/>
                <w:szCs w:val="16"/>
              </w:rPr>
            </w:pPr>
            <w:r w:rsidRPr="008635E4">
              <w:rPr>
                <w:sz w:val="16"/>
                <w:szCs w:val="16"/>
                <w:lang w:val="es-ES_tradnl"/>
              </w:rPr>
              <w:t>Programa 20</w:t>
            </w:r>
          </w:p>
        </w:tc>
        <w:tc>
          <w:tcPr>
            <w:tcW w:w="613" w:type="pct"/>
            <w:shd w:val="clear" w:color="auto" w:fill="auto"/>
            <w:tcMar>
              <w:top w:w="57" w:type="dxa"/>
              <w:bottom w:w="57" w:type="dxa"/>
            </w:tcMar>
          </w:tcPr>
          <w:p w:rsidR="00EE1CCE" w:rsidRPr="00940C78" w:rsidRDefault="00EE1CCE" w:rsidP="00A34E19">
            <w:pPr>
              <w:jc w:val="center"/>
              <w:rPr>
                <w:color w:val="00B050"/>
                <w:szCs w:val="22"/>
              </w:rPr>
            </w:pPr>
            <w:r w:rsidRPr="00940C78">
              <w:rPr>
                <w:color w:val="00B050"/>
                <w:szCs w:val="22"/>
              </w:rPr>
              <w:sym w:font="Wingdings" w:char="F06C"/>
            </w:r>
          </w:p>
          <w:p w:rsidR="00EE1CCE" w:rsidRPr="00940C78" w:rsidRDefault="00EE1CCE" w:rsidP="00A34E19">
            <w:pPr>
              <w:jc w:val="center"/>
            </w:pPr>
            <w:r w:rsidRPr="00940C78">
              <w:rPr>
                <w:color w:val="00B050"/>
                <w:szCs w:val="22"/>
              </w:rPr>
              <w:sym w:font="Wingdings" w:char="F06C"/>
            </w:r>
          </w:p>
        </w:tc>
      </w:tr>
      <w:tr w:rsidR="00EE1CCE" w:rsidRPr="00940C78" w:rsidTr="00653EAB">
        <w:trPr>
          <w:trHeight w:val="162"/>
        </w:trPr>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Progresos en pos de acuerdos sobre las cuestiones que están en el orden del día del SCT</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2</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FF0000"/>
                <w:szCs w:val="22"/>
              </w:rPr>
              <w:sym w:font="Wingdings" w:char="F06C"/>
            </w:r>
          </w:p>
        </w:tc>
      </w:tr>
      <w:tr w:rsidR="00EE1CCE" w:rsidRPr="00940C78" w:rsidTr="00653EAB">
        <w:trPr>
          <w:trHeight w:val="197"/>
        </w:trPr>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Avance en la realización del trabajo acordado con arreglo al orden del día del SCCR</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3</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00B050"/>
                <w:szCs w:val="22"/>
              </w:rPr>
              <w:sym w:font="Wingdings" w:char="F06C"/>
            </w:r>
          </w:p>
        </w:tc>
      </w:tr>
      <w:tr w:rsidR="00EE1CCE" w:rsidRPr="00940C78" w:rsidTr="00653EAB">
        <w:trPr>
          <w:trHeight w:val="551"/>
        </w:trPr>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Progresos en la aplicación de las actividades normativas sobre P.I. y RR.GG., CC.TT. y ECT, según lo acordado por los Estados miembros</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4</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0070C0"/>
                <w:szCs w:val="22"/>
              </w:rPr>
              <w:sym w:font="Wingdings" w:char="F06C"/>
            </w:r>
          </w:p>
        </w:tc>
      </w:tr>
      <w:tr w:rsidR="00EE1CCE" w:rsidRPr="00940C78" w:rsidTr="00653EAB">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ratificaciones o de adhesiones al Tratado de Beijing</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20</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FF0000"/>
                <w:szCs w:val="22"/>
              </w:rPr>
              <w:sym w:font="Wingdings" w:char="F06C"/>
            </w:r>
          </w:p>
        </w:tc>
      </w:tr>
      <w:tr w:rsidR="00EE1CCE" w:rsidRPr="00940C78" w:rsidTr="00653EAB">
        <w:trPr>
          <w:trHeight w:val="271"/>
        </w:trPr>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ratificaciones o de adhesiones a los tratados Internet</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20</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00B050"/>
                <w:szCs w:val="22"/>
              </w:rPr>
              <w:sym w:font="Wingdings" w:char="F06C"/>
            </w:r>
          </w:p>
        </w:tc>
      </w:tr>
      <w:tr w:rsidR="00EE1CCE" w:rsidRPr="00940C78" w:rsidTr="00653EAB">
        <w:trPr>
          <w:trHeight w:val="415"/>
        </w:trPr>
        <w:tc>
          <w:tcPr>
            <w:tcW w:w="1479" w:type="pct"/>
            <w:vMerge/>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ratificaciones o de adhesiones al Tratado de Marrakech</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20</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FF000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I.2  Marcos de P.I. adaptados y equilibrados en el ámbito legislativo, regulador y de política</w:t>
            </w: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 de destinatarios que consideran útil la información brindada en relación con los principios legales y las prácticas de los sistemas de patentes, modelos de utilidad y esquemas de trazado de circuitos integrados, incluidas las flexibilidades</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y % de Estados miembros satisfechos con el asesoramiento legislativo y de política proporcionado</w:t>
            </w:r>
          </w:p>
        </w:tc>
        <w:tc>
          <w:tcPr>
            <w:tcW w:w="818" w:type="pct"/>
            <w:shd w:val="clear" w:color="auto" w:fill="auto"/>
            <w:tcMar>
              <w:top w:w="57" w:type="dxa"/>
              <w:bottom w:w="57" w:type="dxa"/>
            </w:tcMar>
          </w:tcPr>
          <w:p w:rsidR="00EE1CCE" w:rsidRPr="008635E4" w:rsidRDefault="00EE1CCE" w:rsidP="00A34E19">
            <w:pPr>
              <w:jc w:val="center"/>
              <w:rPr>
                <w:sz w:val="16"/>
                <w:szCs w:val="16"/>
              </w:rPr>
            </w:pPr>
            <w:r w:rsidRPr="008635E4">
              <w:rPr>
                <w:sz w:val="16"/>
                <w:szCs w:val="16"/>
                <w:lang w:val="es-ES_tradnl"/>
              </w:rPr>
              <w:t>Programa 1</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F334C2"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y %de Estados miembros / organizaciones regionales que han presentado comentarios positivos sobre el asesoramiento legislativo proporcionado en la esfera de las marcas, los diseños industriales y las indicaciones geográficas</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2</w:t>
            </w:r>
          </w:p>
        </w:tc>
        <w:tc>
          <w:tcPr>
            <w:tcW w:w="613" w:type="pct"/>
            <w:shd w:val="clear" w:color="auto" w:fill="auto"/>
            <w:tcMar>
              <w:top w:w="57" w:type="dxa"/>
              <w:bottom w:w="57" w:type="dxa"/>
            </w:tcMar>
          </w:tcPr>
          <w:p w:rsidR="00EE1CCE" w:rsidRPr="00F334C2"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y porcentaje de países que han formulado comentarios positivos sobre el asesoramiento de la OMPI en materia legislativa</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3</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países que han ratificado el Tratado de Beijing o se han adherido a él</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3</w:t>
            </w:r>
          </w:p>
        </w:tc>
        <w:tc>
          <w:tcPr>
            <w:tcW w:w="613" w:type="pct"/>
            <w:shd w:val="clear" w:color="auto" w:fill="auto"/>
            <w:tcMar>
              <w:top w:w="57" w:type="dxa"/>
              <w:bottom w:w="57" w:type="dxa"/>
            </w:tcMar>
          </w:tcPr>
          <w:p w:rsidR="00EE1CCE" w:rsidRPr="00940C78" w:rsidRDefault="00EE1CCE" w:rsidP="00A34E19">
            <w:pPr>
              <w:jc w:val="center"/>
            </w:pPr>
            <w:r w:rsidRPr="00940C78">
              <w:rPr>
                <w:color w:val="FF000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países que han ratificado el Tratado de Marrakech o se han adherido a él</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3</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ratificaciones o adhesiones a los tratados de derecho de autor en vigor, como el Convenio de Berna, la Convención de Roma y los tratados Internet, o se han adherido a ellos</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3</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y % de países que han formulado comentarios positivos sobre el asesoramiento legislativo y de política de la OMPI</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9</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rPr>
          <w:trHeight w:val="20"/>
        </w:trPr>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ratificaciones de los tratados administrados por la OMPI</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10</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rPr>
          <w:trHeight w:val="41"/>
        </w:trPr>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países con economías en transición con leyes y reglamentos nacionales actualizados</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10</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países que ha aprobado o aplicado una estrategia nacional sobre el fomento del respeto por la P.I., o que lo están haciendo actualmente, con la asistencia de la OMPI</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17</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países u organizaciones regionales que han aprobado o modificado los marcos pertinentes en aras de la eficacia en la observancia de la P.I. teniendo en cuenta la Parte III del Acuerdo sobre los ADPIC y la recomendación 45 de la A.D., o que lo están haciendo actualmente, tras recibir asistencia de la OMPI</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17</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y diversidad de las partes interesadas (oficinas de P.I., entidades en el ámbito de la competencia, OII y ONG) que dialogan con la OMPI</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18</w:t>
            </w:r>
          </w:p>
        </w:tc>
        <w:tc>
          <w:tcPr>
            <w:tcW w:w="613" w:type="pct"/>
            <w:shd w:val="clear" w:color="auto" w:fill="auto"/>
            <w:tcMar>
              <w:top w:w="57" w:type="dxa"/>
              <w:bottom w:w="57" w:type="dxa"/>
            </w:tcMar>
          </w:tcPr>
          <w:p w:rsidR="00EE1CCE" w:rsidRPr="00940C78" w:rsidRDefault="00EE1CCE" w:rsidP="00A34E19">
            <w:pPr>
              <w:jc w:val="cente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spacing w:after="120"/>
              <w:rPr>
                <w:bCs/>
                <w:sz w:val="16"/>
                <w:szCs w:val="16"/>
              </w:rPr>
            </w:pP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países que han solicitado una contribución específica de la OMPI en materia de P.I. con respecto a cuestiones relativas a la política en materia de competencia</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18</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FF0000"/>
                <w:szCs w:val="22"/>
              </w:rPr>
              <w:sym w:font="Wingdings" w:char="F06C"/>
            </w:r>
          </w:p>
        </w:tc>
      </w:tr>
      <w:tr w:rsidR="00EE1CCE" w:rsidRPr="00940C78" w:rsidTr="00653EAB">
        <w:trPr>
          <w:trHeight w:val="663"/>
        </w:trPr>
        <w:tc>
          <w:tcPr>
            <w:tcW w:w="1479"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I.3  Aumento de la protección de los emblemas de Estado y de los nombres y emblemas de organizaciones intergubernamentales internacionales</w:t>
            </w: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N.º de signos contenidos en la base de datos sobre el artículo 6</w:t>
            </w:r>
            <w:r w:rsidRPr="008635E4">
              <w:rPr>
                <w:i/>
                <w:sz w:val="16"/>
                <w:szCs w:val="16"/>
                <w:lang w:val="es-ES_tradnl"/>
              </w:rPr>
              <w:t>ter</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2</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00B050"/>
                <w:szCs w:val="22"/>
              </w:rPr>
              <w:sym w:font="Wingdings" w:char="F06C"/>
            </w:r>
          </w:p>
        </w:tc>
      </w:tr>
      <w:tr w:rsidR="00EE1CCE" w:rsidRPr="00940C78" w:rsidTr="00653EAB">
        <w:tc>
          <w:tcPr>
            <w:tcW w:w="1479"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I.4  Interés creciente en que la OMPI sea un foro de análisis de cuestiones relacionadas con la protección internacional de las patentes, los modelos de utilidad, los esquemas de trazado (topografías) de circuitos integrados y la información confidencial</w:t>
            </w:r>
          </w:p>
        </w:tc>
        <w:tc>
          <w:tcPr>
            <w:tcW w:w="2091" w:type="pct"/>
            <w:shd w:val="clear" w:color="auto" w:fill="auto"/>
            <w:tcMar>
              <w:top w:w="57" w:type="dxa"/>
              <w:bottom w:w="57" w:type="dxa"/>
            </w:tcMar>
          </w:tcPr>
          <w:p w:rsidR="00EE1CCE" w:rsidRPr="008635E4" w:rsidRDefault="00EE1CCE" w:rsidP="00A34E19">
            <w:pPr>
              <w:rPr>
                <w:sz w:val="16"/>
                <w:szCs w:val="16"/>
              </w:rPr>
            </w:pPr>
            <w:r w:rsidRPr="008635E4">
              <w:rPr>
                <w:sz w:val="16"/>
                <w:szCs w:val="16"/>
                <w:lang w:val="es-ES_tradnl"/>
              </w:rPr>
              <w:t>% de destinatarios que consideran útil la información brindada en relación con los principios legales, y las prácticas, en materia de protección de las patentes, los modelos de utilidad, los esquemas e trazado (topografías) de circuitos integrados y la información confidencial</w:t>
            </w:r>
          </w:p>
        </w:tc>
        <w:tc>
          <w:tcPr>
            <w:tcW w:w="818" w:type="pct"/>
            <w:shd w:val="clear" w:color="auto" w:fill="auto"/>
            <w:tcMar>
              <w:top w:w="57" w:type="dxa"/>
              <w:bottom w:w="57" w:type="dxa"/>
            </w:tcMar>
          </w:tcPr>
          <w:p w:rsidR="00EE1CCE" w:rsidRPr="008635E4" w:rsidRDefault="00EE1CCE" w:rsidP="00A34E19">
            <w:pPr>
              <w:spacing w:before="40"/>
              <w:jc w:val="center"/>
              <w:rPr>
                <w:sz w:val="16"/>
                <w:szCs w:val="16"/>
              </w:rPr>
            </w:pPr>
            <w:r w:rsidRPr="008635E4">
              <w:rPr>
                <w:sz w:val="16"/>
                <w:szCs w:val="16"/>
                <w:lang w:val="es-ES_tradnl"/>
              </w:rPr>
              <w:t>Programa 1</w:t>
            </w:r>
          </w:p>
        </w:tc>
        <w:tc>
          <w:tcPr>
            <w:tcW w:w="613" w:type="pct"/>
            <w:shd w:val="clear" w:color="auto" w:fill="auto"/>
            <w:tcMar>
              <w:top w:w="57" w:type="dxa"/>
              <w:bottom w:w="57" w:type="dxa"/>
            </w:tcMar>
          </w:tcPr>
          <w:p w:rsidR="00EE1CCE" w:rsidRPr="00940C78" w:rsidRDefault="00EE1CCE" w:rsidP="00A34E19">
            <w:pPr>
              <w:spacing w:after="120"/>
              <w:jc w:val="center"/>
              <w:rPr>
                <w:b/>
                <w:bCs/>
                <w:sz w:val="16"/>
                <w:szCs w:val="16"/>
              </w:rPr>
            </w:pPr>
            <w:r w:rsidRPr="00940C78">
              <w:rPr>
                <w:color w:val="00B050"/>
                <w:szCs w:val="22"/>
              </w:rPr>
              <w:sym w:font="Wingdings" w:char="F06C"/>
            </w:r>
          </w:p>
        </w:tc>
      </w:tr>
    </w:tbl>
    <w:p w:rsidR="008F3D8D" w:rsidRDefault="008F3D8D" w:rsidP="00EE1CCE">
      <w:pPr>
        <w:rPr>
          <w:sz w:val="20"/>
        </w:rPr>
      </w:pPr>
    </w:p>
    <w:p w:rsidR="008F3D8D" w:rsidRDefault="008F3D8D">
      <w:pPr>
        <w:rPr>
          <w:sz w:val="20"/>
        </w:rPr>
      </w:pPr>
      <w:r>
        <w:rPr>
          <w:sz w:val="20"/>
        </w:rPr>
        <w:br w:type="page"/>
      </w:r>
    </w:p>
    <w:p w:rsidR="008F3D8D" w:rsidRPr="008F3D8D" w:rsidRDefault="008F3D8D" w:rsidP="00901851">
      <w:pPr>
        <w:keepNext/>
        <w:tabs>
          <w:tab w:val="left" w:pos="2410"/>
          <w:tab w:val="right" w:pos="9072"/>
        </w:tabs>
        <w:outlineLvl w:val="1"/>
        <w:rPr>
          <w:b/>
          <w:bCs/>
          <w:iCs/>
          <w:szCs w:val="28"/>
        </w:rPr>
      </w:pPr>
      <w:bookmarkStart w:id="24" w:name="_Toc482711239"/>
      <w:r w:rsidRPr="008F3D8D">
        <w:rPr>
          <w:b/>
          <w:bCs/>
          <w:iCs/>
          <w:szCs w:val="28"/>
          <w:lang w:val="es-ES_tradnl"/>
        </w:rPr>
        <w:lastRenderedPageBreak/>
        <w:t>PROGRAMA 1</w:t>
      </w:r>
      <w:r w:rsidRPr="008F3D8D">
        <w:rPr>
          <w:bCs/>
          <w:iCs/>
          <w:szCs w:val="28"/>
          <w:lang w:val="es-ES_tradnl"/>
        </w:rPr>
        <w:tab/>
      </w:r>
      <w:r w:rsidRPr="008F3D8D">
        <w:rPr>
          <w:b/>
          <w:bCs/>
          <w:iCs/>
          <w:szCs w:val="28"/>
          <w:lang w:val="es-ES_tradnl"/>
        </w:rPr>
        <w:t>DERECHO DE PATENTES</w:t>
      </w:r>
      <w:bookmarkEnd w:id="24"/>
    </w:p>
    <w:p w:rsidR="008F3D8D" w:rsidRPr="008F3D8D" w:rsidRDefault="008F3D8D" w:rsidP="008F3D8D">
      <w:pPr>
        <w:rPr>
          <w:sz w:val="20"/>
        </w:rPr>
      </w:pPr>
    </w:p>
    <w:p w:rsidR="008F3D8D" w:rsidRPr="008F3D8D" w:rsidRDefault="008F3D8D" w:rsidP="00901851">
      <w:pPr>
        <w:tabs>
          <w:tab w:val="left" w:pos="2410"/>
        </w:tabs>
        <w:rPr>
          <w:b/>
          <w:sz w:val="20"/>
          <w:szCs w:val="22"/>
        </w:rPr>
      </w:pPr>
      <w:r w:rsidRPr="008F3D8D">
        <w:rPr>
          <w:b/>
          <w:sz w:val="20"/>
          <w:szCs w:val="22"/>
          <w:lang w:val="es-ES_tradnl"/>
        </w:rPr>
        <w:t>Director de programa</w:t>
      </w:r>
      <w:r w:rsidRPr="008F3D8D">
        <w:rPr>
          <w:sz w:val="20"/>
          <w:szCs w:val="22"/>
          <w:lang w:val="es-ES_tradnl"/>
        </w:rPr>
        <w:tab/>
      </w:r>
      <w:r w:rsidRPr="008F3D8D">
        <w:rPr>
          <w:b/>
          <w:sz w:val="20"/>
          <w:szCs w:val="22"/>
          <w:lang w:val="es-ES_tradnl"/>
        </w:rPr>
        <w:t>Sr. J. Sandage</w:t>
      </w:r>
    </w:p>
    <w:p w:rsidR="008F3D8D" w:rsidRPr="008F3D8D" w:rsidRDefault="008F3D8D" w:rsidP="008F3D8D">
      <w:pPr>
        <w:jc w:val="both"/>
        <w:rPr>
          <w:b/>
          <w:sz w:val="20"/>
        </w:rPr>
      </w:pPr>
    </w:p>
    <w:p w:rsidR="008F3D8D" w:rsidRPr="008F3D8D" w:rsidRDefault="008F3D8D" w:rsidP="008F3D8D">
      <w:pPr>
        <w:jc w:val="center"/>
        <w:rPr>
          <w:b/>
          <w:sz w:val="20"/>
        </w:rPr>
      </w:pPr>
      <w:r w:rsidRPr="008F3D8D">
        <w:rPr>
          <w:noProof/>
          <w:lang w:val="en-US" w:eastAsia="en-US"/>
        </w:rPr>
        <w:drawing>
          <wp:inline distT="0" distB="0" distL="0" distR="0" wp14:anchorId="0085F39E" wp14:editId="2DDFB331">
            <wp:extent cx="5641849" cy="27857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7093"/>
                    <a:stretch/>
                  </pic:blipFill>
                  <pic:spPr bwMode="auto">
                    <a:xfrm>
                      <a:off x="0" y="0"/>
                      <a:ext cx="5652770" cy="2791122"/>
                    </a:xfrm>
                    <a:prstGeom prst="rect">
                      <a:avLst/>
                    </a:prstGeom>
                    <a:noFill/>
                    <a:ln>
                      <a:noFill/>
                    </a:ln>
                    <a:extLst>
                      <a:ext uri="{53640926-AAD7-44D8-BBD7-CCE9431645EC}">
                        <a14:shadowObscured xmlns:a14="http://schemas.microsoft.com/office/drawing/2010/main"/>
                      </a:ext>
                    </a:extLst>
                  </pic:spPr>
                </pic:pic>
              </a:graphicData>
            </a:graphic>
          </wp:inline>
        </w:drawing>
      </w:r>
      <w:r w:rsidRPr="008F3D8D">
        <w:t xml:space="preserve"> </w:t>
      </w:r>
    </w:p>
    <w:tbl>
      <w:tblPr>
        <w:tblW w:w="5000" w:type="pct"/>
        <w:tblInd w:w="58" w:type="dxa"/>
        <w:tblLayout w:type="fixed"/>
        <w:tblCellMar>
          <w:left w:w="115" w:type="dxa"/>
          <w:right w:w="115" w:type="dxa"/>
        </w:tblCellMar>
        <w:tblLook w:val="0000" w:firstRow="0" w:lastRow="0" w:firstColumn="0" w:lastColumn="0" w:noHBand="0" w:noVBand="0"/>
      </w:tblPr>
      <w:tblGrid>
        <w:gridCol w:w="1997"/>
        <w:gridCol w:w="2822"/>
        <w:gridCol w:w="85"/>
        <w:gridCol w:w="867"/>
        <w:gridCol w:w="2598"/>
        <w:gridCol w:w="818"/>
      </w:tblGrid>
      <w:tr w:rsidR="008F3D8D" w:rsidRPr="008F3D8D" w:rsidTr="00A34E19">
        <w:trPr>
          <w:trHeight w:val="565"/>
        </w:trPr>
        <w:tc>
          <w:tcPr>
            <w:tcW w:w="5000" w:type="pct"/>
            <w:gridSpan w:val="6"/>
            <w:shd w:val="clear" w:color="auto" w:fill="C6D9F1" w:themeFill="text2" w:themeFillTint="33"/>
            <w:tcMar>
              <w:left w:w="58" w:type="dxa"/>
              <w:right w:w="58" w:type="dxa"/>
            </w:tcMar>
            <w:vAlign w:val="center"/>
          </w:tcPr>
          <w:p w:rsidR="008F3D8D" w:rsidRPr="008F3D8D" w:rsidRDefault="008F3D8D" w:rsidP="00A34E19">
            <w:pPr>
              <w:keepNext/>
              <w:keepLines/>
              <w:tabs>
                <w:tab w:val="left" w:pos="1452"/>
                <w:tab w:val="left" w:pos="1684"/>
              </w:tabs>
              <w:ind w:left="1684" w:hanging="1684"/>
              <w:rPr>
                <w:b/>
                <w:bCs/>
                <w:sz w:val="16"/>
                <w:szCs w:val="16"/>
              </w:rPr>
            </w:pPr>
            <w:r w:rsidRPr="008F3D8D">
              <w:rPr>
                <w:b/>
                <w:bCs/>
                <w:sz w:val="16"/>
                <w:szCs w:val="16"/>
              </w:rPr>
              <w:t>Resultado previsto:</w:t>
            </w:r>
            <w:r w:rsidRPr="008F3D8D">
              <w:rPr>
                <w:b/>
                <w:bCs/>
                <w:sz w:val="16"/>
                <w:szCs w:val="16"/>
              </w:rPr>
              <w:tab/>
            </w:r>
            <w:r w:rsidRPr="008F3D8D">
              <w:rPr>
                <w:sz w:val="16"/>
                <w:szCs w:val="16"/>
                <w:lang w:val="es-ES_tradnl" w:bidi="th-TH"/>
              </w:rPr>
              <w:t>I.1  Mayor cooperación entre los Estados miembros en la elaboración de marcos normativos internacionales de P.I. equilibrados</w:t>
            </w:r>
            <w:r w:rsidRPr="008F3D8D">
              <w:rPr>
                <w:sz w:val="16"/>
                <w:szCs w:val="16"/>
                <w:lang w:bidi="th-TH"/>
              </w:rPr>
              <w:t xml:space="preserve"> </w:t>
            </w:r>
          </w:p>
        </w:tc>
      </w:tr>
      <w:tr w:rsidR="008F3D8D" w:rsidRPr="008F3D8D" w:rsidTr="00A34E19">
        <w:tc>
          <w:tcPr>
            <w:tcW w:w="1087" w:type="pct"/>
            <w:shd w:val="clear" w:color="auto" w:fill="auto"/>
            <w:tcMar>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Indicadores de rendimiento</w:t>
            </w:r>
          </w:p>
        </w:tc>
        <w:tc>
          <w:tcPr>
            <w:tcW w:w="1536" w:type="pct"/>
            <w:shd w:val="clear" w:color="auto" w:fill="auto"/>
            <w:tcMar>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Referencia</w:t>
            </w:r>
          </w:p>
        </w:tc>
        <w:tc>
          <w:tcPr>
            <w:tcW w:w="518" w:type="pct"/>
            <w:gridSpan w:val="2"/>
            <w:shd w:val="clear" w:color="auto" w:fill="auto"/>
            <w:tcMar>
              <w:top w:w="110" w:type="dxa"/>
              <w:left w:w="58" w:type="dxa"/>
              <w:right w:w="58" w:type="dxa"/>
            </w:tcMar>
            <w:vAlign w:val="center"/>
          </w:tcPr>
          <w:p w:rsidR="008F3D8D" w:rsidRPr="008F3D8D" w:rsidRDefault="008F3D8D" w:rsidP="00A34E19">
            <w:pPr>
              <w:tabs>
                <w:tab w:val="left" w:pos="290"/>
              </w:tabs>
              <w:rPr>
                <w:b/>
                <w:bCs/>
                <w:sz w:val="16"/>
                <w:szCs w:val="16"/>
              </w:rPr>
            </w:pPr>
            <w:r w:rsidRPr="008F3D8D">
              <w:rPr>
                <w:b/>
                <w:bCs/>
                <w:sz w:val="16"/>
                <w:szCs w:val="16"/>
                <w:lang w:val="es-ES_tradnl"/>
              </w:rPr>
              <w:t>Objetivos</w:t>
            </w:r>
          </w:p>
        </w:tc>
        <w:tc>
          <w:tcPr>
            <w:tcW w:w="1414" w:type="pct"/>
            <w:shd w:val="clear" w:color="auto" w:fill="FFFFFF"/>
            <w:tcMar>
              <w:top w:w="110" w:type="dxa"/>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Datos sobre el rendimiento</w:t>
            </w:r>
          </w:p>
        </w:tc>
        <w:tc>
          <w:tcPr>
            <w:tcW w:w="445" w:type="pct"/>
            <w:shd w:val="clear" w:color="auto" w:fill="auto"/>
            <w:tcMar>
              <w:top w:w="110" w:type="dxa"/>
              <w:left w:w="58" w:type="dxa"/>
              <w:right w:w="58" w:type="dxa"/>
            </w:tcMar>
            <w:vAlign w:val="center"/>
          </w:tcPr>
          <w:p w:rsidR="008F3D8D" w:rsidRPr="008F3D8D" w:rsidRDefault="008F3D8D" w:rsidP="00A34E19">
            <w:pPr>
              <w:keepNext/>
              <w:keepLines/>
              <w:jc w:val="center"/>
              <w:rPr>
                <w:b/>
                <w:bCs/>
                <w:sz w:val="16"/>
                <w:szCs w:val="16"/>
              </w:rPr>
            </w:pPr>
            <w:r w:rsidRPr="008F3D8D">
              <w:rPr>
                <w:b/>
                <w:bCs/>
                <w:sz w:val="16"/>
                <w:szCs w:val="16"/>
                <w:lang w:val="es-ES_tradnl"/>
              </w:rPr>
              <w:t>Clave de colores</w:t>
            </w:r>
          </w:p>
        </w:tc>
      </w:tr>
      <w:tr w:rsidR="008F3D8D" w:rsidRPr="008F3D8D" w:rsidTr="00A34E19">
        <w:trPr>
          <w:trHeight w:val="2992"/>
        </w:trPr>
        <w:tc>
          <w:tcPr>
            <w:tcW w:w="1087" w:type="pct"/>
            <w:shd w:val="clear" w:color="auto" w:fill="auto"/>
            <w:tcMar>
              <w:left w:w="58" w:type="dxa"/>
              <w:right w:w="58" w:type="dxa"/>
            </w:tcMar>
          </w:tcPr>
          <w:p w:rsidR="008F3D8D" w:rsidRPr="008F3D8D" w:rsidRDefault="008F3D8D" w:rsidP="00A34E19">
            <w:pPr>
              <w:keepNext/>
              <w:keepLines/>
              <w:ind w:right="176"/>
              <w:rPr>
                <w:sz w:val="16"/>
                <w:szCs w:val="16"/>
              </w:rPr>
            </w:pPr>
            <w:r w:rsidRPr="008F3D8D">
              <w:rPr>
                <w:sz w:val="16"/>
                <w:szCs w:val="16"/>
                <w:lang w:val="es-ES_tradnl"/>
              </w:rPr>
              <w:t>Avances en la ejecución de la labor acordada con arreglo al programa del SCP</w:t>
            </w:r>
          </w:p>
        </w:tc>
        <w:tc>
          <w:tcPr>
            <w:tcW w:w="1536" w:type="pct"/>
            <w:shd w:val="clear" w:color="auto" w:fill="auto"/>
            <w:tcMar>
              <w:left w:w="58" w:type="dxa"/>
              <w:right w:w="58" w:type="dxa"/>
            </w:tcMar>
          </w:tcPr>
          <w:p w:rsidR="008F3D8D" w:rsidRPr="008F3D8D" w:rsidRDefault="008F3D8D" w:rsidP="00A34E19">
            <w:pPr>
              <w:rPr>
                <w:i/>
                <w:color w:val="002060"/>
                <w:sz w:val="16"/>
                <w:szCs w:val="16"/>
              </w:rPr>
            </w:pPr>
            <w:r w:rsidRPr="008F3D8D">
              <w:rPr>
                <w:i/>
                <w:color w:val="002060"/>
                <w:sz w:val="16"/>
                <w:szCs w:val="16"/>
                <w:lang w:val="es-ES_tradnl"/>
              </w:rPr>
              <w:t>Referencia actualizada a fines de 2015:</w:t>
            </w:r>
            <w:r w:rsidRPr="008F3D8D">
              <w:rPr>
                <w:i/>
                <w:color w:val="002060"/>
                <w:sz w:val="16"/>
                <w:szCs w:val="16"/>
              </w:rPr>
              <w:t xml:space="preserve">  </w:t>
            </w:r>
          </w:p>
          <w:p w:rsidR="008F3D8D" w:rsidRPr="008F3D8D" w:rsidRDefault="008F3D8D" w:rsidP="00A34E19">
            <w:pPr>
              <w:rPr>
                <w:color w:val="002060"/>
                <w:sz w:val="16"/>
                <w:szCs w:val="16"/>
              </w:rPr>
            </w:pPr>
            <w:r w:rsidRPr="008F3D8D">
              <w:rPr>
                <w:color w:val="002060"/>
                <w:sz w:val="16"/>
                <w:szCs w:val="16"/>
                <w:lang w:val="es-ES_tradnl"/>
              </w:rPr>
              <w:t>El SCP centró sus esfuerzos en avanzar en los cinco temas de su orden del día y ha conseguido progresar en sus debates, por ejemplo, gracias a la elaboración de estudios, la recopilación de información sobre las legislaciones y prácticas nacionales y el intercambio de experiencias nacionales entre los Estados miembros.  Los debates se basaron en las propuestas de las delegaciones (12) y en documentos preparados por la Secretaría (27) durante el bienio</w:t>
            </w:r>
          </w:p>
          <w:p w:rsidR="008F3D8D" w:rsidRPr="008F3D8D" w:rsidRDefault="008F3D8D" w:rsidP="00A34E19">
            <w:pPr>
              <w:rPr>
                <w:sz w:val="16"/>
                <w:szCs w:val="16"/>
              </w:rPr>
            </w:pPr>
          </w:p>
          <w:p w:rsidR="008F3D8D" w:rsidRPr="008F3D8D" w:rsidRDefault="008F3D8D" w:rsidP="00A34E19">
            <w:pPr>
              <w:rPr>
                <w:i/>
                <w:sz w:val="16"/>
                <w:szCs w:val="16"/>
                <w:lang w:bidi="th-TH"/>
              </w:rPr>
            </w:pPr>
            <w:r w:rsidRPr="008F3D8D">
              <w:rPr>
                <w:i/>
                <w:sz w:val="16"/>
                <w:szCs w:val="16"/>
                <w:lang w:val="es-ES_tradnl" w:bidi="th-TH"/>
              </w:rPr>
              <w:t>Referencia original en el presupuesto de 2016/17:</w:t>
            </w:r>
            <w:r w:rsidRPr="008F3D8D">
              <w:rPr>
                <w:i/>
                <w:sz w:val="16"/>
                <w:szCs w:val="16"/>
                <w:lang w:bidi="th-TH"/>
              </w:rPr>
              <w:t xml:space="preserve">  </w:t>
            </w:r>
          </w:p>
          <w:p w:rsidR="008F3D8D" w:rsidRPr="008F3D8D" w:rsidRDefault="008F3D8D" w:rsidP="00A34E19">
            <w:pPr>
              <w:spacing w:after="240"/>
              <w:rPr>
                <w:sz w:val="16"/>
                <w:szCs w:val="16"/>
              </w:rPr>
            </w:pPr>
            <w:r w:rsidRPr="008F3D8D">
              <w:rPr>
                <w:sz w:val="16"/>
                <w:szCs w:val="16"/>
                <w:lang w:val="es-ES_tradnl"/>
              </w:rPr>
              <w:t>Estado actual de la labor en el Comité según consta en el informe de la 21ª sesión del SCP</w:t>
            </w:r>
          </w:p>
        </w:tc>
        <w:tc>
          <w:tcPr>
            <w:tcW w:w="518" w:type="pct"/>
            <w:gridSpan w:val="2"/>
            <w:shd w:val="clear" w:color="auto" w:fill="auto"/>
            <w:tcMar>
              <w:top w:w="110" w:type="dxa"/>
              <w:left w:w="58" w:type="dxa"/>
              <w:right w:w="58" w:type="dxa"/>
            </w:tcMar>
          </w:tcPr>
          <w:p w:rsidR="008F3D8D" w:rsidRPr="008F3D8D" w:rsidRDefault="008F3D8D" w:rsidP="00A34E19">
            <w:pPr>
              <w:rPr>
                <w:sz w:val="16"/>
                <w:szCs w:val="16"/>
              </w:rPr>
            </w:pPr>
            <w:r w:rsidRPr="008F3D8D">
              <w:rPr>
                <w:sz w:val="16"/>
                <w:szCs w:val="16"/>
                <w:lang w:val="es-ES_tradnl"/>
              </w:rPr>
              <w:t>Resultados acordados en el SCP</w:t>
            </w:r>
          </w:p>
        </w:tc>
        <w:tc>
          <w:tcPr>
            <w:tcW w:w="1414" w:type="pct"/>
            <w:shd w:val="clear" w:color="auto" w:fill="FFFFFF"/>
            <w:tcMar>
              <w:top w:w="110" w:type="dxa"/>
              <w:left w:w="58" w:type="dxa"/>
              <w:right w:w="58" w:type="dxa"/>
            </w:tcMar>
          </w:tcPr>
          <w:p w:rsidR="008F3D8D" w:rsidRPr="008F3D8D" w:rsidRDefault="008F3D8D" w:rsidP="00A34E19">
            <w:pPr>
              <w:rPr>
                <w:sz w:val="16"/>
                <w:szCs w:val="16"/>
              </w:rPr>
            </w:pPr>
            <w:r w:rsidRPr="008F3D8D">
              <w:rPr>
                <w:sz w:val="16"/>
                <w:szCs w:val="16"/>
              </w:rPr>
              <w:t>En 2016, el SCP celebró 2 sesiones (sesiones 24ª y 25ª).  Los resultados acordados en las sesiones anteriores (párrafos 20 y 21 del Resumen de la Presidencia,</w:t>
            </w:r>
            <w:r w:rsidRPr="008F3D8D">
              <w:rPr>
                <w:rStyle w:val="FootnoteReference"/>
              </w:rPr>
              <w:footnoteReference w:id="8"/>
            </w:r>
            <w:r w:rsidRPr="008F3D8D">
              <w:rPr>
                <w:sz w:val="16"/>
                <w:szCs w:val="16"/>
              </w:rPr>
              <w:t xml:space="preserve"> SCP/23, y párrafo 17 del Resumen de la Presidencia,</w:t>
            </w:r>
            <w:r w:rsidRPr="008F3D8D">
              <w:rPr>
                <w:rStyle w:val="FootnoteReference"/>
              </w:rPr>
              <w:footnoteReference w:id="9"/>
            </w:r>
            <w:r w:rsidRPr="008F3D8D">
              <w:rPr>
                <w:sz w:val="16"/>
                <w:szCs w:val="16"/>
              </w:rPr>
              <w:t xml:space="preserve"> SCP/24) fueron atendidos enteramente en las siguientes sesiones (SCP/24</w:t>
            </w:r>
            <w:r w:rsidRPr="008F3D8D">
              <w:rPr>
                <w:rStyle w:val="FootnoteReference"/>
              </w:rPr>
              <w:footnoteReference w:id="10"/>
            </w:r>
            <w:r w:rsidRPr="008F3D8D">
              <w:rPr>
                <w:sz w:val="16"/>
                <w:szCs w:val="16"/>
              </w:rPr>
              <w:t xml:space="preserve"> y SCP/25</w:t>
            </w:r>
            <w:r w:rsidRPr="008F3D8D">
              <w:rPr>
                <w:rStyle w:val="FootnoteReference"/>
              </w:rPr>
              <w:footnoteReference w:id="11"/>
            </w:r>
            <w:r w:rsidRPr="008F3D8D">
              <w:rPr>
                <w:sz w:val="16"/>
                <w:szCs w:val="16"/>
              </w:rPr>
              <w:t>)</w:t>
            </w:r>
          </w:p>
        </w:tc>
        <w:tc>
          <w:tcPr>
            <w:tcW w:w="445" w:type="pct"/>
            <w:shd w:val="clear" w:color="auto" w:fill="auto"/>
            <w:tcMar>
              <w:top w:w="110" w:type="dxa"/>
              <w:left w:w="58" w:type="dxa"/>
              <w:right w:w="58" w:type="dxa"/>
            </w:tcMar>
          </w:tcPr>
          <w:p w:rsidR="008F3D8D" w:rsidRPr="008F3D8D" w:rsidRDefault="008F3D8D" w:rsidP="00A34E19">
            <w:pPr>
              <w:keepNext/>
              <w:keepLines/>
              <w:jc w:val="center"/>
              <w:rPr>
                <w:b/>
                <w:sz w:val="16"/>
                <w:szCs w:val="16"/>
              </w:rPr>
            </w:pPr>
            <w:r w:rsidRPr="008F3D8D">
              <w:rPr>
                <w:b/>
                <w:color w:val="00B050"/>
                <w:sz w:val="16"/>
                <w:szCs w:val="16"/>
              </w:rPr>
              <w:t>Avanza</w:t>
            </w:r>
          </w:p>
        </w:tc>
      </w:tr>
      <w:tr w:rsidR="008F3D8D" w:rsidRPr="008F3D8D" w:rsidTr="00A34E19">
        <w:trPr>
          <w:trHeight w:val="1408"/>
        </w:trPr>
        <w:tc>
          <w:tcPr>
            <w:tcW w:w="1087" w:type="pct"/>
            <w:shd w:val="clear" w:color="auto" w:fill="auto"/>
            <w:tcMar>
              <w:left w:w="58" w:type="dxa"/>
              <w:right w:w="58" w:type="dxa"/>
            </w:tcMar>
          </w:tcPr>
          <w:p w:rsidR="008F3D8D" w:rsidRPr="008F3D8D" w:rsidRDefault="008F3D8D" w:rsidP="00A34E19">
            <w:pPr>
              <w:ind w:right="176"/>
              <w:rPr>
                <w:sz w:val="16"/>
                <w:szCs w:val="16"/>
              </w:rPr>
            </w:pPr>
            <w:r w:rsidRPr="008F3D8D">
              <w:rPr>
                <w:sz w:val="16"/>
                <w:szCs w:val="16"/>
                <w:lang w:val="es-ES_tradnl"/>
              </w:rPr>
              <w:t>Grado de satisfacción de los participantes en talleres/seminarios específicos organizados sobre cuestiones específicas relacionadas con las patentes</w:t>
            </w:r>
            <w:r w:rsidRPr="008F3D8D">
              <w:rPr>
                <w:sz w:val="16"/>
                <w:szCs w:val="16"/>
              </w:rPr>
              <w:t xml:space="preserve"> </w:t>
            </w:r>
          </w:p>
        </w:tc>
        <w:tc>
          <w:tcPr>
            <w:tcW w:w="1536" w:type="pct"/>
            <w:shd w:val="clear" w:color="auto" w:fill="auto"/>
            <w:tcMar>
              <w:left w:w="58" w:type="dxa"/>
              <w:right w:w="58" w:type="dxa"/>
            </w:tcMar>
          </w:tcPr>
          <w:p w:rsidR="008F3D8D" w:rsidRPr="008F3D8D" w:rsidRDefault="008F3D8D" w:rsidP="00A34E19">
            <w:pPr>
              <w:rPr>
                <w:color w:val="002060"/>
                <w:sz w:val="16"/>
                <w:szCs w:val="16"/>
              </w:rPr>
            </w:pPr>
            <w:r w:rsidRPr="008F3D8D">
              <w:rPr>
                <w:i/>
                <w:color w:val="002060"/>
                <w:sz w:val="16"/>
                <w:szCs w:val="16"/>
                <w:lang w:val="es-ES_tradnl"/>
              </w:rPr>
              <w:t>Referencia actualizada a fines de 2015:</w:t>
            </w:r>
            <w:r w:rsidRPr="008F3D8D">
              <w:rPr>
                <w:i/>
                <w:color w:val="002060"/>
                <w:sz w:val="16"/>
                <w:szCs w:val="16"/>
              </w:rPr>
              <w:t xml:space="preserve">  </w:t>
            </w:r>
            <w:r w:rsidRPr="008F3D8D">
              <w:rPr>
                <w:color w:val="002060"/>
                <w:sz w:val="16"/>
                <w:szCs w:val="16"/>
              </w:rPr>
              <w:t xml:space="preserve">96,85% </w:t>
            </w:r>
          </w:p>
          <w:p w:rsidR="008F3D8D" w:rsidRPr="008F3D8D" w:rsidRDefault="008F3D8D" w:rsidP="00A34E19">
            <w:pPr>
              <w:rPr>
                <w:sz w:val="6"/>
                <w:szCs w:val="16"/>
              </w:rPr>
            </w:pPr>
          </w:p>
          <w:p w:rsidR="008F3D8D" w:rsidRPr="008F3D8D" w:rsidRDefault="008F3D8D" w:rsidP="00A34E19">
            <w:pPr>
              <w:rPr>
                <w:i/>
                <w:sz w:val="16"/>
                <w:szCs w:val="16"/>
                <w:lang w:bidi="th-TH"/>
              </w:rPr>
            </w:pPr>
            <w:r w:rsidRPr="008F3D8D">
              <w:rPr>
                <w:i/>
                <w:sz w:val="16"/>
                <w:szCs w:val="16"/>
                <w:lang w:val="es-ES_tradnl" w:bidi="th-TH"/>
              </w:rPr>
              <w:t>Referencia original en el presupuesto de 2016/2017:</w:t>
            </w:r>
            <w:r w:rsidRPr="008F3D8D">
              <w:rPr>
                <w:i/>
                <w:sz w:val="16"/>
                <w:szCs w:val="16"/>
                <w:lang w:bidi="th-TH"/>
              </w:rPr>
              <w:t xml:space="preserve">  </w:t>
            </w:r>
          </w:p>
          <w:p w:rsidR="008F3D8D" w:rsidRPr="008F3D8D" w:rsidRDefault="008F3D8D" w:rsidP="00A34E19">
            <w:pPr>
              <w:spacing w:after="240"/>
              <w:rPr>
                <w:sz w:val="16"/>
                <w:szCs w:val="16"/>
              </w:rPr>
            </w:pPr>
            <w:r w:rsidRPr="008F3D8D">
              <w:rPr>
                <w:sz w:val="16"/>
                <w:szCs w:val="16"/>
                <w:lang w:val="es-ES_tradnl"/>
              </w:rPr>
              <w:t>92,75% - encuesta de 2014</w:t>
            </w:r>
          </w:p>
        </w:tc>
        <w:tc>
          <w:tcPr>
            <w:tcW w:w="518" w:type="pct"/>
            <w:gridSpan w:val="2"/>
            <w:shd w:val="clear" w:color="auto" w:fill="auto"/>
            <w:tcMar>
              <w:top w:w="110" w:type="dxa"/>
              <w:left w:w="58" w:type="dxa"/>
              <w:right w:w="58" w:type="dxa"/>
            </w:tcMar>
          </w:tcPr>
          <w:p w:rsidR="008F3D8D" w:rsidRPr="008F3D8D" w:rsidRDefault="008F3D8D" w:rsidP="00A34E19">
            <w:pPr>
              <w:rPr>
                <w:sz w:val="16"/>
                <w:szCs w:val="16"/>
                <w:lang w:bidi="th-TH"/>
              </w:rPr>
            </w:pPr>
            <w:r w:rsidRPr="008F3D8D">
              <w:rPr>
                <w:sz w:val="16"/>
                <w:szCs w:val="16"/>
                <w:lang w:bidi="th-TH"/>
              </w:rPr>
              <w:t>90%</w:t>
            </w:r>
          </w:p>
        </w:tc>
        <w:tc>
          <w:tcPr>
            <w:tcW w:w="1414" w:type="pct"/>
            <w:shd w:val="clear" w:color="auto" w:fill="FFFFFF"/>
            <w:tcMar>
              <w:top w:w="110" w:type="dxa"/>
              <w:left w:w="58" w:type="dxa"/>
              <w:right w:w="58" w:type="dxa"/>
            </w:tcMar>
          </w:tcPr>
          <w:p w:rsidR="008F3D8D" w:rsidRPr="008F3D8D" w:rsidRDefault="008F3D8D" w:rsidP="00A34E19">
            <w:pPr>
              <w:keepNext/>
              <w:keepLines/>
              <w:rPr>
                <w:sz w:val="16"/>
                <w:szCs w:val="16"/>
              </w:rPr>
            </w:pPr>
            <w:r w:rsidRPr="008F3D8D">
              <w:rPr>
                <w:sz w:val="16"/>
                <w:szCs w:val="16"/>
              </w:rPr>
              <w:t xml:space="preserve">89% sobre la base de 276 respuestas de participantes en 11 seminarios </w:t>
            </w:r>
            <w:r w:rsidRPr="008F3D8D">
              <w:rPr>
                <w:sz w:val="16"/>
                <w:szCs w:val="16"/>
                <w:lang w:bidi="th-TH"/>
              </w:rPr>
              <w:t>(África 1;  región árabe 1;  Asia y el Pacífico 4;  América Latina y el Caribe 4;  Otros 1)</w:t>
            </w:r>
          </w:p>
        </w:tc>
        <w:tc>
          <w:tcPr>
            <w:tcW w:w="445" w:type="pct"/>
            <w:shd w:val="clear" w:color="auto" w:fill="auto"/>
            <w:tcMar>
              <w:top w:w="110" w:type="dxa"/>
              <w:left w:w="58" w:type="dxa"/>
              <w:right w:w="58" w:type="dxa"/>
            </w:tcMar>
          </w:tcPr>
          <w:p w:rsidR="008F3D8D" w:rsidRPr="008F3D8D" w:rsidRDefault="008F3D8D" w:rsidP="00A34E19">
            <w:pPr>
              <w:keepNext/>
              <w:keepLines/>
              <w:jc w:val="center"/>
              <w:rPr>
                <w:sz w:val="16"/>
                <w:szCs w:val="16"/>
              </w:rPr>
            </w:pPr>
            <w:r w:rsidRPr="008F3D8D">
              <w:rPr>
                <w:b/>
                <w:color w:val="00B050"/>
                <w:sz w:val="16"/>
                <w:szCs w:val="16"/>
              </w:rPr>
              <w:t>Avanza</w:t>
            </w:r>
          </w:p>
        </w:tc>
      </w:tr>
      <w:tr w:rsidR="008F3D8D" w:rsidRPr="008F3D8D" w:rsidTr="008F3D8D">
        <w:trPr>
          <w:trHeight w:val="1846"/>
        </w:trPr>
        <w:tc>
          <w:tcPr>
            <w:tcW w:w="1087" w:type="pct"/>
            <w:shd w:val="clear" w:color="auto" w:fill="auto"/>
            <w:tcMar>
              <w:left w:w="58" w:type="dxa"/>
              <w:right w:w="58" w:type="dxa"/>
            </w:tcMar>
          </w:tcPr>
          <w:p w:rsidR="008F3D8D" w:rsidRPr="008F3D8D" w:rsidRDefault="008F3D8D" w:rsidP="00A34E19">
            <w:pPr>
              <w:ind w:right="176"/>
              <w:rPr>
                <w:sz w:val="16"/>
                <w:szCs w:val="16"/>
              </w:rPr>
            </w:pPr>
            <w:r w:rsidRPr="008F3D8D">
              <w:rPr>
                <w:sz w:val="16"/>
                <w:szCs w:val="16"/>
                <w:lang w:val="es-ES_tradnl"/>
              </w:rPr>
              <w:lastRenderedPageBreak/>
              <w:t>Grado de satisfacción de los participantes en el Programa de Asistencia a Inventores (PAI)</w:t>
            </w:r>
          </w:p>
          <w:p w:rsidR="008F3D8D" w:rsidRPr="008F3D8D" w:rsidRDefault="008F3D8D" w:rsidP="00A34E19">
            <w:pPr>
              <w:rPr>
                <w:sz w:val="16"/>
                <w:szCs w:val="16"/>
              </w:rPr>
            </w:pPr>
          </w:p>
        </w:tc>
        <w:tc>
          <w:tcPr>
            <w:tcW w:w="1536" w:type="pct"/>
            <w:shd w:val="clear" w:color="auto" w:fill="auto"/>
            <w:tcMar>
              <w:left w:w="58" w:type="dxa"/>
              <w:right w:w="58" w:type="dxa"/>
            </w:tcMar>
          </w:tcPr>
          <w:p w:rsidR="008F3D8D" w:rsidRPr="008F3D8D" w:rsidRDefault="008F3D8D" w:rsidP="00A34E19">
            <w:pPr>
              <w:rPr>
                <w:i/>
                <w:color w:val="002060"/>
                <w:sz w:val="16"/>
                <w:szCs w:val="16"/>
              </w:rPr>
            </w:pPr>
            <w:r w:rsidRPr="008F3D8D">
              <w:rPr>
                <w:i/>
                <w:color w:val="002060"/>
                <w:sz w:val="16"/>
                <w:szCs w:val="16"/>
                <w:lang w:val="es-ES_tradnl"/>
              </w:rPr>
              <w:t>Referencia actualizada a fines de 2015:</w:t>
            </w:r>
            <w:r w:rsidRPr="008F3D8D">
              <w:rPr>
                <w:i/>
                <w:color w:val="002060"/>
                <w:sz w:val="16"/>
                <w:szCs w:val="16"/>
              </w:rPr>
              <w:t xml:space="preserve">  </w:t>
            </w:r>
          </w:p>
          <w:p w:rsidR="008F3D8D" w:rsidRPr="008F3D8D" w:rsidRDefault="008F3D8D" w:rsidP="00A34E19">
            <w:pPr>
              <w:rPr>
                <w:color w:val="002060"/>
                <w:sz w:val="16"/>
                <w:szCs w:val="16"/>
              </w:rPr>
            </w:pPr>
            <w:r w:rsidRPr="008F3D8D">
              <w:rPr>
                <w:color w:val="002060"/>
                <w:sz w:val="16"/>
                <w:szCs w:val="16"/>
              </w:rPr>
              <w:t>90% de satisfacción sobre la base de una encuesta efectuada a los miembros del Comité Directivo</w:t>
            </w:r>
          </w:p>
          <w:p w:rsidR="008F3D8D" w:rsidRPr="008F3D8D" w:rsidRDefault="008F3D8D" w:rsidP="00A34E19">
            <w:pPr>
              <w:rPr>
                <w:sz w:val="16"/>
                <w:szCs w:val="16"/>
              </w:rPr>
            </w:pPr>
          </w:p>
          <w:p w:rsidR="008F3D8D" w:rsidRPr="008F3D8D" w:rsidRDefault="008F3D8D" w:rsidP="00A34E19">
            <w:pPr>
              <w:rPr>
                <w:sz w:val="6"/>
                <w:szCs w:val="16"/>
              </w:rPr>
            </w:pPr>
          </w:p>
          <w:p w:rsidR="008F3D8D" w:rsidRPr="008F3D8D" w:rsidRDefault="008F3D8D" w:rsidP="00A34E19">
            <w:pPr>
              <w:rPr>
                <w:i/>
                <w:sz w:val="16"/>
                <w:szCs w:val="16"/>
                <w:lang w:bidi="th-TH"/>
              </w:rPr>
            </w:pPr>
            <w:r w:rsidRPr="008F3D8D">
              <w:rPr>
                <w:i/>
                <w:sz w:val="16"/>
                <w:szCs w:val="16"/>
                <w:lang w:val="es-ES_tradnl" w:bidi="th-TH"/>
              </w:rPr>
              <w:t>Referencia original en el presupuesto de 2016/2017:</w:t>
            </w:r>
            <w:r w:rsidRPr="008F3D8D">
              <w:rPr>
                <w:i/>
                <w:sz w:val="16"/>
                <w:szCs w:val="16"/>
                <w:lang w:bidi="th-TH"/>
              </w:rPr>
              <w:t xml:space="preserve">  </w:t>
            </w:r>
          </w:p>
          <w:p w:rsidR="008F3D8D" w:rsidRPr="008F3D8D" w:rsidRDefault="008F3D8D" w:rsidP="00A34E19">
            <w:pPr>
              <w:spacing w:after="240"/>
              <w:rPr>
                <w:sz w:val="16"/>
                <w:szCs w:val="16"/>
              </w:rPr>
            </w:pPr>
            <w:r w:rsidRPr="008F3D8D">
              <w:rPr>
                <w:sz w:val="16"/>
                <w:szCs w:val="16"/>
                <w:lang w:val="es-ES_tradnl"/>
              </w:rPr>
              <w:t>n.d.</w:t>
            </w:r>
            <w:r w:rsidRPr="008F3D8D">
              <w:rPr>
                <w:sz w:val="16"/>
                <w:szCs w:val="16"/>
              </w:rPr>
              <w:t xml:space="preserve"> </w:t>
            </w:r>
          </w:p>
        </w:tc>
        <w:tc>
          <w:tcPr>
            <w:tcW w:w="518" w:type="pct"/>
            <w:gridSpan w:val="2"/>
            <w:shd w:val="clear" w:color="auto" w:fill="auto"/>
            <w:tcMar>
              <w:top w:w="110" w:type="dxa"/>
              <w:left w:w="58" w:type="dxa"/>
              <w:right w:w="58" w:type="dxa"/>
            </w:tcMar>
          </w:tcPr>
          <w:p w:rsidR="008F3D8D" w:rsidRPr="008F3D8D" w:rsidRDefault="008F3D8D" w:rsidP="00A34E19">
            <w:pPr>
              <w:keepNext/>
              <w:keepLines/>
              <w:rPr>
                <w:sz w:val="16"/>
                <w:szCs w:val="16"/>
              </w:rPr>
            </w:pPr>
            <w:r w:rsidRPr="008F3D8D">
              <w:rPr>
                <w:sz w:val="16"/>
                <w:szCs w:val="16"/>
              </w:rPr>
              <w:t>90%</w:t>
            </w:r>
          </w:p>
        </w:tc>
        <w:tc>
          <w:tcPr>
            <w:tcW w:w="1414" w:type="pct"/>
            <w:shd w:val="clear" w:color="auto" w:fill="FFFFFF"/>
            <w:tcMar>
              <w:top w:w="110" w:type="dxa"/>
              <w:left w:w="58" w:type="dxa"/>
              <w:right w:w="58" w:type="dxa"/>
            </w:tcMar>
          </w:tcPr>
          <w:p w:rsidR="008F3D8D" w:rsidRPr="008F3D8D" w:rsidRDefault="008F3D8D" w:rsidP="00A34E19">
            <w:pPr>
              <w:keepNext/>
              <w:keepLines/>
              <w:rPr>
                <w:sz w:val="16"/>
                <w:szCs w:val="16"/>
              </w:rPr>
            </w:pPr>
            <w:r w:rsidRPr="008F3D8D">
              <w:rPr>
                <w:sz w:val="16"/>
                <w:szCs w:val="16"/>
              </w:rPr>
              <w:t>84% sobre la base de 4 respuestas de inventores y 7 de otros participantes</w:t>
            </w:r>
          </w:p>
        </w:tc>
        <w:tc>
          <w:tcPr>
            <w:tcW w:w="445" w:type="pct"/>
            <w:shd w:val="clear" w:color="auto" w:fill="auto"/>
            <w:tcMar>
              <w:top w:w="110" w:type="dxa"/>
              <w:left w:w="58" w:type="dxa"/>
              <w:right w:w="58" w:type="dxa"/>
            </w:tcMar>
          </w:tcPr>
          <w:p w:rsidR="008F3D8D" w:rsidRPr="008F3D8D" w:rsidRDefault="008F3D8D" w:rsidP="00A34E19">
            <w:pPr>
              <w:keepNext/>
              <w:keepLines/>
              <w:jc w:val="center"/>
              <w:rPr>
                <w:sz w:val="16"/>
                <w:szCs w:val="16"/>
              </w:rPr>
            </w:pPr>
            <w:r w:rsidRPr="008F3D8D">
              <w:rPr>
                <w:b/>
                <w:color w:val="00B050"/>
                <w:sz w:val="16"/>
                <w:szCs w:val="16"/>
              </w:rPr>
              <w:t>Avanza</w:t>
            </w:r>
          </w:p>
        </w:tc>
      </w:tr>
      <w:tr w:rsidR="008F3D8D" w:rsidRPr="008F3D8D" w:rsidTr="00A34E19">
        <w:trPr>
          <w:trHeight w:val="565"/>
        </w:trPr>
        <w:tc>
          <w:tcPr>
            <w:tcW w:w="5000" w:type="pct"/>
            <w:gridSpan w:val="6"/>
            <w:shd w:val="clear" w:color="auto" w:fill="C6D9F1" w:themeFill="text2" w:themeFillTint="33"/>
            <w:tcMar>
              <w:left w:w="58" w:type="dxa"/>
              <w:right w:w="58" w:type="dxa"/>
            </w:tcMar>
            <w:vAlign w:val="center"/>
          </w:tcPr>
          <w:p w:rsidR="008F3D8D" w:rsidRPr="008F3D8D" w:rsidRDefault="008F3D8D" w:rsidP="00A34E19">
            <w:pPr>
              <w:keepNext/>
              <w:keepLines/>
              <w:tabs>
                <w:tab w:val="left" w:pos="1452"/>
                <w:tab w:val="left" w:pos="1684"/>
              </w:tabs>
              <w:rPr>
                <w:b/>
                <w:bCs/>
                <w:sz w:val="16"/>
                <w:szCs w:val="16"/>
              </w:rPr>
            </w:pPr>
            <w:r w:rsidRPr="008F3D8D">
              <w:rPr>
                <w:b/>
                <w:bCs/>
                <w:sz w:val="16"/>
                <w:szCs w:val="16"/>
              </w:rPr>
              <w:t>Resultado previsto:</w:t>
            </w:r>
            <w:r w:rsidRPr="008F3D8D">
              <w:rPr>
                <w:b/>
                <w:bCs/>
                <w:sz w:val="16"/>
                <w:szCs w:val="16"/>
              </w:rPr>
              <w:tab/>
            </w:r>
            <w:r w:rsidRPr="008F3D8D">
              <w:rPr>
                <w:bCs/>
                <w:sz w:val="16"/>
                <w:szCs w:val="16"/>
                <w:lang w:val="es-ES_tradnl"/>
              </w:rPr>
              <w:t>I.2  Marcos de P.I. adaptados y equilibrados en el ámbito legislativo, regulador y de política</w:t>
            </w:r>
          </w:p>
        </w:tc>
      </w:tr>
      <w:tr w:rsidR="008F3D8D" w:rsidRPr="008F3D8D" w:rsidTr="00A34E19">
        <w:tc>
          <w:tcPr>
            <w:tcW w:w="1087" w:type="pct"/>
            <w:shd w:val="clear" w:color="auto" w:fill="auto"/>
            <w:tcMar>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Indicadores de rendimiento</w:t>
            </w:r>
          </w:p>
        </w:tc>
        <w:tc>
          <w:tcPr>
            <w:tcW w:w="1582" w:type="pct"/>
            <w:gridSpan w:val="2"/>
            <w:shd w:val="clear" w:color="auto" w:fill="auto"/>
            <w:tcMar>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Referencia</w:t>
            </w:r>
          </w:p>
        </w:tc>
        <w:tc>
          <w:tcPr>
            <w:tcW w:w="472" w:type="pct"/>
            <w:shd w:val="clear" w:color="auto" w:fill="auto"/>
            <w:tcMar>
              <w:top w:w="110" w:type="dxa"/>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Objetivos</w:t>
            </w:r>
          </w:p>
        </w:tc>
        <w:tc>
          <w:tcPr>
            <w:tcW w:w="1414" w:type="pct"/>
            <w:shd w:val="clear" w:color="auto" w:fill="FFFFFF"/>
            <w:tcMar>
              <w:top w:w="110" w:type="dxa"/>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Datos sobre el rendimiento</w:t>
            </w:r>
          </w:p>
        </w:tc>
        <w:tc>
          <w:tcPr>
            <w:tcW w:w="445" w:type="pct"/>
            <w:shd w:val="clear" w:color="auto" w:fill="auto"/>
            <w:tcMar>
              <w:top w:w="110" w:type="dxa"/>
              <w:left w:w="58" w:type="dxa"/>
              <w:right w:w="58" w:type="dxa"/>
            </w:tcMar>
            <w:vAlign w:val="center"/>
          </w:tcPr>
          <w:p w:rsidR="008F3D8D" w:rsidRPr="008F3D8D" w:rsidRDefault="008F3D8D" w:rsidP="00A34E19">
            <w:pPr>
              <w:keepNext/>
              <w:keepLines/>
              <w:jc w:val="center"/>
              <w:rPr>
                <w:b/>
                <w:bCs/>
                <w:sz w:val="16"/>
                <w:szCs w:val="16"/>
              </w:rPr>
            </w:pPr>
            <w:r w:rsidRPr="008F3D8D">
              <w:rPr>
                <w:b/>
                <w:bCs/>
                <w:sz w:val="16"/>
                <w:szCs w:val="16"/>
                <w:lang w:val="es-ES_tradnl"/>
              </w:rPr>
              <w:t>Clave de colores</w:t>
            </w:r>
          </w:p>
        </w:tc>
      </w:tr>
      <w:tr w:rsidR="008F3D8D" w:rsidRPr="008F3D8D" w:rsidTr="00A34E19">
        <w:trPr>
          <w:trHeight w:val="1740"/>
        </w:trPr>
        <w:tc>
          <w:tcPr>
            <w:tcW w:w="1087" w:type="pct"/>
            <w:shd w:val="clear" w:color="auto" w:fill="auto"/>
            <w:tcMar>
              <w:left w:w="58" w:type="dxa"/>
              <w:right w:w="58" w:type="dxa"/>
            </w:tcMar>
          </w:tcPr>
          <w:p w:rsidR="008F3D8D" w:rsidRPr="008F3D8D" w:rsidRDefault="008F3D8D" w:rsidP="00A34E19">
            <w:pPr>
              <w:ind w:right="176"/>
              <w:rPr>
                <w:sz w:val="16"/>
                <w:szCs w:val="16"/>
              </w:rPr>
            </w:pPr>
            <w:r w:rsidRPr="008F3D8D">
              <w:rPr>
                <w:sz w:val="16"/>
                <w:szCs w:val="16"/>
                <w:lang w:val="es-ES_tradnl"/>
              </w:rPr>
              <w:t>% de destinatarios que consideran útil la información brindada en relación con los principios legales y las prácticas de los sistemas de patentes, modelos de utilidad y esquemas de trazado de circuitos integrados, incluidas las flexibilidades</w:t>
            </w:r>
          </w:p>
        </w:tc>
        <w:tc>
          <w:tcPr>
            <w:tcW w:w="1582" w:type="pct"/>
            <w:gridSpan w:val="2"/>
            <w:shd w:val="clear" w:color="auto" w:fill="auto"/>
            <w:tcMar>
              <w:left w:w="58" w:type="dxa"/>
              <w:right w:w="58" w:type="dxa"/>
            </w:tcMar>
          </w:tcPr>
          <w:p w:rsidR="008F3D8D" w:rsidRPr="008F3D8D" w:rsidRDefault="008F3D8D" w:rsidP="00A34E19">
            <w:pPr>
              <w:rPr>
                <w:i/>
                <w:color w:val="002060"/>
                <w:sz w:val="16"/>
                <w:szCs w:val="16"/>
              </w:rPr>
            </w:pPr>
            <w:r w:rsidRPr="008F3D8D">
              <w:rPr>
                <w:i/>
                <w:color w:val="002060"/>
                <w:sz w:val="16"/>
                <w:szCs w:val="16"/>
                <w:lang w:val="es-ES_tradnl"/>
              </w:rPr>
              <w:t>Referencia actualizada a fines de 2015:</w:t>
            </w:r>
            <w:r w:rsidRPr="008F3D8D">
              <w:rPr>
                <w:i/>
                <w:color w:val="002060"/>
                <w:sz w:val="16"/>
                <w:szCs w:val="16"/>
              </w:rPr>
              <w:t xml:space="preserve">  </w:t>
            </w:r>
          </w:p>
          <w:p w:rsidR="008F3D8D" w:rsidRPr="008F3D8D" w:rsidRDefault="008F3D8D" w:rsidP="00A34E19">
            <w:pPr>
              <w:rPr>
                <w:color w:val="002060"/>
                <w:sz w:val="16"/>
                <w:szCs w:val="16"/>
                <w:lang w:bidi="th-TH"/>
              </w:rPr>
            </w:pPr>
            <w:r w:rsidRPr="008F3D8D">
              <w:rPr>
                <w:color w:val="002060"/>
                <w:sz w:val="16"/>
                <w:szCs w:val="16"/>
                <w:lang w:bidi="th-TH"/>
              </w:rPr>
              <w:t xml:space="preserve">95,24% sobre la base de 24 respuestas </w:t>
            </w:r>
          </w:p>
          <w:p w:rsidR="008F3D8D" w:rsidRPr="008F3D8D" w:rsidRDefault="008F3D8D" w:rsidP="00A34E19">
            <w:pPr>
              <w:rPr>
                <w:i/>
                <w:sz w:val="16"/>
                <w:szCs w:val="16"/>
              </w:rPr>
            </w:pPr>
          </w:p>
          <w:p w:rsidR="008F3D8D" w:rsidRPr="008F3D8D" w:rsidRDefault="008F3D8D" w:rsidP="00A34E19">
            <w:pPr>
              <w:rPr>
                <w:sz w:val="6"/>
                <w:szCs w:val="16"/>
              </w:rPr>
            </w:pPr>
          </w:p>
          <w:p w:rsidR="008F3D8D" w:rsidRPr="008F3D8D" w:rsidRDefault="008F3D8D" w:rsidP="00A34E19">
            <w:pPr>
              <w:rPr>
                <w:i/>
                <w:sz w:val="16"/>
                <w:szCs w:val="16"/>
                <w:lang w:bidi="th-TH"/>
              </w:rPr>
            </w:pPr>
            <w:r w:rsidRPr="008F3D8D">
              <w:rPr>
                <w:i/>
                <w:sz w:val="16"/>
                <w:szCs w:val="16"/>
                <w:lang w:val="es-ES_tradnl" w:bidi="th-TH"/>
              </w:rPr>
              <w:t>Referencia original en el presupuesto de 2016/2017:</w:t>
            </w:r>
            <w:r w:rsidRPr="008F3D8D">
              <w:rPr>
                <w:i/>
                <w:sz w:val="16"/>
                <w:szCs w:val="16"/>
                <w:lang w:bidi="th-TH"/>
              </w:rPr>
              <w:t xml:space="preserve">  </w:t>
            </w:r>
          </w:p>
          <w:p w:rsidR="008F3D8D" w:rsidRPr="008F3D8D" w:rsidRDefault="008F3D8D" w:rsidP="00A34E19">
            <w:pPr>
              <w:rPr>
                <w:sz w:val="16"/>
                <w:szCs w:val="16"/>
              </w:rPr>
            </w:pPr>
            <w:r w:rsidRPr="008F3D8D">
              <w:rPr>
                <w:sz w:val="16"/>
                <w:szCs w:val="16"/>
                <w:lang w:val="es-ES_tradnl"/>
              </w:rPr>
              <w:t>7 países/participantes (85,7%) – encuesta de 2014</w:t>
            </w:r>
          </w:p>
        </w:tc>
        <w:tc>
          <w:tcPr>
            <w:tcW w:w="472" w:type="pct"/>
            <w:shd w:val="clear" w:color="auto" w:fill="auto"/>
            <w:tcMar>
              <w:top w:w="110" w:type="dxa"/>
              <w:left w:w="58" w:type="dxa"/>
              <w:right w:w="58" w:type="dxa"/>
            </w:tcMar>
          </w:tcPr>
          <w:p w:rsidR="008F3D8D" w:rsidRPr="008F3D8D" w:rsidRDefault="008F3D8D" w:rsidP="00A34E19">
            <w:pPr>
              <w:rPr>
                <w:sz w:val="16"/>
                <w:szCs w:val="16"/>
                <w:lang w:bidi="th-TH"/>
              </w:rPr>
            </w:pPr>
            <w:r w:rsidRPr="008F3D8D">
              <w:rPr>
                <w:sz w:val="16"/>
                <w:szCs w:val="16"/>
                <w:lang w:bidi="th-TH"/>
              </w:rPr>
              <w:t>90%</w:t>
            </w:r>
          </w:p>
        </w:tc>
        <w:tc>
          <w:tcPr>
            <w:tcW w:w="1414" w:type="pct"/>
            <w:shd w:val="clear" w:color="auto" w:fill="FFFFFF"/>
            <w:tcMar>
              <w:top w:w="110" w:type="dxa"/>
              <w:left w:w="58" w:type="dxa"/>
              <w:right w:w="58" w:type="dxa"/>
            </w:tcMar>
          </w:tcPr>
          <w:p w:rsidR="008F3D8D" w:rsidRPr="008F3D8D" w:rsidRDefault="008F3D8D" w:rsidP="00A34E19">
            <w:pPr>
              <w:rPr>
                <w:sz w:val="16"/>
                <w:szCs w:val="16"/>
              </w:rPr>
            </w:pPr>
            <w:r w:rsidRPr="008F3D8D">
              <w:rPr>
                <w:sz w:val="16"/>
                <w:szCs w:val="16"/>
                <w:lang w:bidi="th-TH"/>
              </w:rPr>
              <w:t xml:space="preserve">100% sobre la base de 24 respuestas de participantes en 2 actividades de formación (Belarús y Filipinas) </w:t>
            </w:r>
          </w:p>
        </w:tc>
        <w:tc>
          <w:tcPr>
            <w:tcW w:w="445" w:type="pct"/>
            <w:shd w:val="clear" w:color="auto" w:fill="auto"/>
            <w:tcMar>
              <w:top w:w="110" w:type="dxa"/>
              <w:left w:w="58" w:type="dxa"/>
              <w:right w:w="58" w:type="dxa"/>
            </w:tcMar>
          </w:tcPr>
          <w:p w:rsidR="008F3D8D" w:rsidRPr="008F3D8D" w:rsidRDefault="008F3D8D" w:rsidP="00A34E19">
            <w:pPr>
              <w:keepNext/>
              <w:keepLines/>
              <w:jc w:val="center"/>
              <w:rPr>
                <w:sz w:val="16"/>
                <w:szCs w:val="16"/>
              </w:rPr>
            </w:pPr>
            <w:r w:rsidRPr="008F3D8D">
              <w:rPr>
                <w:b/>
                <w:color w:val="00B050"/>
                <w:sz w:val="16"/>
                <w:szCs w:val="16"/>
              </w:rPr>
              <w:t>Avanza</w:t>
            </w:r>
          </w:p>
        </w:tc>
      </w:tr>
      <w:tr w:rsidR="008F3D8D" w:rsidRPr="008F3D8D" w:rsidTr="00A34E19">
        <w:trPr>
          <w:trHeight w:val="1914"/>
        </w:trPr>
        <w:tc>
          <w:tcPr>
            <w:tcW w:w="1087" w:type="pct"/>
            <w:shd w:val="clear" w:color="auto" w:fill="auto"/>
            <w:tcMar>
              <w:left w:w="58" w:type="dxa"/>
              <w:right w:w="58" w:type="dxa"/>
            </w:tcMar>
          </w:tcPr>
          <w:p w:rsidR="008F3D8D" w:rsidRPr="008F3D8D" w:rsidRDefault="008F3D8D" w:rsidP="00A34E19">
            <w:pPr>
              <w:ind w:right="176"/>
              <w:rPr>
                <w:sz w:val="16"/>
                <w:szCs w:val="16"/>
              </w:rPr>
            </w:pPr>
            <w:r w:rsidRPr="008F3D8D">
              <w:rPr>
                <w:sz w:val="16"/>
                <w:szCs w:val="16"/>
                <w:lang w:val="es-ES_tradnl"/>
              </w:rPr>
              <w:t>N.º y % de Estados miembros satisfechos con el asesoramiento legislativo y de política proporcionado</w:t>
            </w:r>
            <w:r w:rsidRPr="008F3D8D">
              <w:rPr>
                <w:sz w:val="16"/>
                <w:szCs w:val="16"/>
              </w:rPr>
              <w:t xml:space="preserve"> </w:t>
            </w:r>
          </w:p>
        </w:tc>
        <w:tc>
          <w:tcPr>
            <w:tcW w:w="1582" w:type="pct"/>
            <w:gridSpan w:val="2"/>
            <w:shd w:val="clear" w:color="auto" w:fill="auto"/>
            <w:tcMar>
              <w:left w:w="58" w:type="dxa"/>
              <w:right w:w="58" w:type="dxa"/>
            </w:tcMar>
          </w:tcPr>
          <w:p w:rsidR="008F3D8D" w:rsidRPr="008F3D8D" w:rsidRDefault="008F3D8D" w:rsidP="00A34E19">
            <w:pPr>
              <w:rPr>
                <w:i/>
                <w:color w:val="002060"/>
                <w:sz w:val="16"/>
                <w:szCs w:val="16"/>
              </w:rPr>
            </w:pPr>
            <w:r w:rsidRPr="008F3D8D">
              <w:rPr>
                <w:i/>
                <w:color w:val="002060"/>
                <w:sz w:val="16"/>
                <w:szCs w:val="16"/>
                <w:lang w:val="es-ES_tradnl"/>
              </w:rPr>
              <w:t>Referencia actualizada a fines de 2015:</w:t>
            </w:r>
            <w:r w:rsidRPr="008F3D8D">
              <w:rPr>
                <w:i/>
                <w:color w:val="002060"/>
                <w:sz w:val="16"/>
                <w:szCs w:val="16"/>
              </w:rPr>
              <w:t xml:space="preserve">  </w:t>
            </w:r>
          </w:p>
          <w:p w:rsidR="008F3D8D" w:rsidRPr="008F3D8D" w:rsidRDefault="008F3D8D" w:rsidP="00A34E19">
            <w:pPr>
              <w:rPr>
                <w:color w:val="002060"/>
                <w:sz w:val="16"/>
                <w:szCs w:val="16"/>
                <w:lang w:bidi="th-TH"/>
              </w:rPr>
            </w:pPr>
            <w:r w:rsidRPr="008F3D8D">
              <w:rPr>
                <w:color w:val="002060"/>
                <w:sz w:val="16"/>
                <w:szCs w:val="16"/>
                <w:lang w:bidi="th-TH"/>
              </w:rPr>
              <w:t xml:space="preserve">En 2014/15, 9 encuestados indicaron una media de satisfacción del 94% </w:t>
            </w:r>
          </w:p>
          <w:p w:rsidR="008F3D8D" w:rsidRPr="008F3D8D" w:rsidRDefault="008F3D8D" w:rsidP="00A34E19">
            <w:pPr>
              <w:rPr>
                <w:color w:val="002060"/>
                <w:sz w:val="16"/>
                <w:szCs w:val="16"/>
              </w:rPr>
            </w:pPr>
            <w:r w:rsidRPr="008F3D8D">
              <w:rPr>
                <w:i/>
                <w:color w:val="002060"/>
                <w:sz w:val="16"/>
                <w:szCs w:val="16"/>
              </w:rPr>
              <w:t>(</w:t>
            </w:r>
            <w:r w:rsidRPr="008F3D8D">
              <w:rPr>
                <w:color w:val="002060"/>
                <w:sz w:val="16"/>
                <w:szCs w:val="16"/>
                <w:lang w:val="es-ES_tradnl"/>
              </w:rPr>
              <w:t>África-3;  Países árabes-1;  Asia y el Pacífico-2;  Determinados países de Europa y Asia-2;  América Latina y el Caribe  Otros-1)</w:t>
            </w:r>
          </w:p>
          <w:p w:rsidR="008F3D8D" w:rsidRPr="008F3D8D" w:rsidRDefault="008F3D8D" w:rsidP="00A34E19">
            <w:pPr>
              <w:rPr>
                <w:sz w:val="6"/>
                <w:szCs w:val="16"/>
              </w:rPr>
            </w:pPr>
          </w:p>
          <w:p w:rsidR="008F3D8D" w:rsidRPr="008F3D8D" w:rsidRDefault="008F3D8D" w:rsidP="00A34E19">
            <w:pPr>
              <w:rPr>
                <w:i/>
                <w:sz w:val="16"/>
                <w:szCs w:val="16"/>
                <w:lang w:bidi="th-TH"/>
              </w:rPr>
            </w:pPr>
            <w:r w:rsidRPr="008F3D8D">
              <w:rPr>
                <w:i/>
                <w:sz w:val="16"/>
                <w:szCs w:val="16"/>
                <w:lang w:val="es-ES_tradnl" w:bidi="th-TH"/>
              </w:rPr>
              <w:t>Referencia original en el presupuesto de 2016/2017:</w:t>
            </w:r>
            <w:r w:rsidRPr="008F3D8D">
              <w:rPr>
                <w:i/>
                <w:sz w:val="16"/>
                <w:szCs w:val="16"/>
                <w:lang w:bidi="th-TH"/>
              </w:rPr>
              <w:t xml:space="preserve">  </w:t>
            </w:r>
          </w:p>
          <w:p w:rsidR="008F3D8D" w:rsidRPr="008F3D8D" w:rsidRDefault="008F3D8D" w:rsidP="00A34E19">
            <w:pPr>
              <w:spacing w:after="240"/>
              <w:rPr>
                <w:sz w:val="16"/>
                <w:szCs w:val="16"/>
              </w:rPr>
            </w:pPr>
            <w:r w:rsidRPr="008F3D8D">
              <w:rPr>
                <w:sz w:val="16"/>
                <w:szCs w:val="16"/>
                <w:lang w:val="es-ES_tradnl"/>
              </w:rPr>
              <w:t>8 Estados miembros (90%) – encuesta de 2014</w:t>
            </w:r>
          </w:p>
        </w:tc>
        <w:tc>
          <w:tcPr>
            <w:tcW w:w="472" w:type="pct"/>
            <w:shd w:val="clear" w:color="auto" w:fill="auto"/>
            <w:tcMar>
              <w:top w:w="110" w:type="dxa"/>
              <w:left w:w="58" w:type="dxa"/>
              <w:right w:w="58" w:type="dxa"/>
            </w:tcMar>
          </w:tcPr>
          <w:p w:rsidR="008F3D8D" w:rsidRPr="008F3D8D" w:rsidRDefault="008F3D8D" w:rsidP="00A34E19">
            <w:pPr>
              <w:rPr>
                <w:sz w:val="16"/>
                <w:szCs w:val="16"/>
                <w:lang w:bidi="th-TH"/>
              </w:rPr>
            </w:pPr>
            <w:r w:rsidRPr="008F3D8D">
              <w:rPr>
                <w:sz w:val="16"/>
                <w:szCs w:val="16"/>
                <w:lang w:bidi="th-TH"/>
              </w:rPr>
              <w:t>90%</w:t>
            </w:r>
          </w:p>
        </w:tc>
        <w:tc>
          <w:tcPr>
            <w:tcW w:w="1414" w:type="pct"/>
            <w:shd w:val="clear" w:color="auto" w:fill="FFFFFF"/>
            <w:tcMar>
              <w:top w:w="110" w:type="dxa"/>
              <w:left w:w="58" w:type="dxa"/>
              <w:right w:w="58" w:type="dxa"/>
            </w:tcMar>
          </w:tcPr>
          <w:p w:rsidR="008F3D8D" w:rsidRPr="008F3D8D" w:rsidRDefault="008F3D8D" w:rsidP="00A34E19">
            <w:pPr>
              <w:keepNext/>
              <w:keepLines/>
              <w:rPr>
                <w:sz w:val="16"/>
                <w:szCs w:val="16"/>
              </w:rPr>
            </w:pPr>
            <w:r w:rsidRPr="008F3D8D">
              <w:rPr>
                <w:sz w:val="16"/>
                <w:szCs w:val="16"/>
                <w:lang w:bidi="th-TH"/>
              </w:rPr>
              <w:t>Grado de satisfacción del 92% sobre la base de 7 respuestas (África 1;  región árabe 1;  Asia y el Pacífico 2;  América Latina y el Caribe 3)</w:t>
            </w:r>
          </w:p>
        </w:tc>
        <w:tc>
          <w:tcPr>
            <w:tcW w:w="445" w:type="pct"/>
            <w:shd w:val="clear" w:color="auto" w:fill="auto"/>
            <w:tcMar>
              <w:top w:w="110" w:type="dxa"/>
              <w:left w:w="58" w:type="dxa"/>
              <w:right w:w="58" w:type="dxa"/>
            </w:tcMar>
          </w:tcPr>
          <w:p w:rsidR="008F3D8D" w:rsidRPr="008F3D8D" w:rsidRDefault="008F3D8D" w:rsidP="00A34E19">
            <w:pPr>
              <w:keepNext/>
              <w:keepLines/>
              <w:jc w:val="center"/>
              <w:rPr>
                <w:sz w:val="16"/>
                <w:szCs w:val="16"/>
              </w:rPr>
            </w:pPr>
            <w:r w:rsidRPr="008F3D8D">
              <w:rPr>
                <w:b/>
                <w:color w:val="00B050"/>
                <w:sz w:val="16"/>
                <w:szCs w:val="16"/>
              </w:rPr>
              <w:t>Avanza</w:t>
            </w:r>
          </w:p>
        </w:tc>
      </w:tr>
      <w:tr w:rsidR="008F3D8D" w:rsidRPr="008F3D8D" w:rsidTr="00A34E19">
        <w:trPr>
          <w:trHeight w:val="565"/>
        </w:trPr>
        <w:tc>
          <w:tcPr>
            <w:tcW w:w="5000" w:type="pct"/>
            <w:gridSpan w:val="6"/>
            <w:shd w:val="clear" w:color="auto" w:fill="C6D9F1" w:themeFill="text2" w:themeFillTint="33"/>
            <w:tcMar>
              <w:left w:w="58" w:type="dxa"/>
              <w:right w:w="58" w:type="dxa"/>
            </w:tcMar>
            <w:vAlign w:val="center"/>
          </w:tcPr>
          <w:p w:rsidR="008F3D8D" w:rsidRPr="008F3D8D" w:rsidRDefault="008F3D8D" w:rsidP="00A34E19">
            <w:pPr>
              <w:keepNext/>
              <w:keepLines/>
              <w:tabs>
                <w:tab w:val="left" w:pos="1452"/>
                <w:tab w:val="left" w:pos="1717"/>
              </w:tabs>
              <w:ind w:left="1717" w:hanging="1717"/>
              <w:rPr>
                <w:b/>
                <w:bCs/>
                <w:sz w:val="16"/>
                <w:szCs w:val="16"/>
              </w:rPr>
            </w:pPr>
            <w:r w:rsidRPr="008F3D8D">
              <w:rPr>
                <w:b/>
                <w:bCs/>
                <w:sz w:val="16"/>
                <w:szCs w:val="16"/>
              </w:rPr>
              <w:t>Resultado previsto:</w:t>
            </w:r>
            <w:r w:rsidRPr="008F3D8D">
              <w:rPr>
                <w:b/>
                <w:bCs/>
                <w:sz w:val="16"/>
                <w:szCs w:val="16"/>
              </w:rPr>
              <w:tab/>
            </w:r>
            <w:r w:rsidRPr="008F3D8D">
              <w:rPr>
                <w:bCs/>
                <w:sz w:val="16"/>
                <w:szCs w:val="16"/>
                <w:lang w:val="es-ES_tradnl"/>
              </w:rPr>
              <w:t>I.4  Interés creciente en que la OMPI sea un foro de análisis de cuestiones relacionadas con la protección internacional de las patentes, los modelos de utilidad, los esquemas de trazado (topografías) de circuitos integrados y la información confidencial</w:t>
            </w:r>
          </w:p>
        </w:tc>
      </w:tr>
      <w:tr w:rsidR="008F3D8D" w:rsidRPr="008F3D8D" w:rsidTr="00A34E19">
        <w:tc>
          <w:tcPr>
            <w:tcW w:w="1087" w:type="pct"/>
            <w:shd w:val="clear" w:color="auto" w:fill="auto"/>
            <w:tcMar>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Indicadores de rendimiento</w:t>
            </w:r>
          </w:p>
        </w:tc>
        <w:tc>
          <w:tcPr>
            <w:tcW w:w="1582" w:type="pct"/>
            <w:gridSpan w:val="2"/>
            <w:shd w:val="clear" w:color="auto" w:fill="auto"/>
            <w:tcMar>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Referencia</w:t>
            </w:r>
          </w:p>
        </w:tc>
        <w:tc>
          <w:tcPr>
            <w:tcW w:w="472" w:type="pct"/>
            <w:shd w:val="clear" w:color="auto" w:fill="auto"/>
            <w:tcMar>
              <w:top w:w="110" w:type="dxa"/>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Objetivos</w:t>
            </w:r>
          </w:p>
        </w:tc>
        <w:tc>
          <w:tcPr>
            <w:tcW w:w="1414" w:type="pct"/>
            <w:shd w:val="clear" w:color="auto" w:fill="FFFFFF"/>
            <w:tcMar>
              <w:top w:w="110" w:type="dxa"/>
              <w:left w:w="58" w:type="dxa"/>
              <w:right w:w="58" w:type="dxa"/>
            </w:tcMar>
            <w:vAlign w:val="center"/>
          </w:tcPr>
          <w:p w:rsidR="008F3D8D" w:rsidRPr="008F3D8D" w:rsidRDefault="008F3D8D" w:rsidP="00A34E19">
            <w:pPr>
              <w:rPr>
                <w:b/>
                <w:bCs/>
                <w:sz w:val="16"/>
                <w:szCs w:val="16"/>
              </w:rPr>
            </w:pPr>
            <w:r w:rsidRPr="008F3D8D">
              <w:rPr>
                <w:b/>
                <w:bCs/>
                <w:sz w:val="16"/>
                <w:szCs w:val="16"/>
                <w:lang w:val="es-ES_tradnl"/>
              </w:rPr>
              <w:t>Datos sobre el rendimiento</w:t>
            </w:r>
          </w:p>
        </w:tc>
        <w:tc>
          <w:tcPr>
            <w:tcW w:w="445" w:type="pct"/>
            <w:shd w:val="clear" w:color="auto" w:fill="auto"/>
            <w:tcMar>
              <w:top w:w="110" w:type="dxa"/>
              <w:left w:w="58" w:type="dxa"/>
              <w:right w:w="58" w:type="dxa"/>
            </w:tcMar>
            <w:vAlign w:val="center"/>
          </w:tcPr>
          <w:p w:rsidR="008F3D8D" w:rsidRPr="008F3D8D" w:rsidRDefault="008F3D8D" w:rsidP="00A34E19">
            <w:pPr>
              <w:keepNext/>
              <w:keepLines/>
              <w:jc w:val="center"/>
              <w:rPr>
                <w:b/>
                <w:bCs/>
                <w:sz w:val="16"/>
                <w:szCs w:val="16"/>
              </w:rPr>
            </w:pPr>
            <w:r w:rsidRPr="008F3D8D">
              <w:rPr>
                <w:b/>
                <w:bCs/>
                <w:sz w:val="16"/>
                <w:szCs w:val="16"/>
                <w:lang w:val="es-ES_tradnl"/>
              </w:rPr>
              <w:t>Clave de colores</w:t>
            </w:r>
          </w:p>
        </w:tc>
      </w:tr>
      <w:tr w:rsidR="008F3D8D" w:rsidRPr="008F3D8D" w:rsidTr="00A34E19">
        <w:trPr>
          <w:trHeight w:val="1582"/>
        </w:trPr>
        <w:tc>
          <w:tcPr>
            <w:tcW w:w="1087" w:type="pct"/>
            <w:shd w:val="clear" w:color="auto" w:fill="auto"/>
            <w:tcMar>
              <w:left w:w="58" w:type="dxa"/>
              <w:right w:w="58" w:type="dxa"/>
            </w:tcMar>
          </w:tcPr>
          <w:p w:rsidR="008F3D8D" w:rsidRPr="008F3D8D" w:rsidRDefault="008F3D8D" w:rsidP="00A34E19">
            <w:pPr>
              <w:keepNext/>
              <w:keepLines/>
              <w:ind w:right="176"/>
              <w:rPr>
                <w:sz w:val="16"/>
                <w:szCs w:val="16"/>
              </w:rPr>
            </w:pPr>
            <w:r w:rsidRPr="008F3D8D">
              <w:rPr>
                <w:sz w:val="16"/>
                <w:szCs w:val="16"/>
                <w:lang w:val="es-ES_tradnl"/>
              </w:rPr>
              <w:t>% de destinatarios que consideran útil la información brindada en relación con los principios legales, y las prácticas, en materia de protección de las patentes, los modelos de utilidad, los esquemas e trazado (topografías) de circuitos integrados y la información confidencial</w:t>
            </w:r>
            <w:r w:rsidRPr="008F3D8D">
              <w:rPr>
                <w:sz w:val="16"/>
                <w:szCs w:val="16"/>
              </w:rPr>
              <w:t xml:space="preserve"> </w:t>
            </w:r>
          </w:p>
        </w:tc>
        <w:tc>
          <w:tcPr>
            <w:tcW w:w="1582" w:type="pct"/>
            <w:gridSpan w:val="2"/>
            <w:shd w:val="clear" w:color="auto" w:fill="auto"/>
            <w:tcMar>
              <w:left w:w="58" w:type="dxa"/>
              <w:right w:w="58" w:type="dxa"/>
            </w:tcMar>
          </w:tcPr>
          <w:p w:rsidR="008F3D8D" w:rsidRPr="008F3D8D" w:rsidRDefault="008F3D8D" w:rsidP="00A34E19">
            <w:pPr>
              <w:rPr>
                <w:sz w:val="16"/>
                <w:szCs w:val="16"/>
              </w:rPr>
            </w:pPr>
            <w:r w:rsidRPr="008F3D8D">
              <w:rPr>
                <w:sz w:val="16"/>
                <w:szCs w:val="16"/>
                <w:lang w:val="es-ES_tradnl"/>
              </w:rPr>
              <w:t>n.d.</w:t>
            </w:r>
          </w:p>
        </w:tc>
        <w:tc>
          <w:tcPr>
            <w:tcW w:w="472" w:type="pct"/>
            <w:shd w:val="clear" w:color="auto" w:fill="auto"/>
            <w:tcMar>
              <w:top w:w="110" w:type="dxa"/>
              <w:left w:w="58" w:type="dxa"/>
              <w:right w:w="58" w:type="dxa"/>
            </w:tcMar>
          </w:tcPr>
          <w:p w:rsidR="008F3D8D" w:rsidRPr="008F3D8D" w:rsidRDefault="008F3D8D" w:rsidP="00A34E19">
            <w:pPr>
              <w:rPr>
                <w:sz w:val="16"/>
                <w:szCs w:val="16"/>
              </w:rPr>
            </w:pPr>
            <w:r w:rsidRPr="008F3D8D">
              <w:rPr>
                <w:sz w:val="16"/>
                <w:szCs w:val="16"/>
              </w:rPr>
              <w:t>90%</w:t>
            </w:r>
          </w:p>
        </w:tc>
        <w:tc>
          <w:tcPr>
            <w:tcW w:w="1414" w:type="pct"/>
            <w:shd w:val="clear" w:color="auto" w:fill="FFFFFF"/>
            <w:tcMar>
              <w:top w:w="110" w:type="dxa"/>
              <w:left w:w="58" w:type="dxa"/>
              <w:right w:w="58" w:type="dxa"/>
            </w:tcMar>
          </w:tcPr>
          <w:p w:rsidR="008F3D8D" w:rsidRPr="008F3D8D" w:rsidRDefault="008F3D8D" w:rsidP="00A34E19">
            <w:pPr>
              <w:rPr>
                <w:sz w:val="16"/>
                <w:szCs w:val="16"/>
              </w:rPr>
            </w:pPr>
            <w:r w:rsidRPr="008F3D8D">
              <w:rPr>
                <w:sz w:val="16"/>
                <w:szCs w:val="16"/>
              </w:rPr>
              <w:t xml:space="preserve">81% sobre la base de 18 respuestas </w:t>
            </w:r>
          </w:p>
        </w:tc>
        <w:tc>
          <w:tcPr>
            <w:tcW w:w="445" w:type="pct"/>
            <w:shd w:val="clear" w:color="auto" w:fill="auto"/>
            <w:tcMar>
              <w:top w:w="110" w:type="dxa"/>
              <w:left w:w="58" w:type="dxa"/>
              <w:right w:w="58" w:type="dxa"/>
            </w:tcMar>
          </w:tcPr>
          <w:p w:rsidR="008F3D8D" w:rsidRPr="008F3D8D" w:rsidRDefault="008F3D8D" w:rsidP="00A34E19">
            <w:pPr>
              <w:keepNext/>
              <w:keepLines/>
              <w:jc w:val="center"/>
              <w:rPr>
                <w:sz w:val="16"/>
                <w:szCs w:val="16"/>
              </w:rPr>
            </w:pPr>
            <w:r w:rsidRPr="008F3D8D">
              <w:rPr>
                <w:b/>
                <w:color w:val="00B050"/>
                <w:sz w:val="16"/>
                <w:szCs w:val="16"/>
              </w:rPr>
              <w:t>Avanza</w:t>
            </w:r>
          </w:p>
        </w:tc>
      </w:tr>
    </w:tbl>
    <w:p w:rsidR="008F3D8D" w:rsidRPr="008F3D8D" w:rsidRDefault="008F3D8D" w:rsidP="008F3D8D">
      <w:pPr>
        <w:rPr>
          <w:szCs w:val="22"/>
        </w:rPr>
      </w:pPr>
    </w:p>
    <w:p w:rsidR="008F3D8D" w:rsidRPr="008F3D8D" w:rsidRDefault="008F3D8D" w:rsidP="008F3D8D">
      <w:pPr>
        <w:keepNext/>
        <w:rPr>
          <w:szCs w:val="22"/>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8F3D8D" w:rsidRPr="008F3D8D" w:rsidTr="00A34E19">
        <w:trPr>
          <w:trHeight w:val="423"/>
        </w:trPr>
        <w:tc>
          <w:tcPr>
            <w:tcW w:w="9445" w:type="dxa"/>
            <w:shd w:val="clear" w:color="auto" w:fill="C6D9F1" w:themeFill="text2" w:themeFillTint="33"/>
            <w:vAlign w:val="center"/>
          </w:tcPr>
          <w:p w:rsidR="008F3D8D" w:rsidRPr="008F3D8D" w:rsidRDefault="008F3D8D" w:rsidP="00A34E19">
            <w:pPr>
              <w:keepNext/>
              <w:keepLines/>
              <w:jc w:val="center"/>
              <w:rPr>
                <w:b/>
                <w:sz w:val="20"/>
              </w:rPr>
            </w:pPr>
            <w:r w:rsidRPr="008F3D8D">
              <w:rPr>
                <w:sz w:val="20"/>
              </w:rPr>
              <w:br w:type="page"/>
            </w:r>
            <w:r w:rsidRPr="008F3D8D">
              <w:rPr>
                <w:b/>
                <w:sz w:val="20"/>
                <w:lang w:val="es-ES_tradnl"/>
              </w:rPr>
              <w:t>Utilización de los recursos del programa 1</w:t>
            </w:r>
          </w:p>
        </w:tc>
      </w:tr>
    </w:tbl>
    <w:p w:rsidR="008F3D8D" w:rsidRPr="008F3D8D" w:rsidRDefault="008F3D8D" w:rsidP="008F3D8D">
      <w:pPr>
        <w:keepNext/>
      </w:pPr>
    </w:p>
    <w:p w:rsidR="008F3D8D" w:rsidRPr="008F3D8D" w:rsidRDefault="008F3D8D" w:rsidP="008F3D8D">
      <w:pPr>
        <w:pStyle w:val="NormalWeb"/>
        <w:keepNext/>
        <w:keepLines/>
        <w:spacing w:before="0" w:beforeAutospacing="0" w:after="0" w:afterAutospacing="0"/>
        <w:jc w:val="center"/>
        <w:rPr>
          <w:lang w:val="es-ES"/>
        </w:rPr>
      </w:pPr>
      <w:r w:rsidRPr="008F3D8D">
        <w:rPr>
          <w:lang w:val="es-ES_tradnl"/>
        </w:rPr>
        <w:t>Presupuesto y gastos reales (por resultado)</w:t>
      </w:r>
    </w:p>
    <w:p w:rsidR="008F3D8D" w:rsidRPr="008F3D8D" w:rsidRDefault="008F3D8D" w:rsidP="008F3D8D">
      <w:pPr>
        <w:pStyle w:val="NormalWeb"/>
        <w:keepNext/>
        <w:keepLines/>
        <w:spacing w:before="0" w:beforeAutospacing="0" w:after="0" w:afterAutospacing="0"/>
        <w:jc w:val="center"/>
        <w:rPr>
          <w:i/>
          <w:iCs/>
          <w:sz w:val="16"/>
          <w:szCs w:val="16"/>
          <w:lang w:val="es-ES"/>
        </w:rPr>
      </w:pPr>
      <w:r w:rsidRPr="008F3D8D">
        <w:rPr>
          <w:i/>
          <w:iCs/>
          <w:sz w:val="16"/>
          <w:szCs w:val="16"/>
          <w:lang w:val="es-ES_tradnl"/>
        </w:rPr>
        <w:t>(en miles de francos suizos)</w:t>
      </w:r>
    </w:p>
    <w:p w:rsidR="008F3D8D" w:rsidRPr="008F3D8D" w:rsidRDefault="008F3D8D" w:rsidP="008F3D8D">
      <w:pPr>
        <w:keepNext/>
      </w:pPr>
    </w:p>
    <w:tbl>
      <w:tblPr>
        <w:tblW w:w="8813" w:type="dxa"/>
        <w:jc w:val="center"/>
        <w:tblLook w:val="04A0" w:firstRow="1" w:lastRow="0" w:firstColumn="1" w:lastColumn="0" w:noHBand="0" w:noVBand="1"/>
      </w:tblPr>
      <w:tblGrid>
        <w:gridCol w:w="394"/>
        <w:gridCol w:w="4314"/>
        <w:gridCol w:w="1186"/>
        <w:gridCol w:w="1739"/>
        <w:gridCol w:w="1180"/>
      </w:tblGrid>
      <w:tr w:rsidR="008F3D8D" w:rsidRPr="008F3D8D" w:rsidTr="00A34E19">
        <w:trPr>
          <w:trHeight w:val="825"/>
          <w:jc w:val="center"/>
        </w:trPr>
        <w:tc>
          <w:tcPr>
            <w:tcW w:w="4708" w:type="dxa"/>
            <w:gridSpan w:val="2"/>
            <w:tcBorders>
              <w:top w:val="nil"/>
              <w:left w:val="nil"/>
              <w:bottom w:val="nil"/>
              <w:right w:val="nil"/>
            </w:tcBorders>
            <w:shd w:val="clear" w:color="000000" w:fill="C5D9F1"/>
            <w:noWrap/>
            <w:vAlign w:val="center"/>
            <w:hideMark/>
          </w:tcPr>
          <w:p w:rsidR="008F3D8D" w:rsidRPr="008F3D8D" w:rsidRDefault="008F3D8D" w:rsidP="00A34E19">
            <w:pPr>
              <w:keepNext/>
              <w:jc w:val="center"/>
              <w:rPr>
                <w:b/>
                <w:bCs/>
                <w:sz w:val="16"/>
                <w:szCs w:val="16"/>
              </w:rPr>
            </w:pPr>
            <w:r w:rsidRPr="008F3D8D">
              <w:rPr>
                <w:b/>
                <w:bCs/>
                <w:sz w:val="16"/>
                <w:szCs w:val="16"/>
                <w:lang w:val="es-ES_tradnl"/>
              </w:rPr>
              <w:t>Número del resultado previsto y descripción</w:t>
            </w:r>
            <w:r w:rsidRPr="008F3D8D">
              <w:rPr>
                <w:b/>
                <w:bCs/>
                <w:sz w:val="16"/>
                <w:szCs w:val="16"/>
              </w:rPr>
              <w:t xml:space="preserve"> </w:t>
            </w:r>
          </w:p>
        </w:tc>
        <w:tc>
          <w:tcPr>
            <w:tcW w:w="1186" w:type="dxa"/>
            <w:tcBorders>
              <w:top w:val="nil"/>
              <w:left w:val="nil"/>
              <w:bottom w:val="nil"/>
              <w:right w:val="nil"/>
            </w:tcBorders>
            <w:shd w:val="clear" w:color="000000" w:fill="C5D9F1"/>
            <w:vAlign w:val="center"/>
            <w:hideMark/>
          </w:tcPr>
          <w:p w:rsidR="008F3D8D" w:rsidRPr="008F3D8D" w:rsidRDefault="008F3D8D" w:rsidP="00A34E19">
            <w:pPr>
              <w:keepNext/>
              <w:jc w:val="center"/>
              <w:rPr>
                <w:b/>
                <w:bCs/>
                <w:sz w:val="16"/>
                <w:szCs w:val="16"/>
              </w:rPr>
            </w:pPr>
            <w:r w:rsidRPr="008F3D8D">
              <w:rPr>
                <w:b/>
                <w:bCs/>
                <w:sz w:val="16"/>
                <w:szCs w:val="16"/>
                <w:lang w:val="es-ES_tradnl"/>
              </w:rPr>
              <w:t>Presupuesto aprobado de 2016/17</w:t>
            </w:r>
            <w:r w:rsidRPr="008F3D8D">
              <w:rPr>
                <w:b/>
                <w:bCs/>
                <w:sz w:val="16"/>
                <w:szCs w:val="16"/>
              </w:rPr>
              <w:t xml:space="preserve"> </w:t>
            </w:r>
          </w:p>
        </w:tc>
        <w:tc>
          <w:tcPr>
            <w:tcW w:w="1739" w:type="dxa"/>
            <w:tcBorders>
              <w:top w:val="nil"/>
              <w:left w:val="nil"/>
              <w:bottom w:val="nil"/>
              <w:right w:val="nil"/>
            </w:tcBorders>
            <w:shd w:val="clear" w:color="000000" w:fill="C5D9F1"/>
            <w:vAlign w:val="center"/>
            <w:hideMark/>
          </w:tcPr>
          <w:p w:rsidR="008F3D8D" w:rsidRPr="008F3D8D" w:rsidRDefault="008F3D8D" w:rsidP="00A34E19">
            <w:pPr>
              <w:keepNext/>
              <w:jc w:val="center"/>
              <w:rPr>
                <w:b/>
                <w:bCs/>
                <w:sz w:val="16"/>
                <w:szCs w:val="16"/>
              </w:rPr>
            </w:pPr>
            <w:r w:rsidRPr="008F3D8D">
              <w:rPr>
                <w:b/>
                <w:bCs/>
                <w:sz w:val="16"/>
                <w:szCs w:val="16"/>
              </w:rPr>
              <w:t xml:space="preserve"> </w:t>
            </w:r>
            <w:r w:rsidRPr="008F3D8D">
              <w:rPr>
                <w:b/>
                <w:bCs/>
                <w:sz w:val="16"/>
                <w:szCs w:val="16"/>
                <w:lang w:val="es-ES_tradnl"/>
              </w:rPr>
              <w:t>Presupuesto de 2016/17 tras las transferencias</w:t>
            </w:r>
            <w:r w:rsidRPr="008F3D8D">
              <w:rPr>
                <w:b/>
                <w:bCs/>
                <w:sz w:val="16"/>
                <w:szCs w:val="16"/>
              </w:rPr>
              <w:t xml:space="preserve"> </w:t>
            </w:r>
          </w:p>
        </w:tc>
        <w:tc>
          <w:tcPr>
            <w:tcW w:w="1180" w:type="dxa"/>
            <w:tcBorders>
              <w:top w:val="nil"/>
              <w:left w:val="nil"/>
              <w:bottom w:val="nil"/>
              <w:right w:val="nil"/>
            </w:tcBorders>
            <w:shd w:val="clear" w:color="000000" w:fill="C5D9F1"/>
            <w:vAlign w:val="center"/>
            <w:hideMark/>
          </w:tcPr>
          <w:p w:rsidR="008F3D8D" w:rsidRPr="008F3D8D" w:rsidRDefault="008F3D8D" w:rsidP="00A34E19">
            <w:pPr>
              <w:keepNext/>
              <w:jc w:val="center"/>
              <w:rPr>
                <w:b/>
                <w:bCs/>
                <w:sz w:val="16"/>
                <w:szCs w:val="16"/>
              </w:rPr>
            </w:pPr>
            <w:r w:rsidRPr="008F3D8D">
              <w:rPr>
                <w:b/>
                <w:bCs/>
                <w:sz w:val="16"/>
                <w:szCs w:val="16"/>
              </w:rPr>
              <w:t xml:space="preserve"> </w:t>
            </w:r>
            <w:r w:rsidRPr="008F3D8D">
              <w:rPr>
                <w:b/>
                <w:bCs/>
                <w:sz w:val="16"/>
                <w:szCs w:val="16"/>
                <w:lang w:val="es-ES_tradnl"/>
              </w:rPr>
              <w:t>Gastos en 2016*</w:t>
            </w:r>
            <w:r w:rsidRPr="008F3D8D">
              <w:rPr>
                <w:b/>
                <w:bCs/>
                <w:sz w:val="16"/>
                <w:szCs w:val="16"/>
              </w:rPr>
              <w:t xml:space="preserve"> </w:t>
            </w:r>
          </w:p>
        </w:tc>
      </w:tr>
      <w:tr w:rsidR="008F3D8D" w:rsidRPr="008F3D8D" w:rsidTr="00A34E19">
        <w:trPr>
          <w:trHeight w:val="825"/>
          <w:jc w:val="center"/>
        </w:trPr>
        <w:tc>
          <w:tcPr>
            <w:tcW w:w="394" w:type="dxa"/>
            <w:tcBorders>
              <w:top w:val="nil"/>
              <w:left w:val="nil"/>
              <w:bottom w:val="nil"/>
              <w:right w:val="nil"/>
            </w:tcBorders>
            <w:shd w:val="clear" w:color="auto" w:fill="auto"/>
            <w:noWrap/>
            <w:vAlign w:val="center"/>
            <w:hideMark/>
          </w:tcPr>
          <w:p w:rsidR="008F3D8D" w:rsidRPr="008F3D8D" w:rsidRDefault="008F3D8D" w:rsidP="00A34E19">
            <w:pPr>
              <w:rPr>
                <w:sz w:val="16"/>
                <w:szCs w:val="16"/>
              </w:rPr>
            </w:pPr>
            <w:r w:rsidRPr="008F3D8D">
              <w:rPr>
                <w:sz w:val="16"/>
                <w:szCs w:val="16"/>
              </w:rPr>
              <w:t>I.1</w:t>
            </w:r>
          </w:p>
        </w:tc>
        <w:tc>
          <w:tcPr>
            <w:tcW w:w="4314" w:type="dxa"/>
            <w:tcBorders>
              <w:top w:val="nil"/>
              <w:left w:val="nil"/>
              <w:bottom w:val="nil"/>
              <w:right w:val="nil"/>
            </w:tcBorders>
            <w:shd w:val="clear" w:color="auto" w:fill="auto"/>
            <w:vAlign w:val="center"/>
            <w:hideMark/>
          </w:tcPr>
          <w:p w:rsidR="008F3D8D" w:rsidRPr="008F3D8D" w:rsidRDefault="008F3D8D" w:rsidP="00A34E19">
            <w:pPr>
              <w:rPr>
                <w:sz w:val="16"/>
                <w:szCs w:val="16"/>
              </w:rPr>
            </w:pPr>
            <w:r w:rsidRPr="008F3D8D">
              <w:rPr>
                <w:sz w:val="16"/>
                <w:szCs w:val="16"/>
                <w:lang w:val="es-ES_tradnl"/>
              </w:rPr>
              <w:t>Mayor cooperación entre los Estados miembros en la elaboración de marcos normativos internacionales de P.I. equilibrados</w:t>
            </w:r>
            <w:r w:rsidRPr="008F3D8D">
              <w:rPr>
                <w:sz w:val="16"/>
                <w:szCs w:val="16"/>
              </w:rPr>
              <w:t xml:space="preserve"> </w:t>
            </w:r>
          </w:p>
        </w:tc>
        <w:tc>
          <w:tcPr>
            <w:tcW w:w="1186"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2.239</w:t>
            </w:r>
          </w:p>
        </w:tc>
        <w:tc>
          <w:tcPr>
            <w:tcW w:w="1739"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2.721</w:t>
            </w:r>
          </w:p>
        </w:tc>
        <w:tc>
          <w:tcPr>
            <w:tcW w:w="1180"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1.267</w:t>
            </w:r>
          </w:p>
        </w:tc>
      </w:tr>
      <w:tr w:rsidR="008F3D8D" w:rsidRPr="008F3D8D" w:rsidTr="00A34E19">
        <w:trPr>
          <w:trHeight w:val="645"/>
          <w:jc w:val="center"/>
        </w:trPr>
        <w:tc>
          <w:tcPr>
            <w:tcW w:w="394" w:type="dxa"/>
            <w:tcBorders>
              <w:top w:val="nil"/>
              <w:left w:val="nil"/>
              <w:bottom w:val="nil"/>
              <w:right w:val="nil"/>
            </w:tcBorders>
            <w:shd w:val="clear" w:color="auto" w:fill="auto"/>
            <w:noWrap/>
            <w:vAlign w:val="center"/>
            <w:hideMark/>
          </w:tcPr>
          <w:p w:rsidR="008F3D8D" w:rsidRPr="008F3D8D" w:rsidRDefault="008F3D8D" w:rsidP="00A34E19">
            <w:pPr>
              <w:rPr>
                <w:sz w:val="16"/>
                <w:szCs w:val="16"/>
              </w:rPr>
            </w:pPr>
            <w:r w:rsidRPr="008F3D8D">
              <w:rPr>
                <w:sz w:val="16"/>
                <w:szCs w:val="16"/>
              </w:rPr>
              <w:t>I.2</w:t>
            </w:r>
          </w:p>
        </w:tc>
        <w:tc>
          <w:tcPr>
            <w:tcW w:w="4314" w:type="dxa"/>
            <w:tcBorders>
              <w:top w:val="nil"/>
              <w:left w:val="nil"/>
              <w:bottom w:val="nil"/>
              <w:right w:val="nil"/>
            </w:tcBorders>
            <w:shd w:val="clear" w:color="auto" w:fill="auto"/>
            <w:vAlign w:val="center"/>
            <w:hideMark/>
          </w:tcPr>
          <w:p w:rsidR="008F3D8D" w:rsidRPr="008F3D8D" w:rsidRDefault="008F3D8D" w:rsidP="00A34E19">
            <w:pPr>
              <w:rPr>
                <w:sz w:val="16"/>
                <w:szCs w:val="16"/>
              </w:rPr>
            </w:pPr>
            <w:r w:rsidRPr="008F3D8D">
              <w:rPr>
                <w:sz w:val="16"/>
                <w:szCs w:val="16"/>
                <w:lang w:val="es-ES_tradnl"/>
              </w:rPr>
              <w:t>Marcos de P.I. adaptados y equilibrados en el ámbito legislativo, regulador y de política</w:t>
            </w:r>
          </w:p>
        </w:tc>
        <w:tc>
          <w:tcPr>
            <w:tcW w:w="1186"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2.559</w:t>
            </w:r>
          </w:p>
        </w:tc>
        <w:tc>
          <w:tcPr>
            <w:tcW w:w="1739"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2.130</w:t>
            </w:r>
          </w:p>
        </w:tc>
        <w:tc>
          <w:tcPr>
            <w:tcW w:w="1180"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1.150</w:t>
            </w:r>
          </w:p>
        </w:tc>
      </w:tr>
      <w:tr w:rsidR="008F3D8D" w:rsidRPr="008F3D8D" w:rsidTr="00A34E19">
        <w:trPr>
          <w:trHeight w:val="885"/>
          <w:jc w:val="center"/>
        </w:trPr>
        <w:tc>
          <w:tcPr>
            <w:tcW w:w="394" w:type="dxa"/>
            <w:tcBorders>
              <w:top w:val="nil"/>
              <w:left w:val="nil"/>
              <w:bottom w:val="nil"/>
              <w:right w:val="nil"/>
            </w:tcBorders>
            <w:shd w:val="clear" w:color="auto" w:fill="auto"/>
            <w:noWrap/>
            <w:vAlign w:val="center"/>
            <w:hideMark/>
          </w:tcPr>
          <w:p w:rsidR="008F3D8D" w:rsidRPr="008F3D8D" w:rsidRDefault="008F3D8D" w:rsidP="00A34E19">
            <w:pPr>
              <w:rPr>
                <w:sz w:val="16"/>
                <w:szCs w:val="16"/>
              </w:rPr>
            </w:pPr>
            <w:r w:rsidRPr="008F3D8D">
              <w:rPr>
                <w:sz w:val="16"/>
                <w:szCs w:val="16"/>
              </w:rPr>
              <w:t>I.4</w:t>
            </w:r>
          </w:p>
        </w:tc>
        <w:tc>
          <w:tcPr>
            <w:tcW w:w="4314" w:type="dxa"/>
            <w:tcBorders>
              <w:top w:val="nil"/>
              <w:left w:val="nil"/>
              <w:bottom w:val="nil"/>
              <w:right w:val="nil"/>
            </w:tcBorders>
            <w:shd w:val="clear" w:color="auto" w:fill="auto"/>
            <w:vAlign w:val="center"/>
            <w:hideMark/>
          </w:tcPr>
          <w:p w:rsidR="008F3D8D" w:rsidRPr="008F3D8D" w:rsidRDefault="008F3D8D" w:rsidP="00A34E19">
            <w:pPr>
              <w:rPr>
                <w:sz w:val="16"/>
                <w:szCs w:val="16"/>
                <w:highlight w:val="yellow"/>
              </w:rPr>
            </w:pPr>
            <w:r w:rsidRPr="008F3D8D">
              <w:rPr>
                <w:sz w:val="16"/>
                <w:szCs w:val="16"/>
              </w:rPr>
              <w:t>Interés creciente en que la OMPI sea un foro de análisis de cuestiones relacionadas con la protección internacional de la información confidencial</w:t>
            </w:r>
          </w:p>
        </w:tc>
        <w:tc>
          <w:tcPr>
            <w:tcW w:w="1186"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494</w:t>
            </w:r>
          </w:p>
        </w:tc>
        <w:tc>
          <w:tcPr>
            <w:tcW w:w="1739"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368</w:t>
            </w:r>
          </w:p>
        </w:tc>
        <w:tc>
          <w:tcPr>
            <w:tcW w:w="1180" w:type="dxa"/>
            <w:tcBorders>
              <w:top w:val="nil"/>
              <w:left w:val="nil"/>
              <w:bottom w:val="nil"/>
              <w:right w:val="nil"/>
            </w:tcBorders>
            <w:shd w:val="clear" w:color="auto" w:fill="auto"/>
            <w:noWrap/>
            <w:vAlign w:val="center"/>
            <w:hideMark/>
          </w:tcPr>
          <w:p w:rsidR="008F3D8D" w:rsidRPr="008F3D8D" w:rsidRDefault="008F3D8D" w:rsidP="00A34E19">
            <w:pPr>
              <w:jc w:val="center"/>
              <w:rPr>
                <w:sz w:val="16"/>
                <w:szCs w:val="16"/>
              </w:rPr>
            </w:pPr>
            <w:r w:rsidRPr="008F3D8D">
              <w:rPr>
                <w:sz w:val="16"/>
                <w:szCs w:val="16"/>
              </w:rPr>
              <w:t>164</w:t>
            </w:r>
          </w:p>
        </w:tc>
      </w:tr>
      <w:tr w:rsidR="008F3D8D" w:rsidRPr="008F3D8D" w:rsidTr="00A34E19">
        <w:trPr>
          <w:trHeight w:val="225"/>
          <w:jc w:val="center"/>
        </w:trPr>
        <w:tc>
          <w:tcPr>
            <w:tcW w:w="394" w:type="dxa"/>
            <w:tcBorders>
              <w:top w:val="nil"/>
              <w:left w:val="nil"/>
              <w:bottom w:val="nil"/>
              <w:right w:val="nil"/>
            </w:tcBorders>
            <w:shd w:val="clear" w:color="000000" w:fill="C5D9F1"/>
            <w:noWrap/>
            <w:vAlign w:val="bottom"/>
            <w:hideMark/>
          </w:tcPr>
          <w:p w:rsidR="008F3D8D" w:rsidRPr="008F3D8D" w:rsidRDefault="008F3D8D" w:rsidP="00A34E19">
            <w:pPr>
              <w:rPr>
                <w:sz w:val="16"/>
                <w:szCs w:val="16"/>
              </w:rPr>
            </w:pPr>
            <w:r w:rsidRPr="008F3D8D">
              <w:rPr>
                <w:sz w:val="16"/>
                <w:szCs w:val="16"/>
              </w:rPr>
              <w:t> </w:t>
            </w:r>
          </w:p>
        </w:tc>
        <w:tc>
          <w:tcPr>
            <w:tcW w:w="4314" w:type="dxa"/>
            <w:tcBorders>
              <w:top w:val="nil"/>
              <w:left w:val="nil"/>
              <w:bottom w:val="nil"/>
              <w:right w:val="nil"/>
            </w:tcBorders>
            <w:shd w:val="clear" w:color="000000" w:fill="C5D9F1"/>
            <w:noWrap/>
            <w:vAlign w:val="bottom"/>
            <w:hideMark/>
          </w:tcPr>
          <w:p w:rsidR="008F3D8D" w:rsidRPr="008F3D8D" w:rsidRDefault="008F3D8D" w:rsidP="00A34E19">
            <w:pPr>
              <w:jc w:val="right"/>
              <w:rPr>
                <w:b/>
                <w:bCs/>
                <w:sz w:val="16"/>
                <w:szCs w:val="16"/>
              </w:rPr>
            </w:pPr>
            <w:r w:rsidRPr="008F3D8D">
              <w:rPr>
                <w:b/>
                <w:bCs/>
                <w:sz w:val="16"/>
                <w:szCs w:val="16"/>
                <w:lang w:val="es-ES_tradnl"/>
              </w:rPr>
              <w:t>Total</w:t>
            </w:r>
          </w:p>
        </w:tc>
        <w:tc>
          <w:tcPr>
            <w:tcW w:w="1186" w:type="dxa"/>
            <w:tcBorders>
              <w:top w:val="nil"/>
              <w:left w:val="nil"/>
              <w:bottom w:val="nil"/>
              <w:right w:val="nil"/>
            </w:tcBorders>
            <w:shd w:val="clear" w:color="000000" w:fill="C5D9F1"/>
            <w:noWrap/>
            <w:vAlign w:val="center"/>
            <w:hideMark/>
          </w:tcPr>
          <w:p w:rsidR="008F3D8D" w:rsidRPr="008F3D8D" w:rsidRDefault="008F3D8D" w:rsidP="00A34E19">
            <w:pPr>
              <w:jc w:val="center"/>
              <w:rPr>
                <w:sz w:val="16"/>
                <w:szCs w:val="16"/>
              </w:rPr>
            </w:pPr>
            <w:r w:rsidRPr="008F3D8D">
              <w:rPr>
                <w:sz w:val="16"/>
                <w:szCs w:val="16"/>
              </w:rPr>
              <w:t>5.291</w:t>
            </w:r>
          </w:p>
        </w:tc>
        <w:tc>
          <w:tcPr>
            <w:tcW w:w="1739" w:type="dxa"/>
            <w:tcBorders>
              <w:top w:val="nil"/>
              <w:left w:val="nil"/>
              <w:bottom w:val="nil"/>
              <w:right w:val="nil"/>
            </w:tcBorders>
            <w:shd w:val="clear" w:color="000000" w:fill="C5D9F1"/>
            <w:noWrap/>
            <w:vAlign w:val="center"/>
            <w:hideMark/>
          </w:tcPr>
          <w:p w:rsidR="008F3D8D" w:rsidRPr="008F3D8D" w:rsidRDefault="008F3D8D" w:rsidP="00A34E19">
            <w:pPr>
              <w:jc w:val="center"/>
              <w:rPr>
                <w:sz w:val="16"/>
                <w:szCs w:val="16"/>
              </w:rPr>
            </w:pPr>
            <w:r w:rsidRPr="008F3D8D">
              <w:rPr>
                <w:sz w:val="16"/>
                <w:szCs w:val="16"/>
              </w:rPr>
              <w:t>5.219</w:t>
            </w:r>
          </w:p>
        </w:tc>
        <w:tc>
          <w:tcPr>
            <w:tcW w:w="1180" w:type="dxa"/>
            <w:tcBorders>
              <w:top w:val="nil"/>
              <w:left w:val="nil"/>
              <w:bottom w:val="nil"/>
              <w:right w:val="nil"/>
            </w:tcBorders>
            <w:shd w:val="clear" w:color="000000" w:fill="C5D9F1"/>
            <w:noWrap/>
            <w:vAlign w:val="center"/>
            <w:hideMark/>
          </w:tcPr>
          <w:p w:rsidR="008F3D8D" w:rsidRPr="008F3D8D" w:rsidRDefault="008F3D8D" w:rsidP="00A34E19">
            <w:pPr>
              <w:jc w:val="center"/>
              <w:rPr>
                <w:sz w:val="16"/>
                <w:szCs w:val="16"/>
              </w:rPr>
            </w:pPr>
            <w:r w:rsidRPr="008F3D8D">
              <w:rPr>
                <w:sz w:val="16"/>
                <w:szCs w:val="16"/>
              </w:rPr>
              <w:t>2.581</w:t>
            </w:r>
          </w:p>
        </w:tc>
      </w:tr>
      <w:tr w:rsidR="008F3D8D" w:rsidRPr="008F3D8D" w:rsidTr="00A34E19">
        <w:trPr>
          <w:trHeight w:val="330"/>
          <w:jc w:val="center"/>
        </w:trPr>
        <w:tc>
          <w:tcPr>
            <w:tcW w:w="7633" w:type="dxa"/>
            <w:gridSpan w:val="4"/>
            <w:tcBorders>
              <w:top w:val="nil"/>
              <w:left w:val="nil"/>
              <w:bottom w:val="nil"/>
              <w:right w:val="nil"/>
            </w:tcBorders>
            <w:shd w:val="clear" w:color="auto" w:fill="auto"/>
            <w:noWrap/>
            <w:vAlign w:val="center"/>
            <w:hideMark/>
          </w:tcPr>
          <w:p w:rsidR="008F3D8D" w:rsidRPr="008F3D8D" w:rsidRDefault="008F3D8D" w:rsidP="00A34E19">
            <w:pPr>
              <w:rPr>
                <w:i/>
                <w:iCs/>
                <w:sz w:val="16"/>
                <w:szCs w:val="16"/>
              </w:rPr>
            </w:pPr>
            <w:r w:rsidRPr="008F3D8D">
              <w:rPr>
                <w:i/>
                <w:iCs/>
                <w:sz w:val="16"/>
                <w:szCs w:val="16"/>
                <w:lang w:val="es-ES_tradnl"/>
              </w:rPr>
              <w:t>*Las cifras de 2016 son preliminares, a reserva de verificación por el Auditor Externo.</w:t>
            </w:r>
          </w:p>
        </w:tc>
        <w:tc>
          <w:tcPr>
            <w:tcW w:w="1180" w:type="dxa"/>
            <w:tcBorders>
              <w:top w:val="nil"/>
              <w:left w:val="nil"/>
              <w:bottom w:val="nil"/>
              <w:right w:val="nil"/>
            </w:tcBorders>
            <w:shd w:val="clear" w:color="auto" w:fill="auto"/>
            <w:noWrap/>
            <w:vAlign w:val="bottom"/>
            <w:hideMark/>
          </w:tcPr>
          <w:p w:rsidR="008F3D8D" w:rsidRPr="008F3D8D" w:rsidRDefault="008F3D8D" w:rsidP="00A34E19">
            <w:pPr>
              <w:rPr>
                <w:sz w:val="16"/>
                <w:szCs w:val="16"/>
              </w:rPr>
            </w:pPr>
          </w:p>
        </w:tc>
      </w:tr>
    </w:tbl>
    <w:p w:rsidR="008F3D8D" w:rsidRPr="008F3D8D" w:rsidRDefault="008F3D8D" w:rsidP="008F3D8D">
      <w:pPr>
        <w:jc w:val="center"/>
        <w:rPr>
          <w:sz w:val="20"/>
        </w:rPr>
      </w:pPr>
    </w:p>
    <w:p w:rsidR="008F3D8D" w:rsidRPr="008F3D8D" w:rsidRDefault="008F3D8D" w:rsidP="008F3D8D">
      <w:pPr>
        <w:pStyle w:val="NormalWeb"/>
        <w:keepNext/>
        <w:keepLines/>
        <w:spacing w:before="0" w:beforeAutospacing="0" w:after="0" w:afterAutospacing="0"/>
        <w:jc w:val="center"/>
        <w:rPr>
          <w:lang w:val="es-ES"/>
        </w:rPr>
      </w:pPr>
      <w:r w:rsidRPr="008F3D8D">
        <w:rPr>
          <w:lang w:val="es-ES_tradnl"/>
        </w:rPr>
        <w:t>Presupuesto y gastos reales (de personal y no relativos a personal)</w:t>
      </w:r>
    </w:p>
    <w:p w:rsidR="008F3D8D" w:rsidRPr="008F3D8D" w:rsidRDefault="008F3D8D" w:rsidP="008F3D8D">
      <w:pPr>
        <w:pStyle w:val="NormalWeb"/>
        <w:keepNext/>
        <w:keepLines/>
        <w:spacing w:before="0" w:beforeAutospacing="0" w:after="0" w:afterAutospacing="0"/>
        <w:jc w:val="center"/>
        <w:rPr>
          <w:i/>
          <w:iCs/>
          <w:sz w:val="16"/>
          <w:szCs w:val="16"/>
          <w:lang w:val="es-ES"/>
        </w:rPr>
      </w:pPr>
      <w:r w:rsidRPr="008F3D8D">
        <w:rPr>
          <w:i/>
          <w:iCs/>
          <w:sz w:val="16"/>
          <w:szCs w:val="16"/>
          <w:lang w:val="es-ES_tradnl"/>
        </w:rPr>
        <w:t>(en miles de francos suizos)</w:t>
      </w:r>
    </w:p>
    <w:p w:rsidR="008F3D8D" w:rsidRPr="008F3D8D" w:rsidRDefault="008F3D8D" w:rsidP="008F3D8D">
      <w:pPr>
        <w:keepNext/>
        <w:keepLines/>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8F3D8D" w:rsidRPr="008F3D8D" w:rsidTr="00A34E19">
        <w:trPr>
          <w:trHeight w:val="720"/>
          <w:jc w:val="center"/>
        </w:trPr>
        <w:tc>
          <w:tcPr>
            <w:tcW w:w="2440" w:type="dxa"/>
            <w:tcBorders>
              <w:top w:val="nil"/>
              <w:left w:val="nil"/>
              <w:bottom w:val="nil"/>
              <w:right w:val="nil"/>
            </w:tcBorders>
            <w:shd w:val="clear" w:color="000000" w:fill="C5D9F1"/>
            <w:noWrap/>
            <w:vAlign w:val="center"/>
            <w:hideMark/>
          </w:tcPr>
          <w:p w:rsidR="008F3D8D" w:rsidRPr="008F3D8D" w:rsidRDefault="008F3D8D" w:rsidP="00A34E19">
            <w:pPr>
              <w:rPr>
                <w:sz w:val="16"/>
                <w:szCs w:val="16"/>
              </w:rPr>
            </w:pPr>
            <w:r w:rsidRPr="008F3D8D">
              <w:rPr>
                <w:sz w:val="16"/>
                <w:szCs w:val="16"/>
              </w:rPr>
              <w:t> </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lang w:val="es-ES_tradnl"/>
              </w:rPr>
              <w:t>Índice de utilización (%)</w:t>
            </w:r>
          </w:p>
        </w:tc>
      </w:tr>
      <w:tr w:rsidR="008F3D8D" w:rsidRPr="008F3D8D" w:rsidTr="00A34E19">
        <w:trPr>
          <w:trHeight w:val="319"/>
          <w:jc w:val="center"/>
        </w:trPr>
        <w:tc>
          <w:tcPr>
            <w:tcW w:w="2440" w:type="dxa"/>
            <w:tcBorders>
              <w:top w:val="nil"/>
              <w:left w:val="nil"/>
              <w:bottom w:val="nil"/>
              <w:right w:val="nil"/>
            </w:tcBorders>
            <w:shd w:val="clear" w:color="auto" w:fill="auto"/>
            <w:noWrap/>
            <w:vAlign w:val="center"/>
            <w:hideMark/>
          </w:tcPr>
          <w:p w:rsidR="008F3D8D" w:rsidRPr="008F3D8D" w:rsidRDefault="008F3D8D" w:rsidP="00A34E19">
            <w:pPr>
              <w:rPr>
                <w:sz w:val="16"/>
                <w:szCs w:val="16"/>
              </w:rPr>
            </w:pPr>
            <w:r w:rsidRPr="008F3D8D">
              <w:rPr>
                <w:sz w:val="16"/>
                <w:szCs w:val="16"/>
                <w:lang w:val="es-ES_tradnl"/>
              </w:rPr>
              <w:t>Recursos de personal</w:t>
            </w:r>
            <w:r w:rsidRPr="008F3D8D">
              <w:rPr>
                <w:sz w:val="16"/>
                <w:szCs w:val="16"/>
              </w:rPr>
              <w:t xml:space="preserve">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 xml:space="preserve">3.953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 xml:space="preserve">3.888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 xml:space="preserve">1.928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50%</w:t>
            </w:r>
          </w:p>
        </w:tc>
      </w:tr>
      <w:tr w:rsidR="008F3D8D" w:rsidRPr="008F3D8D" w:rsidTr="00A34E19">
        <w:trPr>
          <w:trHeight w:val="319"/>
          <w:jc w:val="center"/>
        </w:trPr>
        <w:tc>
          <w:tcPr>
            <w:tcW w:w="2440" w:type="dxa"/>
            <w:tcBorders>
              <w:top w:val="nil"/>
              <w:left w:val="nil"/>
              <w:bottom w:val="nil"/>
              <w:right w:val="nil"/>
            </w:tcBorders>
            <w:shd w:val="clear" w:color="auto" w:fill="auto"/>
            <w:noWrap/>
            <w:vAlign w:val="center"/>
            <w:hideMark/>
          </w:tcPr>
          <w:p w:rsidR="008F3D8D" w:rsidRPr="008F3D8D" w:rsidRDefault="008F3D8D" w:rsidP="00A34E19">
            <w:pPr>
              <w:rPr>
                <w:sz w:val="16"/>
                <w:szCs w:val="16"/>
              </w:rPr>
            </w:pPr>
            <w:r w:rsidRPr="008F3D8D">
              <w:rPr>
                <w:sz w:val="16"/>
                <w:szCs w:val="16"/>
                <w:lang w:val="es-ES_tradnl"/>
              </w:rPr>
              <w:t>Recursos no relativos a personal</w:t>
            </w:r>
            <w:r w:rsidRPr="008F3D8D">
              <w:rPr>
                <w:sz w:val="16"/>
                <w:szCs w:val="16"/>
              </w:rPr>
              <w:t xml:space="preserve">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 xml:space="preserve">1.339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 xml:space="preserve">1.331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 xml:space="preserve">653 </w:t>
            </w:r>
          </w:p>
        </w:tc>
        <w:tc>
          <w:tcPr>
            <w:tcW w:w="1420" w:type="dxa"/>
            <w:tcBorders>
              <w:top w:val="nil"/>
              <w:left w:val="nil"/>
              <w:bottom w:val="nil"/>
              <w:right w:val="nil"/>
            </w:tcBorders>
            <w:shd w:val="clear" w:color="auto" w:fill="auto"/>
            <w:vAlign w:val="center"/>
            <w:hideMark/>
          </w:tcPr>
          <w:p w:rsidR="008F3D8D" w:rsidRPr="008F3D8D" w:rsidRDefault="008F3D8D" w:rsidP="00A34E19">
            <w:pPr>
              <w:jc w:val="center"/>
              <w:rPr>
                <w:sz w:val="16"/>
                <w:szCs w:val="16"/>
              </w:rPr>
            </w:pPr>
            <w:r w:rsidRPr="008F3D8D">
              <w:rPr>
                <w:sz w:val="16"/>
                <w:szCs w:val="16"/>
              </w:rPr>
              <w:t>49%</w:t>
            </w:r>
          </w:p>
        </w:tc>
      </w:tr>
      <w:tr w:rsidR="008F3D8D" w:rsidRPr="008F3D8D" w:rsidTr="00A34E19">
        <w:trPr>
          <w:trHeight w:val="225"/>
          <w:jc w:val="center"/>
        </w:trPr>
        <w:tc>
          <w:tcPr>
            <w:tcW w:w="2440" w:type="dxa"/>
            <w:tcBorders>
              <w:top w:val="nil"/>
              <w:left w:val="nil"/>
              <w:bottom w:val="nil"/>
              <w:right w:val="nil"/>
            </w:tcBorders>
            <w:shd w:val="clear" w:color="000000" w:fill="C5D9F1"/>
            <w:noWrap/>
            <w:vAlign w:val="center"/>
            <w:hideMark/>
          </w:tcPr>
          <w:p w:rsidR="008F3D8D" w:rsidRPr="008F3D8D" w:rsidRDefault="008F3D8D" w:rsidP="00A34E19">
            <w:pPr>
              <w:jc w:val="right"/>
              <w:rPr>
                <w:b/>
                <w:bCs/>
                <w:sz w:val="16"/>
                <w:szCs w:val="16"/>
              </w:rPr>
            </w:pPr>
            <w:r w:rsidRPr="008F3D8D">
              <w:rPr>
                <w:b/>
                <w:bCs/>
                <w:sz w:val="16"/>
                <w:szCs w:val="16"/>
              </w:rPr>
              <w:t xml:space="preserve"> </w:t>
            </w:r>
            <w:r w:rsidRPr="008F3D8D">
              <w:rPr>
                <w:b/>
                <w:bCs/>
                <w:sz w:val="16"/>
                <w:szCs w:val="16"/>
                <w:lang w:val="es-ES_tradnl"/>
              </w:rPr>
              <w:t>Total</w:t>
            </w:r>
            <w:r w:rsidRPr="008F3D8D">
              <w:rPr>
                <w:b/>
                <w:bCs/>
                <w:sz w:val="16"/>
                <w:szCs w:val="16"/>
              </w:rPr>
              <w:t xml:space="preserve"> </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rPr>
              <w:t xml:space="preserve">5.291 </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rPr>
              <w:t xml:space="preserve">5.219 </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rPr>
              <w:t xml:space="preserve">2.581 </w:t>
            </w:r>
          </w:p>
        </w:tc>
        <w:tc>
          <w:tcPr>
            <w:tcW w:w="1420" w:type="dxa"/>
            <w:tcBorders>
              <w:top w:val="nil"/>
              <w:left w:val="nil"/>
              <w:bottom w:val="nil"/>
              <w:right w:val="nil"/>
            </w:tcBorders>
            <w:shd w:val="clear" w:color="000000" w:fill="C5D9F1"/>
            <w:vAlign w:val="center"/>
            <w:hideMark/>
          </w:tcPr>
          <w:p w:rsidR="008F3D8D" w:rsidRPr="008F3D8D" w:rsidRDefault="008F3D8D" w:rsidP="00A34E19">
            <w:pPr>
              <w:jc w:val="center"/>
              <w:rPr>
                <w:b/>
                <w:bCs/>
                <w:sz w:val="16"/>
                <w:szCs w:val="16"/>
              </w:rPr>
            </w:pPr>
            <w:r w:rsidRPr="008F3D8D">
              <w:rPr>
                <w:b/>
                <w:bCs/>
                <w:sz w:val="16"/>
                <w:szCs w:val="16"/>
              </w:rPr>
              <w:t>49%</w:t>
            </w:r>
          </w:p>
        </w:tc>
      </w:tr>
      <w:tr w:rsidR="008F3D8D" w:rsidRPr="008F3D8D" w:rsidTr="00A34E19">
        <w:trPr>
          <w:trHeight w:val="300"/>
          <w:jc w:val="center"/>
        </w:trPr>
        <w:tc>
          <w:tcPr>
            <w:tcW w:w="8120" w:type="dxa"/>
            <w:gridSpan w:val="5"/>
            <w:tcBorders>
              <w:top w:val="nil"/>
              <w:left w:val="nil"/>
              <w:bottom w:val="nil"/>
              <w:right w:val="nil"/>
            </w:tcBorders>
            <w:shd w:val="clear" w:color="auto" w:fill="auto"/>
            <w:noWrap/>
            <w:vAlign w:val="center"/>
            <w:hideMark/>
          </w:tcPr>
          <w:p w:rsidR="008F3D8D" w:rsidRPr="008F3D8D" w:rsidRDefault="008F3D8D" w:rsidP="00A34E19">
            <w:pPr>
              <w:rPr>
                <w:i/>
                <w:iCs/>
                <w:sz w:val="16"/>
                <w:szCs w:val="16"/>
              </w:rPr>
            </w:pPr>
            <w:r w:rsidRPr="008F3D8D">
              <w:rPr>
                <w:i/>
                <w:iCs/>
                <w:sz w:val="16"/>
                <w:szCs w:val="16"/>
                <w:lang w:val="es-ES_tradnl"/>
              </w:rPr>
              <w:t>*Las cifras de 2016 son preliminares, a reserva de verificación por el Auditor Externo</w:t>
            </w:r>
            <w:r w:rsidRPr="008F3D8D">
              <w:rPr>
                <w:i/>
                <w:iCs/>
                <w:sz w:val="16"/>
                <w:szCs w:val="16"/>
              </w:rPr>
              <w:t>.</w:t>
            </w:r>
          </w:p>
        </w:tc>
      </w:tr>
    </w:tbl>
    <w:p w:rsidR="008F3D8D" w:rsidRPr="008F3D8D" w:rsidRDefault="008F3D8D" w:rsidP="008F3D8D">
      <w:pPr>
        <w:keepNext/>
        <w:keepLines/>
        <w:jc w:val="center"/>
        <w:rPr>
          <w:sz w:val="20"/>
        </w:rPr>
      </w:pPr>
    </w:p>
    <w:p w:rsidR="008F3D8D" w:rsidRPr="008F3D8D" w:rsidRDefault="008F3D8D" w:rsidP="008F3D8D">
      <w:pPr>
        <w:keepNext/>
        <w:keepLines/>
        <w:ind w:left="567" w:right="282"/>
        <w:rPr>
          <w:i/>
          <w:sz w:val="16"/>
          <w:szCs w:val="16"/>
        </w:rPr>
      </w:pPr>
      <w:r w:rsidRPr="008F3D8D">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8F3D8D" w:rsidRPr="008F3D8D" w:rsidRDefault="008F3D8D" w:rsidP="008F3D8D">
      <w:pPr>
        <w:keepNext/>
        <w:keepLines/>
        <w:rPr>
          <w:sz w:val="20"/>
        </w:rPr>
      </w:pPr>
    </w:p>
    <w:p w:rsidR="008F3D8D" w:rsidRPr="008F3D8D" w:rsidRDefault="008F3D8D" w:rsidP="008F3D8D">
      <w:pPr>
        <w:keepNext/>
        <w:keepLines/>
        <w:rPr>
          <w:sz w:val="20"/>
        </w:rPr>
      </w:pPr>
    </w:p>
    <w:p w:rsidR="008F3D8D" w:rsidRPr="008F3D8D" w:rsidRDefault="008F3D8D" w:rsidP="008F3D8D">
      <w:pPr>
        <w:jc w:val="both"/>
        <w:rPr>
          <w:sz w:val="20"/>
          <w:u w:val="single"/>
        </w:rPr>
      </w:pPr>
      <w:r w:rsidRPr="008F3D8D">
        <w:rPr>
          <w:sz w:val="20"/>
          <w:lang w:val="es-ES_tradnl"/>
        </w:rPr>
        <w:t>A.</w:t>
      </w:r>
      <w:r w:rsidRPr="008F3D8D">
        <w:rPr>
          <w:sz w:val="20"/>
          <w:lang w:val="es-ES_tradnl"/>
        </w:rPr>
        <w:tab/>
      </w:r>
      <w:r w:rsidRPr="008F3D8D">
        <w:rPr>
          <w:sz w:val="20"/>
          <w:u w:val="single"/>
          <w:lang w:val="es-ES_tradnl"/>
        </w:rPr>
        <w:t>Presupuesto de 2016/17 tras las transferencias</w:t>
      </w:r>
    </w:p>
    <w:p w:rsidR="008F3D8D" w:rsidRPr="008F3D8D" w:rsidRDefault="008F3D8D" w:rsidP="008F3D8D">
      <w:pPr>
        <w:jc w:val="both"/>
        <w:rPr>
          <w:sz w:val="20"/>
        </w:rPr>
      </w:pPr>
    </w:p>
    <w:p w:rsidR="008F3D8D" w:rsidRPr="008F3D8D" w:rsidRDefault="008F3D8D" w:rsidP="008F3D8D">
      <w:pPr>
        <w:pStyle w:val="ListParagraph"/>
        <w:keepNext/>
        <w:keepLines/>
        <w:numPr>
          <w:ilvl w:val="0"/>
          <w:numId w:val="12"/>
        </w:numPr>
        <w:tabs>
          <w:tab w:val="left" w:pos="0"/>
          <w:tab w:val="left" w:pos="709"/>
        </w:tabs>
        <w:autoSpaceDE w:val="0"/>
        <w:autoSpaceDN w:val="0"/>
        <w:ind w:left="0" w:firstLine="0"/>
        <w:contextualSpacing/>
        <w:jc w:val="both"/>
        <w:rPr>
          <w:rFonts w:cs="Arial"/>
          <w:lang w:val="es-ES" w:eastAsia="ko-KR"/>
        </w:rPr>
      </w:pPr>
      <w:r w:rsidRPr="008F3D8D">
        <w:rPr>
          <w:rFonts w:cs="Arial"/>
          <w:lang w:val="es-ES" w:eastAsia="ko-KR"/>
        </w:rPr>
        <w:t xml:space="preserve">La leve disminución neta en los recursos de personal con respecto al presupuesto aprobado de 2016/17 </w:t>
      </w:r>
      <w:r w:rsidR="0048069B">
        <w:rPr>
          <w:rFonts w:cs="Arial"/>
          <w:lang w:val="es-ES" w:eastAsia="ko-KR"/>
        </w:rPr>
        <w:t>se debió</w:t>
      </w:r>
      <w:r w:rsidRPr="008F3D8D">
        <w:rPr>
          <w:rFonts w:cs="Arial"/>
          <w:lang w:val="es-ES" w:eastAsia="ko-KR"/>
        </w:rPr>
        <w:t xml:space="preserve">, por una parte, a:  i) el traslado provisional de un asesor jurídico principal al programa 3 (derecho de autor y derechos conexos), lo que se refleja en el resultado previsto I.2 (asesoramiento legislativo);  ii) la redistribución de los ahorros acumulados en el programa con respecto a los gastos de personal a otras prioridades institucionales, y, por otra parte, a fondos adicionales asignados al programa para la regularización de una función permanente en el programa, lo que se refleja en el resultado previsto I.1 (Mayor cooperación entre los Estados miembros).  La disminución en los recursos no relativos a personal </w:t>
      </w:r>
      <w:r w:rsidR="0048069B">
        <w:rPr>
          <w:rFonts w:cs="Arial"/>
          <w:lang w:val="es-ES" w:eastAsia="ko-KR"/>
        </w:rPr>
        <w:t>se debió</w:t>
      </w:r>
      <w:r w:rsidRPr="008F3D8D">
        <w:rPr>
          <w:rFonts w:cs="Arial"/>
          <w:lang w:val="es-ES" w:eastAsia="ko-KR"/>
        </w:rPr>
        <w:t xml:space="preserve"> a la transferencia de los recursos destinados a pasantías al DGRRHH (programa 23), que gestiona las pasantías de manera centralizada. </w:t>
      </w:r>
    </w:p>
    <w:p w:rsidR="008F3D8D" w:rsidRPr="008F3D8D" w:rsidRDefault="008F3D8D" w:rsidP="008F3D8D">
      <w:pPr>
        <w:jc w:val="both"/>
        <w:rPr>
          <w:sz w:val="20"/>
        </w:rPr>
      </w:pPr>
    </w:p>
    <w:p w:rsidR="008F3D8D" w:rsidRPr="008F3D8D" w:rsidRDefault="008F3D8D" w:rsidP="008F3D8D">
      <w:pPr>
        <w:jc w:val="both"/>
        <w:rPr>
          <w:sz w:val="20"/>
        </w:rPr>
      </w:pPr>
      <w:r w:rsidRPr="008F3D8D">
        <w:rPr>
          <w:sz w:val="20"/>
          <w:lang w:val="es-ES_tradnl"/>
        </w:rPr>
        <w:t>B.</w:t>
      </w:r>
      <w:r w:rsidRPr="008F3D8D">
        <w:rPr>
          <w:sz w:val="20"/>
          <w:lang w:val="es-ES_tradnl"/>
        </w:rPr>
        <w:tab/>
      </w:r>
      <w:r w:rsidRPr="008F3D8D">
        <w:rPr>
          <w:sz w:val="20"/>
          <w:u w:val="single"/>
          <w:lang w:val="es-ES_tradnl"/>
        </w:rPr>
        <w:t>Utilización del presupuesto en 2016/17</w:t>
      </w:r>
    </w:p>
    <w:p w:rsidR="008F3D8D" w:rsidRPr="008F3D8D" w:rsidRDefault="008F3D8D" w:rsidP="008F3D8D">
      <w:pPr>
        <w:jc w:val="both"/>
        <w:rPr>
          <w:sz w:val="20"/>
        </w:rPr>
      </w:pPr>
    </w:p>
    <w:p w:rsidR="008F3D8D" w:rsidRPr="008F3D8D" w:rsidRDefault="008F3D8D" w:rsidP="008F3D8D">
      <w:pPr>
        <w:pStyle w:val="ListParagraph"/>
        <w:keepNext/>
        <w:keepLines/>
        <w:numPr>
          <w:ilvl w:val="0"/>
          <w:numId w:val="12"/>
        </w:numPr>
        <w:tabs>
          <w:tab w:val="left" w:pos="0"/>
          <w:tab w:val="left" w:pos="709"/>
        </w:tabs>
        <w:autoSpaceDE w:val="0"/>
        <w:autoSpaceDN w:val="0"/>
        <w:ind w:left="0" w:firstLine="0"/>
        <w:contextualSpacing/>
        <w:jc w:val="both"/>
        <w:rPr>
          <w:rFonts w:cs="Arial"/>
          <w:lang w:val="es-ES" w:eastAsia="ko-KR"/>
        </w:rPr>
      </w:pPr>
      <w:r w:rsidRPr="008F3D8D">
        <w:rPr>
          <w:rFonts w:cs="Arial"/>
          <w:lang w:val="es-ES_tradnl" w:eastAsia="ko-KR"/>
        </w:rPr>
        <w:t>La utilización del presupuesto se ha mantenido dentro de los límites establecidos (40-60%) durante el primer año del bienio.</w:t>
      </w:r>
    </w:p>
    <w:p w:rsidR="008F3D8D" w:rsidRDefault="008F3D8D">
      <w:pPr>
        <w:rPr>
          <w:sz w:val="20"/>
        </w:rPr>
      </w:pPr>
      <w:r>
        <w:rPr>
          <w:sz w:val="20"/>
        </w:rPr>
        <w:br w:type="page"/>
      </w:r>
    </w:p>
    <w:p w:rsidR="008F3D8D" w:rsidRPr="008D60AF" w:rsidRDefault="008F3D8D" w:rsidP="008478E0">
      <w:pPr>
        <w:keepNext/>
        <w:tabs>
          <w:tab w:val="right" w:pos="9072"/>
        </w:tabs>
        <w:ind w:left="2410" w:hanging="2410"/>
        <w:outlineLvl w:val="1"/>
        <w:rPr>
          <w:b/>
          <w:bCs/>
          <w:iCs/>
        </w:rPr>
      </w:pPr>
      <w:bookmarkStart w:id="25" w:name="_Toc482711240"/>
      <w:r w:rsidRPr="008D60AF">
        <w:rPr>
          <w:b/>
          <w:bCs/>
          <w:iCs/>
          <w:lang w:val="es-ES_tradnl"/>
        </w:rPr>
        <w:lastRenderedPageBreak/>
        <w:t>PROGRAMA 2</w:t>
      </w:r>
      <w:r w:rsidRPr="008D60AF">
        <w:rPr>
          <w:b/>
          <w:bCs/>
          <w:iCs/>
          <w:lang w:val="es-ES_tradnl"/>
        </w:rPr>
        <w:tab/>
        <w:t>MARCAS, DISEÑOS INDUSTRIALES E INDICACIONES GEOGRÁFICAS</w:t>
      </w:r>
      <w:bookmarkEnd w:id="25"/>
    </w:p>
    <w:p w:rsidR="008F3D8D" w:rsidRPr="008D60AF" w:rsidRDefault="008F3D8D" w:rsidP="00A34E19">
      <w:pPr>
        <w:rPr>
          <w:sz w:val="20"/>
        </w:rPr>
      </w:pPr>
    </w:p>
    <w:p w:rsidR="008F3D8D" w:rsidRPr="008D60AF" w:rsidRDefault="008F3D8D" w:rsidP="008478E0">
      <w:pPr>
        <w:tabs>
          <w:tab w:val="left" w:pos="2410"/>
        </w:tabs>
        <w:rPr>
          <w:rFonts w:cs="Times New Roman"/>
          <w:b/>
          <w:sz w:val="20"/>
          <w:szCs w:val="22"/>
        </w:rPr>
      </w:pPr>
      <w:r w:rsidRPr="008D60AF">
        <w:rPr>
          <w:rFonts w:cs="Times New Roman"/>
          <w:b/>
          <w:sz w:val="20"/>
          <w:szCs w:val="22"/>
          <w:lang w:val="es-ES_tradnl"/>
        </w:rPr>
        <w:t>Directora de programa</w:t>
      </w:r>
      <w:r w:rsidRPr="008D60AF">
        <w:rPr>
          <w:rFonts w:cs="Times New Roman"/>
          <w:sz w:val="20"/>
          <w:szCs w:val="22"/>
          <w:lang w:val="es-ES_tradnl"/>
        </w:rPr>
        <w:tab/>
      </w:r>
      <w:r w:rsidRPr="008D60AF">
        <w:rPr>
          <w:rFonts w:cs="Times New Roman"/>
          <w:b/>
          <w:sz w:val="20"/>
          <w:szCs w:val="22"/>
          <w:lang w:val="es-ES_tradnl"/>
        </w:rPr>
        <w:t>Sra. B. Wang</w:t>
      </w:r>
    </w:p>
    <w:p w:rsidR="008F3D8D" w:rsidRPr="008D60AF" w:rsidRDefault="008F3D8D" w:rsidP="00A34E19">
      <w:pPr>
        <w:tabs>
          <w:tab w:val="left" w:pos="1985"/>
        </w:tabs>
        <w:jc w:val="center"/>
        <w:rPr>
          <w:rFonts w:cs="Times New Roman"/>
          <w:b/>
          <w:sz w:val="20"/>
          <w:szCs w:val="22"/>
        </w:rPr>
      </w:pPr>
      <w:r w:rsidRPr="008172F8">
        <w:rPr>
          <w:noProof/>
          <w:lang w:val="en-US" w:eastAsia="en-US"/>
        </w:rPr>
        <w:drawing>
          <wp:inline distT="0" distB="0" distL="0" distR="0" wp14:anchorId="79EA1A84" wp14:editId="25083CBE">
            <wp:extent cx="4784651" cy="249572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784651" cy="2495725"/>
                    </a:xfrm>
                    <a:prstGeom prst="rect">
                      <a:avLst/>
                    </a:prstGeom>
                    <a:noFill/>
                    <a:ln>
                      <a:noFill/>
                    </a:ln>
                  </pic:spPr>
                </pic:pic>
              </a:graphicData>
            </a:graphic>
          </wp:inline>
        </w:drawing>
      </w:r>
      <w:r w:rsidRPr="008D60AF">
        <w:t xml:space="preserve"> </w:t>
      </w:r>
    </w:p>
    <w:tbl>
      <w:tblPr>
        <w:tblW w:w="4870" w:type="pct"/>
        <w:tblInd w:w="58" w:type="dxa"/>
        <w:tblLayout w:type="fixed"/>
        <w:tblLook w:val="0000" w:firstRow="0" w:lastRow="0" w:firstColumn="0" w:lastColumn="0" w:noHBand="0" w:noVBand="0"/>
      </w:tblPr>
      <w:tblGrid>
        <w:gridCol w:w="1700"/>
        <w:gridCol w:w="2695"/>
        <w:gridCol w:w="1274"/>
        <w:gridCol w:w="2359"/>
        <w:gridCol w:w="920"/>
      </w:tblGrid>
      <w:tr w:rsidR="008F3D8D" w:rsidRPr="008D60AF" w:rsidTr="00A34E19">
        <w:trPr>
          <w:trHeight w:val="565"/>
        </w:trPr>
        <w:tc>
          <w:tcPr>
            <w:tcW w:w="5000" w:type="pct"/>
            <w:gridSpan w:val="5"/>
            <w:shd w:val="clear" w:color="auto" w:fill="C6D9F1" w:themeFill="text2" w:themeFillTint="33"/>
            <w:tcMar>
              <w:left w:w="58" w:type="dxa"/>
              <w:right w:w="58" w:type="dxa"/>
            </w:tcMar>
            <w:vAlign w:val="center"/>
          </w:tcPr>
          <w:p w:rsidR="008F3D8D" w:rsidRPr="008D60AF" w:rsidRDefault="008F3D8D" w:rsidP="00A34E19">
            <w:pPr>
              <w:tabs>
                <w:tab w:val="left" w:pos="1452"/>
                <w:tab w:val="left" w:pos="1697"/>
              </w:tabs>
              <w:ind w:left="1697" w:hanging="1697"/>
              <w:rPr>
                <w:b/>
                <w:bCs/>
                <w:sz w:val="16"/>
                <w:szCs w:val="16"/>
              </w:rPr>
            </w:pPr>
            <w:r w:rsidRPr="008D60AF">
              <w:rPr>
                <w:b/>
                <w:bCs/>
                <w:sz w:val="16"/>
                <w:szCs w:val="16"/>
              </w:rPr>
              <w:t>Resultado previsto:</w:t>
            </w:r>
            <w:r w:rsidRPr="008D60AF">
              <w:rPr>
                <w:b/>
                <w:bCs/>
                <w:sz w:val="16"/>
                <w:szCs w:val="16"/>
              </w:rPr>
              <w:tab/>
            </w:r>
            <w:r w:rsidRPr="008D60AF">
              <w:rPr>
                <w:sz w:val="16"/>
                <w:szCs w:val="16"/>
                <w:lang w:val="es-ES_tradnl" w:bidi="th-TH"/>
              </w:rPr>
              <w:t>I.1  Mayor cooperación entre los Estados miembros en la elaboración de marcos normativos internacionales de P.I. equilibrados</w:t>
            </w:r>
            <w:r w:rsidRPr="008D60AF">
              <w:rPr>
                <w:sz w:val="16"/>
                <w:szCs w:val="16"/>
                <w:lang w:bidi="th-TH"/>
              </w:rPr>
              <w:t xml:space="preserve"> </w:t>
            </w:r>
          </w:p>
        </w:tc>
      </w:tr>
      <w:tr w:rsidR="008F3D8D" w:rsidRPr="008D60AF" w:rsidTr="00A34E19">
        <w:tc>
          <w:tcPr>
            <w:tcW w:w="950" w:type="pct"/>
            <w:shd w:val="clear" w:color="auto" w:fill="auto"/>
            <w:tcMar>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Indicadores de rendimiento</w:t>
            </w:r>
          </w:p>
        </w:tc>
        <w:tc>
          <w:tcPr>
            <w:tcW w:w="1506" w:type="pct"/>
            <w:shd w:val="clear" w:color="auto" w:fill="auto"/>
            <w:tcMar>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Referencia</w:t>
            </w:r>
          </w:p>
        </w:tc>
        <w:tc>
          <w:tcPr>
            <w:tcW w:w="712" w:type="pct"/>
            <w:shd w:val="clear" w:color="auto" w:fill="auto"/>
            <w:tcMar>
              <w:top w:w="110" w:type="dxa"/>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Objetivos</w:t>
            </w:r>
          </w:p>
        </w:tc>
        <w:tc>
          <w:tcPr>
            <w:tcW w:w="1318" w:type="pct"/>
            <w:shd w:val="clear" w:color="auto" w:fill="FFFFFF"/>
            <w:tcMar>
              <w:top w:w="110" w:type="dxa"/>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Datos sobre el rendimiento</w:t>
            </w:r>
          </w:p>
        </w:tc>
        <w:tc>
          <w:tcPr>
            <w:tcW w:w="514" w:type="pct"/>
            <w:shd w:val="clear" w:color="auto" w:fill="auto"/>
            <w:tcMar>
              <w:top w:w="110" w:type="dxa"/>
              <w:left w:w="58" w:type="dxa"/>
              <w:right w:w="58" w:type="dxa"/>
            </w:tcMar>
            <w:vAlign w:val="center"/>
          </w:tcPr>
          <w:p w:rsidR="008F3D8D" w:rsidRPr="008D60AF" w:rsidRDefault="008F3D8D" w:rsidP="00A34E19">
            <w:pPr>
              <w:jc w:val="center"/>
              <w:rPr>
                <w:b/>
                <w:bCs/>
                <w:sz w:val="16"/>
                <w:szCs w:val="16"/>
              </w:rPr>
            </w:pPr>
            <w:r w:rsidRPr="008D60AF">
              <w:rPr>
                <w:b/>
                <w:bCs/>
                <w:sz w:val="16"/>
                <w:szCs w:val="16"/>
                <w:lang w:val="es-ES_tradnl"/>
              </w:rPr>
              <w:t>Clave de colores</w:t>
            </w:r>
          </w:p>
        </w:tc>
      </w:tr>
      <w:tr w:rsidR="008F3D8D" w:rsidRPr="008D60AF" w:rsidTr="00A34E19">
        <w:trPr>
          <w:trHeight w:val="273"/>
        </w:trPr>
        <w:tc>
          <w:tcPr>
            <w:tcW w:w="950" w:type="pct"/>
            <w:shd w:val="clear" w:color="auto" w:fill="auto"/>
            <w:tcMar>
              <w:left w:w="58" w:type="dxa"/>
              <w:right w:w="58" w:type="dxa"/>
            </w:tcMar>
          </w:tcPr>
          <w:p w:rsidR="008F3D8D" w:rsidRPr="008D60AF" w:rsidRDefault="008F3D8D" w:rsidP="00A34E19">
            <w:pPr>
              <w:ind w:right="176"/>
              <w:rPr>
                <w:sz w:val="16"/>
                <w:szCs w:val="16"/>
              </w:rPr>
            </w:pPr>
            <w:r w:rsidRPr="008D60AF">
              <w:rPr>
                <w:sz w:val="16"/>
                <w:szCs w:val="16"/>
                <w:lang w:val="es-ES_tradnl"/>
              </w:rPr>
              <w:t>Avances para llegar a un acuerdo sobre las cuestiones que figuran en el orden del día del SCT.</w:t>
            </w:r>
            <w:r w:rsidRPr="008D60AF">
              <w:rPr>
                <w:sz w:val="16"/>
                <w:szCs w:val="16"/>
              </w:rPr>
              <w:t xml:space="preserve"> </w:t>
            </w:r>
          </w:p>
        </w:tc>
        <w:tc>
          <w:tcPr>
            <w:tcW w:w="1506" w:type="pct"/>
            <w:shd w:val="clear" w:color="auto" w:fill="auto"/>
            <w:tcMar>
              <w:left w:w="58" w:type="dxa"/>
              <w:right w:w="58" w:type="dxa"/>
            </w:tcMar>
          </w:tcPr>
          <w:p w:rsidR="008F3D8D" w:rsidRPr="004B0073" w:rsidRDefault="008F3D8D" w:rsidP="00A34E19">
            <w:pPr>
              <w:rPr>
                <w:i/>
                <w:color w:val="002060"/>
                <w:sz w:val="16"/>
                <w:szCs w:val="16"/>
                <w:lang w:val="es-ES_tradnl"/>
              </w:rPr>
            </w:pPr>
            <w:r w:rsidRPr="004B0073">
              <w:rPr>
                <w:i/>
                <w:color w:val="002060"/>
                <w:sz w:val="16"/>
                <w:szCs w:val="16"/>
                <w:lang w:val="es-ES_tradnl"/>
              </w:rPr>
              <w:t xml:space="preserve">Referencia actualizada a fines de 2015:  </w:t>
            </w:r>
          </w:p>
          <w:p w:rsidR="008F3D8D" w:rsidRPr="009D63F9" w:rsidRDefault="008F3D8D" w:rsidP="00A34E19">
            <w:pPr>
              <w:rPr>
                <w:color w:val="002060"/>
                <w:sz w:val="16"/>
                <w:szCs w:val="16"/>
              </w:rPr>
            </w:pPr>
            <w:r w:rsidRPr="009D63F9">
              <w:rPr>
                <w:color w:val="002060"/>
                <w:sz w:val="16"/>
                <w:szCs w:val="16"/>
              </w:rPr>
              <w:t>Estado en que se encuentra la labor del SCT al final de 2015 según el documento SCT/34/7</w:t>
            </w:r>
          </w:p>
          <w:p w:rsidR="008F3D8D" w:rsidRPr="008D60AF" w:rsidRDefault="008F3D8D" w:rsidP="00A34E19">
            <w:pPr>
              <w:rPr>
                <w:sz w:val="16"/>
                <w:szCs w:val="16"/>
              </w:rPr>
            </w:pPr>
          </w:p>
          <w:p w:rsidR="008F3D8D" w:rsidRPr="008D60AF" w:rsidRDefault="008F3D8D" w:rsidP="00A34E19">
            <w:pPr>
              <w:rPr>
                <w:i/>
                <w:sz w:val="16"/>
                <w:szCs w:val="16"/>
                <w:lang w:bidi="th-TH"/>
              </w:rPr>
            </w:pPr>
            <w:r w:rsidRPr="008D60AF">
              <w:rPr>
                <w:i/>
                <w:sz w:val="16"/>
                <w:szCs w:val="16"/>
                <w:lang w:val="es-ES_tradnl" w:bidi="th-TH"/>
              </w:rPr>
              <w:t>Referencia original en el presupuesto de 2016/17:</w:t>
            </w:r>
            <w:r w:rsidRPr="008D60AF">
              <w:rPr>
                <w:sz w:val="16"/>
                <w:szCs w:val="16"/>
                <w:lang w:val="es-ES_tradnl" w:bidi="th-TH"/>
              </w:rPr>
              <w:t xml:space="preserve">  </w:t>
            </w:r>
          </w:p>
          <w:p w:rsidR="008F3D8D" w:rsidRPr="008D60AF" w:rsidRDefault="008F3D8D" w:rsidP="00A34E19">
            <w:pPr>
              <w:rPr>
                <w:sz w:val="16"/>
                <w:szCs w:val="16"/>
              </w:rPr>
            </w:pPr>
            <w:r w:rsidRPr="008D60AF">
              <w:rPr>
                <w:sz w:val="16"/>
                <w:szCs w:val="16"/>
                <w:lang w:val="es-ES_tradnl"/>
              </w:rPr>
              <w:t>Estado en que se encuentra la labor del SCT al final de 2015 según los documentos de trabajo pertinentes</w:t>
            </w:r>
          </w:p>
        </w:tc>
        <w:tc>
          <w:tcPr>
            <w:tcW w:w="712" w:type="pct"/>
            <w:shd w:val="clear" w:color="auto" w:fill="auto"/>
            <w:tcMar>
              <w:top w:w="110" w:type="dxa"/>
              <w:left w:w="58" w:type="dxa"/>
              <w:right w:w="58" w:type="dxa"/>
            </w:tcMar>
          </w:tcPr>
          <w:p w:rsidR="008F3D8D" w:rsidRPr="008D60AF" w:rsidRDefault="008F3D8D" w:rsidP="00A34E19">
            <w:pPr>
              <w:rPr>
                <w:sz w:val="16"/>
                <w:szCs w:val="16"/>
              </w:rPr>
            </w:pPr>
            <w:r w:rsidRPr="008D60AF">
              <w:rPr>
                <w:sz w:val="16"/>
                <w:szCs w:val="16"/>
                <w:lang w:val="es-ES_tradnl"/>
              </w:rPr>
              <w:t>Resultados acordados en el SCT</w:t>
            </w:r>
          </w:p>
        </w:tc>
        <w:tc>
          <w:tcPr>
            <w:tcW w:w="1318" w:type="pct"/>
            <w:shd w:val="clear" w:color="auto" w:fill="FFFFFF"/>
            <w:tcMar>
              <w:top w:w="110" w:type="dxa"/>
              <w:left w:w="58" w:type="dxa"/>
              <w:right w:w="58" w:type="dxa"/>
            </w:tcMar>
          </w:tcPr>
          <w:p w:rsidR="008F3D8D" w:rsidRPr="008D60AF" w:rsidRDefault="008F3D8D" w:rsidP="00A34E19">
            <w:pPr>
              <w:rPr>
                <w:sz w:val="16"/>
                <w:szCs w:val="16"/>
              </w:rPr>
            </w:pPr>
            <w:r w:rsidRPr="008D60AF">
              <w:rPr>
                <w:sz w:val="16"/>
                <w:szCs w:val="16"/>
              </w:rPr>
              <w:t>La Asamblea General de la OMPI de 2016 decidió que “en su siguiente período de sesiones de octubre de 2017, continuará considerando la convocación de una conferencia diplomática relativa al Tratado sobre el Derecho de los Diseños para que tenga lugar a fines del primer semestre de 2018.” (Documento A/56/16 ADD.4</w:t>
            </w:r>
            <w:r w:rsidRPr="008D60AF">
              <w:rPr>
                <w:rStyle w:val="FootnoteReference"/>
              </w:rPr>
              <w:footnoteReference w:id="12"/>
            </w:r>
            <w:r w:rsidRPr="008D60AF">
              <w:rPr>
                <w:sz w:val="16"/>
                <w:szCs w:val="16"/>
              </w:rPr>
              <w:t>)</w:t>
            </w:r>
          </w:p>
          <w:p w:rsidR="008F3D8D" w:rsidRPr="008D60AF" w:rsidRDefault="008F3D8D" w:rsidP="00A34E19">
            <w:pPr>
              <w:rPr>
                <w:sz w:val="16"/>
                <w:szCs w:val="16"/>
              </w:rPr>
            </w:pPr>
          </w:p>
          <w:p w:rsidR="008F3D8D" w:rsidRPr="008D60AF" w:rsidRDefault="008F3D8D" w:rsidP="00A34E19">
            <w:pPr>
              <w:rPr>
                <w:sz w:val="16"/>
                <w:szCs w:val="16"/>
              </w:rPr>
            </w:pPr>
            <w:r w:rsidRPr="008D60AF">
              <w:rPr>
                <w:sz w:val="16"/>
                <w:szCs w:val="16"/>
              </w:rPr>
              <w:t>En la trigésima sexta sesión del SCT:</w:t>
            </w:r>
          </w:p>
          <w:p w:rsidR="008F3D8D" w:rsidRPr="008D60AF" w:rsidRDefault="008F3D8D" w:rsidP="008F3D8D">
            <w:pPr>
              <w:pStyle w:val="ListParagraph"/>
              <w:numPr>
                <w:ilvl w:val="0"/>
                <w:numId w:val="13"/>
              </w:numPr>
              <w:spacing w:after="60"/>
              <w:ind w:left="233" w:hanging="233"/>
              <w:contextualSpacing/>
              <w:rPr>
                <w:rFonts w:cs="Arial"/>
                <w:sz w:val="16"/>
                <w:szCs w:val="16"/>
                <w:lang w:val="es-ES"/>
              </w:rPr>
            </w:pPr>
            <w:r w:rsidRPr="008D60AF">
              <w:rPr>
                <w:rFonts w:cs="Arial"/>
                <w:sz w:val="16"/>
                <w:szCs w:val="16"/>
                <w:lang w:val="es-ES"/>
              </w:rPr>
              <w:t>examinó una recopilación de las respuestas al cuestionario sobre diseños de interfaces gráficas de usuario (IGU), iconos y fuentes/tipos  (Documento SCT/36/2 REV</w:t>
            </w:r>
            <w:r w:rsidRPr="008D60AF">
              <w:rPr>
                <w:rStyle w:val="FootnoteReference"/>
                <w:rFonts w:eastAsiaTheme="minorEastAsia"/>
              </w:rPr>
              <w:footnoteReference w:id="13"/>
            </w:r>
            <w:r w:rsidRPr="008D60AF">
              <w:rPr>
                <w:rFonts w:cs="Arial"/>
                <w:sz w:val="16"/>
                <w:szCs w:val="16"/>
                <w:lang w:val="es-ES"/>
              </w:rPr>
              <w:t>);</w:t>
            </w:r>
          </w:p>
          <w:p w:rsidR="008F3D8D" w:rsidRPr="008D60AF" w:rsidRDefault="008F3D8D" w:rsidP="008F3D8D">
            <w:pPr>
              <w:pStyle w:val="ListParagraph"/>
              <w:numPr>
                <w:ilvl w:val="0"/>
                <w:numId w:val="13"/>
              </w:numPr>
              <w:spacing w:before="60" w:after="60"/>
              <w:ind w:left="233" w:hanging="233"/>
              <w:contextualSpacing/>
              <w:rPr>
                <w:rFonts w:cs="Arial"/>
                <w:sz w:val="16"/>
                <w:szCs w:val="16"/>
                <w:lang w:val="es-ES"/>
              </w:rPr>
            </w:pPr>
            <w:r w:rsidRPr="008D60AF">
              <w:rPr>
                <w:rFonts w:cs="Arial"/>
                <w:sz w:val="16"/>
                <w:szCs w:val="16"/>
                <w:lang w:val="es-ES"/>
              </w:rPr>
              <w:t>examinó posibles ámbitos de convergencia en relación con la protección de nombres de países contra su registro y uso como marcas (Documento SCT/35/4</w:t>
            </w:r>
            <w:r w:rsidRPr="008D60AF">
              <w:rPr>
                <w:rStyle w:val="FootnoteReference"/>
                <w:rFonts w:eastAsiaTheme="minorEastAsia"/>
              </w:rPr>
              <w:footnoteReference w:id="14"/>
            </w:r>
            <w:r w:rsidRPr="008D60AF">
              <w:rPr>
                <w:rFonts w:cs="Arial"/>
                <w:sz w:val="16"/>
                <w:szCs w:val="16"/>
                <w:lang w:val="es-ES"/>
              </w:rPr>
              <w:t>);  y</w:t>
            </w:r>
          </w:p>
          <w:p w:rsidR="008F3D8D" w:rsidRPr="008D60AF" w:rsidRDefault="008F3D8D" w:rsidP="008F3D8D">
            <w:pPr>
              <w:pStyle w:val="ListParagraph"/>
              <w:numPr>
                <w:ilvl w:val="0"/>
                <w:numId w:val="13"/>
              </w:numPr>
              <w:spacing w:before="60" w:after="60"/>
              <w:ind w:left="233" w:hanging="233"/>
              <w:contextualSpacing/>
              <w:rPr>
                <w:rFonts w:cs="Arial"/>
                <w:sz w:val="16"/>
                <w:szCs w:val="16"/>
                <w:lang w:val="es-ES"/>
              </w:rPr>
            </w:pPr>
            <w:r w:rsidRPr="008D60AF">
              <w:rPr>
                <w:rFonts w:cs="Arial"/>
                <w:sz w:val="16"/>
                <w:szCs w:val="16"/>
                <w:lang w:val="es-ES"/>
              </w:rPr>
              <w:t xml:space="preserve">decidió que en su 37ª sesión se celebraría una sesión de información sobre indicaciones geográficas, tras la cual se celebrarán nuevos debates sobre su </w:t>
            </w:r>
            <w:r w:rsidRPr="008D60AF">
              <w:rPr>
                <w:rFonts w:cs="Arial"/>
                <w:sz w:val="16"/>
                <w:szCs w:val="16"/>
                <w:lang w:val="es-ES"/>
              </w:rPr>
              <w:lastRenderedPageBreak/>
              <w:t>programa de trabajo a ese respecto (documento SCT/36/5</w:t>
            </w:r>
            <w:r w:rsidRPr="008D60AF">
              <w:rPr>
                <w:rStyle w:val="FootnoteReference"/>
                <w:rFonts w:eastAsiaTheme="minorEastAsia"/>
              </w:rPr>
              <w:footnoteReference w:id="15"/>
            </w:r>
            <w:r w:rsidRPr="008D60AF">
              <w:rPr>
                <w:rFonts w:cs="Arial"/>
                <w:sz w:val="16"/>
                <w:szCs w:val="16"/>
                <w:lang w:val="es-ES"/>
              </w:rPr>
              <w:t>, párrafo 15).</w:t>
            </w:r>
          </w:p>
        </w:tc>
        <w:tc>
          <w:tcPr>
            <w:tcW w:w="514" w:type="pct"/>
            <w:shd w:val="clear" w:color="auto" w:fill="auto"/>
            <w:tcMar>
              <w:top w:w="110" w:type="dxa"/>
              <w:left w:w="58" w:type="dxa"/>
              <w:right w:w="58" w:type="dxa"/>
            </w:tcMar>
          </w:tcPr>
          <w:p w:rsidR="008F3D8D" w:rsidRPr="008D60AF" w:rsidRDefault="004B0073" w:rsidP="00A34E19">
            <w:pPr>
              <w:jc w:val="center"/>
              <w:rPr>
                <w:b/>
                <w:sz w:val="16"/>
                <w:szCs w:val="16"/>
              </w:rPr>
            </w:pPr>
            <w:r w:rsidRPr="004B0073">
              <w:rPr>
                <w:b/>
                <w:color w:val="FF0000"/>
                <w:sz w:val="16"/>
                <w:szCs w:val="16"/>
                <w:lang w:val="es-ES_tradnl"/>
              </w:rPr>
              <w:lastRenderedPageBreak/>
              <w:t>No a</w:t>
            </w:r>
            <w:r w:rsidR="008F3D8D" w:rsidRPr="004B0073">
              <w:rPr>
                <w:b/>
                <w:color w:val="FF0000"/>
                <w:sz w:val="16"/>
                <w:szCs w:val="16"/>
                <w:lang w:val="es-ES_tradnl"/>
              </w:rPr>
              <w:t>vanza</w:t>
            </w:r>
          </w:p>
        </w:tc>
      </w:tr>
      <w:tr w:rsidR="008F3D8D" w:rsidRPr="008D60AF" w:rsidTr="00A34E19">
        <w:trPr>
          <w:trHeight w:val="2541"/>
        </w:trPr>
        <w:tc>
          <w:tcPr>
            <w:tcW w:w="950" w:type="pct"/>
            <w:shd w:val="clear" w:color="auto" w:fill="auto"/>
            <w:tcMar>
              <w:left w:w="58" w:type="dxa"/>
              <w:right w:w="58" w:type="dxa"/>
            </w:tcMar>
          </w:tcPr>
          <w:p w:rsidR="008F3D8D" w:rsidRPr="008D60AF" w:rsidRDefault="008F3D8D" w:rsidP="00A34E19">
            <w:pPr>
              <w:ind w:right="176"/>
              <w:rPr>
                <w:sz w:val="16"/>
                <w:szCs w:val="16"/>
              </w:rPr>
            </w:pPr>
            <w:r w:rsidRPr="008D60AF">
              <w:rPr>
                <w:sz w:val="16"/>
                <w:szCs w:val="16"/>
                <w:lang w:val="es-ES_tradnl"/>
              </w:rPr>
              <w:lastRenderedPageBreak/>
              <w:t>N.º de ratificaciones y adhesiones al Tratado de Singapur</w:t>
            </w:r>
          </w:p>
        </w:tc>
        <w:tc>
          <w:tcPr>
            <w:tcW w:w="1506" w:type="pct"/>
            <w:shd w:val="clear" w:color="auto" w:fill="auto"/>
            <w:tcMar>
              <w:left w:w="58" w:type="dxa"/>
              <w:right w:w="58" w:type="dxa"/>
            </w:tcMar>
          </w:tcPr>
          <w:p w:rsidR="008F3D8D" w:rsidRPr="009D63F9" w:rsidRDefault="008F3D8D" w:rsidP="00A34E19">
            <w:pPr>
              <w:rPr>
                <w:i/>
                <w:color w:val="002060"/>
                <w:sz w:val="16"/>
                <w:szCs w:val="16"/>
              </w:rPr>
            </w:pPr>
            <w:r w:rsidRPr="009D63F9">
              <w:rPr>
                <w:i/>
                <w:color w:val="002060"/>
                <w:sz w:val="16"/>
                <w:szCs w:val="16"/>
              </w:rPr>
              <w:t xml:space="preserve">Referencia actualizada a fines de 2015:  </w:t>
            </w:r>
          </w:p>
          <w:p w:rsidR="008F3D8D" w:rsidRPr="009D63F9" w:rsidRDefault="008F3D8D" w:rsidP="00A34E19">
            <w:pPr>
              <w:rPr>
                <w:color w:val="002060"/>
                <w:sz w:val="16"/>
                <w:szCs w:val="16"/>
              </w:rPr>
            </w:pPr>
            <w:r w:rsidRPr="009D63F9">
              <w:rPr>
                <w:color w:val="002060"/>
                <w:sz w:val="16"/>
                <w:szCs w:val="16"/>
              </w:rPr>
              <w:t xml:space="preserve">Un total de 38 Partes Contratantes </w:t>
            </w:r>
          </w:p>
          <w:p w:rsidR="008F3D8D" w:rsidRPr="008D60AF" w:rsidRDefault="008F3D8D" w:rsidP="00A34E19">
            <w:pPr>
              <w:rPr>
                <w:sz w:val="16"/>
                <w:szCs w:val="16"/>
              </w:rPr>
            </w:pPr>
          </w:p>
          <w:p w:rsidR="008F3D8D" w:rsidRPr="008D60AF" w:rsidRDefault="008F3D8D" w:rsidP="00A34E19">
            <w:pPr>
              <w:rPr>
                <w:i/>
                <w:sz w:val="16"/>
                <w:szCs w:val="16"/>
                <w:lang w:bidi="th-TH"/>
              </w:rPr>
            </w:pPr>
            <w:r w:rsidRPr="008D60AF">
              <w:rPr>
                <w:i/>
                <w:sz w:val="16"/>
                <w:szCs w:val="16"/>
                <w:lang w:val="es-ES_tradnl" w:bidi="th-TH"/>
              </w:rPr>
              <w:t>Referencia original en el presupuesto de 2016/17:</w:t>
            </w:r>
            <w:r w:rsidRPr="008D60AF">
              <w:rPr>
                <w:sz w:val="16"/>
                <w:szCs w:val="16"/>
                <w:lang w:val="es-ES_tradnl" w:bidi="th-TH"/>
              </w:rPr>
              <w:t xml:space="preserve">  </w:t>
            </w:r>
            <w:r w:rsidRPr="008D60AF">
              <w:rPr>
                <w:i/>
                <w:sz w:val="16"/>
                <w:szCs w:val="16"/>
                <w:lang w:bidi="th-TH"/>
              </w:rPr>
              <w:t xml:space="preserve">  </w:t>
            </w:r>
          </w:p>
          <w:p w:rsidR="008F3D8D" w:rsidRPr="00653EAB" w:rsidRDefault="008F3D8D" w:rsidP="00653EAB">
            <w:pPr>
              <w:spacing w:after="60"/>
              <w:rPr>
                <w:sz w:val="16"/>
                <w:szCs w:val="16"/>
                <w:lang w:val="es-ES_tradnl"/>
              </w:rPr>
            </w:pPr>
            <w:r w:rsidRPr="008D60AF">
              <w:rPr>
                <w:sz w:val="16"/>
                <w:szCs w:val="16"/>
                <w:lang w:val="es-ES_tradnl"/>
              </w:rPr>
              <w:t>Siete nuevas Partes Contratantes en 2014:  Belarús, Bélgica, Iraq, Luxemburgo, Organización de Propiedad Intelectual del Benelux (BOIP), Países Bajos y Tayikistán, elevando a 38 el número total de Partes Contratantes a fines de 2014.</w:t>
            </w:r>
          </w:p>
        </w:tc>
        <w:tc>
          <w:tcPr>
            <w:tcW w:w="712" w:type="pct"/>
            <w:shd w:val="clear" w:color="auto" w:fill="auto"/>
            <w:tcMar>
              <w:top w:w="110" w:type="dxa"/>
              <w:left w:w="58" w:type="dxa"/>
              <w:right w:w="58" w:type="dxa"/>
            </w:tcMar>
          </w:tcPr>
          <w:p w:rsidR="008F3D8D" w:rsidRPr="008D60AF" w:rsidRDefault="008F3D8D" w:rsidP="00A34E19">
            <w:pPr>
              <w:rPr>
                <w:sz w:val="16"/>
                <w:szCs w:val="16"/>
              </w:rPr>
            </w:pPr>
            <w:r w:rsidRPr="008D60AF">
              <w:rPr>
                <w:sz w:val="16"/>
                <w:szCs w:val="16"/>
              </w:rPr>
              <w:t>Ocho nuevas ratificaciones/</w:t>
            </w:r>
          </w:p>
          <w:p w:rsidR="008F3D8D" w:rsidRPr="008D60AF" w:rsidRDefault="008F3D8D" w:rsidP="00A34E19">
            <w:pPr>
              <w:rPr>
                <w:sz w:val="16"/>
                <w:szCs w:val="16"/>
              </w:rPr>
            </w:pPr>
            <w:r w:rsidRPr="008D60AF">
              <w:rPr>
                <w:sz w:val="16"/>
                <w:szCs w:val="16"/>
              </w:rPr>
              <w:t>adhesiones</w:t>
            </w:r>
          </w:p>
        </w:tc>
        <w:tc>
          <w:tcPr>
            <w:tcW w:w="1318" w:type="pct"/>
            <w:shd w:val="clear" w:color="auto" w:fill="FFFFFF"/>
            <w:tcMar>
              <w:top w:w="110" w:type="dxa"/>
              <w:left w:w="58" w:type="dxa"/>
              <w:right w:w="58" w:type="dxa"/>
            </w:tcMar>
          </w:tcPr>
          <w:p w:rsidR="008F3D8D" w:rsidRPr="008D60AF" w:rsidRDefault="008F3D8D" w:rsidP="00A34E19">
            <w:pPr>
              <w:spacing w:after="120"/>
              <w:rPr>
                <w:sz w:val="16"/>
                <w:szCs w:val="16"/>
              </w:rPr>
            </w:pPr>
            <w:r w:rsidRPr="008D60AF">
              <w:rPr>
                <w:sz w:val="16"/>
                <w:szCs w:val="16"/>
              </w:rPr>
              <w:t xml:space="preserve">7 nuevas Partes Contratantes:  Benin, República Popular Democrática de Corea, Irlanda, Japón, Malí, República de Corea y Organización Africana de la Propiedad Intelectual (OAPI) </w:t>
            </w:r>
          </w:p>
          <w:p w:rsidR="008F3D8D" w:rsidRPr="008D60AF" w:rsidRDefault="008F3D8D" w:rsidP="00A34E19">
            <w:pPr>
              <w:rPr>
                <w:sz w:val="16"/>
                <w:szCs w:val="16"/>
              </w:rPr>
            </w:pPr>
            <w:r w:rsidRPr="008D60AF">
              <w:rPr>
                <w:sz w:val="16"/>
                <w:szCs w:val="16"/>
              </w:rPr>
              <w:t>Un total de 45 Partes Contratantes a fines de 2016</w:t>
            </w:r>
          </w:p>
        </w:tc>
        <w:tc>
          <w:tcPr>
            <w:tcW w:w="514" w:type="pct"/>
            <w:shd w:val="clear" w:color="auto" w:fill="auto"/>
            <w:tcMar>
              <w:top w:w="110" w:type="dxa"/>
              <w:left w:w="58" w:type="dxa"/>
              <w:right w:w="58" w:type="dxa"/>
            </w:tcMar>
          </w:tcPr>
          <w:p w:rsidR="008F3D8D" w:rsidRPr="008D60AF" w:rsidRDefault="008F3D8D" w:rsidP="00A34E19">
            <w:pPr>
              <w:jc w:val="center"/>
              <w:rPr>
                <w:b/>
                <w:sz w:val="16"/>
                <w:szCs w:val="16"/>
              </w:rPr>
            </w:pPr>
            <w:r w:rsidRPr="008D60AF">
              <w:rPr>
                <w:b/>
                <w:color w:val="00B050"/>
                <w:sz w:val="16"/>
                <w:szCs w:val="16"/>
                <w:lang w:val="es-ES_tradnl"/>
              </w:rPr>
              <w:t>Avanza</w:t>
            </w:r>
          </w:p>
        </w:tc>
      </w:tr>
      <w:tr w:rsidR="008F3D8D" w:rsidRPr="008D60AF" w:rsidTr="00A34E19">
        <w:trPr>
          <w:trHeight w:val="565"/>
        </w:trPr>
        <w:tc>
          <w:tcPr>
            <w:tcW w:w="5000" w:type="pct"/>
            <w:gridSpan w:val="5"/>
            <w:shd w:val="clear" w:color="auto" w:fill="C6D9F1" w:themeFill="text2" w:themeFillTint="33"/>
            <w:tcMar>
              <w:left w:w="58" w:type="dxa"/>
              <w:right w:w="58" w:type="dxa"/>
            </w:tcMar>
            <w:vAlign w:val="center"/>
          </w:tcPr>
          <w:p w:rsidR="008F3D8D" w:rsidRPr="008D60AF" w:rsidRDefault="008F3D8D" w:rsidP="00A34E19">
            <w:pPr>
              <w:tabs>
                <w:tab w:val="left" w:pos="1717"/>
              </w:tabs>
              <w:ind w:left="1452" w:hanging="1452"/>
              <w:rPr>
                <w:b/>
                <w:bCs/>
                <w:sz w:val="16"/>
                <w:szCs w:val="16"/>
              </w:rPr>
            </w:pPr>
            <w:r w:rsidRPr="008D60AF">
              <w:rPr>
                <w:b/>
                <w:bCs/>
                <w:sz w:val="16"/>
                <w:szCs w:val="16"/>
              </w:rPr>
              <w:t>Resultado previsto:</w:t>
            </w:r>
            <w:r w:rsidRPr="008D60AF">
              <w:rPr>
                <w:b/>
                <w:bCs/>
                <w:sz w:val="16"/>
                <w:szCs w:val="16"/>
              </w:rPr>
              <w:tab/>
            </w:r>
            <w:r w:rsidRPr="008D60AF">
              <w:rPr>
                <w:bCs/>
                <w:sz w:val="16"/>
                <w:szCs w:val="16"/>
                <w:lang w:val="es-ES_tradnl"/>
              </w:rPr>
              <w:t>I.2  Marcos de P.I. adaptados y equilibrados en el ámbito legislativo, regulador y de política</w:t>
            </w:r>
          </w:p>
        </w:tc>
      </w:tr>
      <w:tr w:rsidR="008F3D8D" w:rsidRPr="008D60AF" w:rsidTr="00A34E19">
        <w:tc>
          <w:tcPr>
            <w:tcW w:w="950" w:type="pct"/>
            <w:shd w:val="clear" w:color="auto" w:fill="auto"/>
            <w:tcMar>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Indicadores de rendimiento</w:t>
            </w:r>
          </w:p>
        </w:tc>
        <w:tc>
          <w:tcPr>
            <w:tcW w:w="1506" w:type="pct"/>
            <w:shd w:val="clear" w:color="auto" w:fill="auto"/>
            <w:tcMar>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Referencia</w:t>
            </w:r>
          </w:p>
        </w:tc>
        <w:tc>
          <w:tcPr>
            <w:tcW w:w="712" w:type="pct"/>
            <w:shd w:val="clear" w:color="auto" w:fill="auto"/>
            <w:tcMar>
              <w:top w:w="110" w:type="dxa"/>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Objetivos</w:t>
            </w:r>
          </w:p>
        </w:tc>
        <w:tc>
          <w:tcPr>
            <w:tcW w:w="1318" w:type="pct"/>
            <w:shd w:val="clear" w:color="auto" w:fill="FFFFFF"/>
            <w:tcMar>
              <w:top w:w="110" w:type="dxa"/>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Datos sobre el rendimiento</w:t>
            </w:r>
          </w:p>
        </w:tc>
        <w:tc>
          <w:tcPr>
            <w:tcW w:w="514" w:type="pct"/>
            <w:shd w:val="clear" w:color="auto" w:fill="auto"/>
            <w:tcMar>
              <w:top w:w="110" w:type="dxa"/>
              <w:left w:w="58" w:type="dxa"/>
              <w:right w:w="58" w:type="dxa"/>
            </w:tcMar>
            <w:vAlign w:val="center"/>
          </w:tcPr>
          <w:p w:rsidR="008F3D8D" w:rsidRPr="008D60AF" w:rsidRDefault="008F3D8D" w:rsidP="00A34E19">
            <w:pPr>
              <w:jc w:val="center"/>
              <w:rPr>
                <w:b/>
                <w:bCs/>
                <w:sz w:val="16"/>
                <w:szCs w:val="16"/>
              </w:rPr>
            </w:pPr>
            <w:r w:rsidRPr="008D60AF">
              <w:rPr>
                <w:b/>
                <w:bCs/>
                <w:sz w:val="16"/>
                <w:szCs w:val="16"/>
                <w:lang w:val="es-ES_tradnl"/>
              </w:rPr>
              <w:t>Clave de colores</w:t>
            </w:r>
          </w:p>
        </w:tc>
      </w:tr>
      <w:tr w:rsidR="008F3D8D" w:rsidRPr="008D60AF" w:rsidTr="00A34E19">
        <w:trPr>
          <w:trHeight w:val="2988"/>
        </w:trPr>
        <w:tc>
          <w:tcPr>
            <w:tcW w:w="950" w:type="pct"/>
            <w:shd w:val="clear" w:color="auto" w:fill="auto"/>
            <w:tcMar>
              <w:left w:w="58" w:type="dxa"/>
              <w:right w:w="58" w:type="dxa"/>
            </w:tcMar>
          </w:tcPr>
          <w:p w:rsidR="008F3D8D" w:rsidRPr="008D60AF" w:rsidRDefault="008F3D8D" w:rsidP="00A34E19">
            <w:pPr>
              <w:ind w:right="176"/>
              <w:rPr>
                <w:sz w:val="16"/>
                <w:szCs w:val="16"/>
              </w:rPr>
            </w:pPr>
            <w:r w:rsidRPr="008D60AF">
              <w:rPr>
                <w:sz w:val="16"/>
                <w:szCs w:val="16"/>
                <w:lang w:val="es-ES_tradnl"/>
              </w:rPr>
              <w:t>N.º y % de Estados miembros/organi-zaciones regionales que han formulado comentarios positivos sobre el asesoramiento legislativo proporcionado en la esfera de las marcas, los diseños industriales y las indicaciones geográficas</w:t>
            </w:r>
          </w:p>
        </w:tc>
        <w:tc>
          <w:tcPr>
            <w:tcW w:w="1506" w:type="pct"/>
            <w:shd w:val="clear" w:color="auto" w:fill="auto"/>
            <w:tcMar>
              <w:left w:w="58" w:type="dxa"/>
              <w:right w:w="58" w:type="dxa"/>
            </w:tcMar>
          </w:tcPr>
          <w:p w:rsidR="008F3D8D" w:rsidRPr="009D63F9" w:rsidRDefault="008F3D8D" w:rsidP="00A34E19">
            <w:pPr>
              <w:rPr>
                <w:i/>
                <w:color w:val="002060"/>
                <w:sz w:val="16"/>
                <w:szCs w:val="16"/>
              </w:rPr>
            </w:pPr>
            <w:r w:rsidRPr="009D63F9">
              <w:rPr>
                <w:i/>
                <w:color w:val="002060"/>
                <w:sz w:val="16"/>
                <w:szCs w:val="16"/>
              </w:rPr>
              <w:t xml:space="preserve">Referencia actualizada a fines de 2015:  </w:t>
            </w:r>
          </w:p>
          <w:p w:rsidR="008F3D8D" w:rsidRPr="009D63F9" w:rsidRDefault="008F3D8D" w:rsidP="00A34E19">
            <w:pPr>
              <w:rPr>
                <w:color w:val="002060"/>
                <w:sz w:val="16"/>
                <w:szCs w:val="16"/>
              </w:rPr>
            </w:pPr>
            <w:r w:rsidRPr="009D63F9">
              <w:rPr>
                <w:color w:val="002060"/>
                <w:sz w:val="16"/>
                <w:szCs w:val="16"/>
                <w:lang w:val="es-ES_tradnl"/>
              </w:rPr>
              <w:t>Se recibieron comentarios de 10 encuestados, y todos ellos (100%) manifestaron estar satisfechos con el asesoramiento brindado</w:t>
            </w:r>
          </w:p>
          <w:p w:rsidR="008F3D8D" w:rsidRPr="008D60AF" w:rsidRDefault="008F3D8D" w:rsidP="00A34E19">
            <w:pPr>
              <w:rPr>
                <w:i/>
                <w:sz w:val="16"/>
                <w:szCs w:val="16"/>
              </w:rPr>
            </w:pPr>
          </w:p>
          <w:p w:rsidR="008F3D8D" w:rsidRPr="00653EAB" w:rsidRDefault="008F3D8D" w:rsidP="00653EAB">
            <w:pPr>
              <w:spacing w:after="60"/>
              <w:rPr>
                <w:sz w:val="16"/>
                <w:szCs w:val="16"/>
              </w:rPr>
            </w:pPr>
            <w:r w:rsidRPr="008D60AF">
              <w:rPr>
                <w:i/>
                <w:sz w:val="16"/>
                <w:szCs w:val="16"/>
                <w:lang w:val="es-ES_tradnl" w:bidi="th-TH"/>
              </w:rPr>
              <w:t>Referencia original en el presupuesto de 2016/17:</w:t>
            </w:r>
            <w:r w:rsidRPr="008D60AF">
              <w:rPr>
                <w:sz w:val="16"/>
                <w:szCs w:val="16"/>
                <w:lang w:val="es-ES_tradnl" w:bidi="th-TH"/>
              </w:rPr>
              <w:t xml:space="preserve">  </w:t>
            </w:r>
            <w:r w:rsidRPr="008D60AF">
              <w:rPr>
                <w:sz w:val="16"/>
                <w:szCs w:val="16"/>
                <w:lang w:val="es-ES_tradnl" w:bidi="th-TH"/>
              </w:rPr>
              <w:br/>
            </w:r>
            <w:r w:rsidRPr="008D60AF">
              <w:rPr>
                <w:sz w:val="16"/>
                <w:szCs w:val="16"/>
                <w:lang w:val="es-ES_tradnl"/>
              </w:rPr>
              <w:t>Se proporcionó asesoramiento a 20 Estados miembros/organizaciones regionales.</w:t>
            </w:r>
            <w:r w:rsidRPr="008D60AF">
              <w:rPr>
                <w:sz w:val="16"/>
                <w:szCs w:val="16"/>
              </w:rPr>
              <w:t xml:space="preserve">  </w:t>
            </w:r>
            <w:r w:rsidRPr="008D60AF">
              <w:rPr>
                <w:sz w:val="16"/>
                <w:szCs w:val="16"/>
                <w:lang w:val="es-ES_tradnl"/>
              </w:rPr>
              <w:t>Se recibieron comentarios de siete encuestados (100%), quienes se mostraron satisfechos con el asesoramiento brindado</w:t>
            </w:r>
          </w:p>
        </w:tc>
        <w:tc>
          <w:tcPr>
            <w:tcW w:w="712" w:type="pct"/>
            <w:shd w:val="clear" w:color="auto" w:fill="auto"/>
            <w:tcMar>
              <w:top w:w="110" w:type="dxa"/>
              <w:left w:w="58" w:type="dxa"/>
              <w:right w:w="58" w:type="dxa"/>
            </w:tcMar>
          </w:tcPr>
          <w:p w:rsidR="008F3D8D" w:rsidRPr="008D60AF" w:rsidRDefault="008F3D8D" w:rsidP="00A34E19">
            <w:pPr>
              <w:rPr>
                <w:sz w:val="16"/>
                <w:szCs w:val="16"/>
              </w:rPr>
            </w:pPr>
            <w:r w:rsidRPr="008D60AF">
              <w:rPr>
                <w:sz w:val="16"/>
                <w:szCs w:val="16"/>
                <w:lang w:val="es-ES_tradnl"/>
              </w:rPr>
              <w:t>90% de los encuestados expresa satisfacción con el asesoramiento brindado</w:t>
            </w:r>
          </w:p>
        </w:tc>
        <w:tc>
          <w:tcPr>
            <w:tcW w:w="1318" w:type="pct"/>
            <w:shd w:val="clear" w:color="auto" w:fill="FFFFFF"/>
            <w:tcMar>
              <w:top w:w="110" w:type="dxa"/>
              <w:left w:w="58" w:type="dxa"/>
              <w:right w:w="58" w:type="dxa"/>
            </w:tcMar>
          </w:tcPr>
          <w:p w:rsidR="008F3D8D" w:rsidRPr="008D60AF" w:rsidRDefault="008F3D8D" w:rsidP="008478E0">
            <w:pPr>
              <w:rPr>
                <w:sz w:val="16"/>
                <w:szCs w:val="16"/>
              </w:rPr>
            </w:pPr>
            <w:r w:rsidRPr="008D60AF">
              <w:rPr>
                <w:sz w:val="16"/>
                <w:szCs w:val="16"/>
              </w:rPr>
              <w:t xml:space="preserve">Se dio asesoramiento a 12 Estados miembros. </w:t>
            </w:r>
            <w:r w:rsidR="004B0073">
              <w:rPr>
                <w:sz w:val="16"/>
                <w:szCs w:val="16"/>
              </w:rPr>
              <w:t xml:space="preserve"> </w:t>
            </w:r>
            <w:r w:rsidRPr="008D60AF">
              <w:rPr>
                <w:sz w:val="16"/>
                <w:szCs w:val="16"/>
                <w:lang w:val="es-ES_tradnl"/>
              </w:rPr>
              <w:t xml:space="preserve">Se recibieron comentarios de 2 encuestados, </w:t>
            </w:r>
            <w:r w:rsidR="008478E0">
              <w:rPr>
                <w:sz w:val="16"/>
                <w:szCs w:val="16"/>
                <w:lang w:val="es-ES_tradnl"/>
              </w:rPr>
              <w:t>quienes</w:t>
            </w:r>
            <w:r w:rsidRPr="008D60AF">
              <w:rPr>
                <w:sz w:val="16"/>
                <w:szCs w:val="16"/>
                <w:lang w:val="es-ES_tradnl"/>
              </w:rPr>
              <w:t xml:space="preserve"> (100%) manifestaron estar satisfechos con el asesoramiento brindado.</w:t>
            </w:r>
          </w:p>
        </w:tc>
        <w:tc>
          <w:tcPr>
            <w:tcW w:w="514" w:type="pct"/>
            <w:shd w:val="clear" w:color="auto" w:fill="auto"/>
            <w:tcMar>
              <w:top w:w="110" w:type="dxa"/>
              <w:left w:w="58" w:type="dxa"/>
              <w:right w:w="58" w:type="dxa"/>
            </w:tcMar>
          </w:tcPr>
          <w:p w:rsidR="008F3D8D" w:rsidRPr="008D60AF" w:rsidRDefault="008F3D8D" w:rsidP="00A34E19">
            <w:pPr>
              <w:rPr>
                <w:b/>
                <w:sz w:val="16"/>
                <w:szCs w:val="16"/>
              </w:rPr>
            </w:pPr>
            <w:r w:rsidRPr="008D60AF">
              <w:rPr>
                <w:b/>
                <w:color w:val="00B050"/>
                <w:sz w:val="16"/>
                <w:szCs w:val="16"/>
                <w:lang w:val="es-ES_tradnl"/>
              </w:rPr>
              <w:t>Avanza</w:t>
            </w:r>
          </w:p>
        </w:tc>
      </w:tr>
      <w:tr w:rsidR="008F3D8D" w:rsidRPr="008D60AF" w:rsidTr="00A34E19">
        <w:trPr>
          <w:trHeight w:val="565"/>
        </w:trPr>
        <w:tc>
          <w:tcPr>
            <w:tcW w:w="5000" w:type="pct"/>
            <w:gridSpan w:val="5"/>
            <w:shd w:val="clear" w:color="auto" w:fill="C6D9F1" w:themeFill="text2" w:themeFillTint="33"/>
            <w:tcMar>
              <w:left w:w="58" w:type="dxa"/>
              <w:right w:w="58" w:type="dxa"/>
            </w:tcMar>
            <w:vAlign w:val="center"/>
          </w:tcPr>
          <w:p w:rsidR="008F3D8D" w:rsidRPr="008D60AF" w:rsidRDefault="008F3D8D" w:rsidP="00A34E19">
            <w:pPr>
              <w:tabs>
                <w:tab w:val="left" w:pos="1700"/>
              </w:tabs>
              <w:ind w:left="1700" w:hanging="1700"/>
              <w:rPr>
                <w:b/>
                <w:bCs/>
                <w:sz w:val="16"/>
                <w:szCs w:val="16"/>
              </w:rPr>
            </w:pPr>
            <w:r w:rsidRPr="008D60AF">
              <w:rPr>
                <w:b/>
                <w:bCs/>
                <w:sz w:val="16"/>
                <w:szCs w:val="16"/>
              </w:rPr>
              <w:t>Resultado previsto:</w:t>
            </w:r>
            <w:r w:rsidRPr="008D60AF">
              <w:rPr>
                <w:b/>
                <w:bCs/>
                <w:sz w:val="16"/>
                <w:szCs w:val="16"/>
              </w:rPr>
              <w:tab/>
            </w:r>
            <w:r w:rsidRPr="008D60AF">
              <w:rPr>
                <w:bCs/>
                <w:sz w:val="16"/>
                <w:szCs w:val="16"/>
                <w:lang w:val="es-ES_tradnl"/>
              </w:rPr>
              <w:t>I.3  Aumento de la protección de los emblemas de Estado y de los nombres y emblemas de organizaciones intergubernamentales internacionales</w:t>
            </w:r>
          </w:p>
        </w:tc>
      </w:tr>
      <w:tr w:rsidR="008F3D8D" w:rsidRPr="008D60AF" w:rsidTr="00A34E19">
        <w:tc>
          <w:tcPr>
            <w:tcW w:w="950" w:type="pct"/>
            <w:shd w:val="clear" w:color="auto" w:fill="auto"/>
            <w:tcMar>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Indicadores de rendimiento</w:t>
            </w:r>
          </w:p>
        </w:tc>
        <w:tc>
          <w:tcPr>
            <w:tcW w:w="1506" w:type="pct"/>
            <w:shd w:val="clear" w:color="auto" w:fill="auto"/>
            <w:tcMar>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Referencia</w:t>
            </w:r>
          </w:p>
        </w:tc>
        <w:tc>
          <w:tcPr>
            <w:tcW w:w="712" w:type="pct"/>
            <w:shd w:val="clear" w:color="auto" w:fill="auto"/>
            <w:tcMar>
              <w:top w:w="110" w:type="dxa"/>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Objetivos</w:t>
            </w:r>
          </w:p>
        </w:tc>
        <w:tc>
          <w:tcPr>
            <w:tcW w:w="1318" w:type="pct"/>
            <w:shd w:val="clear" w:color="auto" w:fill="FFFFFF"/>
            <w:tcMar>
              <w:top w:w="110" w:type="dxa"/>
              <w:left w:w="58" w:type="dxa"/>
              <w:right w:w="58" w:type="dxa"/>
            </w:tcMar>
            <w:vAlign w:val="center"/>
          </w:tcPr>
          <w:p w:rsidR="008F3D8D" w:rsidRPr="008D60AF" w:rsidRDefault="008F3D8D" w:rsidP="00A34E19">
            <w:pPr>
              <w:rPr>
                <w:b/>
                <w:bCs/>
                <w:sz w:val="16"/>
                <w:szCs w:val="16"/>
              </w:rPr>
            </w:pPr>
            <w:r w:rsidRPr="008D60AF">
              <w:rPr>
                <w:b/>
                <w:bCs/>
                <w:sz w:val="16"/>
                <w:szCs w:val="16"/>
                <w:lang w:val="es-ES_tradnl"/>
              </w:rPr>
              <w:t>Datos sobre el rendimiento</w:t>
            </w:r>
          </w:p>
        </w:tc>
        <w:tc>
          <w:tcPr>
            <w:tcW w:w="514" w:type="pct"/>
            <w:shd w:val="clear" w:color="auto" w:fill="auto"/>
            <w:tcMar>
              <w:top w:w="110" w:type="dxa"/>
              <w:left w:w="58" w:type="dxa"/>
              <w:right w:w="58" w:type="dxa"/>
            </w:tcMar>
            <w:vAlign w:val="center"/>
          </w:tcPr>
          <w:p w:rsidR="008F3D8D" w:rsidRPr="008D60AF" w:rsidRDefault="008F3D8D" w:rsidP="00A34E19">
            <w:pPr>
              <w:jc w:val="center"/>
              <w:rPr>
                <w:b/>
                <w:bCs/>
                <w:sz w:val="16"/>
                <w:szCs w:val="16"/>
              </w:rPr>
            </w:pPr>
            <w:r w:rsidRPr="008D60AF">
              <w:rPr>
                <w:b/>
                <w:bCs/>
                <w:sz w:val="16"/>
                <w:szCs w:val="16"/>
                <w:lang w:val="es-ES_tradnl"/>
              </w:rPr>
              <w:t>Clave de colores</w:t>
            </w:r>
          </w:p>
        </w:tc>
      </w:tr>
      <w:tr w:rsidR="008F3D8D" w:rsidRPr="008D60AF" w:rsidTr="00A34E19">
        <w:trPr>
          <w:trHeight w:val="1186"/>
        </w:trPr>
        <w:tc>
          <w:tcPr>
            <w:tcW w:w="950" w:type="pct"/>
            <w:shd w:val="clear" w:color="auto" w:fill="auto"/>
            <w:tcMar>
              <w:left w:w="58" w:type="dxa"/>
              <w:right w:w="58" w:type="dxa"/>
            </w:tcMar>
          </w:tcPr>
          <w:p w:rsidR="008F3D8D" w:rsidRPr="008D60AF" w:rsidRDefault="008F3D8D" w:rsidP="00A34E19">
            <w:pPr>
              <w:ind w:right="176"/>
              <w:rPr>
                <w:sz w:val="16"/>
                <w:szCs w:val="16"/>
              </w:rPr>
            </w:pPr>
            <w:r w:rsidRPr="008D60AF">
              <w:rPr>
                <w:sz w:val="16"/>
                <w:szCs w:val="16"/>
                <w:lang w:val="es-ES_tradnl"/>
              </w:rPr>
              <w:t>N.º de signos contenidos en la base de datos sobre el Artículo 6</w:t>
            </w:r>
            <w:r w:rsidRPr="008D60AF">
              <w:rPr>
                <w:i/>
                <w:sz w:val="16"/>
                <w:szCs w:val="16"/>
                <w:lang w:val="es-ES_tradnl"/>
              </w:rPr>
              <w:t>ter</w:t>
            </w:r>
          </w:p>
        </w:tc>
        <w:tc>
          <w:tcPr>
            <w:tcW w:w="1506" w:type="pct"/>
            <w:shd w:val="clear" w:color="auto" w:fill="auto"/>
            <w:tcMar>
              <w:left w:w="58" w:type="dxa"/>
              <w:right w:w="58" w:type="dxa"/>
            </w:tcMar>
          </w:tcPr>
          <w:p w:rsidR="008F3D8D" w:rsidRPr="009D63F9" w:rsidRDefault="008F3D8D" w:rsidP="00A34E19">
            <w:pPr>
              <w:rPr>
                <w:i/>
                <w:color w:val="002060"/>
                <w:sz w:val="16"/>
                <w:szCs w:val="16"/>
              </w:rPr>
            </w:pPr>
            <w:r w:rsidRPr="009D63F9">
              <w:rPr>
                <w:i/>
                <w:color w:val="002060"/>
                <w:sz w:val="16"/>
                <w:szCs w:val="16"/>
              </w:rPr>
              <w:t xml:space="preserve">Referencia actualizada a fines de 2015:  </w:t>
            </w:r>
          </w:p>
          <w:p w:rsidR="008F3D8D" w:rsidRPr="009D63F9" w:rsidRDefault="008F3D8D" w:rsidP="00A34E19">
            <w:pPr>
              <w:rPr>
                <w:color w:val="002060"/>
                <w:sz w:val="16"/>
                <w:szCs w:val="16"/>
              </w:rPr>
            </w:pPr>
            <w:r w:rsidRPr="009D63F9">
              <w:rPr>
                <w:color w:val="002060"/>
                <w:sz w:val="16"/>
                <w:szCs w:val="16"/>
                <w:lang w:val="es-ES_tradnl"/>
              </w:rPr>
              <w:t>N.º de signos contenidos en la base de datos sobre el Artículo 6</w:t>
            </w:r>
            <w:r w:rsidRPr="009D63F9">
              <w:rPr>
                <w:i/>
                <w:color w:val="002060"/>
                <w:sz w:val="16"/>
                <w:szCs w:val="16"/>
                <w:lang w:val="es-ES_tradnl"/>
              </w:rPr>
              <w:t>ter</w:t>
            </w:r>
            <w:r w:rsidRPr="009D63F9">
              <w:rPr>
                <w:color w:val="002060"/>
                <w:sz w:val="16"/>
                <w:szCs w:val="16"/>
                <w:lang w:val="es-ES_tradnl"/>
              </w:rPr>
              <w:t xml:space="preserve"> a finales de 2015:  3.157</w:t>
            </w:r>
          </w:p>
          <w:p w:rsidR="008F3D8D" w:rsidRPr="008D60AF" w:rsidRDefault="008F3D8D" w:rsidP="00A34E19">
            <w:pPr>
              <w:rPr>
                <w:sz w:val="16"/>
                <w:szCs w:val="16"/>
              </w:rPr>
            </w:pPr>
          </w:p>
          <w:p w:rsidR="008F3D8D" w:rsidRPr="008D60AF" w:rsidRDefault="008F3D8D" w:rsidP="00A34E19">
            <w:pPr>
              <w:rPr>
                <w:i/>
                <w:sz w:val="16"/>
                <w:szCs w:val="16"/>
                <w:lang w:bidi="th-TH"/>
              </w:rPr>
            </w:pPr>
            <w:r w:rsidRPr="008D60AF">
              <w:rPr>
                <w:i/>
                <w:sz w:val="16"/>
                <w:szCs w:val="16"/>
                <w:lang w:val="es-ES_tradnl" w:bidi="th-TH"/>
              </w:rPr>
              <w:t>Referencia original en el presupuesto de 201</w:t>
            </w:r>
            <w:r w:rsidRPr="008D60AF">
              <w:rPr>
                <w:i/>
                <w:sz w:val="16"/>
                <w:szCs w:val="16"/>
                <w:lang w:bidi="th-TH"/>
              </w:rPr>
              <w:t>6/17:</w:t>
            </w:r>
            <w:r w:rsidRPr="008D60AF">
              <w:rPr>
                <w:sz w:val="16"/>
                <w:szCs w:val="16"/>
                <w:lang w:bidi="th-TH"/>
              </w:rPr>
              <w:t xml:space="preserve"> </w:t>
            </w:r>
            <w:r w:rsidRPr="008D60AF">
              <w:rPr>
                <w:i/>
                <w:sz w:val="16"/>
                <w:szCs w:val="16"/>
                <w:lang w:bidi="th-TH"/>
              </w:rPr>
              <w:t xml:space="preserve">  </w:t>
            </w:r>
          </w:p>
          <w:p w:rsidR="008F3D8D" w:rsidRPr="008D60AF" w:rsidRDefault="008F3D8D" w:rsidP="00A34E19">
            <w:pPr>
              <w:rPr>
                <w:sz w:val="16"/>
                <w:szCs w:val="16"/>
              </w:rPr>
            </w:pPr>
            <w:r w:rsidRPr="008D60AF">
              <w:rPr>
                <w:sz w:val="16"/>
                <w:szCs w:val="16"/>
              </w:rPr>
              <w:t>3.103 (al 15 de abril de 2015)</w:t>
            </w:r>
          </w:p>
        </w:tc>
        <w:tc>
          <w:tcPr>
            <w:tcW w:w="712" w:type="pct"/>
            <w:shd w:val="clear" w:color="auto" w:fill="auto"/>
            <w:tcMar>
              <w:top w:w="110" w:type="dxa"/>
              <w:left w:w="58" w:type="dxa"/>
              <w:right w:w="58" w:type="dxa"/>
            </w:tcMar>
          </w:tcPr>
          <w:p w:rsidR="008F3D8D" w:rsidRPr="008D60AF" w:rsidRDefault="008F3D8D" w:rsidP="00A34E19">
            <w:pPr>
              <w:rPr>
                <w:sz w:val="16"/>
                <w:szCs w:val="16"/>
              </w:rPr>
            </w:pPr>
            <w:r w:rsidRPr="008D60AF">
              <w:rPr>
                <w:sz w:val="16"/>
                <w:szCs w:val="16"/>
                <w:lang w:val="es-ES_tradnl"/>
              </w:rPr>
              <w:t>120 nuevos signos publicados durante el bienio</w:t>
            </w:r>
          </w:p>
        </w:tc>
        <w:tc>
          <w:tcPr>
            <w:tcW w:w="1318" w:type="pct"/>
            <w:shd w:val="clear" w:color="auto" w:fill="FFFFFF"/>
            <w:tcMar>
              <w:top w:w="110" w:type="dxa"/>
              <w:left w:w="58" w:type="dxa"/>
              <w:right w:w="58" w:type="dxa"/>
            </w:tcMar>
          </w:tcPr>
          <w:p w:rsidR="008F3D8D" w:rsidRPr="008D60AF" w:rsidRDefault="008F3D8D" w:rsidP="00A34E19">
            <w:pPr>
              <w:rPr>
                <w:sz w:val="16"/>
                <w:szCs w:val="16"/>
              </w:rPr>
            </w:pPr>
            <w:r w:rsidRPr="008D60AF">
              <w:rPr>
                <w:sz w:val="16"/>
                <w:szCs w:val="16"/>
                <w:lang w:val="es-ES_tradnl"/>
              </w:rPr>
              <w:t>137 nuevos signos publicados</w:t>
            </w:r>
          </w:p>
          <w:p w:rsidR="008F3D8D" w:rsidRPr="008D60AF" w:rsidRDefault="008F3D8D" w:rsidP="00A34E19">
            <w:pPr>
              <w:rPr>
                <w:sz w:val="16"/>
                <w:szCs w:val="16"/>
              </w:rPr>
            </w:pPr>
          </w:p>
          <w:p w:rsidR="008F3D8D" w:rsidRPr="008D60AF" w:rsidRDefault="008F3D8D" w:rsidP="00A34E19">
            <w:pPr>
              <w:rPr>
                <w:sz w:val="16"/>
                <w:szCs w:val="16"/>
              </w:rPr>
            </w:pPr>
            <w:r w:rsidRPr="008D60AF">
              <w:rPr>
                <w:sz w:val="16"/>
                <w:szCs w:val="16"/>
                <w:lang w:val="es-ES_tradnl"/>
              </w:rPr>
              <w:t>Un total de 3.294 signos contenidos en la base de datos sobre el Artículo 6</w:t>
            </w:r>
            <w:r w:rsidRPr="008D60AF">
              <w:rPr>
                <w:i/>
                <w:sz w:val="16"/>
                <w:szCs w:val="16"/>
                <w:lang w:val="es-ES_tradnl"/>
              </w:rPr>
              <w:t>ter</w:t>
            </w:r>
            <w:r w:rsidRPr="008D60AF">
              <w:rPr>
                <w:sz w:val="16"/>
                <w:szCs w:val="16"/>
                <w:lang w:val="es-ES_tradnl"/>
              </w:rPr>
              <w:t xml:space="preserve"> a finales de 2016</w:t>
            </w:r>
          </w:p>
        </w:tc>
        <w:tc>
          <w:tcPr>
            <w:tcW w:w="514" w:type="pct"/>
            <w:shd w:val="clear" w:color="auto" w:fill="auto"/>
            <w:tcMar>
              <w:top w:w="110" w:type="dxa"/>
              <w:left w:w="58" w:type="dxa"/>
              <w:right w:w="58" w:type="dxa"/>
            </w:tcMar>
          </w:tcPr>
          <w:p w:rsidR="008F3D8D" w:rsidRPr="008D60AF" w:rsidRDefault="008F3D8D" w:rsidP="00A34E19">
            <w:pPr>
              <w:jc w:val="center"/>
              <w:rPr>
                <w:b/>
                <w:sz w:val="16"/>
                <w:szCs w:val="16"/>
              </w:rPr>
            </w:pPr>
            <w:r w:rsidRPr="008D60AF">
              <w:rPr>
                <w:b/>
                <w:color w:val="00B050"/>
                <w:sz w:val="16"/>
                <w:szCs w:val="16"/>
                <w:lang w:val="es-ES_tradnl"/>
              </w:rPr>
              <w:t>Avanza</w:t>
            </w:r>
          </w:p>
        </w:tc>
      </w:tr>
    </w:tbl>
    <w:p w:rsidR="008F3D8D" w:rsidRPr="008D60AF" w:rsidRDefault="008F3D8D" w:rsidP="00A34E19">
      <w:pPr>
        <w:rPr>
          <w:sz w:val="20"/>
        </w:rPr>
      </w:pPr>
    </w:p>
    <w:p w:rsidR="008F3D8D" w:rsidRPr="008D60AF" w:rsidRDefault="008F3D8D">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8F3D8D" w:rsidRPr="008D60AF" w:rsidTr="00A34E19">
        <w:trPr>
          <w:trHeight w:val="423"/>
          <w:jc w:val="center"/>
        </w:trPr>
        <w:tc>
          <w:tcPr>
            <w:tcW w:w="9571" w:type="dxa"/>
            <w:shd w:val="clear" w:color="auto" w:fill="C6D9F1" w:themeFill="text2" w:themeFillTint="33"/>
            <w:vAlign w:val="center"/>
          </w:tcPr>
          <w:p w:rsidR="008F3D8D" w:rsidRPr="008D60AF" w:rsidRDefault="008F3D8D" w:rsidP="00A34E19">
            <w:pPr>
              <w:keepNext/>
              <w:keepLines/>
              <w:jc w:val="center"/>
              <w:rPr>
                <w:b/>
                <w:sz w:val="20"/>
              </w:rPr>
            </w:pPr>
            <w:r w:rsidRPr="008D60AF">
              <w:rPr>
                <w:b/>
                <w:sz w:val="20"/>
                <w:lang w:val="es-ES_tradnl"/>
              </w:rPr>
              <w:lastRenderedPageBreak/>
              <w:t>Utilización de los recursos del programa 2</w:t>
            </w:r>
          </w:p>
        </w:tc>
      </w:tr>
    </w:tbl>
    <w:p w:rsidR="008F3D8D" w:rsidRPr="008D60AF" w:rsidRDefault="008F3D8D" w:rsidP="00A34E19">
      <w:pPr>
        <w:keepNext/>
        <w:keepLines/>
        <w:rPr>
          <w:sz w:val="20"/>
        </w:rPr>
      </w:pPr>
    </w:p>
    <w:p w:rsidR="008F3D8D" w:rsidRPr="008D60AF" w:rsidRDefault="008F3D8D" w:rsidP="00A34E19">
      <w:pPr>
        <w:pStyle w:val="NormalWeb"/>
        <w:keepNext/>
        <w:keepLines/>
        <w:spacing w:before="0" w:beforeAutospacing="0" w:after="0" w:afterAutospacing="0"/>
        <w:jc w:val="center"/>
        <w:rPr>
          <w:lang w:val="es-ES"/>
        </w:rPr>
      </w:pPr>
      <w:r w:rsidRPr="008D60AF">
        <w:rPr>
          <w:lang w:val="es-ES_tradnl"/>
        </w:rPr>
        <w:t>Presupuesto y gastos reales (por resultado)</w:t>
      </w:r>
    </w:p>
    <w:p w:rsidR="008F3D8D" w:rsidRPr="008D60AF" w:rsidRDefault="008F3D8D" w:rsidP="00A34E19">
      <w:pPr>
        <w:pStyle w:val="NormalWeb"/>
        <w:keepNext/>
        <w:keepLines/>
        <w:spacing w:before="0" w:beforeAutospacing="0" w:after="0" w:afterAutospacing="0"/>
        <w:jc w:val="center"/>
        <w:rPr>
          <w:i/>
          <w:iCs/>
          <w:sz w:val="16"/>
          <w:szCs w:val="16"/>
          <w:lang w:val="es-ES"/>
        </w:rPr>
      </w:pPr>
      <w:r w:rsidRPr="008D60AF">
        <w:rPr>
          <w:i/>
          <w:iCs/>
          <w:sz w:val="16"/>
          <w:szCs w:val="16"/>
          <w:lang w:val="es-ES_tradnl"/>
        </w:rPr>
        <w:t>(en miles de francos suizos)</w:t>
      </w:r>
    </w:p>
    <w:p w:rsidR="008F3D8D" w:rsidRPr="008D60AF" w:rsidRDefault="008F3D8D" w:rsidP="00A34E19">
      <w:pPr>
        <w:keepNext/>
        <w:keepLines/>
        <w:rPr>
          <w:b/>
          <w:sz w:val="20"/>
        </w:rPr>
      </w:pPr>
    </w:p>
    <w:tbl>
      <w:tblPr>
        <w:tblW w:w="8222" w:type="dxa"/>
        <w:jc w:val="center"/>
        <w:tblLook w:val="04A0" w:firstRow="1" w:lastRow="0" w:firstColumn="1" w:lastColumn="0" w:noHBand="0" w:noVBand="1"/>
      </w:tblPr>
      <w:tblGrid>
        <w:gridCol w:w="483"/>
        <w:gridCol w:w="4239"/>
        <w:gridCol w:w="1186"/>
        <w:gridCol w:w="1310"/>
        <w:gridCol w:w="1175"/>
      </w:tblGrid>
      <w:tr w:rsidR="008F3D8D" w:rsidRPr="008D60AF" w:rsidTr="00A34E19">
        <w:trPr>
          <w:trHeight w:val="825"/>
          <w:jc w:val="center"/>
        </w:trPr>
        <w:tc>
          <w:tcPr>
            <w:tcW w:w="4689" w:type="dxa"/>
            <w:gridSpan w:val="2"/>
            <w:tcBorders>
              <w:top w:val="nil"/>
              <w:left w:val="nil"/>
              <w:bottom w:val="nil"/>
              <w:right w:val="nil"/>
            </w:tcBorders>
            <w:shd w:val="clear" w:color="000000" w:fill="C5D9F1"/>
            <w:noWrap/>
            <w:vAlign w:val="center"/>
            <w:hideMark/>
          </w:tcPr>
          <w:p w:rsidR="008F3D8D" w:rsidRPr="008D60AF" w:rsidRDefault="008F3D8D" w:rsidP="00A34E19">
            <w:pPr>
              <w:keepNext/>
              <w:keepLines/>
              <w:jc w:val="center"/>
              <w:rPr>
                <w:b/>
                <w:bCs/>
                <w:sz w:val="16"/>
                <w:szCs w:val="16"/>
              </w:rPr>
            </w:pPr>
            <w:r w:rsidRPr="008D60AF">
              <w:rPr>
                <w:b/>
                <w:bCs/>
                <w:sz w:val="16"/>
                <w:szCs w:val="16"/>
                <w:lang w:val="es-ES_tradnl"/>
              </w:rPr>
              <w:t>Número del resultado previsto y descripción</w:t>
            </w:r>
            <w:r w:rsidRPr="008D60AF">
              <w:rPr>
                <w:b/>
                <w:bCs/>
                <w:sz w:val="16"/>
                <w:szCs w:val="16"/>
              </w:rPr>
              <w:t xml:space="preserve"> </w:t>
            </w:r>
          </w:p>
        </w:tc>
        <w:tc>
          <w:tcPr>
            <w:tcW w:w="1168" w:type="dxa"/>
            <w:tcBorders>
              <w:top w:val="nil"/>
              <w:left w:val="nil"/>
              <w:bottom w:val="nil"/>
              <w:right w:val="nil"/>
            </w:tcBorders>
            <w:shd w:val="clear" w:color="000000" w:fill="C5D9F1"/>
            <w:vAlign w:val="center"/>
            <w:hideMark/>
          </w:tcPr>
          <w:p w:rsidR="008F3D8D" w:rsidRPr="008D60AF" w:rsidRDefault="008F3D8D" w:rsidP="00A34E19">
            <w:pPr>
              <w:keepNext/>
              <w:keepLines/>
              <w:jc w:val="center"/>
              <w:rPr>
                <w:b/>
                <w:bCs/>
                <w:sz w:val="16"/>
                <w:szCs w:val="16"/>
              </w:rPr>
            </w:pPr>
            <w:r w:rsidRPr="008D60AF">
              <w:rPr>
                <w:b/>
                <w:bCs/>
                <w:sz w:val="16"/>
                <w:szCs w:val="16"/>
              </w:rPr>
              <w:t xml:space="preserve"> </w:t>
            </w:r>
            <w:r w:rsidRPr="008D60AF">
              <w:rPr>
                <w:b/>
                <w:bCs/>
                <w:sz w:val="16"/>
                <w:szCs w:val="16"/>
                <w:lang w:val="es-ES_tradnl"/>
              </w:rPr>
              <w:t>Presupuesto aprobado de 2016/17</w:t>
            </w:r>
            <w:r w:rsidRPr="008D60AF">
              <w:rPr>
                <w:b/>
                <w:bCs/>
                <w:sz w:val="16"/>
                <w:szCs w:val="16"/>
              </w:rPr>
              <w:t xml:space="preserve"> </w:t>
            </w:r>
          </w:p>
        </w:tc>
        <w:tc>
          <w:tcPr>
            <w:tcW w:w="1168" w:type="dxa"/>
            <w:tcBorders>
              <w:top w:val="nil"/>
              <w:left w:val="nil"/>
              <w:bottom w:val="nil"/>
              <w:right w:val="nil"/>
            </w:tcBorders>
            <w:shd w:val="clear" w:color="000000" w:fill="C5D9F1"/>
            <w:vAlign w:val="center"/>
            <w:hideMark/>
          </w:tcPr>
          <w:p w:rsidR="008F3D8D" w:rsidRPr="008D60AF" w:rsidRDefault="008F3D8D" w:rsidP="00A34E19">
            <w:pPr>
              <w:keepNext/>
              <w:keepLines/>
              <w:jc w:val="center"/>
              <w:rPr>
                <w:b/>
                <w:bCs/>
                <w:sz w:val="16"/>
                <w:szCs w:val="16"/>
              </w:rPr>
            </w:pPr>
            <w:r w:rsidRPr="008D60AF">
              <w:rPr>
                <w:b/>
                <w:bCs/>
                <w:sz w:val="16"/>
                <w:szCs w:val="16"/>
              </w:rPr>
              <w:t xml:space="preserve"> </w:t>
            </w:r>
            <w:r w:rsidRPr="008D60AF">
              <w:rPr>
                <w:b/>
                <w:bCs/>
                <w:sz w:val="16"/>
                <w:szCs w:val="16"/>
                <w:lang w:val="es-ES_tradnl"/>
              </w:rPr>
              <w:t>Presupuesto de 2016/17 tras las transferencias</w:t>
            </w:r>
            <w:r w:rsidRPr="008D60AF">
              <w:rPr>
                <w:b/>
                <w:bCs/>
                <w:sz w:val="16"/>
                <w:szCs w:val="16"/>
              </w:rPr>
              <w:t xml:space="preserve"> </w:t>
            </w:r>
          </w:p>
        </w:tc>
        <w:tc>
          <w:tcPr>
            <w:tcW w:w="1175" w:type="dxa"/>
            <w:tcBorders>
              <w:top w:val="nil"/>
              <w:left w:val="nil"/>
              <w:bottom w:val="nil"/>
              <w:right w:val="nil"/>
            </w:tcBorders>
            <w:shd w:val="clear" w:color="000000" w:fill="C5D9F1"/>
            <w:vAlign w:val="center"/>
            <w:hideMark/>
          </w:tcPr>
          <w:p w:rsidR="008F3D8D" w:rsidRPr="008D60AF" w:rsidRDefault="008F3D8D" w:rsidP="00A34E19">
            <w:pPr>
              <w:keepNext/>
              <w:keepLines/>
              <w:jc w:val="center"/>
              <w:rPr>
                <w:b/>
                <w:bCs/>
                <w:sz w:val="16"/>
                <w:szCs w:val="16"/>
              </w:rPr>
            </w:pPr>
            <w:r w:rsidRPr="008D60AF">
              <w:rPr>
                <w:b/>
                <w:bCs/>
                <w:sz w:val="16"/>
                <w:szCs w:val="16"/>
              </w:rPr>
              <w:t xml:space="preserve"> </w:t>
            </w:r>
            <w:r w:rsidRPr="008D60AF">
              <w:rPr>
                <w:b/>
                <w:bCs/>
                <w:sz w:val="16"/>
                <w:szCs w:val="16"/>
                <w:lang w:val="es-ES_tradnl"/>
              </w:rPr>
              <w:t>Gastos en 2016*</w:t>
            </w:r>
            <w:r w:rsidRPr="008D60AF">
              <w:rPr>
                <w:b/>
                <w:bCs/>
                <w:sz w:val="16"/>
                <w:szCs w:val="16"/>
              </w:rPr>
              <w:t xml:space="preserve"> </w:t>
            </w:r>
          </w:p>
        </w:tc>
      </w:tr>
      <w:tr w:rsidR="008F3D8D" w:rsidRPr="008D60AF" w:rsidTr="00A34E19">
        <w:trPr>
          <w:trHeight w:val="810"/>
          <w:jc w:val="center"/>
        </w:trPr>
        <w:tc>
          <w:tcPr>
            <w:tcW w:w="450" w:type="dxa"/>
            <w:tcBorders>
              <w:top w:val="nil"/>
              <w:left w:val="nil"/>
              <w:bottom w:val="nil"/>
              <w:right w:val="nil"/>
            </w:tcBorders>
            <w:shd w:val="clear" w:color="auto" w:fill="auto"/>
            <w:noWrap/>
            <w:vAlign w:val="center"/>
            <w:hideMark/>
          </w:tcPr>
          <w:p w:rsidR="008F3D8D" w:rsidRPr="008D60AF" w:rsidRDefault="008F3D8D" w:rsidP="00A34E19">
            <w:pPr>
              <w:keepNext/>
              <w:keepLines/>
              <w:rPr>
                <w:sz w:val="16"/>
                <w:szCs w:val="16"/>
              </w:rPr>
            </w:pPr>
            <w:r w:rsidRPr="008D60AF">
              <w:rPr>
                <w:sz w:val="16"/>
                <w:szCs w:val="16"/>
              </w:rPr>
              <w:t>I.1</w:t>
            </w:r>
          </w:p>
        </w:tc>
        <w:tc>
          <w:tcPr>
            <w:tcW w:w="4239" w:type="dxa"/>
            <w:tcBorders>
              <w:top w:val="nil"/>
              <w:left w:val="nil"/>
              <w:bottom w:val="nil"/>
              <w:right w:val="nil"/>
            </w:tcBorders>
            <w:shd w:val="clear" w:color="auto" w:fill="auto"/>
            <w:vAlign w:val="center"/>
            <w:hideMark/>
          </w:tcPr>
          <w:p w:rsidR="008F3D8D" w:rsidRPr="008D60AF" w:rsidRDefault="008F3D8D" w:rsidP="00A34E19">
            <w:pPr>
              <w:keepNext/>
              <w:keepLines/>
              <w:rPr>
                <w:sz w:val="16"/>
                <w:szCs w:val="16"/>
              </w:rPr>
            </w:pPr>
            <w:r w:rsidRPr="008D60AF">
              <w:rPr>
                <w:sz w:val="16"/>
                <w:szCs w:val="16"/>
                <w:lang w:val="es-ES_tradnl"/>
              </w:rPr>
              <w:t>Mayor cooperación entre los Estados miembros en la elaboración de marcos normativos internacionales de P.I. equilibrados</w:t>
            </w:r>
            <w:r w:rsidRPr="008D60AF">
              <w:rPr>
                <w:sz w:val="16"/>
                <w:szCs w:val="16"/>
              </w:rPr>
              <w:t xml:space="preserve"> </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3.210</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3.439</w:t>
            </w:r>
          </w:p>
        </w:tc>
        <w:tc>
          <w:tcPr>
            <w:tcW w:w="1175"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1.472</w:t>
            </w:r>
          </w:p>
        </w:tc>
      </w:tr>
      <w:tr w:rsidR="008F3D8D" w:rsidRPr="008D60AF" w:rsidTr="00A34E19">
        <w:trPr>
          <w:trHeight w:val="600"/>
          <w:jc w:val="center"/>
        </w:trPr>
        <w:tc>
          <w:tcPr>
            <w:tcW w:w="450" w:type="dxa"/>
            <w:tcBorders>
              <w:top w:val="nil"/>
              <w:left w:val="nil"/>
              <w:bottom w:val="nil"/>
              <w:right w:val="nil"/>
            </w:tcBorders>
            <w:shd w:val="clear" w:color="auto" w:fill="auto"/>
            <w:noWrap/>
            <w:vAlign w:val="center"/>
            <w:hideMark/>
          </w:tcPr>
          <w:p w:rsidR="008F3D8D" w:rsidRPr="008D60AF" w:rsidRDefault="008F3D8D" w:rsidP="00A34E19">
            <w:pPr>
              <w:keepNext/>
              <w:keepLines/>
              <w:rPr>
                <w:sz w:val="16"/>
                <w:szCs w:val="16"/>
              </w:rPr>
            </w:pPr>
            <w:r w:rsidRPr="008D60AF">
              <w:rPr>
                <w:sz w:val="16"/>
                <w:szCs w:val="16"/>
              </w:rPr>
              <w:t>I.2</w:t>
            </w:r>
          </w:p>
        </w:tc>
        <w:tc>
          <w:tcPr>
            <w:tcW w:w="4239" w:type="dxa"/>
            <w:tcBorders>
              <w:top w:val="nil"/>
              <w:left w:val="nil"/>
              <w:bottom w:val="nil"/>
              <w:right w:val="nil"/>
            </w:tcBorders>
            <w:shd w:val="clear" w:color="auto" w:fill="auto"/>
            <w:vAlign w:val="center"/>
            <w:hideMark/>
          </w:tcPr>
          <w:p w:rsidR="008F3D8D" w:rsidRPr="008D60AF" w:rsidRDefault="008F3D8D" w:rsidP="00A34E19">
            <w:pPr>
              <w:keepNext/>
              <w:keepLines/>
              <w:rPr>
                <w:sz w:val="16"/>
                <w:szCs w:val="16"/>
              </w:rPr>
            </w:pPr>
            <w:r w:rsidRPr="008D60AF">
              <w:rPr>
                <w:sz w:val="16"/>
                <w:szCs w:val="16"/>
                <w:lang w:val="es-ES_tradnl"/>
              </w:rPr>
              <w:t>Marcos de P.I. adaptados y equilibrados en el ámbito legislativo, regulador y de política</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1.100</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939</w:t>
            </w:r>
          </w:p>
        </w:tc>
        <w:tc>
          <w:tcPr>
            <w:tcW w:w="1175"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440</w:t>
            </w:r>
          </w:p>
        </w:tc>
      </w:tr>
      <w:tr w:rsidR="008F3D8D" w:rsidRPr="008D60AF" w:rsidTr="00A34E19">
        <w:trPr>
          <w:trHeight w:val="600"/>
          <w:jc w:val="center"/>
        </w:trPr>
        <w:tc>
          <w:tcPr>
            <w:tcW w:w="450" w:type="dxa"/>
            <w:tcBorders>
              <w:top w:val="nil"/>
              <w:left w:val="nil"/>
              <w:bottom w:val="nil"/>
              <w:right w:val="nil"/>
            </w:tcBorders>
            <w:shd w:val="clear" w:color="auto" w:fill="auto"/>
            <w:noWrap/>
            <w:vAlign w:val="center"/>
            <w:hideMark/>
          </w:tcPr>
          <w:p w:rsidR="008F3D8D" w:rsidRPr="008D60AF" w:rsidRDefault="008F3D8D" w:rsidP="00A34E19">
            <w:pPr>
              <w:keepNext/>
              <w:keepLines/>
              <w:rPr>
                <w:sz w:val="16"/>
                <w:szCs w:val="16"/>
              </w:rPr>
            </w:pPr>
            <w:r w:rsidRPr="008D60AF">
              <w:rPr>
                <w:sz w:val="16"/>
                <w:szCs w:val="16"/>
              </w:rPr>
              <w:t>I.3</w:t>
            </w:r>
          </w:p>
        </w:tc>
        <w:tc>
          <w:tcPr>
            <w:tcW w:w="4239" w:type="dxa"/>
            <w:tcBorders>
              <w:top w:val="nil"/>
              <w:left w:val="nil"/>
              <w:bottom w:val="nil"/>
              <w:right w:val="nil"/>
            </w:tcBorders>
            <w:shd w:val="clear" w:color="auto" w:fill="auto"/>
            <w:vAlign w:val="center"/>
            <w:hideMark/>
          </w:tcPr>
          <w:p w:rsidR="008F3D8D" w:rsidRPr="008D60AF" w:rsidRDefault="008F3D8D" w:rsidP="00A34E19">
            <w:pPr>
              <w:keepNext/>
              <w:keepLines/>
              <w:rPr>
                <w:sz w:val="16"/>
                <w:szCs w:val="16"/>
              </w:rPr>
            </w:pPr>
            <w:r w:rsidRPr="008D60AF">
              <w:rPr>
                <w:sz w:val="16"/>
                <w:szCs w:val="16"/>
                <w:lang w:val="es-ES_tradnl"/>
              </w:rPr>
              <w:t>Aumento de la protección de los emblemas de Estado y de los nombres y emblemas de organizaciones intergubernamentales internacionales</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544</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560</w:t>
            </w:r>
          </w:p>
        </w:tc>
        <w:tc>
          <w:tcPr>
            <w:tcW w:w="1175"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287</w:t>
            </w:r>
          </w:p>
        </w:tc>
      </w:tr>
      <w:tr w:rsidR="008F3D8D" w:rsidRPr="008D60AF" w:rsidTr="00A34E19">
        <w:trPr>
          <w:trHeight w:val="690"/>
          <w:jc w:val="center"/>
        </w:trPr>
        <w:tc>
          <w:tcPr>
            <w:tcW w:w="450" w:type="dxa"/>
            <w:tcBorders>
              <w:top w:val="nil"/>
              <w:left w:val="nil"/>
              <w:bottom w:val="nil"/>
              <w:right w:val="nil"/>
            </w:tcBorders>
            <w:shd w:val="clear" w:color="auto" w:fill="auto"/>
            <w:noWrap/>
            <w:vAlign w:val="center"/>
            <w:hideMark/>
          </w:tcPr>
          <w:p w:rsidR="008F3D8D" w:rsidRPr="008D60AF" w:rsidRDefault="008F3D8D" w:rsidP="00A34E19">
            <w:pPr>
              <w:keepNext/>
              <w:keepLines/>
              <w:rPr>
                <w:sz w:val="16"/>
                <w:szCs w:val="16"/>
              </w:rPr>
            </w:pPr>
            <w:r w:rsidRPr="008D60AF">
              <w:rPr>
                <w:sz w:val="16"/>
                <w:szCs w:val="16"/>
              </w:rPr>
              <w:t>III.4</w:t>
            </w:r>
          </w:p>
        </w:tc>
        <w:tc>
          <w:tcPr>
            <w:tcW w:w="4239" w:type="dxa"/>
            <w:tcBorders>
              <w:top w:val="nil"/>
              <w:left w:val="nil"/>
              <w:bottom w:val="nil"/>
              <w:right w:val="nil"/>
            </w:tcBorders>
            <w:shd w:val="clear" w:color="auto" w:fill="auto"/>
            <w:vAlign w:val="center"/>
            <w:hideMark/>
          </w:tcPr>
          <w:p w:rsidR="008F3D8D" w:rsidRPr="008D60AF" w:rsidRDefault="008F3D8D" w:rsidP="00A34E19">
            <w:pPr>
              <w:keepNext/>
              <w:keepLines/>
              <w:rPr>
                <w:sz w:val="16"/>
                <w:szCs w:val="16"/>
              </w:rPr>
            </w:pPr>
            <w:r w:rsidRPr="008D60AF">
              <w:rPr>
                <w:sz w:val="16"/>
                <w:szCs w:val="16"/>
                <w:lang w:val="es-ES_tradnl"/>
              </w:rPr>
              <w:t>Fortalecimiento de los mecanismos y de los programas de cooperación conforme a las necesidades de los países en desarrollo y los PMA</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0</w:t>
            </w:r>
          </w:p>
        </w:tc>
        <w:tc>
          <w:tcPr>
            <w:tcW w:w="1168"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109</w:t>
            </w:r>
          </w:p>
        </w:tc>
        <w:tc>
          <w:tcPr>
            <w:tcW w:w="1175" w:type="dxa"/>
            <w:tcBorders>
              <w:top w:val="nil"/>
              <w:left w:val="nil"/>
              <w:bottom w:val="nil"/>
              <w:right w:val="nil"/>
            </w:tcBorders>
            <w:shd w:val="clear" w:color="auto" w:fill="auto"/>
            <w:noWrap/>
            <w:vAlign w:val="center"/>
            <w:hideMark/>
          </w:tcPr>
          <w:p w:rsidR="008F3D8D" w:rsidRPr="008D60AF" w:rsidRDefault="008F3D8D" w:rsidP="00A34E19">
            <w:pPr>
              <w:keepNext/>
              <w:keepLines/>
              <w:jc w:val="center"/>
              <w:rPr>
                <w:sz w:val="16"/>
                <w:szCs w:val="16"/>
              </w:rPr>
            </w:pPr>
            <w:r w:rsidRPr="008D60AF">
              <w:rPr>
                <w:sz w:val="16"/>
                <w:szCs w:val="16"/>
              </w:rPr>
              <w:t>93</w:t>
            </w:r>
          </w:p>
        </w:tc>
      </w:tr>
      <w:tr w:rsidR="008F3D8D" w:rsidRPr="008D60AF" w:rsidTr="00A34E19">
        <w:trPr>
          <w:trHeight w:val="225"/>
          <w:jc w:val="center"/>
        </w:trPr>
        <w:tc>
          <w:tcPr>
            <w:tcW w:w="450" w:type="dxa"/>
            <w:tcBorders>
              <w:top w:val="nil"/>
              <w:left w:val="nil"/>
              <w:bottom w:val="nil"/>
              <w:right w:val="nil"/>
            </w:tcBorders>
            <w:shd w:val="clear" w:color="000000" w:fill="C5D9F1"/>
            <w:noWrap/>
            <w:vAlign w:val="bottom"/>
            <w:hideMark/>
          </w:tcPr>
          <w:p w:rsidR="008F3D8D" w:rsidRPr="008D60AF" w:rsidRDefault="008F3D8D" w:rsidP="00A34E19">
            <w:pPr>
              <w:keepNext/>
              <w:keepLines/>
              <w:rPr>
                <w:sz w:val="16"/>
                <w:szCs w:val="16"/>
              </w:rPr>
            </w:pPr>
            <w:r w:rsidRPr="008D60AF">
              <w:rPr>
                <w:sz w:val="16"/>
                <w:szCs w:val="16"/>
              </w:rPr>
              <w:t> </w:t>
            </w:r>
          </w:p>
        </w:tc>
        <w:tc>
          <w:tcPr>
            <w:tcW w:w="4239" w:type="dxa"/>
            <w:tcBorders>
              <w:top w:val="nil"/>
              <w:left w:val="nil"/>
              <w:bottom w:val="nil"/>
              <w:right w:val="nil"/>
            </w:tcBorders>
            <w:shd w:val="clear" w:color="000000" w:fill="C5D9F1"/>
            <w:noWrap/>
            <w:vAlign w:val="bottom"/>
            <w:hideMark/>
          </w:tcPr>
          <w:p w:rsidR="008F3D8D" w:rsidRPr="008D60AF" w:rsidRDefault="008F3D8D" w:rsidP="00A34E19">
            <w:pPr>
              <w:keepNext/>
              <w:keepLines/>
              <w:jc w:val="right"/>
              <w:rPr>
                <w:b/>
                <w:bCs/>
                <w:sz w:val="16"/>
                <w:szCs w:val="16"/>
              </w:rPr>
            </w:pPr>
            <w:r w:rsidRPr="008D60AF">
              <w:rPr>
                <w:b/>
                <w:bCs/>
                <w:sz w:val="16"/>
                <w:szCs w:val="16"/>
                <w:lang w:val="es-ES_tradnl"/>
              </w:rPr>
              <w:t>Total</w:t>
            </w:r>
          </w:p>
        </w:tc>
        <w:tc>
          <w:tcPr>
            <w:tcW w:w="1168" w:type="dxa"/>
            <w:tcBorders>
              <w:top w:val="nil"/>
              <w:left w:val="nil"/>
              <w:bottom w:val="nil"/>
              <w:right w:val="nil"/>
            </w:tcBorders>
            <w:shd w:val="clear" w:color="000000" w:fill="C5D9F1"/>
            <w:noWrap/>
            <w:vAlign w:val="center"/>
            <w:hideMark/>
          </w:tcPr>
          <w:p w:rsidR="008F3D8D" w:rsidRPr="008D60AF" w:rsidRDefault="008F3D8D" w:rsidP="00A34E19">
            <w:pPr>
              <w:keepNext/>
              <w:keepLines/>
              <w:jc w:val="center"/>
              <w:rPr>
                <w:sz w:val="16"/>
                <w:szCs w:val="16"/>
              </w:rPr>
            </w:pPr>
            <w:r w:rsidRPr="008D60AF">
              <w:rPr>
                <w:sz w:val="16"/>
                <w:szCs w:val="16"/>
              </w:rPr>
              <w:t>4.854</w:t>
            </w:r>
          </w:p>
        </w:tc>
        <w:tc>
          <w:tcPr>
            <w:tcW w:w="1168" w:type="dxa"/>
            <w:tcBorders>
              <w:top w:val="nil"/>
              <w:left w:val="nil"/>
              <w:bottom w:val="nil"/>
              <w:right w:val="nil"/>
            </w:tcBorders>
            <w:shd w:val="clear" w:color="000000" w:fill="C5D9F1"/>
            <w:noWrap/>
            <w:vAlign w:val="center"/>
            <w:hideMark/>
          </w:tcPr>
          <w:p w:rsidR="008F3D8D" w:rsidRPr="008D60AF" w:rsidRDefault="008F3D8D" w:rsidP="00A34E19">
            <w:pPr>
              <w:keepNext/>
              <w:keepLines/>
              <w:jc w:val="center"/>
              <w:rPr>
                <w:sz w:val="16"/>
                <w:szCs w:val="16"/>
              </w:rPr>
            </w:pPr>
            <w:r w:rsidRPr="008D60AF">
              <w:rPr>
                <w:sz w:val="16"/>
                <w:szCs w:val="16"/>
              </w:rPr>
              <w:t>5.047</w:t>
            </w:r>
          </w:p>
        </w:tc>
        <w:tc>
          <w:tcPr>
            <w:tcW w:w="1175" w:type="dxa"/>
            <w:tcBorders>
              <w:top w:val="nil"/>
              <w:left w:val="nil"/>
              <w:bottom w:val="nil"/>
              <w:right w:val="nil"/>
            </w:tcBorders>
            <w:shd w:val="clear" w:color="000000" w:fill="C5D9F1"/>
            <w:noWrap/>
            <w:vAlign w:val="center"/>
            <w:hideMark/>
          </w:tcPr>
          <w:p w:rsidR="008F3D8D" w:rsidRPr="008D60AF" w:rsidRDefault="008F3D8D" w:rsidP="00A34E19">
            <w:pPr>
              <w:keepNext/>
              <w:keepLines/>
              <w:jc w:val="center"/>
              <w:rPr>
                <w:sz w:val="16"/>
                <w:szCs w:val="16"/>
              </w:rPr>
            </w:pPr>
            <w:r w:rsidRPr="008D60AF">
              <w:rPr>
                <w:sz w:val="16"/>
                <w:szCs w:val="16"/>
              </w:rPr>
              <w:t>2.293</w:t>
            </w:r>
          </w:p>
        </w:tc>
      </w:tr>
      <w:tr w:rsidR="008F3D8D" w:rsidRPr="008D60AF" w:rsidTr="00A34E19">
        <w:trPr>
          <w:trHeight w:val="330"/>
          <w:jc w:val="center"/>
        </w:trPr>
        <w:tc>
          <w:tcPr>
            <w:tcW w:w="7025" w:type="dxa"/>
            <w:gridSpan w:val="4"/>
            <w:tcBorders>
              <w:top w:val="nil"/>
              <w:left w:val="nil"/>
              <w:bottom w:val="nil"/>
              <w:right w:val="nil"/>
            </w:tcBorders>
            <w:shd w:val="clear" w:color="auto" w:fill="auto"/>
            <w:noWrap/>
            <w:vAlign w:val="center"/>
            <w:hideMark/>
          </w:tcPr>
          <w:p w:rsidR="008F3D8D" w:rsidRPr="008D60AF" w:rsidRDefault="008F3D8D" w:rsidP="00A34E19">
            <w:pPr>
              <w:keepNext/>
              <w:keepLines/>
              <w:rPr>
                <w:i/>
                <w:iCs/>
                <w:sz w:val="16"/>
                <w:szCs w:val="16"/>
              </w:rPr>
            </w:pPr>
            <w:r w:rsidRPr="008D60AF">
              <w:rPr>
                <w:i/>
                <w:iCs/>
                <w:sz w:val="16"/>
                <w:szCs w:val="16"/>
                <w:lang w:val="es-ES_tradnl"/>
              </w:rPr>
              <w:t>*Las cifras de gastos en 2016 son preliminares, a reserva de verificación por el Auditor Externo.</w:t>
            </w:r>
          </w:p>
        </w:tc>
        <w:tc>
          <w:tcPr>
            <w:tcW w:w="1175" w:type="dxa"/>
            <w:tcBorders>
              <w:top w:val="nil"/>
              <w:left w:val="nil"/>
              <w:bottom w:val="nil"/>
              <w:right w:val="nil"/>
            </w:tcBorders>
            <w:shd w:val="clear" w:color="auto" w:fill="auto"/>
            <w:noWrap/>
            <w:vAlign w:val="bottom"/>
            <w:hideMark/>
          </w:tcPr>
          <w:p w:rsidR="008F3D8D" w:rsidRPr="008D60AF" w:rsidRDefault="008F3D8D" w:rsidP="00A34E19">
            <w:pPr>
              <w:keepNext/>
              <w:keepLines/>
              <w:rPr>
                <w:sz w:val="16"/>
                <w:szCs w:val="16"/>
              </w:rPr>
            </w:pPr>
          </w:p>
        </w:tc>
      </w:tr>
    </w:tbl>
    <w:p w:rsidR="008F3D8D" w:rsidRPr="008D60AF" w:rsidRDefault="008F3D8D" w:rsidP="00A34E19">
      <w:pPr>
        <w:keepNext/>
        <w:keepLines/>
        <w:rPr>
          <w:bCs/>
          <w:sz w:val="20"/>
        </w:rPr>
      </w:pPr>
    </w:p>
    <w:p w:rsidR="008F3D8D" w:rsidRPr="008D60AF" w:rsidRDefault="008F3D8D" w:rsidP="00A34E19">
      <w:pPr>
        <w:pStyle w:val="NormalWeb"/>
        <w:keepNext/>
        <w:keepLines/>
        <w:spacing w:before="0" w:beforeAutospacing="0" w:after="0" w:afterAutospacing="0"/>
        <w:jc w:val="center"/>
        <w:rPr>
          <w:lang w:val="es-ES"/>
        </w:rPr>
      </w:pPr>
      <w:r w:rsidRPr="008D60AF">
        <w:rPr>
          <w:lang w:val="es-ES_tradnl"/>
        </w:rPr>
        <w:t>Presupuesto y gastos reales (de personal y no relativos a personal)</w:t>
      </w:r>
      <w:r w:rsidRPr="008D60AF">
        <w:rPr>
          <w:lang w:val="es-ES"/>
        </w:rPr>
        <w:t xml:space="preserve"> </w:t>
      </w:r>
    </w:p>
    <w:p w:rsidR="008F3D8D" w:rsidRPr="008D60AF" w:rsidRDefault="008F3D8D" w:rsidP="00A34E19">
      <w:pPr>
        <w:pStyle w:val="NormalWeb"/>
        <w:keepNext/>
        <w:keepLines/>
        <w:spacing w:before="0" w:beforeAutospacing="0" w:after="0" w:afterAutospacing="0"/>
        <w:jc w:val="center"/>
        <w:rPr>
          <w:i/>
          <w:iCs/>
          <w:sz w:val="16"/>
          <w:szCs w:val="16"/>
          <w:lang w:val="es-ES"/>
        </w:rPr>
      </w:pPr>
      <w:r w:rsidRPr="008D60AF">
        <w:rPr>
          <w:i/>
          <w:iCs/>
          <w:sz w:val="16"/>
          <w:szCs w:val="16"/>
          <w:lang w:val="es-ES_tradnl"/>
        </w:rPr>
        <w:t>(en miles de francos suizos)</w:t>
      </w:r>
    </w:p>
    <w:p w:rsidR="008F3D8D" w:rsidRPr="008D60AF" w:rsidRDefault="008F3D8D" w:rsidP="00A34E19">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8F3D8D" w:rsidRPr="008D60AF" w:rsidTr="00A34E19">
        <w:trPr>
          <w:trHeight w:val="720"/>
          <w:jc w:val="center"/>
        </w:trPr>
        <w:tc>
          <w:tcPr>
            <w:tcW w:w="2440" w:type="dxa"/>
            <w:tcBorders>
              <w:top w:val="nil"/>
              <w:left w:val="nil"/>
              <w:bottom w:val="nil"/>
              <w:right w:val="nil"/>
            </w:tcBorders>
            <w:shd w:val="clear" w:color="000000" w:fill="C5D9F1"/>
            <w:noWrap/>
            <w:vAlign w:val="center"/>
            <w:hideMark/>
          </w:tcPr>
          <w:p w:rsidR="008F3D8D" w:rsidRPr="008D60AF" w:rsidRDefault="008F3D8D" w:rsidP="00A34E19">
            <w:pPr>
              <w:rPr>
                <w:sz w:val="16"/>
                <w:szCs w:val="16"/>
              </w:rPr>
            </w:pPr>
            <w:r w:rsidRPr="008D60AF">
              <w:rPr>
                <w:sz w:val="16"/>
                <w:szCs w:val="16"/>
              </w:rPr>
              <w:t> </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lang w:val="es-ES_tradnl"/>
              </w:rPr>
              <w:t>Índice de utilización (%)</w:t>
            </w:r>
          </w:p>
        </w:tc>
      </w:tr>
      <w:tr w:rsidR="008F3D8D" w:rsidRPr="008D60AF" w:rsidTr="00A34E19">
        <w:trPr>
          <w:trHeight w:val="315"/>
          <w:jc w:val="center"/>
        </w:trPr>
        <w:tc>
          <w:tcPr>
            <w:tcW w:w="2440" w:type="dxa"/>
            <w:tcBorders>
              <w:top w:val="nil"/>
              <w:left w:val="nil"/>
              <w:bottom w:val="nil"/>
              <w:right w:val="nil"/>
            </w:tcBorders>
            <w:shd w:val="clear" w:color="auto" w:fill="auto"/>
            <w:noWrap/>
            <w:vAlign w:val="center"/>
            <w:hideMark/>
          </w:tcPr>
          <w:p w:rsidR="008F3D8D" w:rsidRPr="008D60AF" w:rsidRDefault="008F3D8D" w:rsidP="00A34E19">
            <w:pPr>
              <w:rPr>
                <w:sz w:val="16"/>
                <w:szCs w:val="16"/>
              </w:rPr>
            </w:pPr>
            <w:r w:rsidRPr="008D60AF">
              <w:rPr>
                <w:sz w:val="16"/>
                <w:szCs w:val="16"/>
              </w:rPr>
              <w:t xml:space="preserve"> </w:t>
            </w:r>
            <w:r w:rsidRPr="008D60AF">
              <w:rPr>
                <w:sz w:val="16"/>
                <w:szCs w:val="16"/>
                <w:lang w:val="es-ES_tradnl"/>
              </w:rPr>
              <w:t>Recursos de personal</w:t>
            </w:r>
            <w:r w:rsidRPr="008D60AF">
              <w:rPr>
                <w:sz w:val="16"/>
                <w:szCs w:val="16"/>
              </w:rPr>
              <w:t xml:space="preserve">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 xml:space="preserve">4.089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 xml:space="preserve">3.752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 xml:space="preserve">1.863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50%</w:t>
            </w:r>
          </w:p>
        </w:tc>
      </w:tr>
      <w:tr w:rsidR="008F3D8D" w:rsidRPr="008D60AF" w:rsidTr="00A34E19">
        <w:trPr>
          <w:trHeight w:val="319"/>
          <w:jc w:val="center"/>
        </w:trPr>
        <w:tc>
          <w:tcPr>
            <w:tcW w:w="2440" w:type="dxa"/>
            <w:tcBorders>
              <w:top w:val="nil"/>
              <w:left w:val="nil"/>
              <w:bottom w:val="nil"/>
              <w:right w:val="nil"/>
            </w:tcBorders>
            <w:shd w:val="clear" w:color="auto" w:fill="auto"/>
            <w:noWrap/>
            <w:vAlign w:val="center"/>
            <w:hideMark/>
          </w:tcPr>
          <w:p w:rsidR="008F3D8D" w:rsidRPr="008D60AF" w:rsidRDefault="008F3D8D" w:rsidP="00A34E19">
            <w:pPr>
              <w:rPr>
                <w:sz w:val="16"/>
                <w:szCs w:val="16"/>
              </w:rPr>
            </w:pPr>
            <w:r w:rsidRPr="008D60AF">
              <w:rPr>
                <w:sz w:val="16"/>
                <w:szCs w:val="16"/>
              </w:rPr>
              <w:t xml:space="preserve"> </w:t>
            </w:r>
            <w:r w:rsidRPr="008D60AF">
              <w:rPr>
                <w:sz w:val="16"/>
                <w:szCs w:val="16"/>
                <w:lang w:val="es-ES_tradnl"/>
              </w:rPr>
              <w:t>Recursos no relativos a personal</w:t>
            </w:r>
            <w:r w:rsidRPr="008D60AF">
              <w:rPr>
                <w:sz w:val="16"/>
                <w:szCs w:val="16"/>
              </w:rPr>
              <w:t xml:space="preserve">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 xml:space="preserve">765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 xml:space="preserve">1.295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 xml:space="preserve">431 </w:t>
            </w:r>
          </w:p>
        </w:tc>
        <w:tc>
          <w:tcPr>
            <w:tcW w:w="1420" w:type="dxa"/>
            <w:tcBorders>
              <w:top w:val="nil"/>
              <w:left w:val="nil"/>
              <w:bottom w:val="nil"/>
              <w:right w:val="nil"/>
            </w:tcBorders>
            <w:shd w:val="clear" w:color="auto" w:fill="auto"/>
            <w:vAlign w:val="center"/>
            <w:hideMark/>
          </w:tcPr>
          <w:p w:rsidR="008F3D8D" w:rsidRPr="008D60AF" w:rsidRDefault="008F3D8D" w:rsidP="00A34E19">
            <w:pPr>
              <w:jc w:val="center"/>
              <w:rPr>
                <w:sz w:val="16"/>
                <w:szCs w:val="16"/>
              </w:rPr>
            </w:pPr>
            <w:r w:rsidRPr="008D60AF">
              <w:rPr>
                <w:sz w:val="16"/>
                <w:szCs w:val="16"/>
              </w:rPr>
              <w:t>33%</w:t>
            </w:r>
          </w:p>
        </w:tc>
      </w:tr>
      <w:tr w:rsidR="008F3D8D" w:rsidRPr="008D60AF" w:rsidTr="00A34E19">
        <w:trPr>
          <w:trHeight w:val="225"/>
          <w:jc w:val="center"/>
        </w:trPr>
        <w:tc>
          <w:tcPr>
            <w:tcW w:w="2440" w:type="dxa"/>
            <w:tcBorders>
              <w:top w:val="nil"/>
              <w:left w:val="nil"/>
              <w:bottom w:val="nil"/>
              <w:right w:val="nil"/>
            </w:tcBorders>
            <w:shd w:val="clear" w:color="000000" w:fill="C5D9F1"/>
            <w:noWrap/>
            <w:vAlign w:val="center"/>
            <w:hideMark/>
          </w:tcPr>
          <w:p w:rsidR="008F3D8D" w:rsidRPr="008D60AF" w:rsidRDefault="008F3D8D" w:rsidP="00A34E19">
            <w:pPr>
              <w:jc w:val="right"/>
              <w:rPr>
                <w:b/>
                <w:bCs/>
                <w:sz w:val="16"/>
                <w:szCs w:val="16"/>
              </w:rPr>
            </w:pPr>
            <w:r w:rsidRPr="008D60AF">
              <w:rPr>
                <w:b/>
                <w:bCs/>
                <w:sz w:val="16"/>
                <w:szCs w:val="16"/>
              </w:rPr>
              <w:t xml:space="preserve"> </w:t>
            </w:r>
            <w:r w:rsidRPr="008D60AF">
              <w:rPr>
                <w:b/>
                <w:bCs/>
                <w:sz w:val="16"/>
                <w:szCs w:val="16"/>
                <w:lang w:val="es-ES_tradnl"/>
              </w:rPr>
              <w:t>Total</w:t>
            </w:r>
            <w:r w:rsidRPr="008D60AF">
              <w:rPr>
                <w:b/>
                <w:bCs/>
                <w:sz w:val="16"/>
                <w:szCs w:val="16"/>
              </w:rPr>
              <w:t xml:space="preserve"> </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rPr>
              <w:t xml:space="preserve">4.854 </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rPr>
              <w:t xml:space="preserve">5.047 </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rPr>
              <w:t xml:space="preserve">2.293 </w:t>
            </w:r>
          </w:p>
        </w:tc>
        <w:tc>
          <w:tcPr>
            <w:tcW w:w="1420" w:type="dxa"/>
            <w:tcBorders>
              <w:top w:val="nil"/>
              <w:left w:val="nil"/>
              <w:bottom w:val="nil"/>
              <w:right w:val="nil"/>
            </w:tcBorders>
            <w:shd w:val="clear" w:color="000000" w:fill="C5D9F1"/>
            <w:vAlign w:val="center"/>
            <w:hideMark/>
          </w:tcPr>
          <w:p w:rsidR="008F3D8D" w:rsidRPr="008D60AF" w:rsidRDefault="008F3D8D" w:rsidP="00A34E19">
            <w:pPr>
              <w:jc w:val="center"/>
              <w:rPr>
                <w:b/>
                <w:bCs/>
                <w:sz w:val="16"/>
                <w:szCs w:val="16"/>
              </w:rPr>
            </w:pPr>
            <w:r w:rsidRPr="008D60AF">
              <w:rPr>
                <w:b/>
                <w:bCs/>
                <w:sz w:val="16"/>
                <w:szCs w:val="16"/>
              </w:rPr>
              <w:t>45%</w:t>
            </w:r>
          </w:p>
        </w:tc>
      </w:tr>
      <w:tr w:rsidR="008F3D8D" w:rsidRPr="008D60AF" w:rsidTr="00A34E19">
        <w:trPr>
          <w:trHeight w:val="300"/>
          <w:jc w:val="center"/>
        </w:trPr>
        <w:tc>
          <w:tcPr>
            <w:tcW w:w="8120" w:type="dxa"/>
            <w:gridSpan w:val="5"/>
            <w:tcBorders>
              <w:top w:val="nil"/>
              <w:left w:val="nil"/>
              <w:bottom w:val="nil"/>
              <w:right w:val="nil"/>
            </w:tcBorders>
            <w:shd w:val="clear" w:color="auto" w:fill="auto"/>
            <w:noWrap/>
            <w:vAlign w:val="center"/>
            <w:hideMark/>
          </w:tcPr>
          <w:p w:rsidR="008F3D8D" w:rsidRPr="008D60AF" w:rsidRDefault="008F3D8D" w:rsidP="00A34E19">
            <w:pPr>
              <w:rPr>
                <w:i/>
                <w:iCs/>
                <w:sz w:val="16"/>
                <w:szCs w:val="16"/>
              </w:rPr>
            </w:pPr>
            <w:r w:rsidRPr="008D60AF">
              <w:rPr>
                <w:i/>
                <w:iCs/>
                <w:sz w:val="16"/>
                <w:szCs w:val="16"/>
              </w:rPr>
              <w:t xml:space="preserve"> </w:t>
            </w:r>
            <w:r w:rsidRPr="008D60AF">
              <w:rPr>
                <w:i/>
                <w:iCs/>
                <w:sz w:val="16"/>
                <w:szCs w:val="16"/>
                <w:lang w:val="es-ES_tradnl"/>
              </w:rPr>
              <w:t>*Las cifras de gastos en 2016 son preliminares, a reserva de verificación por el Auditor Externo.</w:t>
            </w:r>
            <w:r w:rsidRPr="008D60AF">
              <w:rPr>
                <w:i/>
                <w:iCs/>
                <w:sz w:val="16"/>
                <w:szCs w:val="16"/>
              </w:rPr>
              <w:t xml:space="preserve"> </w:t>
            </w:r>
          </w:p>
        </w:tc>
      </w:tr>
    </w:tbl>
    <w:p w:rsidR="008F3D8D" w:rsidRPr="008D60AF" w:rsidRDefault="008F3D8D" w:rsidP="00A34E19">
      <w:pPr>
        <w:jc w:val="both"/>
        <w:rPr>
          <w:sz w:val="20"/>
        </w:rPr>
      </w:pPr>
    </w:p>
    <w:p w:rsidR="008F3D8D" w:rsidRPr="008D60AF" w:rsidRDefault="008F3D8D" w:rsidP="00A34E19">
      <w:pPr>
        <w:keepNext/>
        <w:keepLines/>
        <w:ind w:left="567" w:right="282"/>
        <w:rPr>
          <w:i/>
          <w:sz w:val="16"/>
          <w:szCs w:val="16"/>
        </w:rPr>
      </w:pPr>
      <w:r w:rsidRPr="008D60AF">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8F3D8D" w:rsidRPr="008D60AF" w:rsidRDefault="008F3D8D" w:rsidP="00A34E19">
      <w:pPr>
        <w:jc w:val="both"/>
        <w:rPr>
          <w:sz w:val="20"/>
        </w:rPr>
      </w:pPr>
    </w:p>
    <w:p w:rsidR="008F3D8D" w:rsidRPr="008D60AF" w:rsidRDefault="008F3D8D" w:rsidP="00A34E19">
      <w:pPr>
        <w:jc w:val="both"/>
        <w:rPr>
          <w:sz w:val="20"/>
        </w:rPr>
      </w:pPr>
    </w:p>
    <w:p w:rsidR="008F3D8D" w:rsidRPr="008D60AF" w:rsidRDefault="008F3D8D" w:rsidP="00A34E19">
      <w:pPr>
        <w:jc w:val="both"/>
        <w:rPr>
          <w:sz w:val="20"/>
          <w:u w:val="single"/>
        </w:rPr>
      </w:pPr>
      <w:r w:rsidRPr="008D60AF">
        <w:rPr>
          <w:sz w:val="20"/>
          <w:lang w:val="es-ES_tradnl"/>
        </w:rPr>
        <w:t>A.</w:t>
      </w:r>
      <w:r w:rsidRPr="008D60AF">
        <w:rPr>
          <w:sz w:val="20"/>
          <w:lang w:val="es-ES_tradnl"/>
        </w:rPr>
        <w:tab/>
      </w:r>
      <w:r w:rsidRPr="008D60AF">
        <w:rPr>
          <w:sz w:val="20"/>
          <w:u w:val="single"/>
          <w:lang w:val="es-ES_tradnl"/>
        </w:rPr>
        <w:t>Presupuesto de 2016/17 tras las transferencias</w:t>
      </w:r>
    </w:p>
    <w:p w:rsidR="008F3D8D" w:rsidRPr="008D60AF" w:rsidRDefault="008F3D8D" w:rsidP="00A34E19">
      <w:pPr>
        <w:jc w:val="both"/>
        <w:rPr>
          <w:sz w:val="20"/>
        </w:rPr>
      </w:pPr>
    </w:p>
    <w:p w:rsidR="008F3D8D" w:rsidRPr="008D60AF" w:rsidRDefault="008F3D8D" w:rsidP="008F3D8D">
      <w:pPr>
        <w:pStyle w:val="ListParagraph"/>
        <w:numPr>
          <w:ilvl w:val="0"/>
          <w:numId w:val="14"/>
        </w:numPr>
        <w:ind w:left="0" w:firstLine="0"/>
        <w:contextualSpacing/>
        <w:jc w:val="both"/>
        <w:rPr>
          <w:rFonts w:cs="Arial"/>
          <w:lang w:val="es-ES"/>
        </w:rPr>
      </w:pPr>
      <w:r w:rsidRPr="008D60AF">
        <w:rPr>
          <w:rFonts w:cs="Arial"/>
          <w:lang w:val="es-ES"/>
        </w:rPr>
        <w:t xml:space="preserve">El aumento en los recursos no relativos a personal </w:t>
      </w:r>
      <w:r w:rsidR="0048069B">
        <w:rPr>
          <w:rFonts w:cs="Arial"/>
          <w:lang w:val="es-ES"/>
        </w:rPr>
        <w:t>se debió</w:t>
      </w:r>
      <w:r w:rsidRPr="008D60AF">
        <w:rPr>
          <w:rFonts w:cs="Arial"/>
          <w:lang w:val="es-ES"/>
        </w:rPr>
        <w:t xml:space="preserve"> a la transferencia de recursos adicionales para:  i) celebrar la segunda sesión del SCT en 2017, lo que se refleja en el resultado previsto I.1 (Mayor cooperación entre los Estados miembros);  ii) cubrir gastos adicionales en relación con el simposio mundial sobre indicaciones geográficas celebrado en China;  y iii) responder más eficientemente al aumento de la demanda de asesoramiento legislativo.</w:t>
      </w:r>
    </w:p>
    <w:p w:rsidR="008F3D8D" w:rsidRPr="008D60AF" w:rsidRDefault="008F3D8D" w:rsidP="00A34E19">
      <w:pPr>
        <w:jc w:val="both"/>
        <w:rPr>
          <w:sz w:val="20"/>
        </w:rPr>
      </w:pPr>
    </w:p>
    <w:p w:rsidR="008F3D8D" w:rsidRPr="008D60AF" w:rsidRDefault="008F3D8D" w:rsidP="008F3D8D">
      <w:pPr>
        <w:pStyle w:val="ListParagraph"/>
        <w:numPr>
          <w:ilvl w:val="0"/>
          <w:numId w:val="14"/>
        </w:numPr>
        <w:ind w:left="0" w:firstLine="0"/>
        <w:contextualSpacing/>
        <w:jc w:val="both"/>
        <w:rPr>
          <w:rFonts w:cs="Arial"/>
          <w:lang w:val="es-ES"/>
        </w:rPr>
      </w:pPr>
      <w:r w:rsidRPr="008D60AF">
        <w:rPr>
          <w:rFonts w:cs="Arial"/>
          <w:lang w:val="es-ES"/>
        </w:rPr>
        <w:t xml:space="preserve">La disminución en los recursos de personal, con respecto al presupuesto aprobado de 2016/17, </w:t>
      </w:r>
      <w:r w:rsidR="0048069B">
        <w:rPr>
          <w:rFonts w:cs="Arial"/>
          <w:lang w:val="es-ES"/>
        </w:rPr>
        <w:t>se debió</w:t>
      </w:r>
      <w:r w:rsidRPr="008D60AF">
        <w:rPr>
          <w:rFonts w:cs="Arial"/>
          <w:lang w:val="es-ES"/>
        </w:rPr>
        <w:t xml:space="preserve"> a la redistribución de los ahorros acumulados en el programa a otras prioridades institucionales.</w:t>
      </w:r>
    </w:p>
    <w:p w:rsidR="008F3D8D" w:rsidRPr="008D60AF" w:rsidRDefault="008F3D8D" w:rsidP="00A34E19">
      <w:pPr>
        <w:jc w:val="both"/>
        <w:rPr>
          <w:sz w:val="20"/>
        </w:rPr>
      </w:pPr>
    </w:p>
    <w:p w:rsidR="008F3D8D" w:rsidRPr="008D60AF" w:rsidRDefault="008F3D8D" w:rsidP="008F3D8D">
      <w:pPr>
        <w:pStyle w:val="ListParagraph"/>
        <w:numPr>
          <w:ilvl w:val="0"/>
          <w:numId w:val="14"/>
        </w:numPr>
        <w:ind w:left="0" w:firstLine="0"/>
        <w:contextualSpacing/>
        <w:jc w:val="both"/>
        <w:rPr>
          <w:rFonts w:cs="Arial"/>
          <w:lang w:val="es-ES"/>
        </w:rPr>
      </w:pPr>
      <w:r w:rsidRPr="008D60AF">
        <w:rPr>
          <w:rFonts w:cs="Arial"/>
          <w:lang w:val="es-ES"/>
        </w:rPr>
        <w:t xml:space="preserve">La leve disminución en los recursos correspondientes al resultado previsto I.2 (asesoramiento legislativo) </w:t>
      </w:r>
      <w:r w:rsidR="0048069B">
        <w:rPr>
          <w:rFonts w:cs="Arial"/>
          <w:lang w:val="es-ES"/>
        </w:rPr>
        <w:t>se debió</w:t>
      </w:r>
      <w:r w:rsidRPr="008D60AF">
        <w:rPr>
          <w:rFonts w:cs="Arial"/>
          <w:lang w:val="es-ES"/>
        </w:rPr>
        <w:t xml:space="preserve"> a la redistribución de los recursos de personal al resultado previsto I.1 para financiar la segunda sesión del SCT de 2017, y al resultado previsto I.3 (Aumento de la protección de los emblemas de Estados).</w:t>
      </w:r>
    </w:p>
    <w:p w:rsidR="008F3D8D" w:rsidRPr="008D60AF" w:rsidRDefault="008F3D8D" w:rsidP="00A34E19">
      <w:pPr>
        <w:jc w:val="both"/>
        <w:rPr>
          <w:sz w:val="20"/>
        </w:rPr>
      </w:pPr>
    </w:p>
    <w:p w:rsidR="008F3D8D" w:rsidRPr="008D60AF" w:rsidRDefault="008F3D8D" w:rsidP="008F3D8D">
      <w:pPr>
        <w:pStyle w:val="ListParagraph"/>
        <w:numPr>
          <w:ilvl w:val="0"/>
          <w:numId w:val="14"/>
        </w:numPr>
        <w:ind w:left="0" w:firstLine="0"/>
        <w:contextualSpacing/>
        <w:jc w:val="both"/>
        <w:rPr>
          <w:rFonts w:cs="Arial"/>
          <w:lang w:val="es-ES"/>
        </w:rPr>
      </w:pPr>
      <w:r w:rsidRPr="008D60AF">
        <w:rPr>
          <w:rFonts w:cs="Arial"/>
          <w:lang w:val="es-ES"/>
        </w:rPr>
        <w:t>La asignación de recursos al resultado previsto III.4 (Fortalecimiento de los mecanismos  y de los programas de cooperación) refleja los recursos destinados al proyecto de la A.D. sobre la P.I. y la creación de diseños.</w:t>
      </w:r>
    </w:p>
    <w:p w:rsidR="008F3D8D" w:rsidRPr="008D60AF" w:rsidRDefault="008F3D8D" w:rsidP="00A34E19">
      <w:pPr>
        <w:keepNext/>
        <w:keepLines/>
        <w:jc w:val="both"/>
        <w:rPr>
          <w:sz w:val="20"/>
          <w:u w:val="single"/>
        </w:rPr>
      </w:pPr>
      <w:r w:rsidRPr="008D60AF">
        <w:rPr>
          <w:sz w:val="20"/>
          <w:lang w:val="es-ES_tradnl"/>
        </w:rPr>
        <w:lastRenderedPageBreak/>
        <w:t>B.</w:t>
      </w:r>
      <w:r w:rsidRPr="008D60AF">
        <w:rPr>
          <w:sz w:val="20"/>
          <w:lang w:val="es-ES_tradnl"/>
        </w:rPr>
        <w:tab/>
      </w:r>
      <w:r w:rsidRPr="008D60AF">
        <w:rPr>
          <w:sz w:val="20"/>
          <w:u w:val="single"/>
          <w:lang w:val="es-ES_tradnl"/>
        </w:rPr>
        <w:t>Utilización del presupuesto en 2016/17</w:t>
      </w:r>
    </w:p>
    <w:p w:rsidR="008F3D8D" w:rsidRPr="008D60AF" w:rsidRDefault="008F3D8D" w:rsidP="00A34E19">
      <w:pPr>
        <w:keepNext/>
        <w:keepLines/>
        <w:jc w:val="both"/>
        <w:rPr>
          <w:sz w:val="20"/>
        </w:rPr>
      </w:pPr>
    </w:p>
    <w:p w:rsidR="008F3D8D" w:rsidRPr="008D60AF" w:rsidRDefault="008F3D8D" w:rsidP="008F3D8D">
      <w:pPr>
        <w:pStyle w:val="ListParagraph"/>
        <w:keepNext/>
        <w:keepLines/>
        <w:numPr>
          <w:ilvl w:val="0"/>
          <w:numId w:val="14"/>
        </w:numPr>
        <w:ind w:left="0" w:firstLine="0"/>
        <w:contextualSpacing/>
        <w:jc w:val="both"/>
        <w:rPr>
          <w:rFonts w:cs="Arial"/>
          <w:lang w:val="es-ES"/>
        </w:rPr>
      </w:pPr>
      <w:r w:rsidRPr="008D60AF">
        <w:rPr>
          <w:rFonts w:cs="Arial"/>
          <w:lang w:val="es-ES_tradnl"/>
        </w:rPr>
        <w:t>La utilización del presupuesto se ha mantenido dentro de los límites establecidos (40-60%) durante el primer año del bienio.</w:t>
      </w:r>
    </w:p>
    <w:p w:rsidR="008F3D8D" w:rsidRPr="008D60AF" w:rsidRDefault="008F3D8D" w:rsidP="00A34E19">
      <w:pPr>
        <w:pStyle w:val="ListParagraph"/>
        <w:ind w:left="0"/>
        <w:jc w:val="both"/>
        <w:rPr>
          <w:rFonts w:cs="Arial"/>
          <w:lang w:val="es-ES"/>
        </w:rPr>
      </w:pPr>
    </w:p>
    <w:p w:rsidR="008F3D8D" w:rsidRDefault="008F3D8D">
      <w:pPr>
        <w:rPr>
          <w:rFonts w:eastAsia="Times New Roman"/>
          <w:sz w:val="20"/>
          <w:lang w:eastAsia="en-US"/>
        </w:rPr>
      </w:pPr>
      <w:r>
        <w:br w:type="page"/>
      </w:r>
    </w:p>
    <w:p w:rsidR="008F3D8D" w:rsidRPr="0043344F" w:rsidRDefault="008F3D8D" w:rsidP="00A34E19">
      <w:pPr>
        <w:keepNext/>
        <w:tabs>
          <w:tab w:val="left" w:pos="2410"/>
          <w:tab w:val="right" w:pos="9072"/>
        </w:tabs>
        <w:outlineLvl w:val="1"/>
        <w:rPr>
          <w:b/>
          <w:bCs/>
          <w:iCs/>
          <w:szCs w:val="28"/>
        </w:rPr>
      </w:pPr>
      <w:bookmarkStart w:id="26" w:name="_Toc482711241"/>
      <w:r w:rsidRPr="0043344F">
        <w:rPr>
          <w:b/>
          <w:bCs/>
          <w:iCs/>
          <w:szCs w:val="28"/>
        </w:rPr>
        <w:lastRenderedPageBreak/>
        <w:t>PROGRAMA 3</w:t>
      </w:r>
      <w:r w:rsidRPr="0043344F">
        <w:rPr>
          <w:bCs/>
          <w:iCs/>
          <w:szCs w:val="28"/>
        </w:rPr>
        <w:tab/>
      </w:r>
      <w:r w:rsidRPr="0043344F">
        <w:rPr>
          <w:b/>
          <w:bCs/>
          <w:iCs/>
          <w:szCs w:val="28"/>
        </w:rPr>
        <w:t>DERECHO DE AUTOR Y DERECHOS CONEXOS</w:t>
      </w:r>
      <w:bookmarkEnd w:id="26"/>
    </w:p>
    <w:p w:rsidR="008F3D8D" w:rsidRPr="0043344F" w:rsidRDefault="008F3D8D" w:rsidP="00A34E19">
      <w:pPr>
        <w:rPr>
          <w:rFonts w:cs="Times New Roman"/>
          <w:sz w:val="20"/>
        </w:rPr>
      </w:pPr>
    </w:p>
    <w:p w:rsidR="008F3D8D" w:rsidRPr="0043344F" w:rsidRDefault="008F3D8D" w:rsidP="00A34E19">
      <w:pPr>
        <w:tabs>
          <w:tab w:val="left" w:pos="2410"/>
        </w:tabs>
        <w:rPr>
          <w:rFonts w:cs="Times New Roman"/>
          <w:b/>
          <w:sz w:val="20"/>
        </w:rPr>
      </w:pPr>
      <w:r w:rsidRPr="0043344F">
        <w:rPr>
          <w:rFonts w:cs="Times New Roman"/>
          <w:b/>
          <w:sz w:val="20"/>
          <w:szCs w:val="22"/>
        </w:rPr>
        <w:t>Directora de programa</w:t>
      </w:r>
      <w:r w:rsidRPr="0043344F">
        <w:rPr>
          <w:rFonts w:cs="Times New Roman"/>
          <w:b/>
          <w:sz w:val="20"/>
          <w:szCs w:val="22"/>
        </w:rPr>
        <w:tab/>
        <w:t>Sra. S. Forbin</w:t>
      </w:r>
    </w:p>
    <w:p w:rsidR="008F3D8D" w:rsidRPr="0043344F" w:rsidRDefault="008F3D8D" w:rsidP="00A34E19">
      <w:pPr>
        <w:jc w:val="center"/>
        <w:rPr>
          <w:rFonts w:cs="Times New Roman"/>
          <w:sz w:val="20"/>
        </w:rPr>
      </w:pPr>
      <w:r w:rsidRPr="0043344F">
        <w:rPr>
          <w:noProof/>
          <w:lang w:val="en-US" w:eastAsia="en-US"/>
        </w:rPr>
        <w:drawing>
          <wp:inline distT="0" distB="0" distL="0" distR="0" wp14:anchorId="480F0DC7" wp14:editId="04907372">
            <wp:extent cx="5050141" cy="2535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50393" cy="2535451"/>
                    </a:xfrm>
                    <a:prstGeom prst="rect">
                      <a:avLst/>
                    </a:prstGeom>
                    <a:noFill/>
                    <a:ln>
                      <a:noFill/>
                    </a:ln>
                  </pic:spPr>
                </pic:pic>
              </a:graphicData>
            </a:graphic>
          </wp:inline>
        </w:drawing>
      </w:r>
    </w:p>
    <w:tbl>
      <w:tblPr>
        <w:tblW w:w="9341" w:type="dxa"/>
        <w:tblInd w:w="58" w:type="dxa"/>
        <w:tblCellMar>
          <w:left w:w="115" w:type="dxa"/>
          <w:right w:w="115" w:type="dxa"/>
        </w:tblCellMar>
        <w:tblLook w:val="0000" w:firstRow="0" w:lastRow="0" w:firstColumn="0" w:lastColumn="0" w:noHBand="0" w:noVBand="0"/>
      </w:tblPr>
      <w:tblGrid>
        <w:gridCol w:w="2172"/>
        <w:gridCol w:w="2291"/>
        <w:gridCol w:w="1591"/>
        <w:gridCol w:w="2018"/>
        <w:gridCol w:w="1269"/>
      </w:tblGrid>
      <w:tr w:rsidR="008F3D8D" w:rsidRPr="0043344F" w:rsidTr="00A34E19">
        <w:trPr>
          <w:trHeight w:val="565"/>
        </w:trPr>
        <w:tc>
          <w:tcPr>
            <w:tcW w:w="9341" w:type="dxa"/>
            <w:gridSpan w:val="5"/>
            <w:shd w:val="clear" w:color="auto" w:fill="C6D9F1" w:themeFill="text2" w:themeFillTint="33"/>
            <w:tcMar>
              <w:left w:w="58" w:type="dxa"/>
              <w:right w:w="58" w:type="dxa"/>
            </w:tcMar>
            <w:vAlign w:val="center"/>
          </w:tcPr>
          <w:p w:rsidR="008F3D8D" w:rsidRPr="0043344F" w:rsidRDefault="008F3D8D" w:rsidP="00A34E19">
            <w:pPr>
              <w:tabs>
                <w:tab w:val="left" w:pos="1452"/>
              </w:tabs>
              <w:ind w:left="1701" w:hanging="1701"/>
              <w:rPr>
                <w:b/>
                <w:bCs/>
                <w:sz w:val="16"/>
                <w:szCs w:val="16"/>
              </w:rPr>
            </w:pPr>
            <w:r w:rsidRPr="0043344F">
              <w:rPr>
                <w:b/>
                <w:bCs/>
                <w:sz w:val="16"/>
                <w:szCs w:val="16"/>
              </w:rPr>
              <w:t>Resultado previsto:</w:t>
            </w:r>
            <w:r w:rsidRPr="0043344F">
              <w:rPr>
                <w:b/>
                <w:bCs/>
                <w:sz w:val="16"/>
                <w:szCs w:val="16"/>
              </w:rPr>
              <w:tab/>
            </w:r>
            <w:r w:rsidRPr="0043344F">
              <w:rPr>
                <w:sz w:val="16"/>
                <w:szCs w:val="16"/>
                <w:lang w:bidi="th-TH"/>
              </w:rPr>
              <w:t xml:space="preserve">I.1  Mayor cooperación entre los Estados miembros en la elaboración de marcos normativos internacionales de P.I. equilibrados </w:t>
            </w:r>
          </w:p>
        </w:tc>
      </w:tr>
      <w:tr w:rsidR="008F3D8D" w:rsidRPr="0043344F" w:rsidTr="00A34E19">
        <w:tc>
          <w:tcPr>
            <w:tcW w:w="0" w:type="auto"/>
            <w:shd w:val="clear" w:color="auto" w:fill="auto"/>
            <w:tcMar>
              <w:left w:w="58" w:type="dxa"/>
              <w:right w:w="58" w:type="dxa"/>
            </w:tcMar>
            <w:vAlign w:val="center"/>
          </w:tcPr>
          <w:p w:rsidR="008F3D8D" w:rsidRPr="0043344F" w:rsidRDefault="008F3D8D" w:rsidP="00A34E19">
            <w:pPr>
              <w:ind w:right="-57"/>
              <w:rPr>
                <w:b/>
                <w:bCs/>
                <w:sz w:val="16"/>
                <w:szCs w:val="16"/>
              </w:rPr>
            </w:pPr>
            <w:r w:rsidRPr="0043344F">
              <w:rPr>
                <w:b/>
                <w:bCs/>
                <w:sz w:val="16"/>
                <w:szCs w:val="16"/>
              </w:rPr>
              <w:t>Indicadores de rendimiento</w:t>
            </w:r>
          </w:p>
        </w:tc>
        <w:tc>
          <w:tcPr>
            <w:tcW w:w="0" w:type="auto"/>
            <w:shd w:val="clear" w:color="auto" w:fill="auto"/>
            <w:tcMar>
              <w:left w:w="58" w:type="dxa"/>
              <w:right w:w="58" w:type="dxa"/>
            </w:tcMar>
            <w:vAlign w:val="center"/>
          </w:tcPr>
          <w:p w:rsidR="008F3D8D" w:rsidRPr="0043344F" w:rsidRDefault="008F3D8D" w:rsidP="00A34E19">
            <w:pPr>
              <w:ind w:right="-59"/>
              <w:rPr>
                <w:b/>
                <w:bCs/>
                <w:sz w:val="16"/>
                <w:szCs w:val="16"/>
              </w:rPr>
            </w:pPr>
            <w:r w:rsidRPr="0043344F">
              <w:rPr>
                <w:b/>
                <w:bCs/>
                <w:sz w:val="16"/>
                <w:szCs w:val="16"/>
              </w:rPr>
              <w:t>Referencias de base</w:t>
            </w:r>
          </w:p>
        </w:tc>
        <w:tc>
          <w:tcPr>
            <w:tcW w:w="0" w:type="auto"/>
            <w:shd w:val="clear" w:color="auto" w:fill="auto"/>
            <w:tcMar>
              <w:top w:w="110" w:type="dxa"/>
              <w:left w:w="29" w:type="dxa"/>
              <w:right w:w="29" w:type="dxa"/>
            </w:tcMar>
            <w:vAlign w:val="center"/>
          </w:tcPr>
          <w:p w:rsidR="008F3D8D" w:rsidRPr="0043344F" w:rsidRDefault="008F3D8D" w:rsidP="00A34E19">
            <w:pPr>
              <w:rPr>
                <w:b/>
                <w:bCs/>
                <w:sz w:val="16"/>
                <w:szCs w:val="16"/>
              </w:rPr>
            </w:pPr>
            <w:r w:rsidRPr="0043344F">
              <w:rPr>
                <w:b/>
                <w:bCs/>
                <w:sz w:val="16"/>
                <w:szCs w:val="16"/>
              </w:rPr>
              <w:t>Objetivos</w:t>
            </w:r>
          </w:p>
        </w:tc>
        <w:tc>
          <w:tcPr>
            <w:tcW w:w="2018" w:type="dxa"/>
            <w:shd w:val="clear" w:color="auto" w:fill="FFFFFF"/>
            <w:tcMar>
              <w:top w:w="110" w:type="dxa"/>
              <w:left w:w="58" w:type="dxa"/>
              <w:right w:w="58" w:type="dxa"/>
            </w:tcMar>
            <w:vAlign w:val="center"/>
          </w:tcPr>
          <w:p w:rsidR="008F3D8D" w:rsidRPr="0043344F" w:rsidRDefault="008F3D8D" w:rsidP="00A34E19">
            <w:pPr>
              <w:rPr>
                <w:b/>
                <w:bCs/>
                <w:sz w:val="16"/>
                <w:szCs w:val="16"/>
              </w:rPr>
            </w:pPr>
            <w:r w:rsidRPr="0043344F">
              <w:rPr>
                <w:b/>
                <w:bCs/>
                <w:sz w:val="16"/>
                <w:szCs w:val="16"/>
              </w:rPr>
              <w:t>Datos sobre el rendimiento</w:t>
            </w:r>
          </w:p>
        </w:tc>
        <w:tc>
          <w:tcPr>
            <w:tcW w:w="0" w:type="auto"/>
            <w:shd w:val="clear" w:color="auto" w:fill="auto"/>
            <w:tcMar>
              <w:top w:w="110" w:type="dxa"/>
              <w:left w:w="58" w:type="dxa"/>
              <w:right w:w="58" w:type="dxa"/>
            </w:tcMar>
            <w:vAlign w:val="center"/>
          </w:tcPr>
          <w:p w:rsidR="008F3D8D" w:rsidRPr="0043344F" w:rsidRDefault="008F3D8D" w:rsidP="00A34E19">
            <w:pPr>
              <w:jc w:val="center"/>
              <w:rPr>
                <w:b/>
                <w:bCs/>
                <w:sz w:val="16"/>
                <w:szCs w:val="16"/>
              </w:rPr>
            </w:pPr>
            <w:r w:rsidRPr="0043344F">
              <w:rPr>
                <w:b/>
                <w:bCs/>
                <w:sz w:val="16"/>
                <w:szCs w:val="16"/>
              </w:rPr>
              <w:t>Clave de colores</w:t>
            </w:r>
          </w:p>
        </w:tc>
      </w:tr>
      <w:tr w:rsidR="008F3D8D" w:rsidRPr="0043344F" w:rsidTr="00A34E19">
        <w:trPr>
          <w:trHeight w:val="2500"/>
        </w:trPr>
        <w:tc>
          <w:tcPr>
            <w:tcW w:w="0" w:type="auto"/>
            <w:shd w:val="clear" w:color="auto" w:fill="auto"/>
            <w:tcMar>
              <w:left w:w="58" w:type="dxa"/>
              <w:right w:w="58" w:type="dxa"/>
            </w:tcMar>
          </w:tcPr>
          <w:p w:rsidR="008F3D8D" w:rsidRPr="0043344F" w:rsidRDefault="008F3D8D" w:rsidP="00A34E19">
            <w:pPr>
              <w:spacing w:after="60"/>
              <w:ind w:right="-57"/>
              <w:rPr>
                <w:sz w:val="16"/>
                <w:szCs w:val="16"/>
              </w:rPr>
            </w:pPr>
            <w:r w:rsidRPr="0043344F">
              <w:rPr>
                <w:sz w:val="16"/>
                <w:szCs w:val="16"/>
              </w:rPr>
              <w:t>Avances en la ejecución de la labor acordada con arreglo al programa del SCCR</w:t>
            </w:r>
          </w:p>
        </w:tc>
        <w:tc>
          <w:tcPr>
            <w:tcW w:w="0" w:type="auto"/>
            <w:shd w:val="clear" w:color="auto" w:fill="auto"/>
            <w:tcMar>
              <w:left w:w="58" w:type="dxa"/>
              <w:right w:w="58" w:type="dxa"/>
            </w:tcMar>
          </w:tcPr>
          <w:p w:rsidR="008F3D8D" w:rsidRPr="00246B74" w:rsidRDefault="008F3D8D" w:rsidP="00A34E19">
            <w:pPr>
              <w:spacing w:after="60"/>
              <w:ind w:right="-59"/>
              <w:rPr>
                <w:color w:val="002060"/>
                <w:sz w:val="16"/>
                <w:szCs w:val="16"/>
              </w:rPr>
            </w:pPr>
            <w:r w:rsidRPr="00246B74">
              <w:rPr>
                <w:i/>
                <w:color w:val="002060"/>
                <w:sz w:val="16"/>
                <w:szCs w:val="16"/>
              </w:rPr>
              <w:t xml:space="preserve">Referencia actualizada a fines de 2015:  </w:t>
            </w:r>
            <w:r w:rsidRPr="00246B74">
              <w:rPr>
                <w:i/>
                <w:color w:val="002060"/>
                <w:sz w:val="16"/>
                <w:szCs w:val="16"/>
              </w:rPr>
              <w:br/>
            </w:r>
            <w:r w:rsidRPr="00246B74">
              <w:rPr>
                <w:color w:val="002060"/>
                <w:sz w:val="16"/>
                <w:szCs w:val="16"/>
              </w:rPr>
              <w:t xml:space="preserve">El SCCR y la Asamblea General de la OMPI no lograron llegar a un acuerdo sobre los aspectos que permitan avanzar hacia la convocatoria de una conferencia diplomática en relación con el tratado sobre la protección de los organismos de radiodifusión.  </w:t>
            </w:r>
          </w:p>
          <w:p w:rsidR="008F3D8D" w:rsidRPr="0043344F" w:rsidRDefault="008F3D8D" w:rsidP="00A34E19">
            <w:pPr>
              <w:spacing w:after="60"/>
              <w:ind w:right="-59"/>
              <w:rPr>
                <w:sz w:val="16"/>
                <w:szCs w:val="16"/>
              </w:rPr>
            </w:pPr>
            <w:r w:rsidRPr="00246B74">
              <w:rPr>
                <w:color w:val="002060"/>
                <w:sz w:val="16"/>
                <w:szCs w:val="16"/>
              </w:rPr>
              <w:t>Avances según el resumen de la presidencia</w:t>
            </w:r>
            <w:r w:rsidRPr="00246B74">
              <w:rPr>
                <w:rStyle w:val="FootnoteReference"/>
                <w:color w:val="002060"/>
              </w:rPr>
              <w:footnoteReference w:id="16"/>
            </w:r>
            <w:r w:rsidRPr="00246B74">
              <w:rPr>
                <w:color w:val="002060"/>
                <w:sz w:val="16"/>
                <w:szCs w:val="16"/>
              </w:rPr>
              <w:t xml:space="preserve"> </w:t>
            </w:r>
            <w:r w:rsidRPr="00246B74">
              <w:rPr>
                <w:color w:val="002060"/>
                <w:sz w:val="16"/>
                <w:szCs w:val="16"/>
              </w:rPr>
              <w:br/>
            </w:r>
            <w:r w:rsidRPr="0043344F">
              <w:rPr>
                <w:sz w:val="16"/>
                <w:szCs w:val="16"/>
              </w:rPr>
              <w:br/>
            </w:r>
            <w:r w:rsidRPr="0043344F">
              <w:rPr>
                <w:i/>
                <w:sz w:val="16"/>
                <w:szCs w:val="16"/>
                <w:lang w:bidi="th-TH"/>
              </w:rPr>
              <w:t xml:space="preserve">Referencia original en el presupuesto de 2016/17:  </w:t>
            </w:r>
            <w:r w:rsidRPr="0043344F">
              <w:rPr>
                <w:i/>
                <w:sz w:val="16"/>
                <w:szCs w:val="16"/>
                <w:lang w:bidi="th-TH"/>
              </w:rPr>
              <w:br/>
            </w:r>
            <w:r w:rsidRPr="0043344F">
              <w:rPr>
                <w:sz w:val="16"/>
                <w:szCs w:val="16"/>
              </w:rPr>
              <w:t>El SCCR y la Asamblea General de la OMPI de 2014 no alcanzaron un acuerdo sobre las medidas destinadas a convocar una conferencia diplomática respecto de un tratado para la protección de los organismos de radiodifusión (PPR 2014)</w:t>
            </w:r>
          </w:p>
        </w:tc>
        <w:tc>
          <w:tcPr>
            <w:tcW w:w="0" w:type="auto"/>
            <w:shd w:val="clear" w:color="auto" w:fill="auto"/>
            <w:tcMar>
              <w:top w:w="110" w:type="dxa"/>
              <w:left w:w="29" w:type="dxa"/>
              <w:right w:w="29" w:type="dxa"/>
            </w:tcMar>
          </w:tcPr>
          <w:p w:rsidR="008F3D8D" w:rsidRPr="0043344F" w:rsidRDefault="008F3D8D" w:rsidP="00A34E19">
            <w:pPr>
              <w:spacing w:after="60"/>
              <w:rPr>
                <w:sz w:val="16"/>
                <w:szCs w:val="16"/>
              </w:rPr>
            </w:pPr>
            <w:r w:rsidRPr="0043344F">
              <w:rPr>
                <w:sz w:val="16"/>
                <w:szCs w:val="16"/>
              </w:rPr>
              <w:t>Resultados concertados en el SCCR</w:t>
            </w:r>
          </w:p>
        </w:tc>
        <w:tc>
          <w:tcPr>
            <w:tcW w:w="2018" w:type="dxa"/>
            <w:shd w:val="clear" w:color="auto" w:fill="FFFFFF"/>
            <w:tcMar>
              <w:top w:w="110" w:type="dxa"/>
              <w:left w:w="58" w:type="dxa"/>
              <w:right w:w="58" w:type="dxa"/>
            </w:tcMar>
          </w:tcPr>
          <w:p w:rsidR="008F3D8D" w:rsidRPr="0043344F" w:rsidRDefault="008F3D8D" w:rsidP="00A34E19">
            <w:pPr>
              <w:spacing w:after="60"/>
              <w:rPr>
                <w:sz w:val="16"/>
                <w:szCs w:val="16"/>
              </w:rPr>
            </w:pPr>
            <w:r w:rsidRPr="0043344F">
              <w:rPr>
                <w:sz w:val="16"/>
                <w:szCs w:val="16"/>
              </w:rPr>
              <w:t>El SCCR avanzó en varios puntos sustantivos del orden del día según se recoge en los resúmenes de la presidencia (SCCR/32</w:t>
            </w:r>
            <w:r w:rsidRPr="0043344F">
              <w:rPr>
                <w:rStyle w:val="FootnoteReference"/>
              </w:rPr>
              <w:footnoteReference w:id="17"/>
            </w:r>
            <w:r w:rsidRPr="0043344F">
              <w:rPr>
                <w:sz w:val="16"/>
                <w:szCs w:val="16"/>
              </w:rPr>
              <w:t xml:space="preserve"> y SCCR/33</w:t>
            </w:r>
            <w:r w:rsidRPr="0043344F">
              <w:rPr>
                <w:rStyle w:val="FootnoteReference"/>
              </w:rPr>
              <w:footnoteReference w:id="18"/>
            </w:r>
            <w:r w:rsidRPr="0043344F">
              <w:rPr>
                <w:sz w:val="16"/>
                <w:szCs w:val="16"/>
              </w:rPr>
              <w:t xml:space="preserve">), y la Asamblea General de 2016 de la OMPI encargó al SCCR que continuara su labor </w:t>
            </w:r>
          </w:p>
        </w:tc>
        <w:tc>
          <w:tcPr>
            <w:tcW w:w="0" w:type="auto"/>
            <w:shd w:val="clear" w:color="auto" w:fill="auto"/>
            <w:tcMar>
              <w:top w:w="110" w:type="dxa"/>
              <w:left w:w="58" w:type="dxa"/>
              <w:right w:w="58" w:type="dxa"/>
            </w:tcMar>
          </w:tcPr>
          <w:p w:rsidR="008F3D8D" w:rsidRPr="0043344F" w:rsidRDefault="008F3D8D" w:rsidP="00A34E19">
            <w:pPr>
              <w:spacing w:after="60"/>
              <w:jc w:val="center"/>
              <w:rPr>
                <w:b/>
                <w:bCs/>
                <w:i/>
                <w:sz w:val="16"/>
                <w:szCs w:val="16"/>
              </w:rPr>
            </w:pPr>
            <w:r w:rsidRPr="0043344F">
              <w:rPr>
                <w:b/>
                <w:bCs/>
                <w:color w:val="00B050"/>
                <w:sz w:val="16"/>
                <w:szCs w:val="16"/>
              </w:rPr>
              <w:t>Avanza</w:t>
            </w:r>
          </w:p>
        </w:tc>
      </w:tr>
      <w:tr w:rsidR="008F3D8D" w:rsidRPr="0043344F" w:rsidTr="00A34E19">
        <w:trPr>
          <w:trHeight w:val="432"/>
        </w:trPr>
        <w:tc>
          <w:tcPr>
            <w:tcW w:w="9341" w:type="dxa"/>
            <w:gridSpan w:val="5"/>
            <w:shd w:val="clear" w:color="auto" w:fill="C6D9F1" w:themeFill="text2" w:themeFillTint="33"/>
            <w:tcMar>
              <w:left w:w="29" w:type="dxa"/>
              <w:right w:w="29" w:type="dxa"/>
            </w:tcMar>
            <w:vAlign w:val="center"/>
          </w:tcPr>
          <w:p w:rsidR="008F3D8D" w:rsidRPr="0043344F" w:rsidRDefault="008F3D8D" w:rsidP="008478E0">
            <w:pPr>
              <w:keepNext/>
              <w:keepLines/>
              <w:tabs>
                <w:tab w:val="left" w:pos="1452"/>
              </w:tabs>
              <w:ind w:left="1701" w:right="-59" w:hanging="1701"/>
              <w:rPr>
                <w:b/>
                <w:bCs/>
                <w:sz w:val="16"/>
                <w:szCs w:val="16"/>
              </w:rPr>
            </w:pPr>
            <w:r w:rsidRPr="0043344F">
              <w:rPr>
                <w:b/>
                <w:bCs/>
                <w:sz w:val="16"/>
                <w:szCs w:val="16"/>
              </w:rPr>
              <w:lastRenderedPageBreak/>
              <w:t>Resultado previsto:</w:t>
            </w:r>
            <w:r w:rsidRPr="0043344F">
              <w:rPr>
                <w:b/>
                <w:bCs/>
                <w:sz w:val="16"/>
                <w:szCs w:val="16"/>
              </w:rPr>
              <w:tab/>
            </w:r>
            <w:r w:rsidRPr="0043344F">
              <w:rPr>
                <w:bCs/>
                <w:sz w:val="16"/>
                <w:szCs w:val="16"/>
              </w:rPr>
              <w:t>I.2  Marcos de P.I. adaptados y equilibrados en el ámbito legislativo, regulador y de política</w:t>
            </w:r>
          </w:p>
        </w:tc>
      </w:tr>
      <w:tr w:rsidR="008F3D8D" w:rsidRPr="0043344F" w:rsidTr="00A34E19">
        <w:tc>
          <w:tcPr>
            <w:tcW w:w="0" w:type="auto"/>
            <w:shd w:val="clear" w:color="auto" w:fill="auto"/>
            <w:tcMar>
              <w:left w:w="58" w:type="dxa"/>
              <w:right w:w="58" w:type="dxa"/>
            </w:tcMar>
            <w:vAlign w:val="center"/>
          </w:tcPr>
          <w:p w:rsidR="008F3D8D" w:rsidRPr="0043344F" w:rsidRDefault="008F3D8D" w:rsidP="008478E0">
            <w:pPr>
              <w:keepNext/>
              <w:keepLines/>
              <w:ind w:right="-57"/>
              <w:rPr>
                <w:b/>
                <w:bCs/>
                <w:sz w:val="16"/>
                <w:szCs w:val="16"/>
              </w:rPr>
            </w:pPr>
            <w:r w:rsidRPr="0043344F">
              <w:rPr>
                <w:b/>
                <w:bCs/>
                <w:sz w:val="16"/>
                <w:szCs w:val="16"/>
              </w:rPr>
              <w:t>Indicadores de rendimiento</w:t>
            </w:r>
          </w:p>
        </w:tc>
        <w:tc>
          <w:tcPr>
            <w:tcW w:w="0" w:type="auto"/>
            <w:shd w:val="clear" w:color="auto" w:fill="auto"/>
            <w:tcMar>
              <w:left w:w="58" w:type="dxa"/>
              <w:right w:w="58" w:type="dxa"/>
            </w:tcMar>
            <w:vAlign w:val="center"/>
          </w:tcPr>
          <w:p w:rsidR="008F3D8D" w:rsidRPr="0043344F" w:rsidRDefault="008F3D8D" w:rsidP="008478E0">
            <w:pPr>
              <w:keepNext/>
              <w:keepLines/>
              <w:ind w:right="-59"/>
              <w:rPr>
                <w:b/>
                <w:bCs/>
                <w:sz w:val="16"/>
                <w:szCs w:val="16"/>
              </w:rPr>
            </w:pPr>
            <w:r w:rsidRPr="0043344F">
              <w:rPr>
                <w:b/>
                <w:bCs/>
                <w:sz w:val="16"/>
                <w:szCs w:val="16"/>
              </w:rPr>
              <w:t>Referencias de base</w:t>
            </w:r>
          </w:p>
        </w:tc>
        <w:tc>
          <w:tcPr>
            <w:tcW w:w="0" w:type="auto"/>
            <w:shd w:val="clear" w:color="auto" w:fill="auto"/>
            <w:tcMar>
              <w:top w:w="110" w:type="dxa"/>
              <w:left w:w="29" w:type="dxa"/>
              <w:right w:w="29" w:type="dxa"/>
            </w:tcMar>
            <w:vAlign w:val="center"/>
          </w:tcPr>
          <w:p w:rsidR="008F3D8D" w:rsidRPr="0043344F" w:rsidRDefault="008F3D8D" w:rsidP="008478E0">
            <w:pPr>
              <w:keepNext/>
              <w:keepLines/>
              <w:rPr>
                <w:b/>
                <w:bCs/>
                <w:sz w:val="16"/>
                <w:szCs w:val="16"/>
              </w:rPr>
            </w:pPr>
            <w:r w:rsidRPr="0043344F">
              <w:rPr>
                <w:b/>
                <w:bCs/>
                <w:sz w:val="16"/>
                <w:szCs w:val="16"/>
              </w:rPr>
              <w:t>Objetivos</w:t>
            </w:r>
          </w:p>
        </w:tc>
        <w:tc>
          <w:tcPr>
            <w:tcW w:w="2018" w:type="dxa"/>
            <w:shd w:val="clear" w:color="auto" w:fill="FFFFFF"/>
            <w:tcMar>
              <w:top w:w="110" w:type="dxa"/>
              <w:left w:w="58" w:type="dxa"/>
              <w:right w:w="58" w:type="dxa"/>
            </w:tcMar>
            <w:vAlign w:val="center"/>
          </w:tcPr>
          <w:p w:rsidR="008F3D8D" w:rsidRPr="0043344F" w:rsidRDefault="008F3D8D" w:rsidP="008478E0">
            <w:pPr>
              <w:keepNext/>
              <w:keepLines/>
              <w:rPr>
                <w:b/>
                <w:bCs/>
                <w:sz w:val="16"/>
                <w:szCs w:val="16"/>
              </w:rPr>
            </w:pPr>
            <w:r w:rsidRPr="0043344F">
              <w:rPr>
                <w:b/>
                <w:bCs/>
                <w:sz w:val="16"/>
                <w:szCs w:val="16"/>
              </w:rPr>
              <w:t>Datos sobre el rendimiento</w:t>
            </w:r>
          </w:p>
        </w:tc>
        <w:tc>
          <w:tcPr>
            <w:tcW w:w="0" w:type="auto"/>
            <w:shd w:val="clear" w:color="auto" w:fill="auto"/>
            <w:tcMar>
              <w:top w:w="110" w:type="dxa"/>
              <w:left w:w="58" w:type="dxa"/>
              <w:right w:w="58" w:type="dxa"/>
            </w:tcMar>
            <w:vAlign w:val="center"/>
          </w:tcPr>
          <w:p w:rsidR="008F3D8D" w:rsidRPr="0043344F" w:rsidRDefault="008F3D8D" w:rsidP="008478E0">
            <w:pPr>
              <w:keepNext/>
              <w:keepLines/>
              <w:jc w:val="center"/>
              <w:rPr>
                <w:b/>
                <w:bCs/>
                <w:sz w:val="16"/>
                <w:szCs w:val="16"/>
              </w:rPr>
            </w:pPr>
            <w:r w:rsidRPr="0043344F">
              <w:rPr>
                <w:b/>
                <w:bCs/>
                <w:sz w:val="16"/>
                <w:szCs w:val="16"/>
              </w:rPr>
              <w:t>Clave de colores</w:t>
            </w:r>
          </w:p>
        </w:tc>
      </w:tr>
      <w:tr w:rsidR="008F3D8D" w:rsidRPr="0043344F" w:rsidTr="00A34E19">
        <w:trPr>
          <w:trHeight w:val="1258"/>
        </w:trPr>
        <w:tc>
          <w:tcPr>
            <w:tcW w:w="0" w:type="auto"/>
            <w:shd w:val="clear" w:color="auto" w:fill="auto"/>
            <w:tcMar>
              <w:left w:w="58" w:type="dxa"/>
              <w:right w:w="58" w:type="dxa"/>
            </w:tcMar>
          </w:tcPr>
          <w:p w:rsidR="008F3D8D" w:rsidRPr="0043344F" w:rsidRDefault="008F3D8D" w:rsidP="008478E0">
            <w:pPr>
              <w:keepNext/>
              <w:keepLines/>
              <w:ind w:right="-57"/>
              <w:rPr>
                <w:rFonts w:cs="Times New Roman"/>
                <w:sz w:val="16"/>
                <w:szCs w:val="16"/>
              </w:rPr>
            </w:pPr>
            <w:r w:rsidRPr="0043344F">
              <w:rPr>
                <w:rFonts w:cs="Times New Roman"/>
                <w:sz w:val="16"/>
                <w:szCs w:val="16"/>
              </w:rPr>
              <w:t>N.º de países que han ratificado el Tratado de Beijing o se han adherido a él</w:t>
            </w:r>
          </w:p>
        </w:tc>
        <w:tc>
          <w:tcPr>
            <w:tcW w:w="0" w:type="auto"/>
            <w:shd w:val="clear" w:color="auto" w:fill="auto"/>
            <w:tcMar>
              <w:left w:w="58" w:type="dxa"/>
              <w:right w:w="58" w:type="dxa"/>
            </w:tcMar>
          </w:tcPr>
          <w:p w:rsidR="008F3D8D" w:rsidRPr="0043344F" w:rsidRDefault="008F3D8D" w:rsidP="008478E0">
            <w:pPr>
              <w:keepNext/>
              <w:keepLines/>
              <w:spacing w:after="60"/>
              <w:ind w:right="-57"/>
              <w:rPr>
                <w:i/>
                <w:sz w:val="16"/>
                <w:szCs w:val="16"/>
                <w:lang w:bidi="th-TH"/>
              </w:rPr>
            </w:pPr>
            <w:r w:rsidRPr="00246B74">
              <w:rPr>
                <w:i/>
                <w:color w:val="002060"/>
                <w:sz w:val="16"/>
                <w:szCs w:val="16"/>
              </w:rPr>
              <w:t xml:space="preserve">Referencia actualizada a fines de 2015:  </w:t>
            </w:r>
            <w:r w:rsidRPr="00246B74">
              <w:rPr>
                <w:i/>
                <w:color w:val="002060"/>
                <w:sz w:val="16"/>
                <w:szCs w:val="16"/>
              </w:rPr>
              <w:br/>
            </w:r>
            <w:r w:rsidRPr="00246B74">
              <w:rPr>
                <w:color w:val="002060"/>
                <w:sz w:val="16"/>
                <w:szCs w:val="16"/>
              </w:rPr>
              <w:t>10 países en total:  (Botswana, Chile, China, Emiratos Árabes Unidos</w:t>
            </w:r>
            <w:r w:rsidRPr="00246B74">
              <w:rPr>
                <w:color w:val="002060"/>
              </w:rPr>
              <w:t>,</w:t>
            </w:r>
            <w:r w:rsidRPr="00246B74">
              <w:rPr>
                <w:color w:val="002060"/>
                <w:sz w:val="16"/>
                <w:szCs w:val="16"/>
              </w:rPr>
              <w:t xml:space="preserve"> Eslovaquia, Federación de Rusia, Japón, Qatar, República Árabe Siria, República de Moldova)</w:t>
            </w:r>
            <w:r w:rsidRPr="00246B74">
              <w:rPr>
                <w:color w:val="002060"/>
                <w:sz w:val="16"/>
                <w:szCs w:val="16"/>
              </w:rPr>
              <w:br/>
            </w:r>
            <w:r w:rsidRPr="0043344F">
              <w:rPr>
                <w:sz w:val="16"/>
                <w:szCs w:val="16"/>
              </w:rPr>
              <w:br/>
            </w:r>
            <w:r w:rsidRPr="0043344F">
              <w:rPr>
                <w:i/>
                <w:sz w:val="16"/>
                <w:szCs w:val="16"/>
                <w:lang w:bidi="th-TH"/>
              </w:rPr>
              <w:t xml:space="preserve">Referencia original en el presupuesto de 2016/17:  </w:t>
            </w:r>
          </w:p>
          <w:p w:rsidR="008F3D8D" w:rsidRPr="0043344F" w:rsidRDefault="008F3D8D" w:rsidP="008478E0">
            <w:pPr>
              <w:keepNext/>
              <w:keepLines/>
              <w:spacing w:after="60"/>
              <w:ind w:right="-57"/>
              <w:rPr>
                <w:sz w:val="16"/>
                <w:szCs w:val="16"/>
              </w:rPr>
            </w:pPr>
            <w:r w:rsidRPr="0043344F">
              <w:rPr>
                <w:sz w:val="16"/>
                <w:szCs w:val="16"/>
              </w:rPr>
              <w:t>6% (al final de 2014)</w:t>
            </w:r>
          </w:p>
        </w:tc>
        <w:tc>
          <w:tcPr>
            <w:tcW w:w="0" w:type="auto"/>
            <w:shd w:val="clear" w:color="auto" w:fill="auto"/>
            <w:tcMar>
              <w:top w:w="110" w:type="dxa"/>
              <w:left w:w="29" w:type="dxa"/>
              <w:right w:w="29" w:type="dxa"/>
            </w:tcMar>
          </w:tcPr>
          <w:p w:rsidR="008F3D8D" w:rsidRPr="0043344F" w:rsidRDefault="008F3D8D" w:rsidP="008478E0">
            <w:pPr>
              <w:keepNext/>
              <w:keepLines/>
              <w:rPr>
                <w:sz w:val="16"/>
                <w:szCs w:val="16"/>
              </w:rPr>
            </w:pPr>
            <w:r w:rsidRPr="0043344F">
              <w:rPr>
                <w:sz w:val="16"/>
                <w:szCs w:val="16"/>
              </w:rPr>
              <w:t>30 (en total)</w:t>
            </w:r>
          </w:p>
        </w:tc>
        <w:tc>
          <w:tcPr>
            <w:tcW w:w="2018" w:type="dxa"/>
            <w:shd w:val="clear" w:color="auto" w:fill="FFFFFF"/>
            <w:tcMar>
              <w:top w:w="110" w:type="dxa"/>
              <w:left w:w="58" w:type="dxa"/>
              <w:right w:w="58" w:type="dxa"/>
            </w:tcMar>
          </w:tcPr>
          <w:p w:rsidR="008F3D8D" w:rsidRPr="0043344F" w:rsidRDefault="008F3D8D" w:rsidP="008478E0">
            <w:pPr>
              <w:keepNext/>
              <w:keepLines/>
              <w:rPr>
                <w:sz w:val="16"/>
                <w:szCs w:val="16"/>
              </w:rPr>
            </w:pPr>
            <w:r w:rsidRPr="0043344F">
              <w:rPr>
                <w:sz w:val="16"/>
                <w:szCs w:val="16"/>
              </w:rPr>
              <w:t>5 países adicionales</w:t>
            </w:r>
          </w:p>
          <w:p w:rsidR="008F3D8D" w:rsidRPr="0043344F" w:rsidRDefault="008F3D8D" w:rsidP="008478E0">
            <w:pPr>
              <w:keepNext/>
              <w:keepLines/>
              <w:rPr>
                <w:sz w:val="16"/>
                <w:szCs w:val="16"/>
              </w:rPr>
            </w:pPr>
            <w:r w:rsidRPr="0043344F">
              <w:rPr>
                <w:sz w:val="16"/>
                <w:szCs w:val="16"/>
              </w:rPr>
              <w:t>(El Salvador, Gabón, República Popular Democrática de Corea, San Vicente y las Granadinas y Túnez)</w:t>
            </w:r>
          </w:p>
          <w:p w:rsidR="008F3D8D" w:rsidRPr="0043344F" w:rsidRDefault="008F3D8D" w:rsidP="008478E0">
            <w:pPr>
              <w:keepNext/>
              <w:keepLines/>
              <w:rPr>
                <w:sz w:val="16"/>
                <w:szCs w:val="16"/>
              </w:rPr>
            </w:pPr>
            <w:r w:rsidRPr="0043344F">
              <w:rPr>
                <w:sz w:val="16"/>
                <w:szCs w:val="16"/>
              </w:rPr>
              <w:t>(15 en total a fines de 2016)</w:t>
            </w:r>
          </w:p>
        </w:tc>
        <w:tc>
          <w:tcPr>
            <w:tcW w:w="0" w:type="auto"/>
            <w:shd w:val="clear" w:color="auto" w:fill="auto"/>
            <w:tcMar>
              <w:top w:w="110" w:type="dxa"/>
              <w:left w:w="58" w:type="dxa"/>
              <w:right w:w="58" w:type="dxa"/>
            </w:tcMar>
          </w:tcPr>
          <w:p w:rsidR="008F3D8D" w:rsidRPr="0043344F" w:rsidRDefault="008F3D8D" w:rsidP="008478E0">
            <w:pPr>
              <w:keepNext/>
              <w:keepLines/>
              <w:jc w:val="center"/>
              <w:rPr>
                <w:b/>
                <w:sz w:val="16"/>
                <w:szCs w:val="16"/>
              </w:rPr>
            </w:pPr>
            <w:r w:rsidRPr="0043344F">
              <w:rPr>
                <w:b/>
                <w:color w:val="FF0000"/>
                <w:sz w:val="16"/>
                <w:szCs w:val="16"/>
              </w:rPr>
              <w:t>No avanza</w:t>
            </w:r>
          </w:p>
        </w:tc>
      </w:tr>
      <w:tr w:rsidR="008F3D8D" w:rsidRPr="0043344F" w:rsidTr="00A34E19">
        <w:trPr>
          <w:cantSplit/>
          <w:trHeight w:val="306"/>
        </w:trPr>
        <w:tc>
          <w:tcPr>
            <w:tcW w:w="0" w:type="auto"/>
            <w:shd w:val="clear" w:color="auto" w:fill="auto"/>
            <w:tcMar>
              <w:left w:w="58" w:type="dxa"/>
              <w:right w:w="58" w:type="dxa"/>
            </w:tcMar>
          </w:tcPr>
          <w:p w:rsidR="008F3D8D" w:rsidRPr="0043344F" w:rsidRDefault="008F3D8D" w:rsidP="00A34E19">
            <w:pPr>
              <w:ind w:right="-57"/>
              <w:rPr>
                <w:rFonts w:cs="Times New Roman"/>
                <w:sz w:val="16"/>
                <w:szCs w:val="16"/>
              </w:rPr>
            </w:pPr>
            <w:r w:rsidRPr="0043344F">
              <w:rPr>
                <w:rFonts w:cs="Times New Roman"/>
                <w:sz w:val="16"/>
                <w:szCs w:val="16"/>
              </w:rPr>
              <w:t>N.º de países que han ratificado el Tratado de Marrakech o se han adherido a él</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13 países en total:  (Argentina, Australia, Brasil, El Salvador, Emiratos Árabes Unidos, India, Malí, México, Mongolia, Paraguay, República de Corea, Singapur, Uruguay)</w:t>
            </w:r>
          </w:p>
          <w:p w:rsidR="008F3D8D" w:rsidRPr="00246B74" w:rsidRDefault="008F3D8D" w:rsidP="00A34E19">
            <w:pPr>
              <w:ind w:right="-59"/>
              <w:rPr>
                <w:color w:val="002060"/>
                <w:sz w:val="16"/>
                <w:szCs w:val="16"/>
              </w:rPr>
            </w:pPr>
          </w:p>
          <w:p w:rsidR="008F3D8D" w:rsidRPr="0043344F" w:rsidRDefault="008F3D8D" w:rsidP="00A34E19">
            <w:pPr>
              <w:ind w:right="-59"/>
              <w:rPr>
                <w:i/>
                <w:sz w:val="16"/>
                <w:szCs w:val="16"/>
                <w:lang w:bidi="th-TH"/>
              </w:rPr>
            </w:pPr>
            <w:r w:rsidRPr="0043344F">
              <w:rPr>
                <w:i/>
                <w:sz w:val="16"/>
                <w:szCs w:val="16"/>
                <w:lang w:bidi="th-TH"/>
              </w:rPr>
              <w:t>Referencia original en el presupuesto de 2016/17:</w:t>
            </w:r>
          </w:p>
          <w:p w:rsidR="008F3D8D" w:rsidRPr="0043344F" w:rsidRDefault="008F3D8D" w:rsidP="00A34E19">
            <w:pPr>
              <w:spacing w:after="120"/>
              <w:ind w:right="-57"/>
              <w:rPr>
                <w:sz w:val="16"/>
                <w:szCs w:val="16"/>
              </w:rPr>
            </w:pPr>
            <w:r w:rsidRPr="0043344F">
              <w:rPr>
                <w:sz w:val="16"/>
                <w:szCs w:val="16"/>
              </w:rPr>
              <w:t>5 (al final de 2014)</w:t>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20 (en total)</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12 países adicionales</w:t>
            </w:r>
          </w:p>
          <w:p w:rsidR="008F3D8D" w:rsidRPr="0043344F" w:rsidRDefault="008F3D8D" w:rsidP="00A34E19">
            <w:pPr>
              <w:rPr>
                <w:sz w:val="16"/>
                <w:szCs w:val="16"/>
              </w:rPr>
            </w:pPr>
            <w:r w:rsidRPr="0043344F">
              <w:rPr>
                <w:sz w:val="16"/>
                <w:szCs w:val="16"/>
              </w:rPr>
              <w:t>(Botswana, Canadá, Chile, Ecuador, Guatemala, Israel, Liberia, Perú, República Popular Democrática de Corea, San Vicente y las Granadinas, Sri Lanka, Túnez)</w:t>
            </w:r>
          </w:p>
          <w:p w:rsidR="008F3D8D" w:rsidRPr="0043344F" w:rsidRDefault="008F3D8D" w:rsidP="00A34E19">
            <w:pPr>
              <w:rPr>
                <w:sz w:val="16"/>
                <w:szCs w:val="16"/>
              </w:rPr>
            </w:pPr>
            <w:r w:rsidRPr="0043344F">
              <w:rPr>
                <w:sz w:val="16"/>
                <w:szCs w:val="16"/>
              </w:rPr>
              <w:t>(25 en total)</w:t>
            </w:r>
          </w:p>
          <w:p w:rsidR="008F3D8D" w:rsidRPr="0043344F" w:rsidRDefault="008F3D8D" w:rsidP="00A34E19">
            <w:pPr>
              <w:rPr>
                <w:sz w:val="16"/>
                <w:szCs w:val="16"/>
              </w:rPr>
            </w:pP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r w:rsidR="008F3D8D" w:rsidRPr="0043344F" w:rsidTr="00A34E19">
        <w:trPr>
          <w:trHeight w:val="1389"/>
        </w:trPr>
        <w:tc>
          <w:tcPr>
            <w:tcW w:w="0" w:type="auto"/>
            <w:shd w:val="clear" w:color="auto" w:fill="auto"/>
            <w:tcMar>
              <w:left w:w="58" w:type="dxa"/>
              <w:right w:w="58" w:type="dxa"/>
            </w:tcMar>
          </w:tcPr>
          <w:p w:rsidR="008F3D8D" w:rsidRPr="0043344F" w:rsidRDefault="008F3D8D" w:rsidP="00A34E19">
            <w:pPr>
              <w:ind w:right="-57"/>
              <w:rPr>
                <w:rFonts w:cs="Times New Roman"/>
                <w:sz w:val="16"/>
                <w:szCs w:val="16"/>
              </w:rPr>
            </w:pPr>
            <w:r w:rsidRPr="0043344F">
              <w:rPr>
                <w:rFonts w:cs="Times New Roman"/>
                <w:sz w:val="16"/>
                <w:szCs w:val="16"/>
              </w:rPr>
              <w:t>N.º de ratificaciones de los tratados de derecho de autor en vigor, como el Convenio de Berna, la Convención de Roma y los “tratados Internet”, o de adhesiones a ellos</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5 nuevas ratificaciones en 2014/15</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 xml:space="preserve">Referencia original en el presupuesto de 2016/17:  </w:t>
            </w:r>
          </w:p>
          <w:p w:rsidR="008F3D8D" w:rsidRPr="0043344F" w:rsidRDefault="008F3D8D" w:rsidP="00A34E19">
            <w:pPr>
              <w:spacing w:after="120"/>
              <w:ind w:right="-57"/>
              <w:rPr>
                <w:sz w:val="16"/>
                <w:szCs w:val="16"/>
              </w:rPr>
            </w:pPr>
            <w:r w:rsidRPr="0043344F">
              <w:rPr>
                <w:sz w:val="16"/>
                <w:szCs w:val="16"/>
              </w:rPr>
              <w:t>n.d. (indicador revisado)</w:t>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10 nuevas respecto de todos los tratados</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5 nuevas ratificaciones:</w:t>
            </w:r>
          </w:p>
          <w:p w:rsidR="008F3D8D" w:rsidRPr="0043344F" w:rsidRDefault="008F3D8D" w:rsidP="00A34E19">
            <w:pPr>
              <w:rPr>
                <w:sz w:val="16"/>
                <w:szCs w:val="16"/>
              </w:rPr>
            </w:pPr>
            <w:r w:rsidRPr="0043344F">
              <w:rPr>
                <w:sz w:val="16"/>
                <w:szCs w:val="16"/>
              </w:rPr>
              <w:t>Convenio de Berna:  3 (171 en total)</w:t>
            </w:r>
          </w:p>
          <w:p w:rsidR="008F3D8D" w:rsidRPr="0043344F" w:rsidRDefault="008F3D8D" w:rsidP="00A34E19">
            <w:pPr>
              <w:rPr>
                <w:sz w:val="16"/>
                <w:szCs w:val="16"/>
              </w:rPr>
            </w:pPr>
            <w:r w:rsidRPr="0043344F">
              <w:rPr>
                <w:sz w:val="16"/>
                <w:szCs w:val="16"/>
              </w:rPr>
              <w:t>“Tratados Internet”:  1 (189 en total)</w:t>
            </w:r>
          </w:p>
          <w:p w:rsidR="008F3D8D" w:rsidRPr="0043344F" w:rsidRDefault="008F3D8D" w:rsidP="00A34E19">
            <w:pPr>
              <w:rPr>
                <w:sz w:val="16"/>
                <w:szCs w:val="16"/>
              </w:rPr>
            </w:pPr>
            <w:r w:rsidRPr="0043344F">
              <w:rPr>
                <w:sz w:val="16"/>
                <w:szCs w:val="16"/>
              </w:rPr>
              <w:t>Convenio sobre Fonogramas:  1 (79 en total)</w:t>
            </w: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r w:rsidR="008F3D8D" w:rsidRPr="0043344F" w:rsidTr="00A34E19">
        <w:trPr>
          <w:trHeight w:val="1600"/>
        </w:trPr>
        <w:tc>
          <w:tcPr>
            <w:tcW w:w="0" w:type="auto"/>
            <w:shd w:val="clear" w:color="auto" w:fill="auto"/>
            <w:tcMar>
              <w:left w:w="58" w:type="dxa"/>
              <w:right w:w="58" w:type="dxa"/>
            </w:tcMar>
          </w:tcPr>
          <w:p w:rsidR="008F3D8D" w:rsidRPr="0043344F" w:rsidRDefault="008F3D8D" w:rsidP="00A34E19">
            <w:pPr>
              <w:ind w:right="-57"/>
              <w:rPr>
                <w:rFonts w:cs="Times New Roman"/>
                <w:sz w:val="16"/>
                <w:szCs w:val="16"/>
              </w:rPr>
            </w:pPr>
            <w:r w:rsidRPr="0043344F">
              <w:rPr>
                <w:rFonts w:cs="Times New Roman"/>
                <w:sz w:val="16"/>
                <w:szCs w:val="16"/>
              </w:rPr>
              <w:t>% de países que han formulado comentarios positivos sobre el asesoramiento de la OMPI en materia legislativa</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 xml:space="preserve">25 países recibieron asesoramiento legislativo en 2014/15.  (África 9;  América Latina y el Caribe 6;  Asia y el Pacífico 5;  Países árabes 3; otros 2).  </w:t>
            </w:r>
          </w:p>
          <w:p w:rsidR="008F3D8D" w:rsidRPr="00246B74" w:rsidRDefault="008F3D8D" w:rsidP="00A34E19">
            <w:pPr>
              <w:ind w:right="-59"/>
              <w:rPr>
                <w:color w:val="002060"/>
                <w:sz w:val="16"/>
                <w:szCs w:val="16"/>
                <w:lang w:bidi="th-TH"/>
              </w:rPr>
            </w:pPr>
          </w:p>
          <w:p w:rsidR="008F3D8D" w:rsidRPr="00246B74" w:rsidRDefault="008F3D8D" w:rsidP="00A34E19">
            <w:pPr>
              <w:ind w:right="-59"/>
              <w:rPr>
                <w:color w:val="002060"/>
                <w:sz w:val="16"/>
                <w:szCs w:val="16"/>
              </w:rPr>
            </w:pPr>
            <w:r w:rsidRPr="00246B74">
              <w:rPr>
                <w:color w:val="002060"/>
                <w:sz w:val="16"/>
                <w:szCs w:val="16"/>
              </w:rPr>
              <w:t>El 100% de las respuestas a las encuestas formularon comentarios positivos (5 o 6 en una escala de 1 a 6) sobre el servicio de asesoramiento legislativo en materia de derecho de autor de la OMPI</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 xml:space="preserve">Referencia original en el presupuesto de 2016/17:  </w:t>
            </w:r>
          </w:p>
          <w:p w:rsidR="008F3D8D" w:rsidRPr="0043344F" w:rsidRDefault="008F3D8D" w:rsidP="00A34E19">
            <w:pPr>
              <w:spacing w:after="120"/>
              <w:ind w:right="-57"/>
              <w:rPr>
                <w:sz w:val="16"/>
                <w:szCs w:val="16"/>
              </w:rPr>
            </w:pPr>
            <w:r w:rsidRPr="0043344F">
              <w:rPr>
                <w:sz w:val="16"/>
                <w:szCs w:val="16"/>
              </w:rPr>
              <w:t>n.d. para 2014 (la encuesta bienal tuvo lugar en 2015)</w:t>
            </w:r>
          </w:p>
        </w:tc>
        <w:tc>
          <w:tcPr>
            <w:tcW w:w="0" w:type="auto"/>
            <w:shd w:val="clear" w:color="auto" w:fill="auto"/>
            <w:tcMar>
              <w:top w:w="110" w:type="dxa"/>
              <w:left w:w="29" w:type="dxa"/>
              <w:right w:w="29" w:type="dxa"/>
            </w:tcMar>
          </w:tcPr>
          <w:p w:rsidR="008F3D8D" w:rsidRPr="00246B74" w:rsidRDefault="008F3D8D" w:rsidP="00A34E19">
            <w:pPr>
              <w:rPr>
                <w:i/>
                <w:color w:val="002060"/>
                <w:sz w:val="16"/>
                <w:szCs w:val="16"/>
              </w:rPr>
            </w:pPr>
            <w:r w:rsidRPr="00246B74">
              <w:rPr>
                <w:i/>
                <w:color w:val="002060"/>
                <w:sz w:val="16"/>
                <w:szCs w:val="16"/>
              </w:rPr>
              <w:t xml:space="preserve">Objetivo actualizado:   </w:t>
            </w:r>
          </w:p>
          <w:p w:rsidR="008F3D8D" w:rsidRPr="00246B74" w:rsidRDefault="008F3D8D" w:rsidP="00A34E19">
            <w:pPr>
              <w:rPr>
                <w:color w:val="002060"/>
                <w:sz w:val="16"/>
                <w:szCs w:val="16"/>
              </w:rPr>
            </w:pPr>
            <w:r w:rsidRPr="00246B74">
              <w:rPr>
                <w:color w:val="002060"/>
                <w:sz w:val="16"/>
                <w:szCs w:val="16"/>
              </w:rPr>
              <w:t>80%</w:t>
            </w:r>
          </w:p>
          <w:p w:rsidR="008F3D8D" w:rsidRPr="0043344F" w:rsidRDefault="008F3D8D" w:rsidP="00A34E19">
            <w:pPr>
              <w:rPr>
                <w:sz w:val="16"/>
                <w:szCs w:val="16"/>
              </w:rPr>
            </w:pPr>
          </w:p>
          <w:p w:rsidR="008F3D8D" w:rsidRPr="0043344F" w:rsidRDefault="008F3D8D" w:rsidP="00A34E19">
            <w:pPr>
              <w:rPr>
                <w:i/>
                <w:sz w:val="16"/>
                <w:szCs w:val="16"/>
                <w:lang w:bidi="th-TH"/>
              </w:rPr>
            </w:pPr>
            <w:r w:rsidRPr="0043344F">
              <w:rPr>
                <w:i/>
                <w:sz w:val="16"/>
                <w:szCs w:val="16"/>
                <w:lang w:bidi="th-TH"/>
              </w:rPr>
              <w:t xml:space="preserve">Objetivo original en el presupuesto 2016/17:  </w:t>
            </w:r>
          </w:p>
          <w:p w:rsidR="008F3D8D" w:rsidRPr="0043344F" w:rsidRDefault="008F3D8D" w:rsidP="00A34E19">
            <w:pPr>
              <w:rPr>
                <w:sz w:val="16"/>
                <w:szCs w:val="16"/>
              </w:rPr>
            </w:pPr>
            <w:r w:rsidRPr="0043344F">
              <w:rPr>
                <w:sz w:val="16"/>
                <w:szCs w:val="16"/>
              </w:rPr>
              <w:t>El 70% de los encuestados se dijo satisfecho con el asesoramiento brindado.</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 xml:space="preserve">17 países o grupos regionales recibieron asesoramiento legislativo en 2016 (África 2;   Asia y el Pacífico 7;   América Latina y el Caribe 4;   Países con economías en transición 4) </w:t>
            </w:r>
          </w:p>
          <w:p w:rsidR="008F3D8D" w:rsidRPr="0043344F" w:rsidRDefault="008F3D8D" w:rsidP="00A34E19">
            <w:pPr>
              <w:rPr>
                <w:sz w:val="16"/>
                <w:szCs w:val="16"/>
              </w:rPr>
            </w:pPr>
          </w:p>
          <w:p w:rsidR="008F3D8D" w:rsidRPr="0043344F" w:rsidRDefault="008F3D8D" w:rsidP="00A34E19">
            <w:pPr>
              <w:rPr>
                <w:sz w:val="16"/>
                <w:szCs w:val="16"/>
              </w:rPr>
            </w:pPr>
            <w:r w:rsidRPr="0043344F">
              <w:rPr>
                <w:sz w:val="16"/>
                <w:szCs w:val="16"/>
              </w:rPr>
              <w:t>El 100% de las respuestas a las encuestas formularon comentarios positivos (5 o 6 en una escala de 1 a 6) sobre el servicio de asesoramiento legislativo en materia de derecho de autor de la OMPI</w:t>
            </w:r>
          </w:p>
        </w:tc>
        <w:tc>
          <w:tcPr>
            <w:tcW w:w="0" w:type="auto"/>
            <w:shd w:val="clear" w:color="auto" w:fill="auto"/>
            <w:tcMar>
              <w:top w:w="110" w:type="dxa"/>
              <w:left w:w="58" w:type="dxa"/>
              <w:right w:w="58" w:type="dxa"/>
            </w:tcMar>
          </w:tcPr>
          <w:p w:rsidR="008F3D8D" w:rsidRPr="0043344F" w:rsidRDefault="008F3D8D" w:rsidP="00A34E19">
            <w:pPr>
              <w:jc w:val="center"/>
              <w:rPr>
                <w:sz w:val="16"/>
                <w:szCs w:val="16"/>
              </w:rPr>
            </w:pPr>
            <w:r w:rsidRPr="0043344F">
              <w:rPr>
                <w:b/>
                <w:color w:val="00B050"/>
                <w:sz w:val="16"/>
                <w:szCs w:val="16"/>
              </w:rPr>
              <w:t>Avanza</w:t>
            </w:r>
          </w:p>
        </w:tc>
      </w:tr>
      <w:tr w:rsidR="008F3D8D" w:rsidRPr="0043344F" w:rsidTr="00A34E19">
        <w:trPr>
          <w:trHeight w:val="648"/>
        </w:trPr>
        <w:tc>
          <w:tcPr>
            <w:tcW w:w="9341" w:type="dxa"/>
            <w:gridSpan w:val="5"/>
            <w:shd w:val="clear" w:color="auto" w:fill="C6D9F1" w:themeFill="text2" w:themeFillTint="33"/>
            <w:tcMar>
              <w:left w:w="29" w:type="dxa"/>
              <w:right w:w="29" w:type="dxa"/>
            </w:tcMar>
            <w:vAlign w:val="center"/>
          </w:tcPr>
          <w:p w:rsidR="008F3D8D" w:rsidRPr="0043344F" w:rsidRDefault="008F3D8D" w:rsidP="00024891">
            <w:pPr>
              <w:keepNext/>
              <w:keepLines/>
              <w:tabs>
                <w:tab w:val="left" w:pos="1452"/>
              </w:tabs>
              <w:ind w:left="1701" w:right="-59" w:hanging="1701"/>
              <w:rPr>
                <w:b/>
                <w:bCs/>
                <w:sz w:val="16"/>
                <w:szCs w:val="16"/>
              </w:rPr>
            </w:pPr>
            <w:r w:rsidRPr="0043344F">
              <w:rPr>
                <w:b/>
                <w:bCs/>
                <w:sz w:val="16"/>
                <w:szCs w:val="16"/>
              </w:rPr>
              <w:lastRenderedPageBreak/>
              <w:t>Resultado previsto:</w:t>
            </w:r>
            <w:r w:rsidRPr="0043344F">
              <w:rPr>
                <w:b/>
                <w:bCs/>
                <w:sz w:val="16"/>
                <w:szCs w:val="16"/>
              </w:rPr>
              <w:tab/>
            </w:r>
            <w:r w:rsidRPr="0043344F">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8F3D8D" w:rsidRPr="0043344F" w:rsidTr="00A34E19">
        <w:tc>
          <w:tcPr>
            <w:tcW w:w="0" w:type="auto"/>
            <w:shd w:val="clear" w:color="auto" w:fill="auto"/>
            <w:tcMar>
              <w:left w:w="58" w:type="dxa"/>
              <w:right w:w="58" w:type="dxa"/>
            </w:tcMar>
            <w:vAlign w:val="center"/>
          </w:tcPr>
          <w:p w:rsidR="008F3D8D" w:rsidRPr="0043344F" w:rsidRDefault="008F3D8D" w:rsidP="00024891">
            <w:pPr>
              <w:keepNext/>
              <w:keepLines/>
              <w:ind w:right="-57"/>
              <w:rPr>
                <w:b/>
                <w:bCs/>
                <w:sz w:val="16"/>
                <w:szCs w:val="16"/>
              </w:rPr>
            </w:pPr>
            <w:r w:rsidRPr="0043344F">
              <w:rPr>
                <w:b/>
                <w:bCs/>
                <w:sz w:val="16"/>
                <w:szCs w:val="16"/>
              </w:rPr>
              <w:t>Indicadores de rendimiento</w:t>
            </w:r>
          </w:p>
        </w:tc>
        <w:tc>
          <w:tcPr>
            <w:tcW w:w="0" w:type="auto"/>
            <w:shd w:val="clear" w:color="auto" w:fill="auto"/>
            <w:tcMar>
              <w:left w:w="58" w:type="dxa"/>
              <w:right w:w="58" w:type="dxa"/>
            </w:tcMar>
            <w:vAlign w:val="center"/>
          </w:tcPr>
          <w:p w:rsidR="008F3D8D" w:rsidRPr="0043344F" w:rsidRDefault="008F3D8D" w:rsidP="00024891">
            <w:pPr>
              <w:keepNext/>
              <w:keepLines/>
              <w:ind w:right="-59"/>
              <w:rPr>
                <w:b/>
                <w:bCs/>
                <w:sz w:val="16"/>
                <w:szCs w:val="16"/>
              </w:rPr>
            </w:pPr>
            <w:r w:rsidRPr="0043344F">
              <w:rPr>
                <w:b/>
                <w:bCs/>
                <w:sz w:val="16"/>
                <w:szCs w:val="16"/>
              </w:rPr>
              <w:t>Referencias de base</w:t>
            </w:r>
          </w:p>
        </w:tc>
        <w:tc>
          <w:tcPr>
            <w:tcW w:w="0" w:type="auto"/>
            <w:shd w:val="clear" w:color="auto" w:fill="auto"/>
            <w:tcMar>
              <w:top w:w="110" w:type="dxa"/>
              <w:left w:w="29" w:type="dxa"/>
              <w:right w:w="29" w:type="dxa"/>
            </w:tcMar>
            <w:vAlign w:val="center"/>
          </w:tcPr>
          <w:p w:rsidR="008F3D8D" w:rsidRPr="0043344F" w:rsidRDefault="008F3D8D" w:rsidP="00024891">
            <w:pPr>
              <w:keepNext/>
              <w:keepLines/>
              <w:rPr>
                <w:b/>
                <w:bCs/>
                <w:sz w:val="16"/>
                <w:szCs w:val="16"/>
              </w:rPr>
            </w:pPr>
            <w:r w:rsidRPr="0043344F">
              <w:rPr>
                <w:b/>
                <w:bCs/>
                <w:sz w:val="16"/>
                <w:szCs w:val="16"/>
              </w:rPr>
              <w:t>Objetivos</w:t>
            </w:r>
          </w:p>
        </w:tc>
        <w:tc>
          <w:tcPr>
            <w:tcW w:w="2018" w:type="dxa"/>
            <w:shd w:val="clear" w:color="auto" w:fill="FFFFFF"/>
            <w:tcMar>
              <w:top w:w="110" w:type="dxa"/>
              <w:left w:w="58" w:type="dxa"/>
              <w:right w:w="58" w:type="dxa"/>
            </w:tcMar>
            <w:vAlign w:val="center"/>
          </w:tcPr>
          <w:p w:rsidR="008F3D8D" w:rsidRPr="0043344F" w:rsidRDefault="008F3D8D" w:rsidP="00024891">
            <w:pPr>
              <w:keepNext/>
              <w:keepLines/>
              <w:rPr>
                <w:b/>
                <w:bCs/>
                <w:sz w:val="16"/>
                <w:szCs w:val="16"/>
              </w:rPr>
            </w:pPr>
            <w:r w:rsidRPr="0043344F">
              <w:rPr>
                <w:b/>
                <w:bCs/>
                <w:sz w:val="16"/>
                <w:szCs w:val="16"/>
              </w:rPr>
              <w:t>Datos sobre el rendimiento</w:t>
            </w:r>
          </w:p>
        </w:tc>
        <w:tc>
          <w:tcPr>
            <w:tcW w:w="0" w:type="auto"/>
            <w:shd w:val="clear" w:color="auto" w:fill="auto"/>
            <w:tcMar>
              <w:top w:w="110" w:type="dxa"/>
              <w:left w:w="58" w:type="dxa"/>
              <w:right w:w="58" w:type="dxa"/>
            </w:tcMar>
            <w:vAlign w:val="center"/>
          </w:tcPr>
          <w:p w:rsidR="008F3D8D" w:rsidRPr="0043344F" w:rsidRDefault="008F3D8D" w:rsidP="00024891">
            <w:pPr>
              <w:keepNext/>
              <w:keepLines/>
              <w:jc w:val="center"/>
              <w:rPr>
                <w:b/>
                <w:bCs/>
                <w:sz w:val="16"/>
                <w:szCs w:val="16"/>
              </w:rPr>
            </w:pPr>
            <w:r w:rsidRPr="0043344F">
              <w:rPr>
                <w:b/>
                <w:bCs/>
                <w:sz w:val="16"/>
                <w:szCs w:val="16"/>
              </w:rPr>
              <w:t>Clave de colores</w:t>
            </w:r>
          </w:p>
        </w:tc>
      </w:tr>
      <w:tr w:rsidR="008F3D8D" w:rsidRPr="0043344F" w:rsidTr="00A34E19">
        <w:trPr>
          <w:trHeight w:val="866"/>
        </w:trPr>
        <w:tc>
          <w:tcPr>
            <w:tcW w:w="0" w:type="auto"/>
            <w:shd w:val="clear" w:color="auto" w:fill="auto"/>
            <w:tcMar>
              <w:left w:w="58" w:type="dxa"/>
              <w:right w:w="58" w:type="dxa"/>
            </w:tcMar>
          </w:tcPr>
          <w:p w:rsidR="008F3D8D" w:rsidRPr="0043344F" w:rsidRDefault="008F3D8D" w:rsidP="00024891">
            <w:pPr>
              <w:keepNext/>
              <w:keepLines/>
              <w:ind w:right="-57"/>
              <w:rPr>
                <w:sz w:val="16"/>
                <w:szCs w:val="16"/>
              </w:rPr>
            </w:pPr>
            <w:r w:rsidRPr="0043344F">
              <w:rPr>
                <w:sz w:val="16"/>
                <w:szCs w:val="16"/>
              </w:rPr>
              <w:t>N.º de oficinas nacionales de derecho de autor que participan activamente en el proceso consultivo del TAG</w:t>
            </w:r>
          </w:p>
        </w:tc>
        <w:tc>
          <w:tcPr>
            <w:tcW w:w="0" w:type="auto"/>
            <w:shd w:val="clear" w:color="auto" w:fill="auto"/>
            <w:tcMar>
              <w:left w:w="58" w:type="dxa"/>
              <w:right w:w="58" w:type="dxa"/>
            </w:tcMar>
          </w:tcPr>
          <w:p w:rsidR="008F3D8D" w:rsidRPr="00246B74" w:rsidRDefault="008F3D8D" w:rsidP="00024891">
            <w:pPr>
              <w:keepNext/>
              <w:keepLines/>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024891">
            <w:pPr>
              <w:keepNext/>
              <w:keepLines/>
              <w:ind w:right="-59"/>
              <w:rPr>
                <w:i/>
                <w:color w:val="002060"/>
                <w:sz w:val="16"/>
                <w:szCs w:val="16"/>
                <w:lang w:bidi="th-TH"/>
              </w:rPr>
            </w:pPr>
            <w:r w:rsidRPr="00246B74">
              <w:rPr>
                <w:color w:val="002060"/>
                <w:sz w:val="16"/>
                <w:szCs w:val="16"/>
              </w:rPr>
              <w:t>0</w:t>
            </w:r>
          </w:p>
          <w:p w:rsidR="008F3D8D" w:rsidRPr="0043344F" w:rsidRDefault="008F3D8D" w:rsidP="00024891">
            <w:pPr>
              <w:keepNext/>
              <w:keepLines/>
              <w:ind w:right="-59"/>
              <w:rPr>
                <w:i/>
                <w:sz w:val="16"/>
                <w:szCs w:val="16"/>
                <w:lang w:bidi="th-TH"/>
              </w:rPr>
            </w:pPr>
          </w:p>
          <w:p w:rsidR="008F3D8D" w:rsidRPr="0043344F" w:rsidRDefault="008F3D8D" w:rsidP="00024891">
            <w:pPr>
              <w:keepNext/>
              <w:keepLines/>
              <w:ind w:right="-59"/>
              <w:rPr>
                <w:i/>
                <w:sz w:val="16"/>
                <w:szCs w:val="16"/>
                <w:lang w:bidi="th-TH"/>
              </w:rPr>
            </w:pPr>
            <w:r w:rsidRPr="0043344F">
              <w:rPr>
                <w:i/>
                <w:sz w:val="16"/>
                <w:szCs w:val="16"/>
                <w:lang w:bidi="th-TH"/>
              </w:rPr>
              <w:t xml:space="preserve">Referencia original en el presupuesto de 2016/17: </w:t>
            </w:r>
          </w:p>
          <w:p w:rsidR="008F3D8D" w:rsidRPr="0043344F" w:rsidRDefault="008F3D8D" w:rsidP="00024891">
            <w:pPr>
              <w:keepNext/>
              <w:keepLines/>
              <w:spacing w:after="120"/>
              <w:ind w:right="-57"/>
              <w:rPr>
                <w:sz w:val="16"/>
                <w:szCs w:val="16"/>
              </w:rPr>
            </w:pPr>
            <w:r w:rsidRPr="0043344F">
              <w:rPr>
                <w:sz w:val="16"/>
                <w:szCs w:val="16"/>
                <w:lang w:bidi="th-TH"/>
              </w:rPr>
              <w:t xml:space="preserve">n.d. </w:t>
            </w:r>
          </w:p>
        </w:tc>
        <w:tc>
          <w:tcPr>
            <w:tcW w:w="0" w:type="auto"/>
            <w:shd w:val="clear" w:color="auto" w:fill="auto"/>
            <w:tcMar>
              <w:top w:w="110" w:type="dxa"/>
              <w:left w:w="29" w:type="dxa"/>
              <w:right w:w="29" w:type="dxa"/>
            </w:tcMar>
          </w:tcPr>
          <w:p w:rsidR="008F3D8D" w:rsidRPr="0043344F" w:rsidRDefault="008F3D8D" w:rsidP="00024891">
            <w:pPr>
              <w:keepNext/>
              <w:keepLines/>
              <w:rPr>
                <w:sz w:val="16"/>
                <w:szCs w:val="16"/>
              </w:rPr>
            </w:pPr>
            <w:r w:rsidRPr="0043344F">
              <w:rPr>
                <w:sz w:val="16"/>
                <w:szCs w:val="16"/>
              </w:rPr>
              <w:t xml:space="preserve">25 oficinas nacionales de derecho de autor </w:t>
            </w:r>
          </w:p>
        </w:tc>
        <w:tc>
          <w:tcPr>
            <w:tcW w:w="2018" w:type="dxa"/>
            <w:shd w:val="clear" w:color="auto" w:fill="FFFFFF"/>
            <w:tcMar>
              <w:top w:w="110" w:type="dxa"/>
              <w:left w:w="58" w:type="dxa"/>
              <w:right w:w="58" w:type="dxa"/>
            </w:tcMar>
          </w:tcPr>
          <w:p w:rsidR="008F3D8D" w:rsidRPr="0043344F" w:rsidRDefault="008F3D8D" w:rsidP="00024891">
            <w:pPr>
              <w:keepNext/>
              <w:keepLines/>
              <w:rPr>
                <w:sz w:val="16"/>
                <w:szCs w:val="16"/>
              </w:rPr>
            </w:pPr>
            <w:r w:rsidRPr="0043344F">
              <w:rPr>
                <w:sz w:val="16"/>
                <w:szCs w:val="16"/>
              </w:rPr>
              <w:t>Más de 90 oficinas de derecho de autor  a lo largo de 2016</w:t>
            </w:r>
          </w:p>
          <w:p w:rsidR="008F3D8D" w:rsidRPr="0043344F" w:rsidRDefault="008F3D8D" w:rsidP="00024891">
            <w:pPr>
              <w:keepNext/>
              <w:keepLines/>
              <w:rPr>
                <w:sz w:val="16"/>
                <w:szCs w:val="16"/>
              </w:rPr>
            </w:pPr>
          </w:p>
          <w:p w:rsidR="008F3D8D" w:rsidRPr="0043344F" w:rsidRDefault="008F3D8D" w:rsidP="00024891">
            <w:pPr>
              <w:keepNext/>
              <w:keepLines/>
              <w:rPr>
                <w:sz w:val="16"/>
                <w:szCs w:val="16"/>
              </w:rPr>
            </w:pPr>
            <w:r w:rsidRPr="0043344F">
              <w:rPr>
                <w:sz w:val="16"/>
                <w:szCs w:val="16"/>
              </w:rPr>
              <w:t>A fines de 2016 se tomó la decisión de no seguir adelante con el proyecto TAG en su forma actual</w:t>
            </w:r>
          </w:p>
        </w:tc>
        <w:tc>
          <w:tcPr>
            <w:tcW w:w="0" w:type="auto"/>
            <w:shd w:val="clear" w:color="auto" w:fill="auto"/>
            <w:tcMar>
              <w:top w:w="110" w:type="dxa"/>
              <w:left w:w="58" w:type="dxa"/>
              <w:right w:w="58" w:type="dxa"/>
            </w:tcMar>
          </w:tcPr>
          <w:p w:rsidR="008F3D8D" w:rsidRPr="00024891" w:rsidRDefault="008F3D8D" w:rsidP="00024891">
            <w:pPr>
              <w:keepNext/>
              <w:keepLines/>
              <w:jc w:val="center"/>
              <w:rPr>
                <w:b/>
                <w:sz w:val="16"/>
                <w:szCs w:val="16"/>
              </w:rPr>
            </w:pPr>
            <w:r w:rsidRPr="00024891">
              <w:rPr>
                <w:b/>
                <w:sz w:val="16"/>
                <w:szCs w:val="16"/>
              </w:rPr>
              <w:t>Discontinuado</w:t>
            </w:r>
          </w:p>
        </w:tc>
      </w:tr>
      <w:tr w:rsidR="008F3D8D" w:rsidRPr="0043344F" w:rsidTr="00A34E19">
        <w:trPr>
          <w:trHeight w:val="1518"/>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N.º de organismos de gestión colectiva (OGC) que solicitan acreditación “TAG”</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 xml:space="preserve">0 </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 xml:space="preserve">Referencia original en el presupuesto de 2016/17: </w:t>
            </w:r>
          </w:p>
          <w:p w:rsidR="008F3D8D" w:rsidRPr="0043344F" w:rsidRDefault="008F3D8D" w:rsidP="00A34E19">
            <w:pPr>
              <w:ind w:right="-59"/>
              <w:rPr>
                <w:sz w:val="16"/>
                <w:szCs w:val="16"/>
              </w:rPr>
            </w:pPr>
            <w:r w:rsidRPr="0043344F">
              <w:rPr>
                <w:sz w:val="16"/>
                <w:szCs w:val="16"/>
              </w:rPr>
              <w:t>0% (al final de 2014)</w:t>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 xml:space="preserve">0 (2016) </w:t>
            </w:r>
          </w:p>
          <w:p w:rsidR="008F3D8D" w:rsidRPr="0043344F" w:rsidRDefault="008F3D8D" w:rsidP="00A34E19">
            <w:pPr>
              <w:rPr>
                <w:sz w:val="16"/>
                <w:szCs w:val="16"/>
              </w:rPr>
            </w:pPr>
            <w:r w:rsidRPr="0043344F">
              <w:rPr>
                <w:rFonts w:cs="Times New Roman"/>
                <w:sz w:val="16"/>
                <w:szCs w:val="16"/>
              </w:rPr>
              <w:t>2 OGC solicitan acreditación (2017)</w:t>
            </w:r>
          </w:p>
        </w:tc>
        <w:tc>
          <w:tcPr>
            <w:tcW w:w="2018" w:type="dxa"/>
            <w:shd w:val="clear" w:color="auto" w:fill="FFFFFF"/>
            <w:tcMar>
              <w:top w:w="110" w:type="dxa"/>
              <w:left w:w="58" w:type="dxa"/>
              <w:right w:w="58" w:type="dxa"/>
            </w:tcMar>
          </w:tcPr>
          <w:p w:rsidR="008F3D8D" w:rsidRPr="0043344F" w:rsidRDefault="008F3D8D" w:rsidP="00A34E19">
            <w:pPr>
              <w:spacing w:after="120"/>
              <w:ind w:right="-57"/>
              <w:rPr>
                <w:sz w:val="16"/>
                <w:szCs w:val="16"/>
              </w:rPr>
            </w:pPr>
            <w:r w:rsidRPr="0043344F">
              <w:rPr>
                <w:sz w:val="16"/>
                <w:szCs w:val="16"/>
              </w:rPr>
              <w:t xml:space="preserve">En junio de 2016 el Consorcio TAG respaldó la decisión de dedicar más esfuerzos únicamente al Compendio TAG y al programa educativo TAG </w:t>
            </w:r>
          </w:p>
          <w:p w:rsidR="008F3D8D" w:rsidRPr="0043344F" w:rsidRDefault="008F3D8D" w:rsidP="00A34E19">
            <w:pPr>
              <w:spacing w:after="120"/>
              <w:ind w:right="-57"/>
              <w:rPr>
                <w:sz w:val="16"/>
                <w:szCs w:val="16"/>
              </w:rPr>
            </w:pPr>
            <w:r w:rsidRPr="0043344F">
              <w:rPr>
                <w:sz w:val="16"/>
                <w:szCs w:val="16"/>
              </w:rPr>
              <w:t>A fines de 2016 se tomó la decisión de no seguir adelante con el proyecto TAG en su forma actual</w:t>
            </w:r>
          </w:p>
        </w:tc>
        <w:tc>
          <w:tcPr>
            <w:tcW w:w="0" w:type="auto"/>
            <w:shd w:val="clear" w:color="auto" w:fill="auto"/>
            <w:tcMar>
              <w:top w:w="110" w:type="dxa"/>
              <w:left w:w="58" w:type="dxa"/>
              <w:right w:w="58" w:type="dxa"/>
            </w:tcMar>
          </w:tcPr>
          <w:p w:rsidR="008F3D8D" w:rsidRPr="00024891" w:rsidRDefault="008F3D8D" w:rsidP="00024891">
            <w:pPr>
              <w:jc w:val="center"/>
              <w:rPr>
                <w:b/>
                <w:sz w:val="16"/>
                <w:szCs w:val="16"/>
              </w:rPr>
            </w:pPr>
            <w:r w:rsidRPr="00024891">
              <w:rPr>
                <w:b/>
                <w:sz w:val="16"/>
                <w:szCs w:val="16"/>
              </w:rPr>
              <w:t>Discontinuado</w:t>
            </w:r>
          </w:p>
        </w:tc>
      </w:tr>
      <w:tr w:rsidR="008F3D8D" w:rsidRPr="0043344F" w:rsidTr="00A34E19">
        <w:trPr>
          <w:trHeight w:val="1150"/>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 de participantes que informan favorablemente acerca de los programas de fortalecimiento de capacidades en materia de gestión colectiva</w:t>
            </w:r>
          </w:p>
        </w:tc>
        <w:tc>
          <w:tcPr>
            <w:tcW w:w="0" w:type="auto"/>
            <w:shd w:val="clear" w:color="auto" w:fill="auto"/>
            <w:tcMar>
              <w:left w:w="58" w:type="dxa"/>
              <w:right w:w="58" w:type="dxa"/>
            </w:tcMar>
          </w:tcPr>
          <w:p w:rsidR="008F3D8D" w:rsidRPr="00246B74" w:rsidRDefault="008F3D8D" w:rsidP="00A34E19">
            <w:pPr>
              <w:ind w:right="-59"/>
              <w:rPr>
                <w:color w:val="002060"/>
                <w:sz w:val="16"/>
                <w:szCs w:val="16"/>
              </w:rPr>
            </w:pPr>
            <w:r w:rsidRPr="00246B74">
              <w:rPr>
                <w:i/>
                <w:color w:val="002060"/>
                <w:sz w:val="16"/>
                <w:szCs w:val="16"/>
              </w:rPr>
              <w:t>Referencia actualizada a fines de 2015:</w:t>
            </w:r>
            <w:r w:rsidRPr="00246B74">
              <w:rPr>
                <w:color w:val="002060"/>
                <w:sz w:val="16"/>
                <w:szCs w:val="16"/>
              </w:rPr>
              <w:t xml:space="preserve"> 60%</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 xml:space="preserve">Referencia original en el presupuesto de 2016/17:  </w:t>
            </w:r>
          </w:p>
          <w:p w:rsidR="008F3D8D" w:rsidRPr="0043344F" w:rsidRDefault="008F3D8D" w:rsidP="00A34E19">
            <w:pPr>
              <w:spacing w:after="120"/>
              <w:ind w:right="-57"/>
              <w:rPr>
                <w:sz w:val="16"/>
                <w:szCs w:val="16"/>
              </w:rPr>
            </w:pPr>
            <w:r w:rsidRPr="0043344F">
              <w:rPr>
                <w:sz w:val="16"/>
                <w:szCs w:val="16"/>
              </w:rPr>
              <w:t>0% (al final de 2014)</w:t>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 xml:space="preserve">El 70% de los encuestados manifiestan aprobación o marcada aprobación. </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 xml:space="preserve">Más del 80% de los encuestados manifiestan aprobación o marcada aprobación </w:t>
            </w: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r w:rsidR="008F3D8D" w:rsidRPr="0043344F" w:rsidTr="00A34E19">
        <w:trPr>
          <w:trHeight w:val="159"/>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N.º de visitas al portal sobre la infraestructura de derecho de autor</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52.000</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 xml:space="preserve">Referencia original en el presupuesto de 2016/17:  </w:t>
            </w:r>
          </w:p>
          <w:p w:rsidR="008F3D8D" w:rsidRPr="0043344F" w:rsidRDefault="008F3D8D" w:rsidP="00A34E19">
            <w:pPr>
              <w:ind w:right="-59"/>
              <w:rPr>
                <w:sz w:val="16"/>
                <w:szCs w:val="16"/>
              </w:rPr>
            </w:pPr>
            <w:r w:rsidRPr="0043344F">
              <w:rPr>
                <w:sz w:val="16"/>
                <w:szCs w:val="16"/>
              </w:rPr>
              <w:t>0% (al final de 2014)</w:t>
            </w:r>
          </w:p>
        </w:tc>
        <w:tc>
          <w:tcPr>
            <w:tcW w:w="0" w:type="auto"/>
            <w:shd w:val="clear" w:color="auto" w:fill="auto"/>
            <w:tcMar>
              <w:top w:w="110" w:type="dxa"/>
              <w:left w:w="29" w:type="dxa"/>
              <w:right w:w="29" w:type="dxa"/>
            </w:tcMar>
          </w:tcPr>
          <w:p w:rsidR="008F3D8D" w:rsidRPr="00246B74" w:rsidRDefault="008F3D8D" w:rsidP="00A34E19">
            <w:pPr>
              <w:rPr>
                <w:color w:val="002060"/>
                <w:sz w:val="16"/>
                <w:szCs w:val="16"/>
              </w:rPr>
            </w:pPr>
            <w:r w:rsidRPr="00246B74">
              <w:rPr>
                <w:i/>
                <w:color w:val="002060"/>
                <w:sz w:val="16"/>
                <w:szCs w:val="16"/>
              </w:rPr>
              <w:t>Objetivo actualizado:</w:t>
            </w:r>
            <w:r w:rsidRPr="00246B74">
              <w:rPr>
                <w:color w:val="002060"/>
                <w:sz w:val="16"/>
                <w:szCs w:val="16"/>
              </w:rPr>
              <w:t xml:space="preserve">  </w:t>
            </w:r>
          </w:p>
          <w:p w:rsidR="008F3D8D" w:rsidRPr="00246B74" w:rsidRDefault="008F3D8D" w:rsidP="00A34E19">
            <w:pPr>
              <w:rPr>
                <w:color w:val="002060"/>
                <w:sz w:val="16"/>
                <w:szCs w:val="16"/>
              </w:rPr>
            </w:pPr>
            <w:r w:rsidRPr="00246B74">
              <w:rPr>
                <w:color w:val="002060"/>
                <w:sz w:val="16"/>
                <w:szCs w:val="16"/>
              </w:rPr>
              <w:t>57.000 visitas al portal</w:t>
            </w:r>
          </w:p>
          <w:p w:rsidR="008F3D8D" w:rsidRPr="0043344F" w:rsidRDefault="008F3D8D" w:rsidP="00A34E19">
            <w:pPr>
              <w:rPr>
                <w:sz w:val="16"/>
                <w:szCs w:val="16"/>
              </w:rPr>
            </w:pPr>
          </w:p>
          <w:p w:rsidR="008F3D8D" w:rsidRPr="0043344F" w:rsidRDefault="008F3D8D" w:rsidP="00A34E19">
            <w:pPr>
              <w:rPr>
                <w:i/>
                <w:sz w:val="16"/>
                <w:szCs w:val="16"/>
              </w:rPr>
            </w:pPr>
            <w:r w:rsidRPr="0043344F">
              <w:rPr>
                <w:i/>
                <w:sz w:val="16"/>
                <w:szCs w:val="16"/>
              </w:rPr>
              <w:t xml:space="preserve">Objetivo original en el presupuesto 2016/17:  </w:t>
            </w:r>
          </w:p>
          <w:p w:rsidR="008F3D8D" w:rsidRPr="0043344F" w:rsidRDefault="008F3D8D" w:rsidP="00A34E19">
            <w:pPr>
              <w:spacing w:after="60"/>
              <w:ind w:right="-57"/>
              <w:rPr>
                <w:i/>
                <w:sz w:val="16"/>
                <w:szCs w:val="16"/>
              </w:rPr>
            </w:pPr>
            <w:r w:rsidRPr="0043344F">
              <w:rPr>
                <w:i/>
                <w:sz w:val="16"/>
                <w:szCs w:val="16"/>
              </w:rPr>
              <w:t>500 visitas al portal</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 xml:space="preserve">Se aplazó el desarrollo del portal sobre infraestructura de derecho de autor </w:t>
            </w:r>
          </w:p>
        </w:tc>
        <w:tc>
          <w:tcPr>
            <w:tcW w:w="0" w:type="auto"/>
            <w:shd w:val="clear" w:color="auto" w:fill="auto"/>
            <w:tcMar>
              <w:top w:w="110" w:type="dxa"/>
              <w:left w:w="58" w:type="dxa"/>
              <w:right w:w="58" w:type="dxa"/>
            </w:tcMar>
          </w:tcPr>
          <w:p w:rsidR="008F3D8D" w:rsidRPr="0043344F" w:rsidRDefault="008F3D8D" w:rsidP="00024891">
            <w:pPr>
              <w:jc w:val="center"/>
              <w:rPr>
                <w:b/>
                <w:sz w:val="16"/>
                <w:szCs w:val="16"/>
              </w:rPr>
            </w:pPr>
            <w:r w:rsidRPr="0043344F">
              <w:rPr>
                <w:b/>
                <w:color w:val="0070C0"/>
                <w:sz w:val="16"/>
                <w:szCs w:val="16"/>
              </w:rPr>
              <w:t xml:space="preserve">No </w:t>
            </w:r>
            <w:r w:rsidR="00024891">
              <w:rPr>
                <w:b/>
                <w:color w:val="0070C0"/>
                <w:sz w:val="16"/>
                <w:szCs w:val="16"/>
              </w:rPr>
              <w:t>disponible para</w:t>
            </w:r>
            <w:r w:rsidRPr="0043344F">
              <w:rPr>
                <w:b/>
                <w:color w:val="0070C0"/>
                <w:sz w:val="16"/>
                <w:szCs w:val="16"/>
              </w:rPr>
              <w:t xml:space="preserve"> 2016</w:t>
            </w:r>
          </w:p>
        </w:tc>
      </w:tr>
      <w:tr w:rsidR="008F3D8D" w:rsidRPr="0043344F" w:rsidTr="00A34E19">
        <w:trPr>
          <w:trHeight w:val="336"/>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N.º de editoriales que firman la Carta de la edición accesible del ABC (la Carta)</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 xml:space="preserve">Firmaron la Carta 12 editoriales </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Referencia original en el presupuesto de 2016/17:</w:t>
            </w:r>
          </w:p>
          <w:p w:rsidR="008F3D8D" w:rsidRPr="0043344F" w:rsidRDefault="008F3D8D" w:rsidP="00A34E19">
            <w:pPr>
              <w:spacing w:after="60"/>
              <w:ind w:right="-57"/>
              <w:rPr>
                <w:sz w:val="16"/>
                <w:szCs w:val="16"/>
              </w:rPr>
            </w:pPr>
            <w:r w:rsidRPr="0043344F">
              <w:rPr>
                <w:sz w:val="16"/>
                <w:szCs w:val="16"/>
              </w:rPr>
              <w:t>Firmaron la Carta 9 editoriales</w:t>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Firmaron 15 editoriales (en total)</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A comienzos de 2016 la Junta del ABC, incluida la Unión Internacional de Editores, tomó la decisión de no promover la Carta del ABC entre las editoriales comerciales</w:t>
            </w:r>
          </w:p>
        </w:tc>
        <w:tc>
          <w:tcPr>
            <w:tcW w:w="0" w:type="auto"/>
            <w:shd w:val="clear" w:color="auto" w:fill="auto"/>
            <w:tcMar>
              <w:top w:w="110" w:type="dxa"/>
              <w:left w:w="58" w:type="dxa"/>
              <w:right w:w="58" w:type="dxa"/>
            </w:tcMar>
          </w:tcPr>
          <w:p w:rsidR="008F3D8D" w:rsidRPr="0043344F" w:rsidRDefault="008F3D8D" w:rsidP="00024891">
            <w:pPr>
              <w:jc w:val="center"/>
              <w:rPr>
                <w:b/>
                <w:sz w:val="14"/>
                <w:szCs w:val="14"/>
              </w:rPr>
            </w:pPr>
            <w:r w:rsidRPr="00024891">
              <w:rPr>
                <w:b/>
                <w:sz w:val="16"/>
                <w:szCs w:val="16"/>
              </w:rPr>
              <w:t>Discontinuado</w:t>
            </w:r>
          </w:p>
        </w:tc>
      </w:tr>
      <w:tr w:rsidR="008F3D8D" w:rsidRPr="0043344F" w:rsidTr="00A34E19">
        <w:trPr>
          <w:trHeight w:val="1155"/>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N.º de libros en formatos accesibles que se prestan a las personas con dificultades para acceder al texto impreso</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Más de 58.000 préstamos de libros en formatos accesibles a personas con dificultades para acceder al texto impreso (en total)</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Referencia original en el presupuesto de 2016/17:</w:t>
            </w:r>
          </w:p>
          <w:p w:rsidR="008F3D8D" w:rsidRPr="0043344F" w:rsidRDefault="008F3D8D" w:rsidP="00A34E19">
            <w:pPr>
              <w:spacing w:after="60"/>
              <w:ind w:right="-57"/>
              <w:rPr>
                <w:i/>
                <w:sz w:val="16"/>
                <w:szCs w:val="16"/>
              </w:rPr>
            </w:pPr>
            <w:r w:rsidRPr="0043344F">
              <w:rPr>
                <w:sz w:val="16"/>
                <w:szCs w:val="16"/>
              </w:rPr>
              <w:t>16.000 préstamos de libros a personas con dificultades para acceder al texto impreso</w:t>
            </w:r>
          </w:p>
        </w:tc>
        <w:tc>
          <w:tcPr>
            <w:tcW w:w="0" w:type="auto"/>
            <w:shd w:val="clear" w:color="auto" w:fill="auto"/>
            <w:tcMar>
              <w:top w:w="110" w:type="dxa"/>
              <w:left w:w="29" w:type="dxa"/>
              <w:right w:w="29" w:type="dxa"/>
            </w:tcMar>
          </w:tcPr>
          <w:p w:rsidR="008F3D8D" w:rsidRPr="00246B74" w:rsidRDefault="008F3D8D" w:rsidP="00A34E19">
            <w:pPr>
              <w:rPr>
                <w:i/>
                <w:color w:val="002060"/>
                <w:sz w:val="16"/>
                <w:szCs w:val="16"/>
              </w:rPr>
            </w:pPr>
            <w:r w:rsidRPr="00246B74">
              <w:rPr>
                <w:i/>
                <w:color w:val="002060"/>
                <w:sz w:val="16"/>
                <w:szCs w:val="16"/>
              </w:rPr>
              <w:t xml:space="preserve">Objetivo actualizado:  </w:t>
            </w:r>
          </w:p>
          <w:p w:rsidR="008F3D8D" w:rsidRPr="00246B74" w:rsidRDefault="008F3D8D" w:rsidP="00A34E19">
            <w:pPr>
              <w:rPr>
                <w:color w:val="002060"/>
                <w:sz w:val="16"/>
                <w:szCs w:val="16"/>
              </w:rPr>
            </w:pPr>
            <w:r w:rsidRPr="00246B74">
              <w:rPr>
                <w:color w:val="002060"/>
                <w:sz w:val="16"/>
                <w:szCs w:val="16"/>
              </w:rPr>
              <w:t>130.000 préstamos (en total)</w:t>
            </w:r>
          </w:p>
          <w:p w:rsidR="008F3D8D" w:rsidRPr="0043344F" w:rsidRDefault="008F3D8D" w:rsidP="00A34E19">
            <w:pPr>
              <w:rPr>
                <w:sz w:val="16"/>
                <w:szCs w:val="16"/>
              </w:rPr>
            </w:pPr>
          </w:p>
          <w:p w:rsidR="008F3D8D" w:rsidRPr="0043344F" w:rsidRDefault="008F3D8D" w:rsidP="00A34E19">
            <w:pPr>
              <w:rPr>
                <w:i/>
                <w:sz w:val="16"/>
                <w:szCs w:val="16"/>
                <w:lang w:bidi="th-TH"/>
              </w:rPr>
            </w:pPr>
            <w:r w:rsidRPr="0043344F">
              <w:rPr>
                <w:i/>
                <w:sz w:val="16"/>
                <w:szCs w:val="16"/>
                <w:lang w:bidi="th-TH"/>
              </w:rPr>
              <w:t>Objetivo original en el presupuesto 2016/17:</w:t>
            </w:r>
          </w:p>
          <w:p w:rsidR="008F3D8D" w:rsidRPr="0043344F" w:rsidRDefault="008F3D8D" w:rsidP="00A34E19">
            <w:pPr>
              <w:rPr>
                <w:sz w:val="16"/>
                <w:szCs w:val="16"/>
              </w:rPr>
            </w:pPr>
            <w:r w:rsidRPr="0043344F">
              <w:rPr>
                <w:sz w:val="16"/>
                <w:szCs w:val="16"/>
              </w:rPr>
              <w:t>20.000 préstamos (en total)</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Más de 42.000 préstamos de libros en formatos accesibles a personas con dificultades para acceder al texto impreso</w:t>
            </w:r>
            <w:r w:rsidRPr="0043344F" w:rsidDel="00475EBF">
              <w:rPr>
                <w:sz w:val="16"/>
                <w:szCs w:val="16"/>
              </w:rPr>
              <w:t xml:space="preserve"> </w:t>
            </w:r>
          </w:p>
          <w:p w:rsidR="008F3D8D" w:rsidRPr="0043344F" w:rsidRDefault="008F3D8D" w:rsidP="00A34E19">
            <w:pPr>
              <w:rPr>
                <w:sz w:val="16"/>
                <w:szCs w:val="16"/>
              </w:rPr>
            </w:pPr>
            <w:r w:rsidRPr="0043344F">
              <w:rPr>
                <w:sz w:val="16"/>
                <w:szCs w:val="16"/>
              </w:rPr>
              <w:t>(100.000 préstamos en total)</w:t>
            </w: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r w:rsidR="008F3D8D" w:rsidRPr="0043344F" w:rsidTr="00653EAB">
        <w:trPr>
          <w:trHeight w:val="995"/>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 de participantes en reuniones y talleres de creación de capacidad sobre cuestiones de derecho de autor que expresaron satisfacción al respecto</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Más del 80% de los participantes están de acuerdo o completamente de acuerdo</w:t>
            </w:r>
          </w:p>
          <w:p w:rsidR="008F3D8D" w:rsidRPr="0043344F" w:rsidRDefault="008F3D8D" w:rsidP="00A34E19">
            <w:pPr>
              <w:ind w:right="-59"/>
              <w:rPr>
                <w:i/>
                <w:sz w:val="16"/>
                <w:szCs w:val="16"/>
              </w:rPr>
            </w:pPr>
          </w:p>
          <w:p w:rsidR="008F3D8D" w:rsidRPr="0043344F" w:rsidRDefault="008F3D8D" w:rsidP="00A34E19">
            <w:pPr>
              <w:ind w:right="-59"/>
              <w:rPr>
                <w:i/>
                <w:sz w:val="16"/>
                <w:szCs w:val="16"/>
                <w:lang w:bidi="th-TH"/>
              </w:rPr>
            </w:pPr>
            <w:r w:rsidRPr="0043344F">
              <w:rPr>
                <w:i/>
                <w:sz w:val="16"/>
                <w:szCs w:val="16"/>
                <w:lang w:bidi="th-TH"/>
              </w:rPr>
              <w:t>Referencia original en el presupuesto de 2016/17:</w:t>
            </w:r>
          </w:p>
          <w:p w:rsidR="008F3D8D" w:rsidRPr="0043344F" w:rsidRDefault="008F3D8D" w:rsidP="00A34E19">
            <w:pPr>
              <w:ind w:right="-59"/>
              <w:rPr>
                <w:sz w:val="16"/>
                <w:szCs w:val="16"/>
              </w:rPr>
            </w:pPr>
            <w:r w:rsidRPr="0043344F">
              <w:rPr>
                <w:sz w:val="16"/>
                <w:szCs w:val="16"/>
              </w:rPr>
              <w:t xml:space="preserve">70% </w:t>
            </w:r>
          </w:p>
        </w:tc>
        <w:tc>
          <w:tcPr>
            <w:tcW w:w="0" w:type="auto"/>
            <w:shd w:val="clear" w:color="auto" w:fill="auto"/>
            <w:tcMar>
              <w:top w:w="110" w:type="dxa"/>
              <w:left w:w="29" w:type="dxa"/>
              <w:right w:w="29" w:type="dxa"/>
            </w:tcMar>
          </w:tcPr>
          <w:p w:rsidR="008F3D8D" w:rsidRPr="00246B74" w:rsidRDefault="008F3D8D" w:rsidP="00A34E19">
            <w:pPr>
              <w:rPr>
                <w:i/>
                <w:color w:val="002060"/>
                <w:sz w:val="16"/>
                <w:szCs w:val="16"/>
              </w:rPr>
            </w:pPr>
            <w:r w:rsidRPr="00246B74">
              <w:rPr>
                <w:i/>
                <w:color w:val="002060"/>
                <w:sz w:val="16"/>
                <w:szCs w:val="16"/>
              </w:rPr>
              <w:t xml:space="preserve">Objetivo actualizado:  </w:t>
            </w:r>
          </w:p>
          <w:p w:rsidR="008F3D8D" w:rsidRPr="00246B74" w:rsidRDefault="008F3D8D" w:rsidP="00A34E19">
            <w:pPr>
              <w:rPr>
                <w:color w:val="002060"/>
                <w:sz w:val="16"/>
                <w:szCs w:val="16"/>
              </w:rPr>
            </w:pPr>
            <w:r w:rsidRPr="00246B74">
              <w:rPr>
                <w:color w:val="002060"/>
                <w:sz w:val="16"/>
                <w:szCs w:val="16"/>
              </w:rPr>
              <w:t>El 80% de los participantes está de acuerdo o marcadamente de acuerdo.</w:t>
            </w:r>
          </w:p>
          <w:p w:rsidR="008F3D8D" w:rsidRPr="0043344F" w:rsidRDefault="008F3D8D" w:rsidP="00A34E19">
            <w:pPr>
              <w:rPr>
                <w:sz w:val="16"/>
                <w:szCs w:val="16"/>
              </w:rPr>
            </w:pPr>
          </w:p>
          <w:p w:rsidR="008F3D8D" w:rsidRPr="0043344F" w:rsidRDefault="008F3D8D" w:rsidP="00A34E19">
            <w:pPr>
              <w:rPr>
                <w:i/>
                <w:sz w:val="16"/>
                <w:szCs w:val="16"/>
                <w:lang w:bidi="th-TH"/>
              </w:rPr>
            </w:pPr>
            <w:r w:rsidRPr="0043344F">
              <w:rPr>
                <w:i/>
                <w:sz w:val="16"/>
                <w:szCs w:val="16"/>
                <w:lang w:bidi="th-TH"/>
              </w:rPr>
              <w:t>Objetivo original en el presupuesto 2016/17:</w:t>
            </w:r>
          </w:p>
          <w:p w:rsidR="008F3D8D" w:rsidRPr="0043344F" w:rsidRDefault="008F3D8D" w:rsidP="00A34E19">
            <w:pPr>
              <w:spacing w:after="60"/>
              <w:ind w:right="-57"/>
              <w:rPr>
                <w:sz w:val="16"/>
                <w:szCs w:val="16"/>
              </w:rPr>
            </w:pPr>
            <w:r w:rsidRPr="0043344F">
              <w:rPr>
                <w:sz w:val="16"/>
                <w:szCs w:val="16"/>
              </w:rPr>
              <w:lastRenderedPageBreak/>
              <w:t>El 70% de los participantes está de acuerdo o marcadamente de acuerdo.</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lastRenderedPageBreak/>
              <w:t xml:space="preserve">Más del 80% de los participantes está de acuerdo o marcadamente de acuerdo en la utilidad de las reuniones y talleres sobre el fortalecimiento de las capacidades en materia de derecho de autor y derechos conexos </w:t>
            </w:r>
          </w:p>
          <w:p w:rsidR="008F3D8D" w:rsidRPr="0043344F" w:rsidRDefault="008F3D8D" w:rsidP="00A34E19">
            <w:pPr>
              <w:rPr>
                <w:sz w:val="16"/>
                <w:szCs w:val="16"/>
              </w:rPr>
            </w:pPr>
          </w:p>
          <w:p w:rsidR="008F3D8D" w:rsidRPr="0043344F" w:rsidRDefault="008F3D8D" w:rsidP="00A34E19">
            <w:pPr>
              <w:rPr>
                <w:sz w:val="16"/>
                <w:szCs w:val="16"/>
              </w:rPr>
            </w:pP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lastRenderedPageBreak/>
              <w:t>Avanza</w:t>
            </w:r>
          </w:p>
        </w:tc>
      </w:tr>
      <w:tr w:rsidR="008F3D8D" w:rsidRPr="0043344F" w:rsidTr="00A34E19">
        <w:trPr>
          <w:trHeight w:val="556"/>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lastRenderedPageBreak/>
              <w:t>% de participantes en talleres de creación de capacidad sobre cuestiones de derecho de autor que informaron de la utilidad práctica de los conocimientos adquiridos 9 meses después del taller.</w:t>
            </w:r>
          </w:p>
        </w:tc>
        <w:tc>
          <w:tcPr>
            <w:tcW w:w="0" w:type="auto"/>
            <w:shd w:val="clear" w:color="auto" w:fill="auto"/>
            <w:tcMar>
              <w:left w:w="58" w:type="dxa"/>
              <w:right w:w="58" w:type="dxa"/>
            </w:tcMar>
          </w:tcPr>
          <w:p w:rsidR="008F3D8D" w:rsidRPr="00246B74" w:rsidRDefault="008F3D8D" w:rsidP="00A34E19">
            <w:pPr>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ind w:right="-59"/>
              <w:rPr>
                <w:color w:val="002060"/>
                <w:sz w:val="16"/>
                <w:szCs w:val="16"/>
              </w:rPr>
            </w:pPr>
            <w:r w:rsidRPr="00246B74">
              <w:rPr>
                <w:color w:val="002060"/>
                <w:sz w:val="16"/>
                <w:szCs w:val="16"/>
              </w:rPr>
              <w:t xml:space="preserve">Más del 80% de los participantes están de acuerdo o completamente de acuerdo </w:t>
            </w:r>
          </w:p>
          <w:p w:rsidR="008F3D8D" w:rsidRPr="0043344F" w:rsidRDefault="008F3D8D" w:rsidP="00A34E19">
            <w:pPr>
              <w:ind w:right="-59"/>
              <w:rPr>
                <w:sz w:val="16"/>
                <w:szCs w:val="16"/>
              </w:rPr>
            </w:pPr>
          </w:p>
          <w:p w:rsidR="008F3D8D" w:rsidRPr="0043344F" w:rsidRDefault="008F3D8D" w:rsidP="00A34E19">
            <w:pPr>
              <w:ind w:right="-59"/>
              <w:rPr>
                <w:i/>
                <w:sz w:val="16"/>
                <w:szCs w:val="16"/>
                <w:lang w:bidi="th-TH"/>
              </w:rPr>
            </w:pPr>
            <w:r w:rsidRPr="0043344F">
              <w:rPr>
                <w:i/>
                <w:sz w:val="16"/>
                <w:szCs w:val="16"/>
                <w:lang w:bidi="th-TH"/>
              </w:rPr>
              <w:t>Referencia original en el presupuesto de 2016/17:</w:t>
            </w:r>
          </w:p>
          <w:p w:rsidR="008F3D8D" w:rsidRPr="0043344F" w:rsidRDefault="008F3D8D" w:rsidP="00A34E19">
            <w:pPr>
              <w:spacing w:after="60"/>
              <w:ind w:right="-57"/>
              <w:rPr>
                <w:sz w:val="16"/>
                <w:szCs w:val="16"/>
              </w:rPr>
            </w:pPr>
            <w:r w:rsidRPr="0043344F">
              <w:rPr>
                <w:sz w:val="16"/>
                <w:szCs w:val="16"/>
              </w:rPr>
              <w:t>Aproximadamente el 70%</w:t>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Aproximadamente el 80% de los participantes</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 xml:space="preserve">Más del 80% de los participantes informaron de la utilidad práctica de los conocimientos adquiridos nueve meses después del taller </w:t>
            </w: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r w:rsidR="008F3D8D" w:rsidRPr="0043344F" w:rsidTr="00A34E19">
        <w:trPr>
          <w:trHeight w:val="973"/>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 xml:space="preserve">% de participantes con mayores conocimientos y competencias en la ejecución de actividades de formación en sus respectivos países. </w:t>
            </w:r>
          </w:p>
        </w:tc>
        <w:tc>
          <w:tcPr>
            <w:tcW w:w="0" w:type="auto"/>
            <w:shd w:val="clear" w:color="auto" w:fill="auto"/>
            <w:tcMar>
              <w:left w:w="58" w:type="dxa"/>
              <w:right w:w="58" w:type="dxa"/>
            </w:tcMar>
          </w:tcPr>
          <w:p w:rsidR="008F3D8D" w:rsidRPr="0043344F" w:rsidRDefault="008F3D8D" w:rsidP="00A34E19">
            <w:pPr>
              <w:ind w:right="-59"/>
              <w:rPr>
                <w:sz w:val="16"/>
                <w:szCs w:val="16"/>
              </w:rPr>
            </w:pPr>
            <w:r w:rsidRPr="0043344F">
              <w:rPr>
                <w:sz w:val="16"/>
                <w:szCs w:val="16"/>
              </w:rPr>
              <w:t>n.d. (nuevo indicador).</w:t>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El 70% de los participantes que recibieron capacitación.</w:t>
            </w:r>
          </w:p>
        </w:tc>
        <w:tc>
          <w:tcPr>
            <w:tcW w:w="2018" w:type="dxa"/>
            <w:shd w:val="clear" w:color="auto" w:fill="FFFFFF"/>
            <w:tcMar>
              <w:top w:w="110" w:type="dxa"/>
              <w:left w:w="58" w:type="dxa"/>
              <w:right w:w="58" w:type="dxa"/>
            </w:tcMar>
          </w:tcPr>
          <w:p w:rsidR="008F3D8D" w:rsidRPr="0043344F" w:rsidRDefault="008F3D8D" w:rsidP="00A34E19">
            <w:pPr>
              <w:spacing w:after="60"/>
              <w:ind w:right="-57"/>
              <w:rPr>
                <w:sz w:val="16"/>
                <w:szCs w:val="16"/>
              </w:rPr>
            </w:pPr>
            <w:r w:rsidRPr="0043344F">
              <w:rPr>
                <w:sz w:val="16"/>
                <w:szCs w:val="16"/>
              </w:rPr>
              <w:t xml:space="preserve">El 70% de los participantes informaron de mejoras en los conocimientos y competencias en la ejecución de actividades de formación en sus respectivos países </w:t>
            </w: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r w:rsidR="008F3D8D" w:rsidRPr="0043344F" w:rsidTr="00A34E19">
        <w:trPr>
          <w:trHeight w:val="565"/>
        </w:trPr>
        <w:tc>
          <w:tcPr>
            <w:tcW w:w="9341" w:type="dxa"/>
            <w:gridSpan w:val="5"/>
            <w:shd w:val="clear" w:color="auto" w:fill="C6D9F1" w:themeFill="text2" w:themeFillTint="33"/>
            <w:tcMar>
              <w:left w:w="29" w:type="dxa"/>
              <w:right w:w="29" w:type="dxa"/>
            </w:tcMar>
            <w:vAlign w:val="center"/>
          </w:tcPr>
          <w:p w:rsidR="008F3D8D" w:rsidRPr="0043344F" w:rsidRDefault="008F3D8D" w:rsidP="00A34E19">
            <w:pPr>
              <w:keepNext/>
              <w:keepLines/>
              <w:tabs>
                <w:tab w:val="left" w:pos="1452"/>
              </w:tabs>
              <w:ind w:left="1701" w:right="-59" w:hanging="1701"/>
              <w:rPr>
                <w:b/>
                <w:bCs/>
                <w:sz w:val="16"/>
                <w:szCs w:val="16"/>
              </w:rPr>
            </w:pPr>
            <w:r w:rsidRPr="0043344F">
              <w:rPr>
                <w:b/>
                <w:bCs/>
                <w:sz w:val="16"/>
                <w:szCs w:val="16"/>
              </w:rPr>
              <w:t>Resultado previsto:</w:t>
            </w:r>
            <w:r w:rsidRPr="0043344F">
              <w:rPr>
                <w:b/>
                <w:bCs/>
                <w:sz w:val="16"/>
                <w:szCs w:val="16"/>
              </w:rPr>
              <w:tab/>
            </w:r>
            <w:r w:rsidRPr="0043344F">
              <w:rPr>
                <w:bCs/>
                <w:sz w:val="16"/>
                <w:szCs w:val="16"/>
              </w:rPr>
              <w:t>IV.2  Mejora del acceso y uso de información de P.I. por parte de instituciones de P.I. y el público para fomentar la innovación y la creatividad</w:t>
            </w:r>
          </w:p>
        </w:tc>
      </w:tr>
      <w:tr w:rsidR="008F3D8D" w:rsidRPr="0043344F" w:rsidTr="00A34E19">
        <w:tc>
          <w:tcPr>
            <w:tcW w:w="0" w:type="auto"/>
            <w:shd w:val="clear" w:color="auto" w:fill="auto"/>
            <w:tcMar>
              <w:left w:w="58" w:type="dxa"/>
              <w:right w:w="58" w:type="dxa"/>
            </w:tcMar>
            <w:vAlign w:val="center"/>
          </w:tcPr>
          <w:p w:rsidR="008F3D8D" w:rsidRPr="0043344F" w:rsidRDefault="008F3D8D" w:rsidP="00A34E19">
            <w:pPr>
              <w:keepNext/>
              <w:keepLines/>
              <w:ind w:right="-57"/>
              <w:rPr>
                <w:b/>
                <w:bCs/>
                <w:sz w:val="16"/>
                <w:szCs w:val="16"/>
              </w:rPr>
            </w:pPr>
            <w:r w:rsidRPr="0043344F">
              <w:rPr>
                <w:b/>
                <w:bCs/>
                <w:sz w:val="16"/>
                <w:szCs w:val="16"/>
              </w:rPr>
              <w:t>Indicadores de rendimiento</w:t>
            </w:r>
          </w:p>
        </w:tc>
        <w:tc>
          <w:tcPr>
            <w:tcW w:w="0" w:type="auto"/>
            <w:shd w:val="clear" w:color="auto" w:fill="auto"/>
            <w:tcMar>
              <w:left w:w="58" w:type="dxa"/>
              <w:right w:w="58" w:type="dxa"/>
            </w:tcMar>
            <w:vAlign w:val="center"/>
          </w:tcPr>
          <w:p w:rsidR="008F3D8D" w:rsidRPr="0043344F" w:rsidRDefault="008F3D8D" w:rsidP="00A34E19">
            <w:pPr>
              <w:keepNext/>
              <w:keepLines/>
              <w:ind w:right="-59"/>
              <w:rPr>
                <w:b/>
                <w:bCs/>
                <w:sz w:val="16"/>
                <w:szCs w:val="16"/>
              </w:rPr>
            </w:pPr>
            <w:r w:rsidRPr="0043344F">
              <w:rPr>
                <w:b/>
                <w:bCs/>
                <w:sz w:val="16"/>
                <w:szCs w:val="16"/>
              </w:rPr>
              <w:t>Referencias de base</w:t>
            </w:r>
          </w:p>
        </w:tc>
        <w:tc>
          <w:tcPr>
            <w:tcW w:w="0" w:type="auto"/>
            <w:shd w:val="clear" w:color="auto" w:fill="auto"/>
            <w:tcMar>
              <w:top w:w="110" w:type="dxa"/>
              <w:left w:w="29" w:type="dxa"/>
              <w:right w:w="29" w:type="dxa"/>
            </w:tcMar>
            <w:vAlign w:val="center"/>
          </w:tcPr>
          <w:p w:rsidR="008F3D8D" w:rsidRPr="0043344F" w:rsidRDefault="008F3D8D" w:rsidP="00A34E19">
            <w:pPr>
              <w:keepNext/>
              <w:keepLines/>
              <w:rPr>
                <w:b/>
                <w:bCs/>
                <w:sz w:val="16"/>
                <w:szCs w:val="16"/>
              </w:rPr>
            </w:pPr>
            <w:r w:rsidRPr="0043344F">
              <w:rPr>
                <w:b/>
                <w:bCs/>
                <w:sz w:val="16"/>
                <w:szCs w:val="16"/>
              </w:rPr>
              <w:t>Objetivos</w:t>
            </w:r>
          </w:p>
        </w:tc>
        <w:tc>
          <w:tcPr>
            <w:tcW w:w="2018" w:type="dxa"/>
            <w:shd w:val="clear" w:color="auto" w:fill="FFFFFF"/>
            <w:tcMar>
              <w:top w:w="110" w:type="dxa"/>
              <w:left w:w="58" w:type="dxa"/>
              <w:right w:w="58" w:type="dxa"/>
            </w:tcMar>
            <w:vAlign w:val="center"/>
          </w:tcPr>
          <w:p w:rsidR="008F3D8D" w:rsidRPr="0043344F" w:rsidRDefault="008F3D8D" w:rsidP="00A34E19">
            <w:pPr>
              <w:keepNext/>
              <w:keepLines/>
              <w:rPr>
                <w:b/>
                <w:bCs/>
                <w:sz w:val="16"/>
                <w:szCs w:val="16"/>
              </w:rPr>
            </w:pPr>
            <w:r w:rsidRPr="0043344F">
              <w:rPr>
                <w:b/>
                <w:bCs/>
                <w:sz w:val="16"/>
                <w:szCs w:val="16"/>
              </w:rPr>
              <w:t>Datos sobre el rendimiento</w:t>
            </w:r>
          </w:p>
        </w:tc>
        <w:tc>
          <w:tcPr>
            <w:tcW w:w="0" w:type="auto"/>
            <w:shd w:val="clear" w:color="auto" w:fill="auto"/>
            <w:tcMar>
              <w:top w:w="110" w:type="dxa"/>
              <w:left w:w="58" w:type="dxa"/>
              <w:right w:w="58" w:type="dxa"/>
            </w:tcMar>
            <w:vAlign w:val="center"/>
          </w:tcPr>
          <w:p w:rsidR="008F3D8D" w:rsidRPr="0043344F" w:rsidRDefault="008F3D8D" w:rsidP="00A34E19">
            <w:pPr>
              <w:keepNext/>
              <w:keepLines/>
              <w:jc w:val="center"/>
              <w:rPr>
                <w:b/>
                <w:bCs/>
                <w:sz w:val="16"/>
                <w:szCs w:val="16"/>
              </w:rPr>
            </w:pPr>
            <w:r w:rsidRPr="0043344F">
              <w:rPr>
                <w:b/>
                <w:bCs/>
                <w:sz w:val="16"/>
                <w:szCs w:val="16"/>
              </w:rPr>
              <w:t>Clave de colores</w:t>
            </w:r>
          </w:p>
        </w:tc>
      </w:tr>
      <w:tr w:rsidR="008F3D8D" w:rsidRPr="0043344F" w:rsidTr="00653EAB">
        <w:trPr>
          <w:trHeight w:val="2266"/>
        </w:trPr>
        <w:tc>
          <w:tcPr>
            <w:tcW w:w="0" w:type="auto"/>
            <w:shd w:val="clear" w:color="auto" w:fill="auto"/>
            <w:tcMar>
              <w:left w:w="58" w:type="dxa"/>
              <w:right w:w="58" w:type="dxa"/>
            </w:tcMar>
          </w:tcPr>
          <w:p w:rsidR="008F3D8D" w:rsidRPr="0043344F" w:rsidRDefault="008F3D8D" w:rsidP="00A34E19">
            <w:pPr>
              <w:keepNext/>
              <w:keepLines/>
              <w:ind w:right="-57"/>
              <w:rPr>
                <w:sz w:val="16"/>
                <w:szCs w:val="16"/>
              </w:rPr>
            </w:pPr>
            <w:r w:rsidRPr="0043344F">
              <w:rPr>
                <w:sz w:val="16"/>
                <w:szCs w:val="16"/>
              </w:rPr>
              <w:t>N.º de miembros constitutivos del Consorcio de Libros Accesibles (ABC)</w:t>
            </w:r>
          </w:p>
        </w:tc>
        <w:tc>
          <w:tcPr>
            <w:tcW w:w="0" w:type="auto"/>
            <w:shd w:val="clear" w:color="auto" w:fill="auto"/>
            <w:tcMar>
              <w:left w:w="58" w:type="dxa"/>
              <w:right w:w="58" w:type="dxa"/>
            </w:tcMar>
          </w:tcPr>
          <w:p w:rsidR="008F3D8D" w:rsidRPr="00246B74" w:rsidRDefault="008F3D8D" w:rsidP="00A34E19">
            <w:pPr>
              <w:keepNext/>
              <w:keepLines/>
              <w:ind w:right="-59"/>
              <w:rPr>
                <w:i/>
                <w:color w:val="002060"/>
                <w:sz w:val="16"/>
                <w:szCs w:val="16"/>
              </w:rPr>
            </w:pPr>
            <w:r w:rsidRPr="00246B74">
              <w:rPr>
                <w:i/>
                <w:color w:val="002060"/>
                <w:sz w:val="16"/>
                <w:szCs w:val="16"/>
              </w:rPr>
              <w:t xml:space="preserve">Referencia actualizada a fines de 2015:  </w:t>
            </w:r>
          </w:p>
          <w:p w:rsidR="008F3D8D" w:rsidRPr="00246B74" w:rsidRDefault="008F3D8D" w:rsidP="00A34E19">
            <w:pPr>
              <w:keepNext/>
              <w:keepLines/>
              <w:ind w:right="-59"/>
              <w:rPr>
                <w:color w:val="002060"/>
                <w:sz w:val="16"/>
                <w:szCs w:val="16"/>
              </w:rPr>
            </w:pPr>
            <w:r w:rsidRPr="00246B74">
              <w:rPr>
                <w:color w:val="002060"/>
                <w:sz w:val="16"/>
                <w:szCs w:val="16"/>
              </w:rPr>
              <w:t>15 miembros constitutivos del ABC</w:t>
            </w:r>
            <w:r w:rsidRPr="00246B74">
              <w:rPr>
                <w:color w:val="002060"/>
                <w:sz w:val="16"/>
                <w:szCs w:val="16"/>
              </w:rPr>
              <w:br/>
            </w:r>
          </w:p>
          <w:p w:rsidR="008F3D8D" w:rsidRPr="0043344F" w:rsidRDefault="008F3D8D" w:rsidP="00A34E19">
            <w:pPr>
              <w:keepNext/>
              <w:keepLines/>
              <w:ind w:right="-59"/>
              <w:rPr>
                <w:i/>
                <w:sz w:val="16"/>
                <w:szCs w:val="16"/>
                <w:lang w:bidi="th-TH"/>
              </w:rPr>
            </w:pPr>
            <w:r w:rsidRPr="0043344F">
              <w:rPr>
                <w:i/>
                <w:sz w:val="16"/>
                <w:szCs w:val="16"/>
                <w:lang w:bidi="th-TH"/>
              </w:rPr>
              <w:t>Referencia original en el presupuesto de 2016/17:</w:t>
            </w:r>
          </w:p>
          <w:p w:rsidR="008F3D8D" w:rsidRPr="0043344F" w:rsidRDefault="008F3D8D" w:rsidP="00A34E19">
            <w:pPr>
              <w:keepNext/>
              <w:keepLines/>
              <w:ind w:right="-59"/>
              <w:rPr>
                <w:sz w:val="16"/>
                <w:szCs w:val="16"/>
              </w:rPr>
            </w:pPr>
            <w:r w:rsidRPr="0043344F">
              <w:rPr>
                <w:sz w:val="16"/>
                <w:szCs w:val="16"/>
              </w:rPr>
              <w:t>10 miembros constitutivos del ABC</w:t>
            </w:r>
          </w:p>
        </w:tc>
        <w:tc>
          <w:tcPr>
            <w:tcW w:w="0" w:type="auto"/>
            <w:shd w:val="clear" w:color="auto" w:fill="auto"/>
            <w:tcMar>
              <w:top w:w="110" w:type="dxa"/>
              <w:left w:w="29" w:type="dxa"/>
              <w:right w:w="29" w:type="dxa"/>
            </w:tcMar>
          </w:tcPr>
          <w:p w:rsidR="008F3D8D" w:rsidRPr="00246B74" w:rsidRDefault="008F3D8D" w:rsidP="00A34E19">
            <w:pPr>
              <w:keepNext/>
              <w:keepLines/>
              <w:rPr>
                <w:i/>
                <w:color w:val="002060"/>
                <w:sz w:val="16"/>
                <w:szCs w:val="16"/>
              </w:rPr>
            </w:pPr>
            <w:r w:rsidRPr="00246B74">
              <w:rPr>
                <w:i/>
                <w:color w:val="002060"/>
                <w:sz w:val="16"/>
                <w:szCs w:val="16"/>
              </w:rPr>
              <w:t xml:space="preserve">Objetivo actualizado:  </w:t>
            </w:r>
          </w:p>
          <w:p w:rsidR="008F3D8D" w:rsidRPr="00246B74" w:rsidRDefault="008F3D8D" w:rsidP="00A34E19">
            <w:pPr>
              <w:keepNext/>
              <w:keepLines/>
              <w:rPr>
                <w:color w:val="002060"/>
                <w:sz w:val="16"/>
                <w:szCs w:val="16"/>
              </w:rPr>
            </w:pPr>
            <w:r w:rsidRPr="00246B74">
              <w:rPr>
                <w:color w:val="002060"/>
                <w:sz w:val="16"/>
                <w:szCs w:val="16"/>
              </w:rPr>
              <w:t>28 miembros constitutivos del ABC inscritos (en total)</w:t>
            </w:r>
          </w:p>
          <w:p w:rsidR="008F3D8D" w:rsidRPr="0043344F" w:rsidRDefault="008F3D8D" w:rsidP="00A34E19">
            <w:pPr>
              <w:keepNext/>
              <w:keepLines/>
              <w:rPr>
                <w:sz w:val="16"/>
                <w:szCs w:val="16"/>
              </w:rPr>
            </w:pPr>
          </w:p>
          <w:p w:rsidR="008F3D8D" w:rsidRPr="0043344F" w:rsidRDefault="008F3D8D" w:rsidP="00A34E19">
            <w:pPr>
              <w:keepNext/>
              <w:keepLines/>
              <w:rPr>
                <w:sz w:val="16"/>
                <w:szCs w:val="16"/>
              </w:rPr>
            </w:pPr>
          </w:p>
          <w:p w:rsidR="008F3D8D" w:rsidRPr="0043344F" w:rsidRDefault="008F3D8D" w:rsidP="00A34E19">
            <w:pPr>
              <w:keepNext/>
              <w:keepLines/>
              <w:rPr>
                <w:i/>
                <w:sz w:val="16"/>
                <w:szCs w:val="16"/>
                <w:lang w:bidi="th-TH"/>
              </w:rPr>
            </w:pPr>
            <w:r w:rsidRPr="0043344F">
              <w:rPr>
                <w:i/>
                <w:sz w:val="16"/>
                <w:szCs w:val="16"/>
                <w:lang w:bidi="th-TH"/>
              </w:rPr>
              <w:t>Objetivo original en el presupuesto 2016/17:</w:t>
            </w:r>
          </w:p>
          <w:p w:rsidR="008F3D8D" w:rsidRPr="0043344F" w:rsidRDefault="008F3D8D" w:rsidP="00A34E19">
            <w:pPr>
              <w:spacing w:after="60"/>
              <w:ind w:right="-57"/>
              <w:rPr>
                <w:sz w:val="16"/>
                <w:szCs w:val="16"/>
              </w:rPr>
            </w:pPr>
            <w:r w:rsidRPr="0043344F">
              <w:rPr>
                <w:sz w:val="16"/>
                <w:szCs w:val="16"/>
              </w:rPr>
              <w:t>15 miembros constitutivos del ABC inscritos (en total)</w:t>
            </w:r>
          </w:p>
        </w:tc>
        <w:tc>
          <w:tcPr>
            <w:tcW w:w="2018" w:type="dxa"/>
            <w:shd w:val="clear" w:color="auto" w:fill="FFFFFF"/>
            <w:tcMar>
              <w:top w:w="110" w:type="dxa"/>
              <w:left w:w="58" w:type="dxa"/>
              <w:right w:w="58" w:type="dxa"/>
            </w:tcMar>
          </w:tcPr>
          <w:p w:rsidR="008F3D8D" w:rsidRPr="0043344F" w:rsidRDefault="008F3D8D" w:rsidP="00A34E19">
            <w:pPr>
              <w:keepNext/>
              <w:keepLines/>
              <w:rPr>
                <w:sz w:val="16"/>
                <w:szCs w:val="16"/>
              </w:rPr>
            </w:pPr>
            <w:r w:rsidRPr="0043344F">
              <w:rPr>
                <w:sz w:val="16"/>
                <w:szCs w:val="16"/>
              </w:rPr>
              <w:t xml:space="preserve">10 miembros constitutivos del ABC. </w:t>
            </w:r>
          </w:p>
          <w:p w:rsidR="008F3D8D" w:rsidRPr="0043344F" w:rsidRDefault="008F3D8D" w:rsidP="00A34E19">
            <w:pPr>
              <w:keepNext/>
              <w:keepLines/>
              <w:rPr>
                <w:sz w:val="16"/>
                <w:szCs w:val="16"/>
              </w:rPr>
            </w:pPr>
            <w:r w:rsidRPr="0043344F">
              <w:rPr>
                <w:sz w:val="16"/>
                <w:szCs w:val="16"/>
              </w:rPr>
              <w:t xml:space="preserve">(25 en total) </w:t>
            </w:r>
          </w:p>
        </w:tc>
        <w:tc>
          <w:tcPr>
            <w:tcW w:w="0" w:type="auto"/>
            <w:shd w:val="clear" w:color="auto" w:fill="auto"/>
            <w:tcMar>
              <w:top w:w="110" w:type="dxa"/>
              <w:left w:w="58" w:type="dxa"/>
              <w:right w:w="58" w:type="dxa"/>
            </w:tcMar>
          </w:tcPr>
          <w:p w:rsidR="008F3D8D" w:rsidRPr="0043344F" w:rsidRDefault="008F3D8D" w:rsidP="00A34E19">
            <w:pPr>
              <w:keepNext/>
              <w:keepLines/>
              <w:jc w:val="center"/>
              <w:rPr>
                <w:b/>
                <w:sz w:val="16"/>
                <w:szCs w:val="16"/>
              </w:rPr>
            </w:pPr>
            <w:r w:rsidRPr="0043344F">
              <w:rPr>
                <w:b/>
                <w:color w:val="00B050"/>
                <w:sz w:val="16"/>
                <w:szCs w:val="16"/>
              </w:rPr>
              <w:t>Avanza</w:t>
            </w:r>
          </w:p>
        </w:tc>
      </w:tr>
      <w:tr w:rsidR="008F3D8D" w:rsidRPr="0043344F" w:rsidTr="00A34E19">
        <w:trPr>
          <w:trHeight w:val="546"/>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N.º de donantes</w:t>
            </w:r>
          </w:p>
        </w:tc>
        <w:tc>
          <w:tcPr>
            <w:tcW w:w="0" w:type="auto"/>
            <w:shd w:val="clear" w:color="auto" w:fill="auto"/>
            <w:tcMar>
              <w:left w:w="58" w:type="dxa"/>
              <w:right w:w="58" w:type="dxa"/>
            </w:tcMar>
          </w:tcPr>
          <w:p w:rsidR="008F3D8D" w:rsidRPr="0043344F" w:rsidRDefault="008F3D8D" w:rsidP="00A34E19">
            <w:pPr>
              <w:ind w:right="-59"/>
              <w:rPr>
                <w:sz w:val="16"/>
                <w:szCs w:val="16"/>
              </w:rPr>
            </w:pPr>
            <w:r w:rsidRPr="0043344F">
              <w:rPr>
                <w:sz w:val="16"/>
                <w:szCs w:val="16"/>
              </w:rPr>
              <w:t>Dos donantes aportaron fondos:</w:t>
            </w:r>
          </w:p>
          <w:p w:rsidR="008F3D8D" w:rsidRPr="0043344F" w:rsidRDefault="008F3D8D" w:rsidP="00A34E19">
            <w:pPr>
              <w:ind w:right="-59"/>
              <w:rPr>
                <w:sz w:val="16"/>
                <w:szCs w:val="16"/>
              </w:rPr>
            </w:pPr>
            <w:r w:rsidRPr="0043344F">
              <w:rPr>
                <w:sz w:val="16"/>
                <w:szCs w:val="16"/>
              </w:rPr>
              <w:t>- Australia</w:t>
            </w:r>
          </w:p>
          <w:p w:rsidR="008F3D8D" w:rsidRPr="0043344F" w:rsidRDefault="008F3D8D" w:rsidP="00A34E19">
            <w:pPr>
              <w:spacing w:after="60"/>
              <w:ind w:right="-57"/>
              <w:rPr>
                <w:i/>
                <w:sz w:val="16"/>
                <w:szCs w:val="16"/>
              </w:rPr>
            </w:pPr>
            <w:r w:rsidRPr="0043344F">
              <w:rPr>
                <w:i/>
                <w:sz w:val="16"/>
                <w:szCs w:val="16"/>
              </w:rPr>
              <w:t xml:space="preserve">- </w:t>
            </w:r>
            <w:r w:rsidRPr="0043344F">
              <w:rPr>
                <w:sz w:val="16"/>
                <w:szCs w:val="16"/>
              </w:rPr>
              <w:t>República de Corea</w:t>
            </w:r>
          </w:p>
        </w:tc>
        <w:tc>
          <w:tcPr>
            <w:tcW w:w="0" w:type="auto"/>
            <w:shd w:val="clear" w:color="auto" w:fill="auto"/>
            <w:tcMar>
              <w:top w:w="110" w:type="dxa"/>
              <w:left w:w="29" w:type="dxa"/>
              <w:right w:w="29" w:type="dxa"/>
            </w:tcMar>
          </w:tcPr>
          <w:p w:rsidR="008F3D8D" w:rsidRPr="0043344F" w:rsidRDefault="008F3D8D" w:rsidP="00A34E19">
            <w:pPr>
              <w:spacing w:after="60"/>
              <w:ind w:right="-57"/>
              <w:rPr>
                <w:sz w:val="16"/>
                <w:szCs w:val="16"/>
              </w:rPr>
            </w:pPr>
            <w:r w:rsidRPr="0043344F">
              <w:rPr>
                <w:sz w:val="16"/>
                <w:szCs w:val="16"/>
              </w:rPr>
              <w:t>Cuatro donantes aportan fondos (en total)</w:t>
            </w: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2 donantes adicionales aportaron fondos:</w:t>
            </w:r>
          </w:p>
          <w:p w:rsidR="008F3D8D" w:rsidRPr="0043344F" w:rsidRDefault="008F3D8D" w:rsidP="00A34E19">
            <w:pPr>
              <w:rPr>
                <w:sz w:val="16"/>
                <w:szCs w:val="16"/>
              </w:rPr>
            </w:pPr>
            <w:r w:rsidRPr="0043344F">
              <w:rPr>
                <w:sz w:val="16"/>
                <w:szCs w:val="16"/>
              </w:rPr>
              <w:t>- Skoll Foundation</w:t>
            </w:r>
          </w:p>
          <w:p w:rsidR="008F3D8D" w:rsidRPr="0043344F" w:rsidRDefault="008F3D8D" w:rsidP="00A34E19">
            <w:pPr>
              <w:tabs>
                <w:tab w:val="center" w:pos="1067"/>
              </w:tabs>
              <w:rPr>
                <w:sz w:val="16"/>
                <w:szCs w:val="16"/>
              </w:rPr>
            </w:pPr>
            <w:r w:rsidRPr="0043344F">
              <w:rPr>
                <w:sz w:val="16"/>
                <w:szCs w:val="16"/>
              </w:rPr>
              <w:t>- Fondo de las Naciones Unidas para la Colaboración Internacional</w:t>
            </w:r>
          </w:p>
          <w:p w:rsidR="008F3D8D" w:rsidRPr="0043344F" w:rsidRDefault="008F3D8D" w:rsidP="00A34E19">
            <w:pPr>
              <w:spacing w:after="60"/>
              <w:ind w:right="-57"/>
              <w:rPr>
                <w:sz w:val="16"/>
                <w:szCs w:val="16"/>
              </w:rPr>
            </w:pPr>
            <w:r w:rsidRPr="0043344F">
              <w:rPr>
                <w:sz w:val="16"/>
                <w:szCs w:val="16"/>
              </w:rPr>
              <w:t>(4 en total)</w:t>
            </w: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r w:rsidR="008F3D8D" w:rsidRPr="0043344F" w:rsidTr="00A34E19">
        <w:trPr>
          <w:trHeight w:val="255"/>
        </w:trPr>
        <w:tc>
          <w:tcPr>
            <w:tcW w:w="0" w:type="auto"/>
            <w:shd w:val="clear" w:color="auto" w:fill="auto"/>
            <w:tcMar>
              <w:left w:w="58" w:type="dxa"/>
              <w:right w:w="58" w:type="dxa"/>
            </w:tcMar>
          </w:tcPr>
          <w:p w:rsidR="008F3D8D" w:rsidRPr="0043344F" w:rsidRDefault="008F3D8D" w:rsidP="00A34E19">
            <w:pPr>
              <w:ind w:right="-57"/>
              <w:rPr>
                <w:sz w:val="16"/>
                <w:szCs w:val="16"/>
              </w:rPr>
            </w:pPr>
            <w:r w:rsidRPr="0043344F">
              <w:rPr>
                <w:sz w:val="16"/>
                <w:szCs w:val="16"/>
              </w:rPr>
              <w:t>N.º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0" w:type="auto"/>
            <w:shd w:val="clear" w:color="auto" w:fill="auto"/>
            <w:tcMar>
              <w:left w:w="58" w:type="dxa"/>
              <w:right w:w="58" w:type="dxa"/>
            </w:tcMar>
          </w:tcPr>
          <w:p w:rsidR="008F3D8D" w:rsidRPr="00246B74" w:rsidRDefault="008F3D8D" w:rsidP="00A34E19">
            <w:pPr>
              <w:ind w:right="-59"/>
              <w:rPr>
                <w:color w:val="002060"/>
                <w:sz w:val="16"/>
                <w:szCs w:val="16"/>
              </w:rPr>
            </w:pPr>
            <w:r w:rsidRPr="00246B74">
              <w:rPr>
                <w:i/>
                <w:color w:val="002060"/>
                <w:sz w:val="16"/>
                <w:szCs w:val="16"/>
              </w:rPr>
              <w:t xml:space="preserve">Referencia actualizada a fines de 2015:  </w:t>
            </w:r>
            <w:r w:rsidR="00024891">
              <w:rPr>
                <w:i/>
                <w:color w:val="002060"/>
                <w:sz w:val="16"/>
                <w:szCs w:val="16"/>
              </w:rPr>
              <w:br/>
            </w:r>
            <w:r w:rsidRPr="00246B74">
              <w:rPr>
                <w:color w:val="002060"/>
                <w:sz w:val="16"/>
                <w:szCs w:val="16"/>
              </w:rPr>
              <w:t>Dos:</w:t>
            </w:r>
          </w:p>
          <w:p w:rsidR="008F3D8D" w:rsidRPr="00246B74" w:rsidRDefault="008F3D8D" w:rsidP="008F3D8D">
            <w:pPr>
              <w:pStyle w:val="ListParagraph"/>
              <w:numPr>
                <w:ilvl w:val="0"/>
                <w:numId w:val="15"/>
              </w:numPr>
              <w:ind w:left="121" w:right="-59" w:hanging="121"/>
              <w:rPr>
                <w:color w:val="002060"/>
                <w:sz w:val="16"/>
                <w:szCs w:val="16"/>
                <w:lang w:val="es-ES" w:bidi="th-TH"/>
              </w:rPr>
            </w:pPr>
            <w:r w:rsidRPr="00246B74">
              <w:rPr>
                <w:color w:val="002060"/>
                <w:sz w:val="16"/>
                <w:szCs w:val="16"/>
                <w:lang w:val="es-ES" w:bidi="th-TH"/>
              </w:rPr>
              <w:t>El Examen de la OMPI de las consideraciones contractuales en el sector audiovisual).</w:t>
            </w:r>
          </w:p>
          <w:p w:rsidR="008F3D8D" w:rsidRPr="00246B74" w:rsidRDefault="008F3D8D" w:rsidP="008F3D8D">
            <w:pPr>
              <w:pStyle w:val="ListParagraph"/>
              <w:numPr>
                <w:ilvl w:val="0"/>
                <w:numId w:val="15"/>
              </w:numPr>
              <w:ind w:left="121" w:right="-59" w:hanging="121"/>
              <w:rPr>
                <w:color w:val="002060"/>
                <w:sz w:val="16"/>
                <w:szCs w:val="16"/>
                <w:lang w:val="es-ES" w:bidi="th-TH"/>
              </w:rPr>
            </w:pPr>
            <w:r w:rsidRPr="00246B74">
              <w:rPr>
                <w:color w:val="002060"/>
                <w:sz w:val="16"/>
                <w:szCs w:val="16"/>
                <w:lang w:val="es-ES" w:bidi="th-TH"/>
              </w:rPr>
              <w:t>El proyecto de directrices de la OMPI para la evaluación de la repercusión económica, social y cultural del derecho de autor en la economía (Directrices ESCIA)</w:t>
            </w:r>
            <w:r w:rsidRPr="00246B74">
              <w:rPr>
                <w:rStyle w:val="FootnoteReference"/>
                <w:color w:val="002060"/>
                <w:szCs w:val="16"/>
                <w:lang w:val="es-ES" w:bidi="th-TH"/>
              </w:rPr>
              <w:t xml:space="preserve"> </w:t>
            </w:r>
            <w:r w:rsidRPr="00246B74">
              <w:rPr>
                <w:rStyle w:val="FootnoteReference"/>
                <w:color w:val="002060"/>
                <w:lang w:val="es-ES" w:bidi="th-TH"/>
              </w:rPr>
              <w:footnoteReference w:id="19"/>
            </w:r>
            <w:r w:rsidRPr="00246B74">
              <w:rPr>
                <w:color w:val="002060"/>
                <w:sz w:val="16"/>
                <w:szCs w:val="16"/>
                <w:lang w:val="es-ES" w:bidi="th-TH"/>
              </w:rPr>
              <w:t xml:space="preserve"> </w:t>
            </w:r>
          </w:p>
          <w:p w:rsidR="008F3D8D" w:rsidRPr="0043344F" w:rsidRDefault="00024891" w:rsidP="00653EAB">
            <w:pPr>
              <w:ind w:right="-59"/>
              <w:rPr>
                <w:i/>
                <w:sz w:val="16"/>
                <w:szCs w:val="16"/>
                <w:lang w:bidi="th-TH"/>
              </w:rPr>
            </w:pPr>
            <w:r>
              <w:rPr>
                <w:i/>
                <w:sz w:val="16"/>
                <w:szCs w:val="16"/>
                <w:lang w:bidi="th-TH"/>
              </w:rPr>
              <w:br/>
            </w:r>
            <w:r w:rsidR="008F3D8D" w:rsidRPr="0043344F">
              <w:rPr>
                <w:i/>
                <w:sz w:val="16"/>
                <w:szCs w:val="16"/>
                <w:lang w:bidi="th-TH"/>
              </w:rPr>
              <w:t>Referencia original en el presupuesto de 2016/17:</w:t>
            </w:r>
          </w:p>
          <w:p w:rsidR="008F3D8D" w:rsidRPr="0043344F" w:rsidRDefault="008F3D8D" w:rsidP="00024891">
            <w:pPr>
              <w:keepNext/>
              <w:spacing w:after="60"/>
              <w:ind w:right="-57"/>
              <w:rPr>
                <w:sz w:val="16"/>
                <w:szCs w:val="16"/>
              </w:rPr>
            </w:pPr>
            <w:r w:rsidRPr="0043344F">
              <w:rPr>
                <w:sz w:val="16"/>
                <w:szCs w:val="16"/>
              </w:rPr>
              <w:t>Uno (Directrices sobre la P.I. y el deporte)</w:t>
            </w:r>
            <w:r w:rsidRPr="0043344F">
              <w:rPr>
                <w:rStyle w:val="FootnoteReference"/>
              </w:rPr>
              <w:footnoteReference w:id="20"/>
            </w:r>
          </w:p>
        </w:tc>
        <w:tc>
          <w:tcPr>
            <w:tcW w:w="0" w:type="auto"/>
            <w:shd w:val="clear" w:color="auto" w:fill="auto"/>
            <w:tcMar>
              <w:top w:w="110" w:type="dxa"/>
              <w:left w:w="29" w:type="dxa"/>
              <w:right w:w="29" w:type="dxa"/>
            </w:tcMar>
          </w:tcPr>
          <w:p w:rsidR="008F3D8D" w:rsidRPr="0043344F" w:rsidRDefault="008F3D8D" w:rsidP="00A34E19">
            <w:pPr>
              <w:rPr>
                <w:sz w:val="16"/>
                <w:szCs w:val="16"/>
              </w:rPr>
            </w:pPr>
            <w:r w:rsidRPr="0043344F">
              <w:rPr>
                <w:sz w:val="16"/>
                <w:szCs w:val="16"/>
              </w:rPr>
              <w:t>Uno (más)</w:t>
            </w:r>
          </w:p>
          <w:p w:rsidR="008F3D8D" w:rsidRPr="0043344F" w:rsidRDefault="008F3D8D" w:rsidP="00A34E19">
            <w:pPr>
              <w:rPr>
                <w:sz w:val="16"/>
                <w:szCs w:val="16"/>
              </w:rPr>
            </w:pPr>
          </w:p>
        </w:tc>
        <w:tc>
          <w:tcPr>
            <w:tcW w:w="2018" w:type="dxa"/>
            <w:shd w:val="clear" w:color="auto" w:fill="FFFFFF"/>
            <w:tcMar>
              <w:top w:w="110" w:type="dxa"/>
              <w:left w:w="58" w:type="dxa"/>
              <w:right w:w="58" w:type="dxa"/>
            </w:tcMar>
          </w:tcPr>
          <w:p w:rsidR="008F3D8D" w:rsidRPr="0043344F" w:rsidRDefault="008F3D8D" w:rsidP="00A34E19">
            <w:pPr>
              <w:rPr>
                <w:sz w:val="16"/>
                <w:szCs w:val="16"/>
              </w:rPr>
            </w:pPr>
            <w:r w:rsidRPr="0043344F">
              <w:rPr>
                <w:sz w:val="16"/>
                <w:szCs w:val="16"/>
              </w:rPr>
              <w:t xml:space="preserve">En la actualidad se están redactando las directrices sobre la P.I. y el deporte </w:t>
            </w:r>
          </w:p>
          <w:p w:rsidR="008F3D8D" w:rsidRPr="0043344F" w:rsidRDefault="008F3D8D" w:rsidP="00A34E19">
            <w:pPr>
              <w:rPr>
                <w:sz w:val="16"/>
                <w:szCs w:val="16"/>
              </w:rPr>
            </w:pPr>
          </w:p>
          <w:p w:rsidR="008F3D8D" w:rsidRPr="002F663B" w:rsidRDefault="008F3D8D" w:rsidP="00A34E19">
            <w:pPr>
              <w:rPr>
                <w:sz w:val="16"/>
                <w:szCs w:val="16"/>
                <w:lang w:val="en-US"/>
              </w:rPr>
            </w:pPr>
            <w:r w:rsidRPr="002F663B">
              <w:rPr>
                <w:sz w:val="16"/>
                <w:szCs w:val="16"/>
                <w:lang w:val="en-US"/>
              </w:rPr>
              <w:t xml:space="preserve">El ABC </w:t>
            </w:r>
            <w:proofErr w:type="spellStart"/>
            <w:r w:rsidRPr="002F663B">
              <w:rPr>
                <w:sz w:val="16"/>
                <w:szCs w:val="16"/>
                <w:lang w:val="en-US"/>
              </w:rPr>
              <w:t>sacó</w:t>
            </w:r>
            <w:proofErr w:type="spellEnd"/>
            <w:r w:rsidRPr="002F663B">
              <w:rPr>
                <w:sz w:val="16"/>
                <w:szCs w:val="16"/>
                <w:lang w:val="en-US"/>
              </w:rPr>
              <w:t xml:space="preserve"> dos </w:t>
            </w:r>
            <w:proofErr w:type="spellStart"/>
            <w:r w:rsidRPr="002F663B">
              <w:rPr>
                <w:sz w:val="16"/>
                <w:szCs w:val="16"/>
                <w:lang w:val="en-US"/>
              </w:rPr>
              <w:t>publicaciones</w:t>
            </w:r>
            <w:proofErr w:type="spellEnd"/>
            <w:r w:rsidRPr="002F663B">
              <w:rPr>
                <w:sz w:val="16"/>
                <w:szCs w:val="16"/>
                <w:lang w:val="en-US"/>
              </w:rPr>
              <w:t xml:space="preserve">:  “ABC Starter Kit for Accessible Publishing in Developing and Least Developed Countries” y “ABC Accessibility Guidelines for Self-Publishing Authors” </w:t>
            </w:r>
          </w:p>
        </w:tc>
        <w:tc>
          <w:tcPr>
            <w:tcW w:w="0" w:type="auto"/>
            <w:shd w:val="clear" w:color="auto" w:fill="auto"/>
            <w:tcMar>
              <w:top w:w="110" w:type="dxa"/>
              <w:left w:w="58" w:type="dxa"/>
              <w:right w:w="58" w:type="dxa"/>
            </w:tcMar>
          </w:tcPr>
          <w:p w:rsidR="008F3D8D" w:rsidRPr="0043344F" w:rsidRDefault="008F3D8D" w:rsidP="00A34E19">
            <w:pPr>
              <w:jc w:val="center"/>
              <w:rPr>
                <w:b/>
                <w:sz w:val="16"/>
                <w:szCs w:val="16"/>
              </w:rPr>
            </w:pPr>
            <w:r w:rsidRPr="0043344F">
              <w:rPr>
                <w:b/>
                <w:color w:val="00B050"/>
                <w:sz w:val="16"/>
                <w:szCs w:val="16"/>
              </w:rPr>
              <w:t>Avanza</w:t>
            </w:r>
          </w:p>
        </w:tc>
      </w:tr>
    </w:tbl>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4"/>
      </w:tblGrid>
      <w:tr w:rsidR="008F3D8D" w:rsidRPr="0043344F" w:rsidTr="00A34E19">
        <w:trPr>
          <w:trHeight w:val="423"/>
        </w:trPr>
        <w:tc>
          <w:tcPr>
            <w:tcW w:w="9214" w:type="dxa"/>
            <w:shd w:val="clear" w:color="auto" w:fill="C6D9F1" w:themeFill="text2" w:themeFillTint="33"/>
            <w:vAlign w:val="center"/>
          </w:tcPr>
          <w:p w:rsidR="008F3D8D" w:rsidRPr="0043344F" w:rsidRDefault="008F3D8D" w:rsidP="00A34E19">
            <w:pPr>
              <w:keepNext/>
              <w:keepLines/>
              <w:jc w:val="center"/>
              <w:rPr>
                <w:b/>
                <w:sz w:val="20"/>
              </w:rPr>
            </w:pPr>
            <w:r w:rsidRPr="0043344F">
              <w:rPr>
                <w:b/>
                <w:sz w:val="20"/>
              </w:rPr>
              <w:lastRenderedPageBreak/>
              <w:br w:type="page"/>
              <w:t>Utilización de los recursos del programa 3</w:t>
            </w:r>
          </w:p>
        </w:tc>
      </w:tr>
    </w:tbl>
    <w:p w:rsidR="008F3D8D" w:rsidRPr="0043344F" w:rsidRDefault="008F3D8D" w:rsidP="00A34E19">
      <w:pPr>
        <w:keepNext/>
        <w:keepLines/>
        <w:rPr>
          <w:sz w:val="20"/>
          <w:szCs w:val="18"/>
        </w:rPr>
      </w:pPr>
    </w:p>
    <w:p w:rsidR="008F3D8D" w:rsidRPr="0043344F" w:rsidRDefault="008F3D8D" w:rsidP="00A34E19">
      <w:pPr>
        <w:pStyle w:val="NormalWeb"/>
        <w:keepNext/>
        <w:keepLines/>
        <w:spacing w:before="0" w:beforeAutospacing="0" w:after="0" w:afterAutospacing="0"/>
        <w:jc w:val="center"/>
        <w:rPr>
          <w:lang w:val="es-ES"/>
        </w:rPr>
      </w:pPr>
      <w:r w:rsidRPr="0043344F">
        <w:rPr>
          <w:lang w:val="es-ES"/>
        </w:rPr>
        <w:t>Presupuesto y gastos reales (por resultado)</w:t>
      </w:r>
    </w:p>
    <w:p w:rsidR="008F3D8D" w:rsidRPr="0043344F" w:rsidRDefault="008F3D8D" w:rsidP="00A34E19">
      <w:pPr>
        <w:pStyle w:val="NormalWeb"/>
        <w:keepNext/>
        <w:keepLines/>
        <w:spacing w:before="0" w:beforeAutospacing="0" w:after="0" w:afterAutospacing="0"/>
        <w:jc w:val="center"/>
        <w:rPr>
          <w:i/>
          <w:iCs/>
          <w:sz w:val="16"/>
          <w:szCs w:val="16"/>
          <w:lang w:val="es-ES"/>
        </w:rPr>
      </w:pPr>
      <w:r w:rsidRPr="0043344F">
        <w:rPr>
          <w:i/>
          <w:iCs/>
          <w:sz w:val="16"/>
          <w:szCs w:val="16"/>
          <w:lang w:val="es-ES"/>
        </w:rPr>
        <w:t>(en miles de francos suizos)</w:t>
      </w:r>
    </w:p>
    <w:p w:rsidR="008F3D8D" w:rsidRPr="0043344F" w:rsidRDefault="008F3D8D" w:rsidP="00A34E19">
      <w:pPr>
        <w:keepNext/>
        <w:keepLines/>
        <w:rPr>
          <w:sz w:val="20"/>
          <w:szCs w:val="18"/>
        </w:rPr>
      </w:pPr>
    </w:p>
    <w:tbl>
      <w:tblPr>
        <w:tblW w:w="8222" w:type="dxa"/>
        <w:jc w:val="center"/>
        <w:tblLook w:val="04A0" w:firstRow="1" w:lastRow="0" w:firstColumn="1" w:lastColumn="0" w:noHBand="0" w:noVBand="1"/>
      </w:tblPr>
      <w:tblGrid>
        <w:gridCol w:w="612"/>
        <w:gridCol w:w="4209"/>
        <w:gridCol w:w="1186"/>
        <w:gridCol w:w="1310"/>
        <w:gridCol w:w="1153"/>
      </w:tblGrid>
      <w:tr w:rsidR="008F3D8D" w:rsidRPr="0043344F" w:rsidTr="00A34E19">
        <w:trPr>
          <w:trHeight w:val="825"/>
          <w:jc w:val="center"/>
        </w:trPr>
        <w:tc>
          <w:tcPr>
            <w:tcW w:w="4821" w:type="dxa"/>
            <w:gridSpan w:val="2"/>
            <w:shd w:val="clear" w:color="000000" w:fill="C5D9F1"/>
            <w:noWrap/>
            <w:vAlign w:val="center"/>
            <w:hideMark/>
          </w:tcPr>
          <w:p w:rsidR="008F3D8D" w:rsidRPr="0043344F" w:rsidRDefault="008F3D8D" w:rsidP="00A34E19">
            <w:pPr>
              <w:keepNext/>
              <w:keepLines/>
              <w:jc w:val="center"/>
              <w:rPr>
                <w:b/>
                <w:bCs/>
                <w:sz w:val="16"/>
                <w:szCs w:val="16"/>
              </w:rPr>
            </w:pPr>
            <w:r w:rsidRPr="0043344F">
              <w:rPr>
                <w:b/>
                <w:bCs/>
                <w:sz w:val="16"/>
                <w:szCs w:val="16"/>
              </w:rPr>
              <w:t xml:space="preserve">Número del resultado previsto y descripción </w:t>
            </w:r>
          </w:p>
        </w:tc>
        <w:tc>
          <w:tcPr>
            <w:tcW w:w="1114" w:type="dxa"/>
            <w:shd w:val="clear" w:color="000000" w:fill="C5D9F1"/>
            <w:vAlign w:val="center"/>
            <w:hideMark/>
          </w:tcPr>
          <w:p w:rsidR="008F3D8D" w:rsidRPr="0043344F" w:rsidRDefault="008F3D8D" w:rsidP="00A34E19">
            <w:pPr>
              <w:keepNext/>
              <w:keepLines/>
              <w:jc w:val="center"/>
              <w:rPr>
                <w:b/>
                <w:bCs/>
                <w:sz w:val="16"/>
                <w:szCs w:val="16"/>
              </w:rPr>
            </w:pPr>
            <w:r w:rsidRPr="0043344F">
              <w:rPr>
                <w:b/>
                <w:bCs/>
                <w:sz w:val="16"/>
                <w:szCs w:val="16"/>
              </w:rPr>
              <w:t xml:space="preserve"> Presupuesto aprobado de 2016/17 </w:t>
            </w:r>
          </w:p>
        </w:tc>
        <w:tc>
          <w:tcPr>
            <w:tcW w:w="1112" w:type="dxa"/>
            <w:shd w:val="clear" w:color="000000" w:fill="C5D9F1"/>
            <w:vAlign w:val="center"/>
            <w:hideMark/>
          </w:tcPr>
          <w:p w:rsidR="008F3D8D" w:rsidRPr="0043344F" w:rsidRDefault="008F3D8D" w:rsidP="00A34E19">
            <w:pPr>
              <w:keepNext/>
              <w:keepLines/>
              <w:jc w:val="center"/>
              <w:rPr>
                <w:b/>
                <w:bCs/>
                <w:sz w:val="16"/>
                <w:szCs w:val="16"/>
              </w:rPr>
            </w:pPr>
            <w:r w:rsidRPr="0043344F">
              <w:rPr>
                <w:b/>
                <w:bCs/>
                <w:sz w:val="16"/>
                <w:szCs w:val="16"/>
              </w:rPr>
              <w:t xml:space="preserve"> Presupuesto de 2016/17 tras las transferencias </w:t>
            </w:r>
          </w:p>
        </w:tc>
        <w:tc>
          <w:tcPr>
            <w:tcW w:w="1153" w:type="dxa"/>
            <w:shd w:val="clear" w:color="000000" w:fill="C5D9F1"/>
            <w:vAlign w:val="center"/>
            <w:hideMark/>
          </w:tcPr>
          <w:p w:rsidR="008F3D8D" w:rsidRPr="0043344F" w:rsidRDefault="008F3D8D" w:rsidP="00A34E19">
            <w:pPr>
              <w:keepNext/>
              <w:keepLines/>
              <w:jc w:val="center"/>
              <w:rPr>
                <w:b/>
                <w:bCs/>
                <w:sz w:val="16"/>
                <w:szCs w:val="16"/>
              </w:rPr>
            </w:pPr>
            <w:r w:rsidRPr="0043344F">
              <w:rPr>
                <w:b/>
                <w:bCs/>
                <w:sz w:val="16"/>
                <w:szCs w:val="16"/>
              </w:rPr>
              <w:t xml:space="preserve"> Gastos en 2016* </w:t>
            </w:r>
          </w:p>
        </w:tc>
      </w:tr>
      <w:tr w:rsidR="008F3D8D" w:rsidRPr="0043344F" w:rsidTr="00A34E19">
        <w:trPr>
          <w:trHeight w:val="681"/>
          <w:jc w:val="center"/>
        </w:trPr>
        <w:tc>
          <w:tcPr>
            <w:tcW w:w="612" w:type="dxa"/>
            <w:shd w:val="clear" w:color="auto" w:fill="auto"/>
            <w:noWrap/>
            <w:vAlign w:val="center"/>
            <w:hideMark/>
          </w:tcPr>
          <w:p w:rsidR="008F3D8D" w:rsidRPr="0043344F" w:rsidRDefault="008F3D8D" w:rsidP="00A34E19">
            <w:pPr>
              <w:keepNext/>
              <w:keepLines/>
              <w:rPr>
                <w:sz w:val="16"/>
                <w:szCs w:val="16"/>
              </w:rPr>
            </w:pPr>
            <w:r w:rsidRPr="0043344F">
              <w:rPr>
                <w:sz w:val="16"/>
                <w:szCs w:val="16"/>
              </w:rPr>
              <w:t>I.1</w:t>
            </w:r>
          </w:p>
        </w:tc>
        <w:tc>
          <w:tcPr>
            <w:tcW w:w="4209" w:type="dxa"/>
            <w:shd w:val="clear" w:color="auto" w:fill="auto"/>
            <w:vAlign w:val="center"/>
            <w:hideMark/>
          </w:tcPr>
          <w:p w:rsidR="008F3D8D" w:rsidRPr="0043344F" w:rsidRDefault="008F3D8D" w:rsidP="00A34E19">
            <w:pPr>
              <w:keepNext/>
              <w:keepLines/>
              <w:rPr>
                <w:sz w:val="16"/>
                <w:szCs w:val="16"/>
              </w:rPr>
            </w:pPr>
            <w:r w:rsidRPr="0043344F">
              <w:rPr>
                <w:sz w:val="16"/>
                <w:szCs w:val="16"/>
              </w:rPr>
              <w:t xml:space="preserve">Mayor cooperación entre los Estados miembros en la elaboración de marcos normativos internacionales de P.I. equilibrados </w:t>
            </w:r>
          </w:p>
        </w:tc>
        <w:tc>
          <w:tcPr>
            <w:tcW w:w="1114"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3.339</w:t>
            </w:r>
          </w:p>
        </w:tc>
        <w:tc>
          <w:tcPr>
            <w:tcW w:w="1112"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3.623</w:t>
            </w:r>
          </w:p>
        </w:tc>
        <w:tc>
          <w:tcPr>
            <w:tcW w:w="1153"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1.273</w:t>
            </w:r>
          </w:p>
        </w:tc>
      </w:tr>
      <w:tr w:rsidR="008F3D8D" w:rsidRPr="0043344F" w:rsidTr="00A34E19">
        <w:trPr>
          <w:trHeight w:val="577"/>
          <w:jc w:val="center"/>
        </w:trPr>
        <w:tc>
          <w:tcPr>
            <w:tcW w:w="612" w:type="dxa"/>
            <w:shd w:val="clear" w:color="auto" w:fill="auto"/>
            <w:noWrap/>
            <w:vAlign w:val="center"/>
            <w:hideMark/>
          </w:tcPr>
          <w:p w:rsidR="008F3D8D" w:rsidRPr="0043344F" w:rsidRDefault="008F3D8D" w:rsidP="00A34E19">
            <w:pPr>
              <w:keepNext/>
              <w:keepLines/>
              <w:rPr>
                <w:sz w:val="16"/>
                <w:szCs w:val="16"/>
              </w:rPr>
            </w:pPr>
            <w:r w:rsidRPr="0043344F">
              <w:rPr>
                <w:sz w:val="16"/>
                <w:szCs w:val="16"/>
              </w:rPr>
              <w:t>I.2</w:t>
            </w:r>
          </w:p>
        </w:tc>
        <w:tc>
          <w:tcPr>
            <w:tcW w:w="4209" w:type="dxa"/>
            <w:shd w:val="clear" w:color="auto" w:fill="auto"/>
            <w:vAlign w:val="center"/>
            <w:hideMark/>
          </w:tcPr>
          <w:p w:rsidR="008F3D8D" w:rsidRPr="0043344F" w:rsidRDefault="008F3D8D" w:rsidP="00A34E19">
            <w:pPr>
              <w:keepNext/>
              <w:keepLines/>
              <w:rPr>
                <w:sz w:val="16"/>
                <w:szCs w:val="16"/>
              </w:rPr>
            </w:pPr>
            <w:r w:rsidRPr="0043344F">
              <w:rPr>
                <w:sz w:val="16"/>
                <w:szCs w:val="16"/>
              </w:rPr>
              <w:t>Marcos de P.I. adaptados y equilibrados en el ámbito legislativo, regulador y de política</w:t>
            </w:r>
          </w:p>
        </w:tc>
        <w:tc>
          <w:tcPr>
            <w:tcW w:w="1114"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2.325</w:t>
            </w:r>
          </w:p>
        </w:tc>
        <w:tc>
          <w:tcPr>
            <w:tcW w:w="1112"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2.620</w:t>
            </w:r>
          </w:p>
        </w:tc>
        <w:tc>
          <w:tcPr>
            <w:tcW w:w="1153"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1.284</w:t>
            </w:r>
          </w:p>
        </w:tc>
      </w:tr>
      <w:tr w:rsidR="008F3D8D" w:rsidRPr="0043344F" w:rsidTr="00A34E19">
        <w:trPr>
          <w:trHeight w:val="825"/>
          <w:jc w:val="center"/>
        </w:trPr>
        <w:tc>
          <w:tcPr>
            <w:tcW w:w="612" w:type="dxa"/>
            <w:shd w:val="clear" w:color="auto" w:fill="auto"/>
            <w:noWrap/>
            <w:vAlign w:val="center"/>
            <w:hideMark/>
          </w:tcPr>
          <w:p w:rsidR="008F3D8D" w:rsidRPr="0043344F" w:rsidRDefault="008F3D8D" w:rsidP="00A34E19">
            <w:pPr>
              <w:keepNext/>
              <w:keepLines/>
              <w:rPr>
                <w:sz w:val="16"/>
                <w:szCs w:val="16"/>
              </w:rPr>
            </w:pPr>
            <w:r w:rsidRPr="0043344F">
              <w:rPr>
                <w:sz w:val="16"/>
                <w:szCs w:val="16"/>
              </w:rPr>
              <w:t>III.2</w:t>
            </w:r>
          </w:p>
        </w:tc>
        <w:tc>
          <w:tcPr>
            <w:tcW w:w="4209" w:type="dxa"/>
            <w:shd w:val="clear" w:color="auto" w:fill="auto"/>
            <w:vAlign w:val="center"/>
            <w:hideMark/>
          </w:tcPr>
          <w:p w:rsidR="008F3D8D" w:rsidRPr="0043344F" w:rsidRDefault="008F3D8D" w:rsidP="00A34E19">
            <w:pPr>
              <w:keepNext/>
              <w:keepLines/>
              <w:rPr>
                <w:sz w:val="16"/>
                <w:szCs w:val="16"/>
              </w:rPr>
            </w:pPr>
            <w:r w:rsidRPr="0043344F">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14"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8.409</w:t>
            </w:r>
          </w:p>
        </w:tc>
        <w:tc>
          <w:tcPr>
            <w:tcW w:w="1112"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8.563</w:t>
            </w:r>
          </w:p>
        </w:tc>
        <w:tc>
          <w:tcPr>
            <w:tcW w:w="1153"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3.668</w:t>
            </w:r>
          </w:p>
        </w:tc>
      </w:tr>
      <w:tr w:rsidR="008F3D8D" w:rsidRPr="0043344F" w:rsidTr="00A34E19">
        <w:trPr>
          <w:trHeight w:val="726"/>
          <w:jc w:val="center"/>
        </w:trPr>
        <w:tc>
          <w:tcPr>
            <w:tcW w:w="612" w:type="dxa"/>
            <w:shd w:val="clear" w:color="auto" w:fill="auto"/>
            <w:noWrap/>
            <w:vAlign w:val="center"/>
            <w:hideMark/>
          </w:tcPr>
          <w:p w:rsidR="008F3D8D" w:rsidRPr="0043344F" w:rsidRDefault="008F3D8D" w:rsidP="00A34E19">
            <w:pPr>
              <w:keepNext/>
              <w:keepLines/>
              <w:rPr>
                <w:sz w:val="16"/>
                <w:szCs w:val="16"/>
              </w:rPr>
            </w:pPr>
            <w:r w:rsidRPr="0043344F">
              <w:rPr>
                <w:sz w:val="16"/>
                <w:szCs w:val="16"/>
              </w:rPr>
              <w:t>IV.2</w:t>
            </w:r>
          </w:p>
        </w:tc>
        <w:tc>
          <w:tcPr>
            <w:tcW w:w="4209" w:type="dxa"/>
            <w:shd w:val="clear" w:color="auto" w:fill="auto"/>
            <w:vAlign w:val="center"/>
            <w:hideMark/>
          </w:tcPr>
          <w:p w:rsidR="008F3D8D" w:rsidRPr="0043344F" w:rsidRDefault="008F3D8D" w:rsidP="00A34E19">
            <w:pPr>
              <w:keepNext/>
              <w:keepLines/>
              <w:rPr>
                <w:sz w:val="16"/>
                <w:szCs w:val="16"/>
              </w:rPr>
            </w:pPr>
            <w:r w:rsidRPr="0043344F">
              <w:rPr>
                <w:sz w:val="16"/>
                <w:szCs w:val="16"/>
              </w:rPr>
              <w:t>Mejora del acceso y uso de información de P.I. por parte de instituciones de P.I. y el público para fomentar la innovación y la creatividad</w:t>
            </w:r>
          </w:p>
        </w:tc>
        <w:tc>
          <w:tcPr>
            <w:tcW w:w="1114"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2.640</w:t>
            </w:r>
          </w:p>
        </w:tc>
        <w:tc>
          <w:tcPr>
            <w:tcW w:w="1112"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2.615</w:t>
            </w:r>
          </w:p>
        </w:tc>
        <w:tc>
          <w:tcPr>
            <w:tcW w:w="1153"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1.123</w:t>
            </w:r>
          </w:p>
        </w:tc>
      </w:tr>
      <w:tr w:rsidR="008F3D8D" w:rsidRPr="0043344F" w:rsidTr="00A34E19">
        <w:trPr>
          <w:trHeight w:val="580"/>
          <w:jc w:val="center"/>
        </w:trPr>
        <w:tc>
          <w:tcPr>
            <w:tcW w:w="612" w:type="dxa"/>
            <w:shd w:val="clear" w:color="auto" w:fill="auto"/>
            <w:noWrap/>
            <w:vAlign w:val="center"/>
            <w:hideMark/>
          </w:tcPr>
          <w:p w:rsidR="008F3D8D" w:rsidRPr="0043344F" w:rsidRDefault="008F3D8D" w:rsidP="00A34E19">
            <w:pPr>
              <w:keepNext/>
              <w:keepLines/>
              <w:rPr>
                <w:sz w:val="16"/>
                <w:szCs w:val="16"/>
              </w:rPr>
            </w:pPr>
            <w:r w:rsidRPr="0043344F">
              <w:rPr>
                <w:sz w:val="16"/>
                <w:szCs w:val="16"/>
              </w:rPr>
              <w:t>VIII.1</w:t>
            </w:r>
          </w:p>
        </w:tc>
        <w:tc>
          <w:tcPr>
            <w:tcW w:w="4209" w:type="dxa"/>
            <w:shd w:val="clear" w:color="auto" w:fill="auto"/>
            <w:vAlign w:val="center"/>
            <w:hideMark/>
          </w:tcPr>
          <w:p w:rsidR="008F3D8D" w:rsidRPr="0043344F" w:rsidRDefault="008F3D8D" w:rsidP="00A34E19">
            <w:pPr>
              <w:keepNext/>
              <w:keepLines/>
              <w:rPr>
                <w:sz w:val="16"/>
                <w:szCs w:val="16"/>
              </w:rPr>
            </w:pPr>
            <w:r w:rsidRPr="0043344F">
              <w:rPr>
                <w:sz w:val="16"/>
                <w:szCs w:val="16"/>
              </w:rPr>
              <w:t>Comunicación más eficaz con el público en general acerca de la P.I. y la función de la OMPI</w:t>
            </w:r>
          </w:p>
        </w:tc>
        <w:tc>
          <w:tcPr>
            <w:tcW w:w="1114"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20</w:t>
            </w:r>
          </w:p>
        </w:tc>
        <w:tc>
          <w:tcPr>
            <w:tcW w:w="1112"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0</w:t>
            </w:r>
          </w:p>
        </w:tc>
        <w:tc>
          <w:tcPr>
            <w:tcW w:w="1153" w:type="dxa"/>
            <w:shd w:val="clear" w:color="auto" w:fill="auto"/>
            <w:noWrap/>
            <w:vAlign w:val="center"/>
            <w:hideMark/>
          </w:tcPr>
          <w:p w:rsidR="008F3D8D" w:rsidRPr="0043344F" w:rsidRDefault="008F3D8D" w:rsidP="00A34E19">
            <w:pPr>
              <w:keepNext/>
              <w:keepLines/>
              <w:jc w:val="center"/>
              <w:rPr>
                <w:sz w:val="16"/>
                <w:szCs w:val="16"/>
              </w:rPr>
            </w:pPr>
            <w:r w:rsidRPr="0043344F">
              <w:rPr>
                <w:sz w:val="16"/>
                <w:szCs w:val="16"/>
              </w:rPr>
              <w:t>0</w:t>
            </w:r>
          </w:p>
        </w:tc>
      </w:tr>
      <w:tr w:rsidR="008F3D8D" w:rsidRPr="0043344F" w:rsidTr="00A34E19">
        <w:trPr>
          <w:trHeight w:val="225"/>
          <w:jc w:val="center"/>
        </w:trPr>
        <w:tc>
          <w:tcPr>
            <w:tcW w:w="612" w:type="dxa"/>
            <w:shd w:val="clear" w:color="000000" w:fill="C5D9F1"/>
            <w:noWrap/>
            <w:vAlign w:val="bottom"/>
            <w:hideMark/>
          </w:tcPr>
          <w:p w:rsidR="008F3D8D" w:rsidRPr="0043344F" w:rsidRDefault="008F3D8D" w:rsidP="00A34E19">
            <w:pPr>
              <w:keepNext/>
              <w:keepLines/>
              <w:rPr>
                <w:sz w:val="16"/>
                <w:szCs w:val="16"/>
              </w:rPr>
            </w:pPr>
            <w:r w:rsidRPr="0043344F">
              <w:rPr>
                <w:sz w:val="16"/>
                <w:szCs w:val="16"/>
              </w:rPr>
              <w:t> </w:t>
            </w:r>
          </w:p>
        </w:tc>
        <w:tc>
          <w:tcPr>
            <w:tcW w:w="4209" w:type="dxa"/>
            <w:shd w:val="clear" w:color="000000" w:fill="C5D9F1"/>
            <w:noWrap/>
            <w:vAlign w:val="bottom"/>
            <w:hideMark/>
          </w:tcPr>
          <w:p w:rsidR="008F3D8D" w:rsidRPr="0043344F" w:rsidRDefault="008F3D8D" w:rsidP="00A34E19">
            <w:pPr>
              <w:keepNext/>
              <w:keepLines/>
              <w:jc w:val="right"/>
              <w:rPr>
                <w:b/>
                <w:bCs/>
                <w:sz w:val="16"/>
                <w:szCs w:val="16"/>
              </w:rPr>
            </w:pPr>
            <w:r w:rsidRPr="0043344F">
              <w:rPr>
                <w:b/>
                <w:bCs/>
                <w:sz w:val="16"/>
                <w:szCs w:val="16"/>
              </w:rPr>
              <w:t>Total</w:t>
            </w:r>
          </w:p>
        </w:tc>
        <w:tc>
          <w:tcPr>
            <w:tcW w:w="1114" w:type="dxa"/>
            <w:shd w:val="clear" w:color="000000" w:fill="C5D9F1"/>
            <w:noWrap/>
            <w:vAlign w:val="center"/>
            <w:hideMark/>
          </w:tcPr>
          <w:p w:rsidR="008F3D8D" w:rsidRPr="0043344F" w:rsidRDefault="008F3D8D" w:rsidP="00A34E19">
            <w:pPr>
              <w:keepNext/>
              <w:keepLines/>
              <w:jc w:val="center"/>
              <w:rPr>
                <w:sz w:val="16"/>
                <w:szCs w:val="16"/>
              </w:rPr>
            </w:pPr>
            <w:r w:rsidRPr="0043344F">
              <w:rPr>
                <w:sz w:val="16"/>
                <w:szCs w:val="16"/>
              </w:rPr>
              <w:t>16.733</w:t>
            </w:r>
          </w:p>
        </w:tc>
        <w:tc>
          <w:tcPr>
            <w:tcW w:w="1112" w:type="dxa"/>
            <w:shd w:val="clear" w:color="000000" w:fill="C5D9F1"/>
            <w:noWrap/>
            <w:vAlign w:val="center"/>
            <w:hideMark/>
          </w:tcPr>
          <w:p w:rsidR="008F3D8D" w:rsidRPr="0043344F" w:rsidRDefault="008F3D8D" w:rsidP="00A34E19">
            <w:pPr>
              <w:keepNext/>
              <w:keepLines/>
              <w:jc w:val="center"/>
              <w:rPr>
                <w:sz w:val="16"/>
                <w:szCs w:val="16"/>
              </w:rPr>
            </w:pPr>
            <w:r w:rsidRPr="0043344F">
              <w:rPr>
                <w:sz w:val="16"/>
                <w:szCs w:val="16"/>
              </w:rPr>
              <w:t>17.421</w:t>
            </w:r>
          </w:p>
        </w:tc>
        <w:tc>
          <w:tcPr>
            <w:tcW w:w="1153" w:type="dxa"/>
            <w:shd w:val="clear" w:color="000000" w:fill="C5D9F1"/>
            <w:noWrap/>
            <w:vAlign w:val="center"/>
            <w:hideMark/>
          </w:tcPr>
          <w:p w:rsidR="008F3D8D" w:rsidRPr="0043344F" w:rsidRDefault="008F3D8D" w:rsidP="00A34E19">
            <w:pPr>
              <w:keepNext/>
              <w:keepLines/>
              <w:jc w:val="center"/>
              <w:rPr>
                <w:sz w:val="16"/>
                <w:szCs w:val="16"/>
              </w:rPr>
            </w:pPr>
            <w:r w:rsidRPr="0043344F">
              <w:rPr>
                <w:sz w:val="16"/>
                <w:szCs w:val="16"/>
              </w:rPr>
              <w:t>7.348</w:t>
            </w:r>
          </w:p>
        </w:tc>
      </w:tr>
      <w:tr w:rsidR="008F3D8D" w:rsidRPr="0043344F" w:rsidTr="00A34E19">
        <w:trPr>
          <w:trHeight w:val="330"/>
          <w:jc w:val="center"/>
        </w:trPr>
        <w:tc>
          <w:tcPr>
            <w:tcW w:w="7047" w:type="dxa"/>
            <w:gridSpan w:val="4"/>
            <w:shd w:val="clear" w:color="auto" w:fill="auto"/>
            <w:noWrap/>
            <w:vAlign w:val="center"/>
            <w:hideMark/>
          </w:tcPr>
          <w:p w:rsidR="008F3D8D" w:rsidRPr="0043344F" w:rsidRDefault="008F3D8D" w:rsidP="00A34E19">
            <w:pPr>
              <w:keepNext/>
              <w:keepLines/>
              <w:rPr>
                <w:i/>
                <w:iCs/>
                <w:sz w:val="16"/>
                <w:szCs w:val="16"/>
              </w:rPr>
            </w:pPr>
            <w:r w:rsidRPr="0043344F">
              <w:rPr>
                <w:i/>
                <w:iCs/>
                <w:sz w:val="16"/>
                <w:szCs w:val="16"/>
              </w:rPr>
              <w:t>*Las cifras de gastos en 2016 son preliminares, a reserva de verificación por el Auditor Externo.</w:t>
            </w:r>
          </w:p>
        </w:tc>
        <w:tc>
          <w:tcPr>
            <w:tcW w:w="1153" w:type="dxa"/>
            <w:shd w:val="clear" w:color="auto" w:fill="auto"/>
            <w:noWrap/>
            <w:vAlign w:val="center"/>
            <w:hideMark/>
          </w:tcPr>
          <w:p w:rsidR="008F3D8D" w:rsidRPr="0043344F" w:rsidRDefault="008F3D8D" w:rsidP="00A34E19">
            <w:pPr>
              <w:keepNext/>
              <w:keepLines/>
              <w:rPr>
                <w:sz w:val="16"/>
                <w:szCs w:val="16"/>
              </w:rPr>
            </w:pPr>
          </w:p>
        </w:tc>
      </w:tr>
    </w:tbl>
    <w:p w:rsidR="008F3D8D" w:rsidRPr="0043344F" w:rsidRDefault="008F3D8D" w:rsidP="00A34E19">
      <w:pPr>
        <w:rPr>
          <w:bCs/>
          <w:sz w:val="20"/>
        </w:rPr>
      </w:pPr>
    </w:p>
    <w:p w:rsidR="008F3D8D" w:rsidRPr="0043344F" w:rsidRDefault="008F3D8D" w:rsidP="00A34E19">
      <w:pPr>
        <w:pStyle w:val="NormalWeb"/>
        <w:keepNext/>
        <w:keepLines/>
        <w:spacing w:before="0" w:beforeAutospacing="0" w:after="0" w:afterAutospacing="0"/>
        <w:jc w:val="center"/>
        <w:rPr>
          <w:lang w:val="es-ES"/>
        </w:rPr>
      </w:pPr>
      <w:r w:rsidRPr="0043344F">
        <w:rPr>
          <w:lang w:val="es-ES"/>
        </w:rPr>
        <w:t xml:space="preserve">Presupuesto y gastos reales (de personal y no relativos a personal) </w:t>
      </w:r>
    </w:p>
    <w:p w:rsidR="008F3D8D" w:rsidRPr="0043344F" w:rsidRDefault="008F3D8D" w:rsidP="00A34E19">
      <w:pPr>
        <w:pStyle w:val="NormalWeb"/>
        <w:keepNext/>
        <w:keepLines/>
        <w:spacing w:before="0" w:beforeAutospacing="0" w:after="0" w:afterAutospacing="0"/>
        <w:jc w:val="center"/>
        <w:rPr>
          <w:i/>
          <w:iCs/>
          <w:sz w:val="16"/>
          <w:szCs w:val="16"/>
          <w:lang w:val="es-ES"/>
        </w:rPr>
      </w:pPr>
      <w:r w:rsidRPr="0043344F">
        <w:rPr>
          <w:i/>
          <w:iCs/>
          <w:sz w:val="16"/>
          <w:szCs w:val="16"/>
          <w:lang w:val="es-ES"/>
        </w:rPr>
        <w:t>(en miles de francos suizos)</w:t>
      </w:r>
    </w:p>
    <w:p w:rsidR="008F3D8D" w:rsidRPr="0043344F" w:rsidRDefault="008F3D8D" w:rsidP="00A34E19">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8F3D8D" w:rsidRPr="0043344F" w:rsidTr="00A34E19">
        <w:trPr>
          <w:trHeight w:val="720"/>
          <w:jc w:val="center"/>
        </w:trPr>
        <w:tc>
          <w:tcPr>
            <w:tcW w:w="2470" w:type="dxa"/>
            <w:tcBorders>
              <w:top w:val="nil"/>
              <w:left w:val="nil"/>
              <w:bottom w:val="nil"/>
              <w:right w:val="nil"/>
            </w:tcBorders>
            <w:shd w:val="clear" w:color="000000" w:fill="C5D9F1"/>
            <w:noWrap/>
            <w:vAlign w:val="center"/>
            <w:hideMark/>
          </w:tcPr>
          <w:p w:rsidR="008F3D8D" w:rsidRPr="0043344F" w:rsidRDefault="008F3D8D" w:rsidP="00A34E19">
            <w:pPr>
              <w:rPr>
                <w:sz w:val="16"/>
                <w:szCs w:val="16"/>
              </w:rPr>
            </w:pPr>
            <w:r w:rsidRPr="0043344F">
              <w:rPr>
                <w:sz w:val="16"/>
                <w:szCs w:val="16"/>
              </w:rPr>
              <w:t> </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Presupuesto aprobado de 2016/17</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Presupuesto de 2016/17 tras las transferencias</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Gastos en 2016*</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Índice de utilización (%)</w:t>
            </w:r>
          </w:p>
        </w:tc>
      </w:tr>
      <w:tr w:rsidR="008F3D8D" w:rsidRPr="0043344F" w:rsidTr="00A34E19">
        <w:trPr>
          <w:trHeight w:val="315"/>
          <w:jc w:val="center"/>
        </w:trPr>
        <w:tc>
          <w:tcPr>
            <w:tcW w:w="2470" w:type="dxa"/>
            <w:tcBorders>
              <w:top w:val="nil"/>
              <w:left w:val="nil"/>
              <w:bottom w:val="nil"/>
              <w:right w:val="nil"/>
            </w:tcBorders>
            <w:shd w:val="clear" w:color="auto" w:fill="auto"/>
            <w:noWrap/>
            <w:vAlign w:val="center"/>
            <w:hideMark/>
          </w:tcPr>
          <w:p w:rsidR="008F3D8D" w:rsidRPr="0043344F" w:rsidRDefault="008F3D8D" w:rsidP="00A34E19">
            <w:pPr>
              <w:rPr>
                <w:sz w:val="16"/>
                <w:szCs w:val="16"/>
              </w:rPr>
            </w:pPr>
            <w:r w:rsidRPr="0043344F">
              <w:rPr>
                <w:sz w:val="16"/>
                <w:szCs w:val="16"/>
              </w:rPr>
              <w:t xml:space="preserve">Recursos de personal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 xml:space="preserve">9.919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 xml:space="preserve">9.468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 xml:space="preserve">4.448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47%</w:t>
            </w:r>
          </w:p>
        </w:tc>
      </w:tr>
      <w:tr w:rsidR="008F3D8D" w:rsidRPr="0043344F" w:rsidTr="00A34E19">
        <w:trPr>
          <w:trHeight w:val="315"/>
          <w:jc w:val="center"/>
        </w:trPr>
        <w:tc>
          <w:tcPr>
            <w:tcW w:w="2470" w:type="dxa"/>
            <w:tcBorders>
              <w:top w:val="nil"/>
              <w:left w:val="nil"/>
              <w:bottom w:val="nil"/>
              <w:right w:val="nil"/>
            </w:tcBorders>
            <w:shd w:val="clear" w:color="auto" w:fill="auto"/>
            <w:noWrap/>
            <w:vAlign w:val="center"/>
            <w:hideMark/>
          </w:tcPr>
          <w:p w:rsidR="008F3D8D" w:rsidRPr="0043344F" w:rsidRDefault="008F3D8D" w:rsidP="00A34E19">
            <w:pPr>
              <w:rPr>
                <w:sz w:val="16"/>
                <w:szCs w:val="16"/>
              </w:rPr>
            </w:pPr>
            <w:r w:rsidRPr="0043344F">
              <w:rPr>
                <w:sz w:val="16"/>
                <w:szCs w:val="16"/>
              </w:rPr>
              <w:t xml:space="preserve">Recursos no relativos a personal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 xml:space="preserve">6.815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 xml:space="preserve">7.953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 xml:space="preserve">2.901 </w:t>
            </w:r>
          </w:p>
        </w:tc>
        <w:tc>
          <w:tcPr>
            <w:tcW w:w="1438" w:type="dxa"/>
            <w:tcBorders>
              <w:top w:val="nil"/>
              <w:left w:val="nil"/>
              <w:bottom w:val="nil"/>
              <w:right w:val="nil"/>
            </w:tcBorders>
            <w:shd w:val="clear" w:color="auto" w:fill="auto"/>
            <w:vAlign w:val="center"/>
            <w:hideMark/>
          </w:tcPr>
          <w:p w:rsidR="008F3D8D" w:rsidRPr="0043344F" w:rsidRDefault="008F3D8D" w:rsidP="00A34E19">
            <w:pPr>
              <w:jc w:val="center"/>
              <w:rPr>
                <w:sz w:val="16"/>
                <w:szCs w:val="16"/>
              </w:rPr>
            </w:pPr>
            <w:r w:rsidRPr="0043344F">
              <w:rPr>
                <w:sz w:val="16"/>
                <w:szCs w:val="16"/>
              </w:rPr>
              <w:t>36%</w:t>
            </w:r>
          </w:p>
        </w:tc>
      </w:tr>
      <w:tr w:rsidR="008F3D8D" w:rsidRPr="0043344F" w:rsidTr="00A34E19">
        <w:trPr>
          <w:trHeight w:val="225"/>
          <w:jc w:val="center"/>
        </w:trPr>
        <w:tc>
          <w:tcPr>
            <w:tcW w:w="2470" w:type="dxa"/>
            <w:tcBorders>
              <w:top w:val="nil"/>
              <w:left w:val="nil"/>
              <w:bottom w:val="nil"/>
              <w:right w:val="nil"/>
            </w:tcBorders>
            <w:shd w:val="clear" w:color="000000" w:fill="C5D9F1"/>
            <w:noWrap/>
            <w:vAlign w:val="center"/>
            <w:hideMark/>
          </w:tcPr>
          <w:p w:rsidR="008F3D8D" w:rsidRPr="0043344F" w:rsidRDefault="008F3D8D" w:rsidP="00A34E19">
            <w:pPr>
              <w:jc w:val="right"/>
              <w:rPr>
                <w:b/>
                <w:bCs/>
                <w:sz w:val="16"/>
                <w:szCs w:val="16"/>
              </w:rPr>
            </w:pPr>
            <w:r w:rsidRPr="0043344F">
              <w:rPr>
                <w:b/>
                <w:bCs/>
                <w:sz w:val="16"/>
                <w:szCs w:val="16"/>
              </w:rPr>
              <w:t xml:space="preserve"> Total </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 xml:space="preserve">16.733 </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 xml:space="preserve">17.421 </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 xml:space="preserve">7.348 </w:t>
            </w:r>
          </w:p>
        </w:tc>
        <w:tc>
          <w:tcPr>
            <w:tcW w:w="1438" w:type="dxa"/>
            <w:tcBorders>
              <w:top w:val="nil"/>
              <w:left w:val="nil"/>
              <w:bottom w:val="nil"/>
              <w:right w:val="nil"/>
            </w:tcBorders>
            <w:shd w:val="clear" w:color="000000" w:fill="C5D9F1"/>
            <w:vAlign w:val="center"/>
            <w:hideMark/>
          </w:tcPr>
          <w:p w:rsidR="008F3D8D" w:rsidRPr="0043344F" w:rsidRDefault="008F3D8D" w:rsidP="00A34E19">
            <w:pPr>
              <w:jc w:val="center"/>
              <w:rPr>
                <w:b/>
                <w:bCs/>
                <w:sz w:val="16"/>
                <w:szCs w:val="16"/>
              </w:rPr>
            </w:pPr>
            <w:r w:rsidRPr="0043344F">
              <w:rPr>
                <w:b/>
                <w:bCs/>
                <w:sz w:val="16"/>
                <w:szCs w:val="16"/>
              </w:rPr>
              <w:t>42%</w:t>
            </w:r>
          </w:p>
        </w:tc>
      </w:tr>
      <w:tr w:rsidR="008F3D8D" w:rsidRPr="0043344F" w:rsidTr="00A34E19">
        <w:trPr>
          <w:trHeight w:val="300"/>
          <w:jc w:val="center"/>
        </w:trPr>
        <w:tc>
          <w:tcPr>
            <w:tcW w:w="8222" w:type="dxa"/>
            <w:gridSpan w:val="5"/>
            <w:tcBorders>
              <w:top w:val="nil"/>
              <w:left w:val="nil"/>
              <w:bottom w:val="nil"/>
              <w:right w:val="nil"/>
            </w:tcBorders>
            <w:shd w:val="clear" w:color="auto" w:fill="auto"/>
            <w:noWrap/>
            <w:vAlign w:val="bottom"/>
            <w:hideMark/>
          </w:tcPr>
          <w:p w:rsidR="008F3D8D" w:rsidRPr="0043344F" w:rsidRDefault="008F3D8D" w:rsidP="00A34E19">
            <w:pPr>
              <w:rPr>
                <w:i/>
                <w:iCs/>
                <w:sz w:val="16"/>
                <w:szCs w:val="16"/>
              </w:rPr>
            </w:pPr>
            <w:r w:rsidRPr="0043344F">
              <w:rPr>
                <w:i/>
                <w:iCs/>
                <w:sz w:val="16"/>
                <w:szCs w:val="16"/>
              </w:rPr>
              <w:t xml:space="preserve"> *Las cifras de gastos en 2016 son preliminares, a reserva de verificación por el Auditor Externo.</w:t>
            </w:r>
          </w:p>
        </w:tc>
      </w:tr>
    </w:tbl>
    <w:p w:rsidR="008F3D8D" w:rsidRPr="0043344F" w:rsidRDefault="008F3D8D" w:rsidP="00A34E19">
      <w:pPr>
        <w:rPr>
          <w:sz w:val="20"/>
        </w:rPr>
      </w:pPr>
    </w:p>
    <w:p w:rsidR="008F3D8D" w:rsidRPr="0043344F" w:rsidRDefault="008F3D8D" w:rsidP="00A34E19">
      <w:pPr>
        <w:keepNext/>
        <w:keepLines/>
        <w:ind w:left="567" w:right="282"/>
        <w:rPr>
          <w:i/>
          <w:sz w:val="16"/>
          <w:szCs w:val="16"/>
        </w:rPr>
      </w:pPr>
      <w:r w:rsidRPr="0043344F">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8F3D8D" w:rsidRPr="0043344F" w:rsidRDefault="008F3D8D" w:rsidP="00A34E19">
      <w:pPr>
        <w:rPr>
          <w:sz w:val="20"/>
        </w:rPr>
      </w:pPr>
    </w:p>
    <w:p w:rsidR="008F3D8D" w:rsidRPr="0043344F" w:rsidRDefault="008F3D8D" w:rsidP="00A34E19">
      <w:pPr>
        <w:rPr>
          <w:sz w:val="20"/>
        </w:rPr>
      </w:pPr>
    </w:p>
    <w:p w:rsidR="008F3D8D" w:rsidRPr="0043344F" w:rsidRDefault="008F3D8D" w:rsidP="00A34E19">
      <w:pPr>
        <w:keepNext/>
        <w:keepLines/>
        <w:jc w:val="both"/>
        <w:rPr>
          <w:sz w:val="20"/>
          <w:u w:val="single"/>
        </w:rPr>
      </w:pPr>
      <w:r w:rsidRPr="0043344F">
        <w:rPr>
          <w:sz w:val="20"/>
        </w:rPr>
        <w:t>A.</w:t>
      </w:r>
      <w:r w:rsidRPr="0043344F">
        <w:rPr>
          <w:sz w:val="20"/>
        </w:rPr>
        <w:tab/>
      </w:r>
      <w:r w:rsidRPr="0043344F">
        <w:rPr>
          <w:sz w:val="20"/>
          <w:u w:val="single"/>
        </w:rPr>
        <w:t>Presupuesto de 2016/17 tras las transferencias</w:t>
      </w:r>
    </w:p>
    <w:p w:rsidR="008F3D8D" w:rsidRPr="0043344F" w:rsidRDefault="008F3D8D" w:rsidP="00A34E19">
      <w:pPr>
        <w:keepNext/>
        <w:keepLines/>
        <w:jc w:val="both"/>
        <w:rPr>
          <w:sz w:val="20"/>
        </w:rPr>
      </w:pPr>
    </w:p>
    <w:p w:rsidR="008F3D8D" w:rsidRPr="0043344F" w:rsidRDefault="008F3D8D" w:rsidP="008F3D8D">
      <w:pPr>
        <w:pStyle w:val="ListParagraph"/>
        <w:keepNext/>
        <w:keepLines/>
        <w:numPr>
          <w:ilvl w:val="0"/>
          <w:numId w:val="16"/>
        </w:numPr>
        <w:ind w:left="0" w:firstLine="0"/>
        <w:jc w:val="both"/>
        <w:rPr>
          <w:lang w:val="es-ES"/>
        </w:rPr>
      </w:pPr>
      <w:r w:rsidRPr="0043344F">
        <w:rPr>
          <w:lang w:val="es-ES"/>
        </w:rPr>
        <w:t>El aumento del presupuesto de 2016/17 tras las transferencias en comparación con el presupuesto aprobado para 2016/17 se debió principalmente a recursos adicionales no relativos a personal para:  i) la Conferencia internacional de la OMPI sobre el mercado mundial de contenidos digitales en 2016 y 2017, como se refleja en el resultado previsto IV.2 (Mejora del acceso y uso de información de P.I.);  ii) la promoción de los Tratados de Marrakech y de Beijing, como se refleja en el resultado previsto I.2 (Asesoramiento legislativo);  y iii) los proyectos de gestión colectiva en la región árabe, como se refleja en el resultado previsto III.2 (Aumento de las capacidades en recursos humanos).  Los aumentos en recursos no relativos a personal fueron compensados en parte por un descenso en los recursos relativos a personal, sobre todo en el campo de la infraestructura de derecho de autor como consecuencia de la reestructuración interna.</w:t>
      </w:r>
    </w:p>
    <w:p w:rsidR="008F3D8D" w:rsidRPr="0043344F" w:rsidRDefault="008F3D8D" w:rsidP="00A34E19">
      <w:pPr>
        <w:jc w:val="both"/>
        <w:rPr>
          <w:sz w:val="20"/>
        </w:rPr>
      </w:pPr>
    </w:p>
    <w:p w:rsidR="008F3D8D" w:rsidRPr="0043344F" w:rsidRDefault="008F3D8D" w:rsidP="00653EAB">
      <w:pPr>
        <w:keepNext/>
        <w:keepLines/>
        <w:jc w:val="both"/>
        <w:rPr>
          <w:sz w:val="20"/>
          <w:u w:val="single"/>
        </w:rPr>
      </w:pPr>
      <w:r w:rsidRPr="0043344F">
        <w:rPr>
          <w:sz w:val="20"/>
        </w:rPr>
        <w:lastRenderedPageBreak/>
        <w:t>B.</w:t>
      </w:r>
      <w:r w:rsidRPr="0043344F">
        <w:rPr>
          <w:sz w:val="20"/>
        </w:rPr>
        <w:tab/>
      </w:r>
      <w:r w:rsidRPr="0043344F">
        <w:rPr>
          <w:sz w:val="20"/>
          <w:u w:val="single"/>
        </w:rPr>
        <w:t>Utilización del presupuesto en 2016/17</w:t>
      </w:r>
    </w:p>
    <w:p w:rsidR="008F3D8D" w:rsidRPr="0043344F" w:rsidRDefault="008F3D8D" w:rsidP="00653EAB">
      <w:pPr>
        <w:keepNext/>
        <w:keepLines/>
        <w:jc w:val="both"/>
        <w:rPr>
          <w:sz w:val="20"/>
        </w:rPr>
      </w:pPr>
    </w:p>
    <w:p w:rsidR="008F3D8D" w:rsidRPr="0043344F" w:rsidRDefault="008F3D8D" w:rsidP="00653EAB">
      <w:pPr>
        <w:pStyle w:val="ListParagraph"/>
        <w:keepNext/>
        <w:keepLines/>
        <w:numPr>
          <w:ilvl w:val="0"/>
          <w:numId w:val="16"/>
        </w:numPr>
        <w:ind w:left="0" w:firstLine="0"/>
        <w:jc w:val="both"/>
        <w:rPr>
          <w:lang w:val="es-ES"/>
        </w:rPr>
      </w:pPr>
      <w:r w:rsidRPr="0043344F">
        <w:rPr>
          <w:lang w:val="es-ES"/>
        </w:rPr>
        <w:t xml:space="preserve">La utilización del presupuesto </w:t>
      </w:r>
      <w:r w:rsidR="00024891">
        <w:rPr>
          <w:lang w:val="es-ES"/>
        </w:rPr>
        <w:t xml:space="preserve">de recursos de personal </w:t>
      </w:r>
      <w:r w:rsidRPr="0043344F">
        <w:rPr>
          <w:lang w:val="es-ES"/>
        </w:rPr>
        <w:t>se ha mantenido dentro de los límites establecidos (40-60%) durante el primer año del bienio.  Los gastos no relativos a personal para el conjunto del programa se situaron por debajo de los establecidos como objetivo debido principalmente a una mayor lentitud de la esperada en la aplicación del proyecto relacionado con la Agenda para el Desarrollo sobre el fortalecimiento y desarrollo del sector audiovisual en Burkina Faso y en determinados países de África y las actividades de la Agenda para el Desarrollo relacionadas con la utilización del derecho de autor para promover el acceso a la información y al contenido creativo, así como al aplazamiento de determinadas actividades relacionadas con la infraestructura del derecho de autor (transparencia, responsabilidad y gobernanza (TAG) y el Consorcio de Libros Accesibles (ABC)).</w:t>
      </w:r>
    </w:p>
    <w:p w:rsidR="008F3D8D" w:rsidRPr="008F3D8D" w:rsidRDefault="008F3D8D" w:rsidP="00653EAB">
      <w:pPr>
        <w:keepNext/>
        <w:keepLines/>
        <w:rPr>
          <w:sz w:val="20"/>
        </w:rPr>
      </w:pPr>
    </w:p>
    <w:p w:rsidR="008F3D8D" w:rsidRPr="008F3D8D" w:rsidRDefault="008F3D8D" w:rsidP="00A34E19">
      <w:pPr>
        <w:rPr>
          <w:sz w:val="20"/>
        </w:rPr>
      </w:pPr>
    </w:p>
    <w:p w:rsidR="008F3D8D" w:rsidRDefault="008F3D8D">
      <w:pPr>
        <w:rPr>
          <w:sz w:val="20"/>
        </w:rPr>
      </w:pPr>
      <w:r>
        <w:rPr>
          <w:sz w:val="20"/>
        </w:rPr>
        <w:br w:type="page"/>
      </w:r>
    </w:p>
    <w:p w:rsidR="008F3D8D" w:rsidRPr="00BF569E" w:rsidRDefault="008F3D8D" w:rsidP="00D01016">
      <w:pPr>
        <w:keepNext/>
        <w:tabs>
          <w:tab w:val="right" w:pos="9072"/>
        </w:tabs>
        <w:ind w:left="2410" w:hanging="2410"/>
        <w:outlineLvl w:val="1"/>
        <w:rPr>
          <w:b/>
          <w:bCs/>
          <w:iCs/>
          <w:szCs w:val="28"/>
        </w:rPr>
      </w:pPr>
      <w:bookmarkStart w:id="27" w:name="_Toc482711242"/>
      <w:r w:rsidRPr="00BF569E">
        <w:rPr>
          <w:b/>
          <w:bCs/>
          <w:iCs/>
          <w:szCs w:val="28"/>
          <w:lang w:val="es-ES_tradnl"/>
        </w:rPr>
        <w:lastRenderedPageBreak/>
        <w:t>PROGRAMA 4</w:t>
      </w:r>
      <w:r w:rsidRPr="00BF569E">
        <w:rPr>
          <w:bCs/>
          <w:iCs/>
          <w:szCs w:val="28"/>
          <w:lang w:val="es-ES_tradnl"/>
        </w:rPr>
        <w:tab/>
      </w:r>
      <w:r w:rsidRPr="00BF569E">
        <w:rPr>
          <w:b/>
          <w:bCs/>
          <w:iCs/>
          <w:szCs w:val="28"/>
          <w:lang w:val="es-ES_tradnl"/>
        </w:rPr>
        <w:t>CONOCIMIENTOS TRADICIONALES, EXPRESIONES CULTURALES TRADICIONALES Y RECURSOS GENÉTICOS</w:t>
      </w:r>
      <w:bookmarkEnd w:id="27"/>
    </w:p>
    <w:p w:rsidR="008F3D8D" w:rsidRPr="00BF569E" w:rsidRDefault="008F3D8D" w:rsidP="00A34E19">
      <w:pPr>
        <w:rPr>
          <w:rFonts w:cs="Times New Roman"/>
          <w:sz w:val="20"/>
        </w:rPr>
      </w:pPr>
    </w:p>
    <w:p w:rsidR="008F3D8D" w:rsidRPr="00BF569E" w:rsidRDefault="008F3D8D" w:rsidP="00D01016">
      <w:pPr>
        <w:tabs>
          <w:tab w:val="left" w:pos="2410"/>
        </w:tabs>
        <w:rPr>
          <w:rFonts w:cs="Times New Roman"/>
          <w:b/>
          <w:sz w:val="20"/>
          <w:szCs w:val="22"/>
        </w:rPr>
      </w:pPr>
      <w:r w:rsidRPr="00BF569E">
        <w:rPr>
          <w:rFonts w:cs="Times New Roman"/>
          <w:b/>
          <w:sz w:val="20"/>
          <w:szCs w:val="22"/>
          <w:lang w:val="es-ES_tradnl"/>
        </w:rPr>
        <w:t>Director de programa</w:t>
      </w:r>
      <w:r w:rsidRPr="00BF569E">
        <w:rPr>
          <w:rFonts w:cs="Times New Roman"/>
          <w:sz w:val="20"/>
          <w:szCs w:val="22"/>
          <w:lang w:val="es-ES_tradnl"/>
        </w:rPr>
        <w:tab/>
      </w:r>
      <w:r w:rsidRPr="00BF569E">
        <w:rPr>
          <w:rFonts w:cs="Times New Roman"/>
          <w:b/>
          <w:sz w:val="20"/>
          <w:szCs w:val="22"/>
          <w:lang w:val="es-ES_tradnl"/>
        </w:rPr>
        <w:t>Sr. M. A. Getahun</w:t>
      </w:r>
    </w:p>
    <w:p w:rsidR="008F3D8D" w:rsidRPr="00BF569E" w:rsidRDefault="008F3D8D" w:rsidP="00A34E19">
      <w:pPr>
        <w:tabs>
          <w:tab w:val="left" w:pos="1985"/>
        </w:tabs>
        <w:jc w:val="center"/>
        <w:rPr>
          <w:sz w:val="20"/>
        </w:rPr>
      </w:pPr>
      <w:r w:rsidRPr="00BF569E">
        <w:rPr>
          <w:noProof/>
          <w:lang w:val="en-US" w:eastAsia="en-US"/>
        </w:rPr>
        <w:drawing>
          <wp:inline distT="0" distB="0" distL="0" distR="0" wp14:anchorId="34A9A253" wp14:editId="6AC50FAF">
            <wp:extent cx="4647687" cy="2998054"/>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56814" cy="3003941"/>
                    </a:xfrm>
                    <a:prstGeom prst="rect">
                      <a:avLst/>
                    </a:prstGeom>
                    <a:noFill/>
                    <a:ln>
                      <a:noFill/>
                    </a:ln>
                  </pic:spPr>
                </pic:pic>
              </a:graphicData>
            </a:graphic>
          </wp:inline>
        </w:drawing>
      </w:r>
      <w:r w:rsidRPr="00BF569E">
        <w:t xml:space="preserve"> </w:t>
      </w:r>
    </w:p>
    <w:tbl>
      <w:tblPr>
        <w:tblW w:w="5152" w:type="pct"/>
        <w:tblInd w:w="58" w:type="dxa"/>
        <w:tblLayout w:type="fixed"/>
        <w:tblLook w:val="0000" w:firstRow="0" w:lastRow="0" w:firstColumn="0" w:lastColumn="0" w:noHBand="0" w:noVBand="0"/>
      </w:tblPr>
      <w:tblGrid>
        <w:gridCol w:w="2000"/>
        <w:gridCol w:w="2887"/>
        <w:gridCol w:w="1210"/>
        <w:gridCol w:w="2626"/>
        <w:gridCol w:w="9"/>
        <w:gridCol w:w="725"/>
        <w:gridCol w:w="9"/>
      </w:tblGrid>
      <w:tr w:rsidR="008F3D8D" w:rsidRPr="00BF569E" w:rsidTr="00A34E19">
        <w:trPr>
          <w:gridAfter w:val="1"/>
          <w:wAfter w:w="5" w:type="pct"/>
          <w:trHeight w:val="565"/>
        </w:trPr>
        <w:tc>
          <w:tcPr>
            <w:tcW w:w="4995" w:type="pct"/>
            <w:gridSpan w:val="6"/>
            <w:shd w:val="clear" w:color="auto" w:fill="C6D9F1" w:themeFill="text2" w:themeFillTint="33"/>
            <w:tcMar>
              <w:left w:w="58" w:type="dxa"/>
              <w:right w:w="58" w:type="dxa"/>
            </w:tcMar>
            <w:vAlign w:val="center"/>
          </w:tcPr>
          <w:p w:rsidR="008F3D8D" w:rsidRPr="00BF569E" w:rsidRDefault="008F3D8D" w:rsidP="00A34E19">
            <w:pPr>
              <w:keepNext/>
              <w:keepLines/>
              <w:tabs>
                <w:tab w:val="left" w:pos="1452"/>
                <w:tab w:val="left" w:pos="1684"/>
              </w:tabs>
              <w:ind w:left="1684" w:hanging="1684"/>
              <w:rPr>
                <w:b/>
                <w:bCs/>
                <w:sz w:val="16"/>
                <w:szCs w:val="16"/>
              </w:rPr>
            </w:pPr>
            <w:r w:rsidRPr="00BF569E">
              <w:rPr>
                <w:b/>
                <w:bCs/>
                <w:sz w:val="16"/>
                <w:szCs w:val="16"/>
              </w:rPr>
              <w:t>Resultado previsto:</w:t>
            </w:r>
            <w:r w:rsidRPr="00BF569E">
              <w:rPr>
                <w:b/>
                <w:bCs/>
                <w:sz w:val="16"/>
                <w:szCs w:val="16"/>
              </w:rPr>
              <w:tab/>
            </w:r>
            <w:r w:rsidRPr="00BF569E">
              <w:rPr>
                <w:sz w:val="16"/>
                <w:szCs w:val="16"/>
                <w:lang w:val="es-ES_tradnl" w:bidi="th-TH"/>
              </w:rPr>
              <w:t>I.1  Mayor cooperación entre los Estados miembros en la elaboración de marcos normativos internacionales de P.I. equilibrados</w:t>
            </w:r>
            <w:r w:rsidRPr="00BF569E">
              <w:rPr>
                <w:sz w:val="16"/>
                <w:szCs w:val="16"/>
                <w:lang w:bidi="th-TH"/>
              </w:rPr>
              <w:t xml:space="preserve"> </w:t>
            </w:r>
          </w:p>
        </w:tc>
      </w:tr>
      <w:tr w:rsidR="008F3D8D" w:rsidRPr="00BF569E" w:rsidTr="00A34E19">
        <w:tc>
          <w:tcPr>
            <w:tcW w:w="1056" w:type="pct"/>
            <w:shd w:val="clear" w:color="auto" w:fill="auto"/>
            <w:tcMar>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Indicadores de rendimiento</w:t>
            </w:r>
          </w:p>
        </w:tc>
        <w:tc>
          <w:tcPr>
            <w:tcW w:w="1525" w:type="pct"/>
            <w:shd w:val="clear" w:color="auto" w:fill="auto"/>
            <w:tcMar>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Referencia</w:t>
            </w:r>
            <w:r w:rsidR="00D01016">
              <w:rPr>
                <w:b/>
                <w:bCs/>
                <w:sz w:val="16"/>
                <w:szCs w:val="16"/>
                <w:lang w:val="es-ES_tradnl"/>
              </w:rPr>
              <w:t xml:space="preserve"> de base</w:t>
            </w:r>
          </w:p>
        </w:tc>
        <w:tc>
          <w:tcPr>
            <w:tcW w:w="639" w:type="pct"/>
            <w:shd w:val="clear" w:color="auto" w:fill="auto"/>
            <w:tcMar>
              <w:top w:w="110" w:type="dxa"/>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Objetivos</w:t>
            </w:r>
          </w:p>
        </w:tc>
        <w:tc>
          <w:tcPr>
            <w:tcW w:w="1392" w:type="pct"/>
            <w:gridSpan w:val="2"/>
            <w:shd w:val="clear" w:color="auto" w:fill="FFFFFF"/>
            <w:tcMar>
              <w:top w:w="110" w:type="dxa"/>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Datos sobre el rendimiento</w:t>
            </w:r>
          </w:p>
        </w:tc>
        <w:tc>
          <w:tcPr>
            <w:tcW w:w="388" w:type="pct"/>
            <w:gridSpan w:val="2"/>
            <w:shd w:val="clear" w:color="auto" w:fill="auto"/>
            <w:tcMar>
              <w:top w:w="110" w:type="dxa"/>
              <w:left w:w="58" w:type="dxa"/>
              <w:right w:w="58" w:type="dxa"/>
            </w:tcMar>
            <w:vAlign w:val="center"/>
          </w:tcPr>
          <w:p w:rsidR="008F3D8D" w:rsidRPr="00BF569E" w:rsidRDefault="008F3D8D" w:rsidP="00A34E19">
            <w:pPr>
              <w:keepNext/>
              <w:keepLines/>
              <w:jc w:val="center"/>
              <w:rPr>
                <w:b/>
                <w:bCs/>
                <w:sz w:val="16"/>
                <w:szCs w:val="16"/>
              </w:rPr>
            </w:pPr>
            <w:r w:rsidRPr="00BF569E">
              <w:rPr>
                <w:b/>
                <w:bCs/>
                <w:sz w:val="16"/>
                <w:szCs w:val="16"/>
                <w:lang w:val="es-ES_tradnl"/>
              </w:rPr>
              <w:t>Clave de colores</w:t>
            </w:r>
          </w:p>
        </w:tc>
      </w:tr>
      <w:tr w:rsidR="008F3D8D" w:rsidRPr="00BF569E" w:rsidTr="00A34E19">
        <w:trPr>
          <w:trHeight w:val="3981"/>
        </w:trPr>
        <w:tc>
          <w:tcPr>
            <w:tcW w:w="1056" w:type="pct"/>
            <w:shd w:val="clear" w:color="auto" w:fill="auto"/>
            <w:tcMar>
              <w:left w:w="58" w:type="dxa"/>
              <w:right w:w="58" w:type="dxa"/>
            </w:tcMar>
          </w:tcPr>
          <w:p w:rsidR="008F3D8D" w:rsidRPr="00BF569E" w:rsidRDefault="008F3D8D" w:rsidP="00A34E19">
            <w:pPr>
              <w:keepLines/>
              <w:rPr>
                <w:sz w:val="16"/>
                <w:szCs w:val="16"/>
              </w:rPr>
            </w:pPr>
            <w:r w:rsidRPr="00BF569E">
              <w:rPr>
                <w:sz w:val="16"/>
                <w:szCs w:val="16"/>
                <w:lang w:val="es-ES_tradnl"/>
              </w:rPr>
              <w:t>Progresos en la aplicación de las actividades normativas sobre P.I. y RR.GG., CC.TT. y ECT, según lo acordado por los Estados miembros.</w:t>
            </w:r>
          </w:p>
        </w:tc>
        <w:tc>
          <w:tcPr>
            <w:tcW w:w="1525" w:type="pct"/>
            <w:shd w:val="clear" w:color="auto" w:fill="auto"/>
            <w:tcMar>
              <w:left w:w="58" w:type="dxa"/>
              <w:right w:w="58" w:type="dxa"/>
            </w:tcMar>
          </w:tcPr>
          <w:p w:rsidR="008F3D8D" w:rsidRPr="00B65693" w:rsidRDefault="008F3D8D" w:rsidP="00A34E19">
            <w:pPr>
              <w:keepLines/>
              <w:rPr>
                <w:i/>
                <w:color w:val="002060"/>
                <w:sz w:val="16"/>
                <w:szCs w:val="16"/>
              </w:rPr>
            </w:pPr>
            <w:r w:rsidRPr="00B65693">
              <w:rPr>
                <w:i/>
                <w:color w:val="002060"/>
                <w:sz w:val="16"/>
                <w:szCs w:val="16"/>
                <w:lang w:val="es-ES_tradnl"/>
              </w:rPr>
              <w:t>Referencia actualizada a fines de 2015:</w:t>
            </w:r>
            <w:r w:rsidRPr="00B65693">
              <w:rPr>
                <w:i/>
                <w:color w:val="002060"/>
                <w:sz w:val="16"/>
                <w:szCs w:val="16"/>
              </w:rPr>
              <w:t xml:space="preserve">  </w:t>
            </w:r>
          </w:p>
          <w:p w:rsidR="008F3D8D" w:rsidRPr="00B65693" w:rsidRDefault="008F3D8D" w:rsidP="00A34E19">
            <w:pPr>
              <w:keepLines/>
              <w:rPr>
                <w:color w:val="002060"/>
                <w:sz w:val="16"/>
                <w:szCs w:val="16"/>
              </w:rPr>
            </w:pPr>
            <w:r w:rsidRPr="00B65693">
              <w:rPr>
                <w:color w:val="002060"/>
                <w:sz w:val="16"/>
                <w:szCs w:val="16"/>
                <w:lang w:bidi="th-TH"/>
              </w:rPr>
              <w:t>La Asamblea General de la OMPI de octubre de 2014 no llegó a un acuerdo sobre el programa de trabajo del CIG de 2015 y, por tanto, el CIG no se reunió ese año.</w:t>
            </w:r>
            <w:r w:rsidRPr="00B65693">
              <w:rPr>
                <w:color w:val="002060"/>
                <w:sz w:val="16"/>
                <w:szCs w:val="16"/>
              </w:rPr>
              <w:t xml:space="preserve">  </w:t>
            </w:r>
            <w:r w:rsidRPr="00B65693">
              <w:rPr>
                <w:color w:val="002060"/>
                <w:sz w:val="16"/>
                <w:szCs w:val="16"/>
                <w:lang w:val="es-ES_tradnl"/>
              </w:rPr>
              <w:t>En la Asamblea General de la OMPI celebrada en octubre de 2015 se alcanzó un acuerdo en relación con un mandato renovado para el CIG durante el bienio 2016/17.</w:t>
            </w:r>
          </w:p>
          <w:p w:rsidR="008F3D8D" w:rsidRPr="00BF569E" w:rsidRDefault="008F3D8D" w:rsidP="00A34E19">
            <w:pPr>
              <w:keepLines/>
              <w:rPr>
                <w:sz w:val="16"/>
                <w:szCs w:val="16"/>
              </w:rPr>
            </w:pPr>
          </w:p>
          <w:p w:rsidR="008F3D8D" w:rsidRPr="00BF569E" w:rsidRDefault="008F3D8D" w:rsidP="00A34E19">
            <w:pPr>
              <w:keepLines/>
              <w:rPr>
                <w:i/>
                <w:sz w:val="16"/>
                <w:szCs w:val="16"/>
              </w:rPr>
            </w:pPr>
            <w:r w:rsidRPr="00BF569E">
              <w:rPr>
                <w:i/>
                <w:sz w:val="16"/>
                <w:szCs w:val="16"/>
                <w:lang w:val="es-ES_tradnl"/>
              </w:rPr>
              <w:t>Referencia original en el presupuesto de 2016/17:</w:t>
            </w:r>
            <w:r w:rsidRPr="00BF569E">
              <w:rPr>
                <w:i/>
                <w:sz w:val="16"/>
                <w:szCs w:val="16"/>
              </w:rPr>
              <w:t xml:space="preserve">  </w:t>
            </w:r>
          </w:p>
          <w:p w:rsidR="008F3D8D" w:rsidRPr="00BF569E" w:rsidRDefault="008F3D8D" w:rsidP="00D01016">
            <w:pPr>
              <w:keepNext/>
              <w:keepLines/>
              <w:rPr>
                <w:sz w:val="16"/>
                <w:szCs w:val="16"/>
              </w:rPr>
            </w:pPr>
            <w:r w:rsidRPr="00BF569E">
              <w:rPr>
                <w:sz w:val="16"/>
                <w:szCs w:val="16"/>
                <w:lang w:val="es-ES_tradnl"/>
              </w:rPr>
              <w:t xml:space="preserve">Situación actual de las negociaciones entre los Estados miembros sobre P.I. y RR.GG., CC.TT. y ECT, reflejada en los documentos WIPO/GRTKF/IC/28/4, </w:t>
            </w:r>
            <w:r w:rsidR="00D01016">
              <w:rPr>
                <w:sz w:val="16"/>
                <w:szCs w:val="16"/>
                <w:lang w:val="es-ES_tradnl"/>
              </w:rPr>
              <w:t>5</w:t>
            </w:r>
            <w:r w:rsidRPr="00BF569E">
              <w:rPr>
                <w:sz w:val="16"/>
                <w:szCs w:val="16"/>
                <w:lang w:val="es-ES_tradnl"/>
              </w:rPr>
              <w:t xml:space="preserve"> y 6, respectivamente.</w:t>
            </w:r>
          </w:p>
        </w:tc>
        <w:tc>
          <w:tcPr>
            <w:tcW w:w="639" w:type="pct"/>
            <w:shd w:val="clear" w:color="auto" w:fill="auto"/>
            <w:tcMar>
              <w:top w:w="110" w:type="dxa"/>
              <w:left w:w="58" w:type="dxa"/>
              <w:right w:w="58" w:type="dxa"/>
            </w:tcMar>
          </w:tcPr>
          <w:p w:rsidR="008F3D8D" w:rsidRPr="00BF569E" w:rsidRDefault="008F3D8D" w:rsidP="00A34E19">
            <w:pPr>
              <w:keepNext/>
              <w:keepLines/>
              <w:rPr>
                <w:sz w:val="16"/>
                <w:szCs w:val="16"/>
              </w:rPr>
            </w:pPr>
            <w:r w:rsidRPr="00BF569E">
              <w:rPr>
                <w:sz w:val="16"/>
                <w:szCs w:val="16"/>
                <w:lang w:val="es-ES_tradnl"/>
              </w:rPr>
              <w:t>Resultados acordados de las actividades normativas.</w:t>
            </w:r>
          </w:p>
        </w:tc>
        <w:tc>
          <w:tcPr>
            <w:tcW w:w="1392" w:type="pct"/>
            <w:gridSpan w:val="2"/>
            <w:shd w:val="clear" w:color="auto" w:fill="FFFFFF"/>
            <w:tcMar>
              <w:top w:w="110" w:type="dxa"/>
              <w:left w:w="58" w:type="dxa"/>
              <w:right w:w="58" w:type="dxa"/>
            </w:tcMar>
          </w:tcPr>
          <w:p w:rsidR="008F3D8D" w:rsidRPr="00BF569E" w:rsidRDefault="008F3D8D" w:rsidP="00A34E19">
            <w:pPr>
              <w:keepLines/>
              <w:rPr>
                <w:sz w:val="16"/>
                <w:szCs w:val="16"/>
              </w:rPr>
            </w:pPr>
            <w:r w:rsidRPr="00BF569E">
              <w:rPr>
                <w:sz w:val="16"/>
                <w:szCs w:val="16"/>
              </w:rPr>
              <w:t>La Asamblea General de la OMPI solo hará balance de los avances del CIG en su labor en octubre de 2017</w:t>
            </w:r>
          </w:p>
        </w:tc>
        <w:tc>
          <w:tcPr>
            <w:tcW w:w="388" w:type="pct"/>
            <w:gridSpan w:val="2"/>
            <w:shd w:val="clear" w:color="auto" w:fill="auto"/>
            <w:tcMar>
              <w:top w:w="110" w:type="dxa"/>
              <w:left w:w="58" w:type="dxa"/>
              <w:right w:w="58" w:type="dxa"/>
            </w:tcMar>
          </w:tcPr>
          <w:p w:rsidR="008F3D8D" w:rsidRPr="00BF569E" w:rsidRDefault="008F3D8D" w:rsidP="00A34E19">
            <w:pPr>
              <w:keepNext/>
              <w:keepLines/>
              <w:jc w:val="center"/>
              <w:rPr>
                <w:b/>
                <w:sz w:val="16"/>
                <w:szCs w:val="16"/>
              </w:rPr>
            </w:pPr>
            <w:r w:rsidRPr="00D01016">
              <w:rPr>
                <w:b/>
                <w:color w:val="0070C0"/>
                <w:sz w:val="16"/>
                <w:szCs w:val="16"/>
                <w:lang w:val="es-ES_tradnl"/>
              </w:rPr>
              <w:t>N.d. en 2016</w:t>
            </w:r>
          </w:p>
        </w:tc>
      </w:tr>
      <w:tr w:rsidR="008F3D8D" w:rsidRPr="00BF569E" w:rsidTr="00A34E19">
        <w:trPr>
          <w:gridAfter w:val="1"/>
          <w:wAfter w:w="5" w:type="pct"/>
          <w:trHeight w:val="648"/>
        </w:trPr>
        <w:tc>
          <w:tcPr>
            <w:tcW w:w="4995" w:type="pct"/>
            <w:gridSpan w:val="6"/>
            <w:shd w:val="clear" w:color="auto" w:fill="C6D9F1" w:themeFill="text2" w:themeFillTint="33"/>
            <w:tcMar>
              <w:left w:w="58" w:type="dxa"/>
              <w:right w:w="58" w:type="dxa"/>
            </w:tcMar>
            <w:vAlign w:val="center"/>
          </w:tcPr>
          <w:p w:rsidR="008F3D8D" w:rsidRPr="00BF569E" w:rsidRDefault="008F3D8D" w:rsidP="00A34E19">
            <w:pPr>
              <w:keepNext/>
              <w:keepLines/>
              <w:tabs>
                <w:tab w:val="left" w:pos="1452"/>
                <w:tab w:val="left" w:pos="1700"/>
              </w:tabs>
              <w:ind w:left="1700" w:hanging="1700"/>
              <w:rPr>
                <w:b/>
                <w:bCs/>
                <w:sz w:val="16"/>
                <w:szCs w:val="16"/>
              </w:rPr>
            </w:pPr>
            <w:r w:rsidRPr="00BF569E">
              <w:rPr>
                <w:b/>
                <w:bCs/>
                <w:sz w:val="16"/>
                <w:szCs w:val="16"/>
              </w:rPr>
              <w:t>Resultado previsto:</w:t>
            </w:r>
            <w:r w:rsidRPr="00BF569E">
              <w:rPr>
                <w:b/>
                <w:bCs/>
                <w:sz w:val="16"/>
                <w:szCs w:val="16"/>
              </w:rPr>
              <w:tab/>
            </w:r>
            <w:r w:rsidRPr="00BF569E">
              <w:rPr>
                <w:bCs/>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8F3D8D" w:rsidRPr="00BF569E" w:rsidTr="00A34E19">
        <w:trPr>
          <w:gridAfter w:val="1"/>
          <w:wAfter w:w="5" w:type="pct"/>
        </w:trPr>
        <w:tc>
          <w:tcPr>
            <w:tcW w:w="1056" w:type="pct"/>
            <w:shd w:val="clear" w:color="auto" w:fill="auto"/>
            <w:tcMar>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Indicadores de rendimiento</w:t>
            </w:r>
          </w:p>
        </w:tc>
        <w:tc>
          <w:tcPr>
            <w:tcW w:w="1525" w:type="pct"/>
            <w:shd w:val="clear" w:color="auto" w:fill="auto"/>
            <w:tcMar>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Referencia</w:t>
            </w:r>
            <w:r w:rsidR="00D01016">
              <w:rPr>
                <w:b/>
                <w:bCs/>
                <w:sz w:val="16"/>
                <w:szCs w:val="16"/>
                <w:lang w:val="es-ES_tradnl"/>
              </w:rPr>
              <w:t xml:space="preserve"> de base</w:t>
            </w:r>
          </w:p>
        </w:tc>
        <w:tc>
          <w:tcPr>
            <w:tcW w:w="639" w:type="pct"/>
            <w:shd w:val="clear" w:color="auto" w:fill="auto"/>
            <w:tcMar>
              <w:top w:w="110" w:type="dxa"/>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Objetivos</w:t>
            </w:r>
          </w:p>
        </w:tc>
        <w:tc>
          <w:tcPr>
            <w:tcW w:w="1387" w:type="pct"/>
            <w:shd w:val="clear" w:color="auto" w:fill="FFFFFF"/>
            <w:tcMar>
              <w:top w:w="110" w:type="dxa"/>
              <w:left w:w="58" w:type="dxa"/>
              <w:right w:w="58" w:type="dxa"/>
            </w:tcMar>
            <w:vAlign w:val="center"/>
          </w:tcPr>
          <w:p w:rsidR="008F3D8D" w:rsidRPr="00BF569E" w:rsidRDefault="008F3D8D" w:rsidP="00A34E19">
            <w:pPr>
              <w:keepLines/>
              <w:rPr>
                <w:b/>
                <w:bCs/>
                <w:sz w:val="16"/>
                <w:szCs w:val="16"/>
              </w:rPr>
            </w:pPr>
            <w:r w:rsidRPr="00BF569E">
              <w:rPr>
                <w:b/>
                <w:bCs/>
                <w:sz w:val="16"/>
                <w:szCs w:val="16"/>
                <w:lang w:val="es-ES_tradnl"/>
              </w:rPr>
              <w:t>Datos sobre el rendimiento</w:t>
            </w:r>
          </w:p>
        </w:tc>
        <w:tc>
          <w:tcPr>
            <w:tcW w:w="388" w:type="pct"/>
            <w:gridSpan w:val="2"/>
            <w:shd w:val="clear" w:color="auto" w:fill="auto"/>
            <w:tcMar>
              <w:top w:w="110" w:type="dxa"/>
              <w:left w:w="58" w:type="dxa"/>
              <w:right w:w="58" w:type="dxa"/>
            </w:tcMar>
            <w:vAlign w:val="center"/>
          </w:tcPr>
          <w:p w:rsidR="008F3D8D" w:rsidRPr="00BF569E" w:rsidRDefault="008F3D8D" w:rsidP="00A34E19">
            <w:pPr>
              <w:keepNext/>
              <w:keepLines/>
              <w:jc w:val="center"/>
              <w:rPr>
                <w:b/>
                <w:bCs/>
                <w:sz w:val="16"/>
                <w:szCs w:val="16"/>
              </w:rPr>
            </w:pPr>
            <w:r w:rsidRPr="00BF569E">
              <w:rPr>
                <w:b/>
                <w:bCs/>
                <w:sz w:val="16"/>
                <w:szCs w:val="16"/>
                <w:lang w:val="es-ES_tradnl"/>
              </w:rPr>
              <w:t>Clave de colores</w:t>
            </w:r>
          </w:p>
        </w:tc>
      </w:tr>
      <w:tr w:rsidR="008F3D8D" w:rsidRPr="00BF569E" w:rsidTr="00A34E19">
        <w:trPr>
          <w:gridAfter w:val="1"/>
          <w:wAfter w:w="5" w:type="pct"/>
          <w:trHeight w:val="315"/>
        </w:trPr>
        <w:tc>
          <w:tcPr>
            <w:tcW w:w="1056" w:type="pct"/>
            <w:shd w:val="clear" w:color="auto" w:fill="auto"/>
            <w:tcMar>
              <w:left w:w="58" w:type="dxa"/>
              <w:right w:w="58" w:type="dxa"/>
            </w:tcMar>
          </w:tcPr>
          <w:p w:rsidR="008F3D8D" w:rsidRPr="00BF569E" w:rsidRDefault="008F3D8D" w:rsidP="00A34E19">
            <w:pPr>
              <w:tabs>
                <w:tab w:val="left" w:pos="2043"/>
              </w:tabs>
              <w:ind w:right="199"/>
              <w:rPr>
                <w:sz w:val="16"/>
                <w:szCs w:val="16"/>
              </w:rPr>
            </w:pPr>
            <w:r w:rsidRPr="00BF569E">
              <w:rPr>
                <w:sz w:val="16"/>
                <w:szCs w:val="16"/>
              </w:rPr>
              <w:t>%</w:t>
            </w:r>
            <w:r w:rsidRPr="00BF569E">
              <w:rPr>
                <w:sz w:val="16"/>
                <w:szCs w:val="16"/>
                <w:lang w:val="es-ES_tradnl"/>
              </w:rPr>
              <w:t xml:space="preserve"> de participantes en actividades de la OMPI que informan de que han aumentado su capacidad para comprender y utilizar principios, sistemas y herramientas de P.I. para la protección de </w:t>
            </w:r>
            <w:r w:rsidRPr="00BF569E">
              <w:rPr>
                <w:sz w:val="16"/>
                <w:szCs w:val="16"/>
                <w:lang w:val="es-ES_tradnl"/>
              </w:rPr>
              <w:lastRenderedPageBreak/>
              <w:t>los CC.TT. y las ECT, y para la gestión de la relación entre la P.I. y los RR.GG.</w:t>
            </w:r>
          </w:p>
        </w:tc>
        <w:tc>
          <w:tcPr>
            <w:tcW w:w="1525" w:type="pct"/>
            <w:shd w:val="clear" w:color="auto" w:fill="auto"/>
            <w:tcMar>
              <w:left w:w="58" w:type="dxa"/>
              <w:right w:w="58" w:type="dxa"/>
            </w:tcMar>
          </w:tcPr>
          <w:p w:rsidR="008F3D8D" w:rsidRPr="00B65693" w:rsidRDefault="008F3D8D" w:rsidP="00A34E19">
            <w:pPr>
              <w:keepLines/>
              <w:rPr>
                <w:i/>
                <w:color w:val="002060"/>
                <w:sz w:val="16"/>
                <w:szCs w:val="16"/>
              </w:rPr>
            </w:pPr>
            <w:r w:rsidRPr="00B65693">
              <w:rPr>
                <w:i/>
                <w:color w:val="002060"/>
                <w:sz w:val="16"/>
                <w:szCs w:val="16"/>
                <w:lang w:val="es-ES_tradnl"/>
              </w:rPr>
              <w:lastRenderedPageBreak/>
              <w:t>Referencia actualizada a fines de 2015:</w:t>
            </w:r>
            <w:r w:rsidRPr="00B65693">
              <w:rPr>
                <w:i/>
                <w:color w:val="002060"/>
                <w:sz w:val="16"/>
                <w:szCs w:val="16"/>
              </w:rPr>
              <w:t xml:space="preserve">  </w:t>
            </w:r>
          </w:p>
          <w:p w:rsidR="008F3D8D" w:rsidRPr="00B65693" w:rsidRDefault="008F3D8D" w:rsidP="00A34E19">
            <w:pPr>
              <w:keepLines/>
              <w:rPr>
                <w:color w:val="002060"/>
                <w:sz w:val="16"/>
                <w:szCs w:val="16"/>
              </w:rPr>
            </w:pPr>
            <w:r w:rsidRPr="00B65693">
              <w:rPr>
                <w:color w:val="002060"/>
                <w:sz w:val="16"/>
                <w:szCs w:val="16"/>
                <w:lang w:val="es-ES_tradnl"/>
              </w:rPr>
              <w:t>El 92% (370 de 398) de los participantes ha respondido positivamente (cuestionario de evaluación utilizado en 15 actividades organizadas por la División de CC.TT. en 2014/15)</w:t>
            </w:r>
          </w:p>
          <w:p w:rsidR="008F3D8D" w:rsidRPr="00BF569E" w:rsidRDefault="008F3D8D" w:rsidP="00A34E19">
            <w:pPr>
              <w:keepLines/>
              <w:rPr>
                <w:sz w:val="16"/>
                <w:szCs w:val="16"/>
              </w:rPr>
            </w:pPr>
          </w:p>
          <w:p w:rsidR="008F3D8D" w:rsidRPr="00BF569E" w:rsidRDefault="008F3D8D" w:rsidP="00A34E19">
            <w:pPr>
              <w:ind w:right="-51"/>
              <w:rPr>
                <w:i/>
                <w:sz w:val="16"/>
                <w:szCs w:val="16"/>
              </w:rPr>
            </w:pPr>
            <w:r w:rsidRPr="00BF569E">
              <w:rPr>
                <w:i/>
                <w:sz w:val="16"/>
                <w:szCs w:val="16"/>
              </w:rPr>
              <w:lastRenderedPageBreak/>
              <w:t xml:space="preserve">Referencia original en el presupuesto de 2016/17:  </w:t>
            </w:r>
            <w:r w:rsidRPr="00BF569E">
              <w:rPr>
                <w:sz w:val="16"/>
                <w:szCs w:val="16"/>
              </w:rPr>
              <w:t>91% (163 de 179) participantes responden positivamente (cuestionario utilizado en 9 actividades organizadas por la División de CC.TT. en 2014)</w:t>
            </w:r>
          </w:p>
        </w:tc>
        <w:tc>
          <w:tcPr>
            <w:tcW w:w="639" w:type="pct"/>
            <w:shd w:val="clear" w:color="auto" w:fill="auto"/>
            <w:tcMar>
              <w:top w:w="110" w:type="dxa"/>
              <w:left w:w="58" w:type="dxa"/>
              <w:right w:w="58" w:type="dxa"/>
            </w:tcMar>
          </w:tcPr>
          <w:p w:rsidR="008F3D8D" w:rsidRPr="00B65693" w:rsidRDefault="008F3D8D" w:rsidP="00A34E19">
            <w:pPr>
              <w:ind w:left="-58"/>
              <w:rPr>
                <w:i/>
                <w:color w:val="002060"/>
                <w:sz w:val="16"/>
                <w:szCs w:val="16"/>
              </w:rPr>
            </w:pPr>
            <w:r w:rsidRPr="00B65693">
              <w:rPr>
                <w:i/>
                <w:color w:val="002060"/>
                <w:sz w:val="16"/>
                <w:szCs w:val="16"/>
              </w:rPr>
              <w:lastRenderedPageBreak/>
              <w:t xml:space="preserve">Objetivo actualizado:  </w:t>
            </w:r>
          </w:p>
          <w:p w:rsidR="008F3D8D" w:rsidRPr="00B65693" w:rsidRDefault="008F3D8D" w:rsidP="00A34E19">
            <w:pPr>
              <w:rPr>
                <w:color w:val="002060"/>
                <w:sz w:val="16"/>
                <w:szCs w:val="16"/>
              </w:rPr>
            </w:pPr>
            <w:r w:rsidRPr="00B65693">
              <w:rPr>
                <w:color w:val="002060"/>
                <w:sz w:val="16"/>
                <w:szCs w:val="16"/>
              </w:rPr>
              <w:t>90%</w:t>
            </w:r>
          </w:p>
          <w:p w:rsidR="008F3D8D" w:rsidRPr="00BF569E" w:rsidRDefault="008F3D8D" w:rsidP="00A34E19">
            <w:pPr>
              <w:rPr>
                <w:sz w:val="16"/>
                <w:szCs w:val="16"/>
              </w:rPr>
            </w:pPr>
          </w:p>
          <w:p w:rsidR="008F3D8D" w:rsidRPr="00BF569E" w:rsidRDefault="008F3D8D" w:rsidP="00A34E19">
            <w:pPr>
              <w:rPr>
                <w:i/>
                <w:sz w:val="16"/>
                <w:szCs w:val="16"/>
                <w:lang w:bidi="th-TH"/>
              </w:rPr>
            </w:pPr>
            <w:r w:rsidRPr="00BF569E">
              <w:rPr>
                <w:i/>
                <w:sz w:val="16"/>
                <w:szCs w:val="16"/>
                <w:lang w:val="es-ES_tradnl" w:bidi="th-TH"/>
              </w:rPr>
              <w:t>Objetivo original en el presup. de 2016/17:</w:t>
            </w:r>
            <w:r w:rsidRPr="00BF569E">
              <w:rPr>
                <w:i/>
                <w:sz w:val="16"/>
                <w:szCs w:val="16"/>
                <w:lang w:bidi="th-TH"/>
              </w:rPr>
              <w:t xml:space="preserve">  </w:t>
            </w:r>
          </w:p>
          <w:p w:rsidR="008F3D8D" w:rsidRPr="00BF569E" w:rsidRDefault="008F3D8D" w:rsidP="00A34E19">
            <w:pPr>
              <w:rPr>
                <w:sz w:val="16"/>
                <w:szCs w:val="16"/>
              </w:rPr>
            </w:pPr>
            <w:r w:rsidRPr="00BF569E">
              <w:rPr>
                <w:sz w:val="16"/>
                <w:szCs w:val="16"/>
              </w:rPr>
              <w:t>80%</w:t>
            </w:r>
          </w:p>
        </w:tc>
        <w:tc>
          <w:tcPr>
            <w:tcW w:w="1387" w:type="pct"/>
            <w:shd w:val="clear" w:color="auto" w:fill="FFFFFF"/>
            <w:tcMar>
              <w:top w:w="110" w:type="dxa"/>
              <w:left w:w="58" w:type="dxa"/>
              <w:right w:w="58" w:type="dxa"/>
            </w:tcMar>
          </w:tcPr>
          <w:p w:rsidR="008F3D8D" w:rsidRPr="00BF569E" w:rsidRDefault="008F3D8D" w:rsidP="00A34E19">
            <w:pPr>
              <w:keepLines/>
              <w:rPr>
                <w:sz w:val="16"/>
                <w:szCs w:val="16"/>
              </w:rPr>
            </w:pPr>
            <w:r w:rsidRPr="00BF569E">
              <w:rPr>
                <w:sz w:val="16"/>
                <w:szCs w:val="16"/>
              </w:rPr>
              <w:t xml:space="preserve">El 92% de participantes (46 de 50 en 4 actividades) responde positivamente </w:t>
            </w:r>
          </w:p>
        </w:tc>
        <w:tc>
          <w:tcPr>
            <w:tcW w:w="388" w:type="pct"/>
            <w:gridSpan w:val="2"/>
            <w:shd w:val="clear" w:color="auto" w:fill="auto"/>
            <w:tcMar>
              <w:top w:w="110" w:type="dxa"/>
              <w:left w:w="58" w:type="dxa"/>
              <w:right w:w="58" w:type="dxa"/>
            </w:tcMar>
          </w:tcPr>
          <w:p w:rsidR="008F3D8D" w:rsidRPr="00BF569E" w:rsidRDefault="008F3D8D" w:rsidP="00A34E19">
            <w:pPr>
              <w:keepNext/>
              <w:keepLines/>
              <w:jc w:val="center"/>
              <w:rPr>
                <w:b/>
                <w:sz w:val="16"/>
                <w:szCs w:val="16"/>
              </w:rPr>
            </w:pPr>
            <w:r w:rsidRPr="00BF569E">
              <w:rPr>
                <w:b/>
                <w:color w:val="00B050"/>
                <w:sz w:val="16"/>
                <w:szCs w:val="16"/>
                <w:lang w:val="es-ES_tradnl"/>
              </w:rPr>
              <w:t>Avanza</w:t>
            </w:r>
          </w:p>
        </w:tc>
      </w:tr>
    </w:tbl>
    <w:p w:rsidR="008F3D8D" w:rsidRPr="00BF569E" w:rsidRDefault="008F3D8D"/>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8F3D8D" w:rsidRPr="00BF569E" w:rsidTr="00A34E19">
        <w:trPr>
          <w:trHeight w:val="423"/>
          <w:jc w:val="center"/>
        </w:trPr>
        <w:tc>
          <w:tcPr>
            <w:tcW w:w="9287" w:type="dxa"/>
            <w:shd w:val="clear" w:color="auto" w:fill="C6D9F1" w:themeFill="text2" w:themeFillTint="33"/>
            <w:vAlign w:val="center"/>
          </w:tcPr>
          <w:p w:rsidR="008F3D8D" w:rsidRPr="00BF569E" w:rsidRDefault="008F3D8D" w:rsidP="00A34E19">
            <w:pPr>
              <w:keepNext/>
              <w:keepLines/>
              <w:jc w:val="center"/>
              <w:rPr>
                <w:b/>
                <w:sz w:val="20"/>
              </w:rPr>
            </w:pPr>
            <w:r w:rsidRPr="00BF569E">
              <w:rPr>
                <w:sz w:val="20"/>
              </w:rPr>
              <w:br w:type="page"/>
            </w:r>
            <w:r w:rsidRPr="00BF569E">
              <w:rPr>
                <w:b/>
                <w:sz w:val="20"/>
                <w:lang w:val="es-ES_tradnl"/>
              </w:rPr>
              <w:t>Utilización de los recursos del programa 4</w:t>
            </w:r>
          </w:p>
        </w:tc>
      </w:tr>
    </w:tbl>
    <w:p w:rsidR="008F3D8D" w:rsidRPr="00BF569E" w:rsidRDefault="008F3D8D" w:rsidP="00A34E19">
      <w:pPr>
        <w:rPr>
          <w:sz w:val="20"/>
        </w:rPr>
      </w:pPr>
    </w:p>
    <w:p w:rsidR="008F3D8D" w:rsidRPr="00BF569E" w:rsidRDefault="008F3D8D" w:rsidP="00A34E19">
      <w:pPr>
        <w:pStyle w:val="NormalWeb"/>
        <w:keepNext/>
        <w:keepLines/>
        <w:spacing w:before="0" w:beforeAutospacing="0" w:after="0" w:afterAutospacing="0"/>
        <w:jc w:val="center"/>
        <w:rPr>
          <w:lang w:val="es-ES"/>
        </w:rPr>
      </w:pPr>
      <w:r w:rsidRPr="00BF569E">
        <w:rPr>
          <w:lang w:val="es-ES_tradnl"/>
        </w:rPr>
        <w:t>Presupuesto y gastos reales (por resultado)</w:t>
      </w:r>
    </w:p>
    <w:p w:rsidR="008F3D8D" w:rsidRPr="00BF569E" w:rsidRDefault="008F3D8D" w:rsidP="00A34E19">
      <w:pPr>
        <w:pStyle w:val="NormalWeb"/>
        <w:keepNext/>
        <w:keepLines/>
        <w:spacing w:before="0" w:beforeAutospacing="0" w:after="0" w:afterAutospacing="0"/>
        <w:jc w:val="center"/>
        <w:rPr>
          <w:i/>
          <w:iCs/>
          <w:sz w:val="16"/>
          <w:szCs w:val="16"/>
          <w:lang w:val="es-ES"/>
        </w:rPr>
      </w:pPr>
      <w:r w:rsidRPr="00BF569E">
        <w:rPr>
          <w:i/>
          <w:iCs/>
          <w:sz w:val="16"/>
          <w:szCs w:val="16"/>
          <w:lang w:val="es-ES_tradnl"/>
        </w:rPr>
        <w:t>(en miles de francos suizos)</w:t>
      </w:r>
    </w:p>
    <w:p w:rsidR="008F3D8D" w:rsidRPr="00BF569E" w:rsidRDefault="008F3D8D" w:rsidP="00A34E19">
      <w:pPr>
        <w:rPr>
          <w:sz w:val="20"/>
        </w:rPr>
      </w:pPr>
    </w:p>
    <w:tbl>
      <w:tblPr>
        <w:tblW w:w="8222" w:type="dxa"/>
        <w:jc w:val="center"/>
        <w:tblLook w:val="04A0" w:firstRow="1" w:lastRow="0" w:firstColumn="1" w:lastColumn="0" w:noHBand="0" w:noVBand="1"/>
      </w:tblPr>
      <w:tblGrid>
        <w:gridCol w:w="483"/>
        <w:gridCol w:w="4237"/>
        <w:gridCol w:w="1186"/>
        <w:gridCol w:w="1310"/>
        <w:gridCol w:w="1171"/>
      </w:tblGrid>
      <w:tr w:rsidR="008F3D8D" w:rsidRPr="00BF569E" w:rsidTr="00A34E19">
        <w:trPr>
          <w:trHeight w:val="825"/>
          <w:jc w:val="center"/>
        </w:trPr>
        <w:tc>
          <w:tcPr>
            <w:tcW w:w="4714" w:type="dxa"/>
            <w:gridSpan w:val="2"/>
            <w:tcBorders>
              <w:top w:val="nil"/>
              <w:left w:val="nil"/>
              <w:bottom w:val="nil"/>
              <w:right w:val="nil"/>
            </w:tcBorders>
            <w:shd w:val="clear" w:color="000000" w:fill="C5D9F1"/>
            <w:noWrap/>
            <w:vAlign w:val="center"/>
            <w:hideMark/>
          </w:tcPr>
          <w:p w:rsidR="008F3D8D" w:rsidRPr="00BF569E" w:rsidRDefault="008F3D8D" w:rsidP="00A34E19">
            <w:pPr>
              <w:jc w:val="center"/>
              <w:rPr>
                <w:b/>
                <w:bCs/>
                <w:sz w:val="16"/>
                <w:szCs w:val="16"/>
              </w:rPr>
            </w:pPr>
            <w:r w:rsidRPr="00BF569E">
              <w:rPr>
                <w:b/>
                <w:bCs/>
                <w:sz w:val="16"/>
                <w:szCs w:val="16"/>
                <w:lang w:val="es-ES_tradnl"/>
              </w:rPr>
              <w:t>Número del resultado previsto y descripción</w:t>
            </w:r>
            <w:r w:rsidRPr="00BF569E">
              <w:rPr>
                <w:b/>
                <w:bCs/>
                <w:sz w:val="16"/>
                <w:szCs w:val="16"/>
              </w:rPr>
              <w:t xml:space="preserve"> </w:t>
            </w:r>
          </w:p>
        </w:tc>
        <w:tc>
          <w:tcPr>
            <w:tcW w:w="1158"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rPr>
              <w:t xml:space="preserve"> </w:t>
            </w:r>
            <w:r w:rsidRPr="00BF569E">
              <w:rPr>
                <w:b/>
                <w:bCs/>
                <w:sz w:val="16"/>
                <w:szCs w:val="16"/>
                <w:lang w:val="es-ES_tradnl"/>
              </w:rPr>
              <w:t>Presupuesto aprobado de 2016/17</w:t>
            </w:r>
            <w:r w:rsidRPr="00BF569E">
              <w:rPr>
                <w:b/>
                <w:bCs/>
                <w:sz w:val="16"/>
                <w:szCs w:val="16"/>
              </w:rPr>
              <w:t xml:space="preserve"> </w:t>
            </w:r>
          </w:p>
        </w:tc>
        <w:tc>
          <w:tcPr>
            <w:tcW w:w="1157"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rPr>
              <w:t xml:space="preserve"> </w:t>
            </w:r>
            <w:r w:rsidRPr="00BF569E">
              <w:rPr>
                <w:b/>
                <w:bCs/>
                <w:sz w:val="16"/>
                <w:szCs w:val="16"/>
                <w:lang w:val="es-ES_tradnl"/>
              </w:rPr>
              <w:t>Presupuesto de 2016/17 tras las transferencias</w:t>
            </w:r>
            <w:r w:rsidRPr="00BF569E">
              <w:rPr>
                <w:b/>
                <w:bCs/>
                <w:sz w:val="16"/>
                <w:szCs w:val="16"/>
              </w:rPr>
              <w:t xml:space="preserve"> </w:t>
            </w:r>
          </w:p>
        </w:tc>
        <w:tc>
          <w:tcPr>
            <w:tcW w:w="1171"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rPr>
              <w:t xml:space="preserve"> </w:t>
            </w:r>
            <w:r w:rsidRPr="00BF569E">
              <w:rPr>
                <w:b/>
                <w:bCs/>
                <w:sz w:val="16"/>
                <w:szCs w:val="16"/>
                <w:lang w:val="es-ES_tradnl"/>
              </w:rPr>
              <w:t>Gastos en 2016*</w:t>
            </w:r>
            <w:r w:rsidRPr="00BF569E">
              <w:rPr>
                <w:b/>
                <w:bCs/>
                <w:sz w:val="16"/>
                <w:szCs w:val="16"/>
              </w:rPr>
              <w:t xml:space="preserve"> </w:t>
            </w:r>
          </w:p>
        </w:tc>
      </w:tr>
      <w:tr w:rsidR="008F3D8D" w:rsidRPr="00BF569E" w:rsidTr="00A34E19">
        <w:trPr>
          <w:trHeight w:val="825"/>
          <w:jc w:val="center"/>
        </w:trPr>
        <w:tc>
          <w:tcPr>
            <w:tcW w:w="477" w:type="dxa"/>
            <w:tcBorders>
              <w:top w:val="nil"/>
              <w:left w:val="nil"/>
              <w:bottom w:val="nil"/>
              <w:right w:val="nil"/>
            </w:tcBorders>
            <w:shd w:val="clear" w:color="auto" w:fill="auto"/>
            <w:noWrap/>
            <w:vAlign w:val="center"/>
            <w:hideMark/>
          </w:tcPr>
          <w:p w:rsidR="008F3D8D" w:rsidRPr="00BF569E" w:rsidRDefault="008F3D8D" w:rsidP="00A34E19">
            <w:pPr>
              <w:rPr>
                <w:sz w:val="16"/>
                <w:szCs w:val="16"/>
              </w:rPr>
            </w:pPr>
            <w:r w:rsidRPr="00BF569E">
              <w:rPr>
                <w:sz w:val="16"/>
                <w:szCs w:val="16"/>
              </w:rPr>
              <w:t>I.1</w:t>
            </w:r>
          </w:p>
        </w:tc>
        <w:tc>
          <w:tcPr>
            <w:tcW w:w="4237" w:type="dxa"/>
            <w:tcBorders>
              <w:top w:val="nil"/>
              <w:left w:val="nil"/>
              <w:bottom w:val="nil"/>
              <w:right w:val="nil"/>
            </w:tcBorders>
            <w:shd w:val="clear" w:color="auto" w:fill="auto"/>
            <w:vAlign w:val="center"/>
            <w:hideMark/>
          </w:tcPr>
          <w:p w:rsidR="008F3D8D" w:rsidRPr="00BF569E" w:rsidRDefault="008F3D8D" w:rsidP="00A34E19">
            <w:pPr>
              <w:rPr>
                <w:sz w:val="16"/>
                <w:szCs w:val="16"/>
              </w:rPr>
            </w:pPr>
            <w:r w:rsidRPr="00BF569E">
              <w:rPr>
                <w:sz w:val="16"/>
                <w:szCs w:val="16"/>
                <w:lang w:val="es-ES_tradnl"/>
              </w:rPr>
              <w:t>Mayor cooperación entre los Estados miembros en la elaboración de marcos normativos internacionales de P.I. equilibrados</w:t>
            </w:r>
            <w:r w:rsidRPr="00BF569E">
              <w:rPr>
                <w:sz w:val="16"/>
                <w:szCs w:val="16"/>
              </w:rPr>
              <w:t xml:space="preserve"> </w:t>
            </w:r>
          </w:p>
        </w:tc>
        <w:tc>
          <w:tcPr>
            <w:tcW w:w="1158" w:type="dxa"/>
            <w:tcBorders>
              <w:top w:val="nil"/>
              <w:left w:val="nil"/>
              <w:bottom w:val="nil"/>
              <w:right w:val="nil"/>
            </w:tcBorders>
            <w:shd w:val="clear" w:color="auto" w:fill="auto"/>
            <w:noWrap/>
            <w:vAlign w:val="center"/>
            <w:hideMark/>
          </w:tcPr>
          <w:p w:rsidR="008F3D8D" w:rsidRPr="00BF569E" w:rsidRDefault="008F3D8D" w:rsidP="00A34E19">
            <w:pPr>
              <w:jc w:val="center"/>
              <w:rPr>
                <w:sz w:val="16"/>
                <w:szCs w:val="16"/>
              </w:rPr>
            </w:pPr>
            <w:r w:rsidRPr="00BF569E">
              <w:rPr>
                <w:sz w:val="16"/>
                <w:szCs w:val="16"/>
              </w:rPr>
              <w:t>4.116</w:t>
            </w:r>
          </w:p>
        </w:tc>
        <w:tc>
          <w:tcPr>
            <w:tcW w:w="1157" w:type="dxa"/>
            <w:tcBorders>
              <w:top w:val="nil"/>
              <w:left w:val="nil"/>
              <w:bottom w:val="nil"/>
              <w:right w:val="nil"/>
            </w:tcBorders>
            <w:shd w:val="clear" w:color="auto" w:fill="auto"/>
            <w:noWrap/>
            <w:vAlign w:val="center"/>
            <w:hideMark/>
          </w:tcPr>
          <w:p w:rsidR="008F3D8D" w:rsidRPr="00BF569E" w:rsidRDefault="008F3D8D" w:rsidP="00A34E19">
            <w:pPr>
              <w:jc w:val="center"/>
              <w:rPr>
                <w:sz w:val="16"/>
                <w:szCs w:val="16"/>
              </w:rPr>
            </w:pPr>
            <w:r w:rsidRPr="00BF569E">
              <w:rPr>
                <w:sz w:val="16"/>
                <w:szCs w:val="16"/>
              </w:rPr>
              <w:t>4.052</w:t>
            </w:r>
          </w:p>
        </w:tc>
        <w:tc>
          <w:tcPr>
            <w:tcW w:w="1171" w:type="dxa"/>
            <w:tcBorders>
              <w:top w:val="nil"/>
              <w:left w:val="nil"/>
              <w:bottom w:val="nil"/>
              <w:right w:val="nil"/>
            </w:tcBorders>
            <w:shd w:val="clear" w:color="auto" w:fill="auto"/>
            <w:noWrap/>
            <w:vAlign w:val="center"/>
            <w:hideMark/>
          </w:tcPr>
          <w:p w:rsidR="008F3D8D" w:rsidRPr="00BF569E" w:rsidRDefault="008F3D8D" w:rsidP="00A34E19">
            <w:pPr>
              <w:jc w:val="center"/>
              <w:rPr>
                <w:sz w:val="16"/>
                <w:szCs w:val="16"/>
              </w:rPr>
            </w:pPr>
            <w:r w:rsidRPr="00BF569E">
              <w:rPr>
                <w:sz w:val="16"/>
                <w:szCs w:val="16"/>
              </w:rPr>
              <w:t>2.147</w:t>
            </w:r>
          </w:p>
        </w:tc>
      </w:tr>
      <w:tr w:rsidR="008F3D8D" w:rsidRPr="00BF569E" w:rsidTr="00A34E19">
        <w:trPr>
          <w:trHeight w:val="825"/>
          <w:jc w:val="center"/>
        </w:trPr>
        <w:tc>
          <w:tcPr>
            <w:tcW w:w="477" w:type="dxa"/>
            <w:tcBorders>
              <w:top w:val="nil"/>
              <w:left w:val="nil"/>
              <w:bottom w:val="nil"/>
              <w:right w:val="nil"/>
            </w:tcBorders>
            <w:shd w:val="clear" w:color="auto" w:fill="auto"/>
            <w:noWrap/>
            <w:vAlign w:val="center"/>
            <w:hideMark/>
          </w:tcPr>
          <w:p w:rsidR="008F3D8D" w:rsidRPr="00BF569E" w:rsidRDefault="008F3D8D" w:rsidP="00A34E19">
            <w:pPr>
              <w:rPr>
                <w:sz w:val="16"/>
                <w:szCs w:val="16"/>
              </w:rPr>
            </w:pPr>
            <w:r w:rsidRPr="00BF569E">
              <w:rPr>
                <w:sz w:val="16"/>
                <w:szCs w:val="16"/>
              </w:rPr>
              <w:t>III.2</w:t>
            </w:r>
          </w:p>
        </w:tc>
        <w:tc>
          <w:tcPr>
            <w:tcW w:w="4237" w:type="dxa"/>
            <w:tcBorders>
              <w:top w:val="nil"/>
              <w:left w:val="nil"/>
              <w:bottom w:val="nil"/>
              <w:right w:val="nil"/>
            </w:tcBorders>
            <w:shd w:val="clear" w:color="auto" w:fill="auto"/>
            <w:vAlign w:val="center"/>
            <w:hideMark/>
          </w:tcPr>
          <w:p w:rsidR="008F3D8D" w:rsidRPr="00BF569E" w:rsidRDefault="008F3D8D" w:rsidP="00A34E19">
            <w:pPr>
              <w:rPr>
                <w:sz w:val="16"/>
                <w:szCs w:val="16"/>
              </w:rPr>
            </w:pPr>
            <w:r w:rsidRPr="00BF569E">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58" w:type="dxa"/>
            <w:tcBorders>
              <w:top w:val="nil"/>
              <w:left w:val="nil"/>
              <w:bottom w:val="nil"/>
              <w:right w:val="nil"/>
            </w:tcBorders>
            <w:shd w:val="clear" w:color="auto" w:fill="auto"/>
            <w:noWrap/>
            <w:vAlign w:val="center"/>
            <w:hideMark/>
          </w:tcPr>
          <w:p w:rsidR="008F3D8D" w:rsidRPr="00BF569E" w:rsidRDefault="008F3D8D" w:rsidP="00A34E19">
            <w:pPr>
              <w:jc w:val="center"/>
              <w:rPr>
                <w:sz w:val="16"/>
                <w:szCs w:val="16"/>
              </w:rPr>
            </w:pPr>
            <w:r w:rsidRPr="00BF569E">
              <w:rPr>
                <w:sz w:val="16"/>
                <w:szCs w:val="16"/>
              </w:rPr>
              <w:t>1.999</w:t>
            </w:r>
          </w:p>
        </w:tc>
        <w:tc>
          <w:tcPr>
            <w:tcW w:w="1157" w:type="dxa"/>
            <w:tcBorders>
              <w:top w:val="nil"/>
              <w:left w:val="nil"/>
              <w:bottom w:val="nil"/>
              <w:right w:val="nil"/>
            </w:tcBorders>
            <w:shd w:val="clear" w:color="auto" w:fill="auto"/>
            <w:noWrap/>
            <w:vAlign w:val="center"/>
            <w:hideMark/>
          </w:tcPr>
          <w:p w:rsidR="008F3D8D" w:rsidRPr="00BF569E" w:rsidRDefault="008F3D8D" w:rsidP="00A34E19">
            <w:pPr>
              <w:jc w:val="center"/>
              <w:rPr>
                <w:sz w:val="16"/>
                <w:szCs w:val="16"/>
              </w:rPr>
            </w:pPr>
            <w:r w:rsidRPr="00BF569E">
              <w:rPr>
                <w:sz w:val="16"/>
                <w:szCs w:val="16"/>
              </w:rPr>
              <w:t>2.635</w:t>
            </w:r>
          </w:p>
        </w:tc>
        <w:tc>
          <w:tcPr>
            <w:tcW w:w="1171" w:type="dxa"/>
            <w:tcBorders>
              <w:top w:val="nil"/>
              <w:left w:val="nil"/>
              <w:bottom w:val="nil"/>
              <w:right w:val="nil"/>
            </w:tcBorders>
            <w:shd w:val="clear" w:color="auto" w:fill="auto"/>
            <w:noWrap/>
            <w:vAlign w:val="center"/>
            <w:hideMark/>
          </w:tcPr>
          <w:p w:rsidR="008F3D8D" w:rsidRPr="00BF569E" w:rsidRDefault="008F3D8D" w:rsidP="00A34E19">
            <w:pPr>
              <w:jc w:val="center"/>
              <w:rPr>
                <w:sz w:val="16"/>
                <w:szCs w:val="16"/>
              </w:rPr>
            </w:pPr>
            <w:r w:rsidRPr="00BF569E">
              <w:rPr>
                <w:sz w:val="16"/>
                <w:szCs w:val="16"/>
              </w:rPr>
              <w:t>898</w:t>
            </w:r>
          </w:p>
        </w:tc>
      </w:tr>
      <w:tr w:rsidR="008F3D8D" w:rsidRPr="00BF569E" w:rsidTr="00A34E19">
        <w:trPr>
          <w:trHeight w:val="225"/>
          <w:jc w:val="center"/>
        </w:trPr>
        <w:tc>
          <w:tcPr>
            <w:tcW w:w="477" w:type="dxa"/>
            <w:tcBorders>
              <w:top w:val="nil"/>
              <w:left w:val="nil"/>
              <w:bottom w:val="nil"/>
              <w:right w:val="nil"/>
            </w:tcBorders>
            <w:shd w:val="clear" w:color="000000" w:fill="C5D9F1"/>
            <w:noWrap/>
            <w:vAlign w:val="bottom"/>
            <w:hideMark/>
          </w:tcPr>
          <w:p w:rsidR="008F3D8D" w:rsidRPr="00BF569E" w:rsidRDefault="008F3D8D" w:rsidP="00A34E19">
            <w:pPr>
              <w:rPr>
                <w:sz w:val="16"/>
                <w:szCs w:val="16"/>
              </w:rPr>
            </w:pPr>
            <w:r w:rsidRPr="00BF569E">
              <w:rPr>
                <w:sz w:val="16"/>
                <w:szCs w:val="16"/>
              </w:rPr>
              <w:t> </w:t>
            </w:r>
          </w:p>
        </w:tc>
        <w:tc>
          <w:tcPr>
            <w:tcW w:w="4237" w:type="dxa"/>
            <w:tcBorders>
              <w:top w:val="nil"/>
              <w:left w:val="nil"/>
              <w:bottom w:val="nil"/>
              <w:right w:val="nil"/>
            </w:tcBorders>
            <w:shd w:val="clear" w:color="000000" w:fill="C5D9F1"/>
            <w:noWrap/>
            <w:vAlign w:val="bottom"/>
            <w:hideMark/>
          </w:tcPr>
          <w:p w:rsidR="008F3D8D" w:rsidRPr="00BF569E" w:rsidRDefault="008F3D8D" w:rsidP="00A34E19">
            <w:pPr>
              <w:jc w:val="right"/>
              <w:rPr>
                <w:b/>
                <w:bCs/>
                <w:sz w:val="16"/>
                <w:szCs w:val="16"/>
              </w:rPr>
            </w:pPr>
            <w:r w:rsidRPr="00BF569E">
              <w:rPr>
                <w:b/>
                <w:bCs/>
                <w:sz w:val="16"/>
                <w:szCs w:val="16"/>
                <w:lang w:val="es-ES_tradnl"/>
              </w:rPr>
              <w:t>Total</w:t>
            </w:r>
          </w:p>
        </w:tc>
        <w:tc>
          <w:tcPr>
            <w:tcW w:w="1158" w:type="dxa"/>
            <w:tcBorders>
              <w:top w:val="nil"/>
              <w:left w:val="nil"/>
              <w:bottom w:val="nil"/>
              <w:right w:val="nil"/>
            </w:tcBorders>
            <w:shd w:val="clear" w:color="000000" w:fill="C5D9F1"/>
            <w:noWrap/>
            <w:vAlign w:val="center"/>
            <w:hideMark/>
          </w:tcPr>
          <w:p w:rsidR="008F3D8D" w:rsidRPr="00BF569E" w:rsidRDefault="008F3D8D" w:rsidP="00A34E19">
            <w:pPr>
              <w:jc w:val="center"/>
              <w:rPr>
                <w:sz w:val="16"/>
                <w:szCs w:val="16"/>
              </w:rPr>
            </w:pPr>
            <w:r w:rsidRPr="00BF569E">
              <w:rPr>
                <w:sz w:val="16"/>
                <w:szCs w:val="16"/>
              </w:rPr>
              <w:t>6.115</w:t>
            </w:r>
          </w:p>
        </w:tc>
        <w:tc>
          <w:tcPr>
            <w:tcW w:w="1157" w:type="dxa"/>
            <w:tcBorders>
              <w:top w:val="nil"/>
              <w:left w:val="nil"/>
              <w:bottom w:val="nil"/>
              <w:right w:val="nil"/>
            </w:tcBorders>
            <w:shd w:val="clear" w:color="000000" w:fill="C5D9F1"/>
            <w:noWrap/>
            <w:vAlign w:val="center"/>
            <w:hideMark/>
          </w:tcPr>
          <w:p w:rsidR="008F3D8D" w:rsidRPr="00BF569E" w:rsidRDefault="008F3D8D" w:rsidP="00A34E19">
            <w:pPr>
              <w:jc w:val="center"/>
              <w:rPr>
                <w:sz w:val="16"/>
                <w:szCs w:val="16"/>
              </w:rPr>
            </w:pPr>
            <w:r w:rsidRPr="00BF569E">
              <w:rPr>
                <w:sz w:val="16"/>
                <w:szCs w:val="16"/>
              </w:rPr>
              <w:t>6.686</w:t>
            </w:r>
          </w:p>
        </w:tc>
        <w:tc>
          <w:tcPr>
            <w:tcW w:w="1171" w:type="dxa"/>
            <w:tcBorders>
              <w:top w:val="nil"/>
              <w:left w:val="nil"/>
              <w:bottom w:val="nil"/>
              <w:right w:val="nil"/>
            </w:tcBorders>
            <w:shd w:val="clear" w:color="000000" w:fill="C5D9F1"/>
            <w:noWrap/>
            <w:vAlign w:val="center"/>
            <w:hideMark/>
          </w:tcPr>
          <w:p w:rsidR="008F3D8D" w:rsidRPr="00BF569E" w:rsidRDefault="008F3D8D" w:rsidP="00A34E19">
            <w:pPr>
              <w:jc w:val="center"/>
              <w:rPr>
                <w:sz w:val="16"/>
                <w:szCs w:val="16"/>
              </w:rPr>
            </w:pPr>
            <w:r w:rsidRPr="00BF569E">
              <w:rPr>
                <w:sz w:val="16"/>
                <w:szCs w:val="16"/>
              </w:rPr>
              <w:t>3.045</w:t>
            </w:r>
          </w:p>
        </w:tc>
      </w:tr>
      <w:tr w:rsidR="008F3D8D" w:rsidRPr="00BF569E" w:rsidTr="00A34E19">
        <w:trPr>
          <w:trHeight w:val="330"/>
          <w:jc w:val="center"/>
        </w:trPr>
        <w:tc>
          <w:tcPr>
            <w:tcW w:w="7029" w:type="dxa"/>
            <w:gridSpan w:val="4"/>
            <w:tcBorders>
              <w:top w:val="nil"/>
              <w:left w:val="nil"/>
              <w:bottom w:val="nil"/>
              <w:right w:val="nil"/>
            </w:tcBorders>
            <w:shd w:val="clear" w:color="auto" w:fill="auto"/>
            <w:noWrap/>
            <w:vAlign w:val="center"/>
            <w:hideMark/>
          </w:tcPr>
          <w:p w:rsidR="008F3D8D" w:rsidRPr="00BF569E" w:rsidRDefault="008F3D8D" w:rsidP="00A34E19">
            <w:pPr>
              <w:rPr>
                <w:i/>
                <w:iCs/>
                <w:sz w:val="16"/>
                <w:szCs w:val="16"/>
              </w:rPr>
            </w:pPr>
            <w:r w:rsidRPr="00BF569E">
              <w:rPr>
                <w:i/>
                <w:iCs/>
                <w:sz w:val="16"/>
                <w:szCs w:val="16"/>
                <w:lang w:val="es-ES_tradnl"/>
              </w:rPr>
              <w:t>*Las cifras de gastos en 2016 son preliminares, a reserva de verificación por el Auditor Externo.</w:t>
            </w:r>
          </w:p>
        </w:tc>
        <w:tc>
          <w:tcPr>
            <w:tcW w:w="1171" w:type="dxa"/>
            <w:tcBorders>
              <w:top w:val="nil"/>
              <w:left w:val="nil"/>
              <w:bottom w:val="nil"/>
              <w:right w:val="nil"/>
            </w:tcBorders>
            <w:shd w:val="clear" w:color="auto" w:fill="auto"/>
            <w:noWrap/>
            <w:vAlign w:val="bottom"/>
            <w:hideMark/>
          </w:tcPr>
          <w:p w:rsidR="008F3D8D" w:rsidRPr="00BF569E" w:rsidRDefault="008F3D8D" w:rsidP="00A34E19">
            <w:pPr>
              <w:rPr>
                <w:sz w:val="16"/>
                <w:szCs w:val="16"/>
              </w:rPr>
            </w:pPr>
          </w:p>
        </w:tc>
      </w:tr>
    </w:tbl>
    <w:p w:rsidR="008F3D8D" w:rsidRPr="00BF569E" w:rsidRDefault="008F3D8D" w:rsidP="00A34E19">
      <w:pPr>
        <w:rPr>
          <w:sz w:val="20"/>
        </w:rPr>
      </w:pPr>
    </w:p>
    <w:p w:rsidR="008F3D8D" w:rsidRPr="00BF569E" w:rsidRDefault="008F3D8D" w:rsidP="00A34E19">
      <w:pPr>
        <w:pStyle w:val="NormalWeb"/>
        <w:keepNext/>
        <w:keepLines/>
        <w:spacing w:before="0" w:beforeAutospacing="0" w:after="0" w:afterAutospacing="0"/>
        <w:jc w:val="center"/>
        <w:rPr>
          <w:lang w:val="es-ES"/>
        </w:rPr>
      </w:pPr>
      <w:r w:rsidRPr="00BF569E">
        <w:rPr>
          <w:lang w:val="es-ES_tradnl"/>
        </w:rPr>
        <w:t>Presupuesto y gastos reales (de personal y no relativos a personal)</w:t>
      </w:r>
      <w:r w:rsidRPr="00BF569E">
        <w:rPr>
          <w:lang w:val="es-ES"/>
        </w:rPr>
        <w:t xml:space="preserve"> </w:t>
      </w:r>
    </w:p>
    <w:p w:rsidR="008F3D8D" w:rsidRPr="00BF569E" w:rsidRDefault="008F3D8D" w:rsidP="00A34E19">
      <w:pPr>
        <w:pStyle w:val="NormalWeb"/>
        <w:keepNext/>
        <w:keepLines/>
        <w:spacing w:before="0" w:beforeAutospacing="0" w:after="0" w:afterAutospacing="0"/>
        <w:jc w:val="center"/>
        <w:rPr>
          <w:i/>
          <w:iCs/>
          <w:sz w:val="16"/>
          <w:szCs w:val="16"/>
          <w:lang w:val="es-ES"/>
        </w:rPr>
      </w:pPr>
      <w:r w:rsidRPr="00BF569E">
        <w:rPr>
          <w:i/>
          <w:iCs/>
          <w:sz w:val="16"/>
          <w:szCs w:val="16"/>
          <w:lang w:val="es-ES_tradnl"/>
        </w:rPr>
        <w:t>(en miles de francos suizos)</w:t>
      </w:r>
    </w:p>
    <w:p w:rsidR="008F3D8D" w:rsidRPr="00BF569E" w:rsidRDefault="008F3D8D" w:rsidP="00A34E19">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8F3D8D" w:rsidRPr="00BF569E" w:rsidTr="00A34E19">
        <w:trPr>
          <w:trHeight w:val="720"/>
          <w:jc w:val="center"/>
        </w:trPr>
        <w:tc>
          <w:tcPr>
            <w:tcW w:w="2440" w:type="dxa"/>
            <w:tcBorders>
              <w:top w:val="nil"/>
              <w:left w:val="nil"/>
              <w:bottom w:val="nil"/>
              <w:right w:val="nil"/>
            </w:tcBorders>
            <w:shd w:val="clear" w:color="000000" w:fill="C5D9F1"/>
            <w:noWrap/>
            <w:vAlign w:val="center"/>
            <w:hideMark/>
          </w:tcPr>
          <w:p w:rsidR="008F3D8D" w:rsidRPr="00BF569E" w:rsidRDefault="008F3D8D" w:rsidP="00A34E19">
            <w:pPr>
              <w:rPr>
                <w:sz w:val="16"/>
                <w:szCs w:val="16"/>
              </w:rPr>
            </w:pPr>
            <w:r w:rsidRPr="00BF569E">
              <w:rPr>
                <w:sz w:val="16"/>
                <w:szCs w:val="16"/>
              </w:rPr>
              <w:t> </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lang w:val="es-ES_tradnl"/>
              </w:rPr>
              <w:t>Índice de utilización (%)</w:t>
            </w:r>
          </w:p>
        </w:tc>
      </w:tr>
      <w:tr w:rsidR="008F3D8D" w:rsidRPr="00BF569E" w:rsidTr="00A34E19">
        <w:trPr>
          <w:trHeight w:val="315"/>
          <w:jc w:val="center"/>
        </w:trPr>
        <w:tc>
          <w:tcPr>
            <w:tcW w:w="2440" w:type="dxa"/>
            <w:tcBorders>
              <w:top w:val="nil"/>
              <w:left w:val="nil"/>
              <w:bottom w:val="nil"/>
              <w:right w:val="nil"/>
            </w:tcBorders>
            <w:shd w:val="clear" w:color="auto" w:fill="auto"/>
            <w:noWrap/>
            <w:vAlign w:val="center"/>
            <w:hideMark/>
          </w:tcPr>
          <w:p w:rsidR="008F3D8D" w:rsidRPr="00BF569E" w:rsidRDefault="008F3D8D" w:rsidP="00A34E19">
            <w:pPr>
              <w:rPr>
                <w:sz w:val="16"/>
                <w:szCs w:val="16"/>
              </w:rPr>
            </w:pPr>
            <w:r w:rsidRPr="00BF569E">
              <w:rPr>
                <w:sz w:val="16"/>
                <w:szCs w:val="16"/>
              </w:rPr>
              <w:t xml:space="preserve"> </w:t>
            </w:r>
            <w:r w:rsidRPr="00BF569E">
              <w:rPr>
                <w:sz w:val="16"/>
                <w:szCs w:val="16"/>
                <w:lang w:val="es-ES_tradnl"/>
              </w:rPr>
              <w:t>Recursos de personal</w:t>
            </w:r>
            <w:r w:rsidRPr="00BF569E">
              <w:rPr>
                <w:sz w:val="16"/>
                <w:szCs w:val="16"/>
              </w:rPr>
              <w:t xml:space="preserve">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 xml:space="preserve">3.581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 xml:space="preserve">4.160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 xml:space="preserve">1.730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42%</w:t>
            </w:r>
          </w:p>
        </w:tc>
      </w:tr>
      <w:tr w:rsidR="008F3D8D" w:rsidRPr="00BF569E" w:rsidTr="00A34E19">
        <w:trPr>
          <w:trHeight w:val="315"/>
          <w:jc w:val="center"/>
        </w:trPr>
        <w:tc>
          <w:tcPr>
            <w:tcW w:w="2440" w:type="dxa"/>
            <w:tcBorders>
              <w:top w:val="nil"/>
              <w:left w:val="nil"/>
              <w:bottom w:val="nil"/>
              <w:right w:val="nil"/>
            </w:tcBorders>
            <w:shd w:val="clear" w:color="auto" w:fill="auto"/>
            <w:noWrap/>
            <w:vAlign w:val="center"/>
            <w:hideMark/>
          </w:tcPr>
          <w:p w:rsidR="008F3D8D" w:rsidRPr="00BF569E" w:rsidRDefault="008F3D8D" w:rsidP="00A34E19">
            <w:pPr>
              <w:rPr>
                <w:sz w:val="16"/>
                <w:szCs w:val="16"/>
              </w:rPr>
            </w:pPr>
            <w:r w:rsidRPr="00BF569E">
              <w:rPr>
                <w:sz w:val="16"/>
                <w:szCs w:val="16"/>
              </w:rPr>
              <w:t xml:space="preserve"> </w:t>
            </w:r>
            <w:r w:rsidRPr="00BF569E">
              <w:rPr>
                <w:sz w:val="16"/>
                <w:szCs w:val="16"/>
                <w:lang w:val="es-ES_tradnl"/>
              </w:rPr>
              <w:t>Recursos no relativos a personal</w:t>
            </w:r>
            <w:r w:rsidRPr="00BF569E">
              <w:rPr>
                <w:sz w:val="16"/>
                <w:szCs w:val="16"/>
              </w:rPr>
              <w:t xml:space="preserve">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 xml:space="preserve">2.534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 xml:space="preserve">2.526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 xml:space="preserve">1.315 </w:t>
            </w:r>
          </w:p>
        </w:tc>
        <w:tc>
          <w:tcPr>
            <w:tcW w:w="1420" w:type="dxa"/>
            <w:tcBorders>
              <w:top w:val="nil"/>
              <w:left w:val="nil"/>
              <w:bottom w:val="nil"/>
              <w:right w:val="nil"/>
            </w:tcBorders>
            <w:shd w:val="clear" w:color="auto" w:fill="auto"/>
            <w:vAlign w:val="center"/>
            <w:hideMark/>
          </w:tcPr>
          <w:p w:rsidR="008F3D8D" w:rsidRPr="00BF569E" w:rsidRDefault="008F3D8D" w:rsidP="00A34E19">
            <w:pPr>
              <w:jc w:val="center"/>
              <w:rPr>
                <w:sz w:val="16"/>
                <w:szCs w:val="16"/>
              </w:rPr>
            </w:pPr>
            <w:r w:rsidRPr="00BF569E">
              <w:rPr>
                <w:sz w:val="16"/>
                <w:szCs w:val="16"/>
              </w:rPr>
              <w:t>52%</w:t>
            </w:r>
          </w:p>
        </w:tc>
      </w:tr>
      <w:tr w:rsidR="008F3D8D" w:rsidRPr="00BF569E" w:rsidTr="00A34E19">
        <w:trPr>
          <w:trHeight w:val="225"/>
          <w:jc w:val="center"/>
        </w:trPr>
        <w:tc>
          <w:tcPr>
            <w:tcW w:w="2440" w:type="dxa"/>
            <w:tcBorders>
              <w:top w:val="nil"/>
              <w:left w:val="nil"/>
              <w:bottom w:val="nil"/>
              <w:right w:val="nil"/>
            </w:tcBorders>
            <w:shd w:val="clear" w:color="000000" w:fill="C5D9F1"/>
            <w:noWrap/>
            <w:vAlign w:val="center"/>
            <w:hideMark/>
          </w:tcPr>
          <w:p w:rsidR="008F3D8D" w:rsidRPr="00BF569E" w:rsidRDefault="008F3D8D" w:rsidP="00A34E19">
            <w:pPr>
              <w:jc w:val="right"/>
              <w:rPr>
                <w:b/>
                <w:bCs/>
                <w:sz w:val="16"/>
                <w:szCs w:val="16"/>
              </w:rPr>
            </w:pPr>
            <w:r w:rsidRPr="00BF569E">
              <w:rPr>
                <w:b/>
                <w:bCs/>
                <w:sz w:val="16"/>
                <w:szCs w:val="16"/>
              </w:rPr>
              <w:t xml:space="preserve"> </w:t>
            </w:r>
            <w:r w:rsidRPr="00BF569E">
              <w:rPr>
                <w:b/>
                <w:bCs/>
                <w:sz w:val="16"/>
                <w:szCs w:val="16"/>
                <w:lang w:val="es-ES_tradnl"/>
              </w:rPr>
              <w:t>Total</w:t>
            </w:r>
            <w:r w:rsidRPr="00BF569E">
              <w:rPr>
                <w:b/>
                <w:bCs/>
                <w:sz w:val="16"/>
                <w:szCs w:val="16"/>
              </w:rPr>
              <w:t xml:space="preserve"> </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rPr>
              <w:t xml:space="preserve">6.115 </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rPr>
              <w:t xml:space="preserve">6.686 </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rPr>
              <w:t xml:space="preserve">3.045 </w:t>
            </w:r>
          </w:p>
        </w:tc>
        <w:tc>
          <w:tcPr>
            <w:tcW w:w="1420" w:type="dxa"/>
            <w:tcBorders>
              <w:top w:val="nil"/>
              <w:left w:val="nil"/>
              <w:bottom w:val="nil"/>
              <w:right w:val="nil"/>
            </w:tcBorders>
            <w:shd w:val="clear" w:color="000000" w:fill="C5D9F1"/>
            <w:vAlign w:val="center"/>
            <w:hideMark/>
          </w:tcPr>
          <w:p w:rsidR="008F3D8D" w:rsidRPr="00BF569E" w:rsidRDefault="008F3D8D" w:rsidP="00A34E19">
            <w:pPr>
              <w:jc w:val="center"/>
              <w:rPr>
                <w:b/>
                <w:bCs/>
                <w:sz w:val="16"/>
                <w:szCs w:val="16"/>
              </w:rPr>
            </w:pPr>
            <w:r w:rsidRPr="00BF569E">
              <w:rPr>
                <w:b/>
                <w:bCs/>
                <w:sz w:val="16"/>
                <w:szCs w:val="16"/>
              </w:rPr>
              <w:t>46%</w:t>
            </w:r>
          </w:p>
        </w:tc>
      </w:tr>
      <w:tr w:rsidR="008F3D8D" w:rsidRPr="00BF569E" w:rsidTr="00A34E19">
        <w:trPr>
          <w:trHeight w:val="300"/>
          <w:jc w:val="center"/>
        </w:trPr>
        <w:tc>
          <w:tcPr>
            <w:tcW w:w="8120" w:type="dxa"/>
            <w:gridSpan w:val="5"/>
            <w:tcBorders>
              <w:top w:val="nil"/>
              <w:left w:val="nil"/>
              <w:bottom w:val="nil"/>
              <w:right w:val="nil"/>
            </w:tcBorders>
            <w:shd w:val="clear" w:color="auto" w:fill="auto"/>
            <w:noWrap/>
            <w:vAlign w:val="center"/>
            <w:hideMark/>
          </w:tcPr>
          <w:p w:rsidR="008F3D8D" w:rsidRPr="00BF569E" w:rsidRDefault="008F3D8D" w:rsidP="00A34E19">
            <w:pPr>
              <w:rPr>
                <w:i/>
                <w:iCs/>
                <w:sz w:val="16"/>
                <w:szCs w:val="16"/>
              </w:rPr>
            </w:pPr>
            <w:r w:rsidRPr="00BF569E">
              <w:rPr>
                <w:i/>
                <w:iCs/>
                <w:sz w:val="16"/>
                <w:szCs w:val="16"/>
              </w:rPr>
              <w:t xml:space="preserve"> </w:t>
            </w:r>
            <w:r w:rsidRPr="00BF569E">
              <w:rPr>
                <w:i/>
                <w:iCs/>
                <w:sz w:val="16"/>
                <w:szCs w:val="16"/>
                <w:lang w:val="es-ES_tradnl"/>
              </w:rPr>
              <w:t>*Las cifras de gastos en 2016 son preliminares, a reserva de verificación por el Auditor Externo</w:t>
            </w:r>
            <w:r w:rsidRPr="00BF569E">
              <w:rPr>
                <w:i/>
                <w:iCs/>
                <w:sz w:val="16"/>
                <w:szCs w:val="16"/>
              </w:rPr>
              <w:t>.</w:t>
            </w:r>
          </w:p>
        </w:tc>
      </w:tr>
    </w:tbl>
    <w:p w:rsidR="008F3D8D" w:rsidRPr="00BF569E" w:rsidRDefault="008F3D8D" w:rsidP="00A34E19">
      <w:pPr>
        <w:rPr>
          <w:sz w:val="20"/>
        </w:rPr>
      </w:pPr>
    </w:p>
    <w:p w:rsidR="008F3D8D" w:rsidRPr="00BF569E" w:rsidRDefault="008F3D8D" w:rsidP="00A34E19">
      <w:pPr>
        <w:keepNext/>
        <w:keepLines/>
        <w:ind w:left="567" w:right="424"/>
        <w:rPr>
          <w:i/>
          <w:sz w:val="16"/>
          <w:szCs w:val="16"/>
        </w:rPr>
      </w:pPr>
      <w:r w:rsidRPr="00BF569E">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8F3D8D" w:rsidRPr="00BF569E" w:rsidRDefault="008F3D8D" w:rsidP="00A34E19">
      <w:pPr>
        <w:rPr>
          <w:sz w:val="20"/>
        </w:rPr>
      </w:pPr>
    </w:p>
    <w:p w:rsidR="008F3D8D" w:rsidRPr="00BF569E" w:rsidRDefault="008F3D8D" w:rsidP="00A34E19">
      <w:pPr>
        <w:rPr>
          <w:sz w:val="20"/>
        </w:rPr>
      </w:pPr>
    </w:p>
    <w:p w:rsidR="008F3D8D" w:rsidRPr="00BF569E" w:rsidRDefault="008F3D8D" w:rsidP="00A34E19">
      <w:pPr>
        <w:jc w:val="both"/>
        <w:rPr>
          <w:sz w:val="20"/>
          <w:u w:val="single"/>
        </w:rPr>
      </w:pPr>
      <w:r w:rsidRPr="00BF569E">
        <w:rPr>
          <w:sz w:val="20"/>
          <w:lang w:val="es-ES_tradnl"/>
        </w:rPr>
        <w:t>A.</w:t>
      </w:r>
      <w:r w:rsidRPr="00BF569E">
        <w:rPr>
          <w:sz w:val="20"/>
          <w:lang w:val="es-ES_tradnl"/>
        </w:rPr>
        <w:tab/>
      </w:r>
      <w:r w:rsidRPr="00BF569E">
        <w:rPr>
          <w:sz w:val="20"/>
          <w:u w:val="single"/>
          <w:lang w:val="es-ES_tradnl"/>
        </w:rPr>
        <w:t>Presupuesto de 2016/17 tras las transferencias</w:t>
      </w:r>
    </w:p>
    <w:p w:rsidR="008F3D8D" w:rsidRPr="00BF569E" w:rsidRDefault="008F3D8D" w:rsidP="00A34E19">
      <w:pPr>
        <w:jc w:val="both"/>
        <w:rPr>
          <w:sz w:val="20"/>
        </w:rPr>
      </w:pPr>
    </w:p>
    <w:p w:rsidR="008F3D8D" w:rsidRPr="00BF569E" w:rsidRDefault="008F3D8D" w:rsidP="008F3D8D">
      <w:pPr>
        <w:pStyle w:val="ListParagraph"/>
        <w:numPr>
          <w:ilvl w:val="0"/>
          <w:numId w:val="17"/>
        </w:numPr>
        <w:ind w:left="0" w:firstLine="0"/>
        <w:contextualSpacing/>
        <w:jc w:val="both"/>
        <w:rPr>
          <w:rFonts w:cs="Arial"/>
          <w:lang w:val="es-ES"/>
        </w:rPr>
      </w:pPr>
      <w:r w:rsidRPr="00BF569E">
        <w:rPr>
          <w:rFonts w:cs="Arial"/>
          <w:lang w:val="es-ES"/>
        </w:rPr>
        <w:t xml:space="preserve">El aumento en los recursos de personal </w:t>
      </w:r>
      <w:r w:rsidR="0048069B">
        <w:rPr>
          <w:rFonts w:cs="Arial"/>
          <w:lang w:val="es-ES"/>
        </w:rPr>
        <w:t>se debió</w:t>
      </w:r>
      <w:r w:rsidRPr="00BF569E">
        <w:rPr>
          <w:rFonts w:cs="Arial"/>
          <w:lang w:val="es-ES"/>
        </w:rPr>
        <w:t xml:space="preserve"> al traslado de dos miembros del personal desde el programa 18 (La P.I. y los desafíos mundiales) y el programa 21 (Gestión ejecutiva) al Departamento de Conocimientos Tradicionales y Desafíos Mundiales, como se refleja en </w:t>
      </w:r>
      <w:r>
        <w:rPr>
          <w:rFonts w:cs="Arial"/>
          <w:lang w:val="es-ES"/>
        </w:rPr>
        <w:t>el marco del resultado previsto </w:t>
      </w:r>
      <w:r w:rsidRPr="00BF569E">
        <w:rPr>
          <w:rFonts w:cs="Arial"/>
          <w:lang w:val="es-ES"/>
        </w:rPr>
        <w:t>III.2 (Aumento de las capacidades en recursos humanos).</w:t>
      </w:r>
    </w:p>
    <w:p w:rsidR="008F3D8D" w:rsidRPr="00BF569E" w:rsidRDefault="008F3D8D" w:rsidP="00A34E19">
      <w:pPr>
        <w:jc w:val="both"/>
        <w:rPr>
          <w:sz w:val="20"/>
        </w:rPr>
      </w:pPr>
    </w:p>
    <w:p w:rsidR="008F3D8D" w:rsidRPr="00BF569E" w:rsidRDefault="008F3D8D" w:rsidP="00A34E19">
      <w:pPr>
        <w:jc w:val="both"/>
        <w:rPr>
          <w:sz w:val="20"/>
          <w:u w:val="single"/>
        </w:rPr>
      </w:pPr>
      <w:r w:rsidRPr="00BF569E">
        <w:rPr>
          <w:sz w:val="20"/>
          <w:lang w:val="es-ES_tradnl"/>
        </w:rPr>
        <w:t>B.</w:t>
      </w:r>
      <w:r w:rsidRPr="00BF569E">
        <w:rPr>
          <w:sz w:val="20"/>
          <w:lang w:val="es-ES_tradnl"/>
        </w:rPr>
        <w:tab/>
      </w:r>
      <w:r w:rsidRPr="00BF569E">
        <w:rPr>
          <w:sz w:val="20"/>
          <w:u w:val="single"/>
          <w:lang w:val="es-ES_tradnl"/>
        </w:rPr>
        <w:t>Utilización del presupuesto en 2016/17</w:t>
      </w:r>
    </w:p>
    <w:p w:rsidR="008F3D8D" w:rsidRPr="00BF569E" w:rsidRDefault="008F3D8D" w:rsidP="00A34E19">
      <w:pPr>
        <w:jc w:val="both"/>
        <w:rPr>
          <w:sz w:val="20"/>
        </w:rPr>
      </w:pPr>
    </w:p>
    <w:p w:rsidR="008F3D8D" w:rsidRPr="00BF569E" w:rsidRDefault="008F3D8D" w:rsidP="008F3D8D">
      <w:pPr>
        <w:pStyle w:val="ListParagraph"/>
        <w:numPr>
          <w:ilvl w:val="0"/>
          <w:numId w:val="17"/>
        </w:numPr>
        <w:ind w:left="0" w:firstLine="0"/>
        <w:contextualSpacing/>
        <w:jc w:val="both"/>
        <w:rPr>
          <w:rFonts w:cs="Arial"/>
          <w:lang w:val="es-ES"/>
        </w:rPr>
      </w:pPr>
      <w:r w:rsidRPr="00BF569E">
        <w:rPr>
          <w:rFonts w:cs="Arial"/>
          <w:lang w:val="es-ES_tradnl"/>
        </w:rPr>
        <w:t>La utilización del presupuesto se ha mantenido dentro de los límites establecidos (40-60%) durante el primer año del bienio.</w:t>
      </w:r>
    </w:p>
    <w:p w:rsidR="008F3D8D" w:rsidRPr="00BF569E" w:rsidRDefault="008F3D8D" w:rsidP="00A34E19">
      <w:pPr>
        <w:pStyle w:val="ListParagraph"/>
        <w:ind w:left="0"/>
        <w:jc w:val="both"/>
        <w:rPr>
          <w:rFonts w:cs="Arial"/>
          <w:lang w:val="es-ES"/>
        </w:rPr>
      </w:pPr>
    </w:p>
    <w:p w:rsidR="008F3D8D" w:rsidRPr="008F3D8D" w:rsidRDefault="008F3D8D" w:rsidP="00EE1CCE">
      <w:pPr>
        <w:rPr>
          <w:sz w:val="20"/>
        </w:rPr>
      </w:pPr>
    </w:p>
    <w:p w:rsidR="00EE1CCE" w:rsidRPr="008F3D8D" w:rsidRDefault="00EE1CCE" w:rsidP="00EE1CCE">
      <w:pPr>
        <w:rPr>
          <w:sz w:val="20"/>
        </w:rPr>
      </w:pPr>
      <w:r w:rsidRPr="008F3D8D">
        <w:rPr>
          <w:sz w:val="20"/>
        </w:rPr>
        <w:br w:type="page"/>
      </w:r>
    </w:p>
    <w:p w:rsidR="00EE1CCE" w:rsidRPr="008F3D8D" w:rsidRDefault="000A09A0" w:rsidP="00425619">
      <w:pPr>
        <w:pStyle w:val="Heading2"/>
        <w:spacing w:before="0" w:after="0"/>
        <w:jc w:val="center"/>
        <w:rPr>
          <w:b/>
          <w:bCs w:val="0"/>
          <w:caps w:val="0"/>
          <w:sz w:val="20"/>
          <w:szCs w:val="20"/>
        </w:rPr>
      </w:pPr>
      <w:bookmarkStart w:id="28" w:name="_Toc482711243"/>
      <w:bookmarkStart w:id="29" w:name="_Toc367350576"/>
      <w:r w:rsidRPr="008F3D8D">
        <w:rPr>
          <w:b/>
          <w:caps w:val="0"/>
          <w:sz w:val="20"/>
          <w:szCs w:val="20"/>
          <w:lang w:val="es-ES_tradnl"/>
        </w:rPr>
        <w:lastRenderedPageBreak/>
        <w:t>META ESTRATÉGICA II</w:t>
      </w:r>
      <w:bookmarkEnd w:id="28"/>
    </w:p>
    <w:p w:rsidR="00EE1CCE" w:rsidRPr="008F3D8D" w:rsidRDefault="00EE1CCE" w:rsidP="00425619">
      <w:pPr>
        <w:jc w:val="center"/>
        <w:rPr>
          <w:b/>
          <w:sz w:val="20"/>
        </w:rPr>
      </w:pPr>
    </w:p>
    <w:p w:rsidR="00EE1CCE" w:rsidRPr="008F3D8D" w:rsidRDefault="00EE1CCE" w:rsidP="00425619">
      <w:pPr>
        <w:jc w:val="center"/>
        <w:rPr>
          <w:b/>
          <w:sz w:val="20"/>
        </w:rPr>
      </w:pPr>
      <w:r w:rsidRPr="008F3D8D">
        <w:rPr>
          <w:b/>
          <w:sz w:val="20"/>
          <w:lang w:val="es-ES_tradnl"/>
        </w:rPr>
        <w:t>PRINCIPAL PROVEEDOR DE SERVICIOS MUNDIALES DE P.I.</w:t>
      </w:r>
    </w:p>
    <w:p w:rsidR="00EE1CCE" w:rsidRPr="008F3D8D" w:rsidRDefault="00EE1CCE" w:rsidP="00EE1CCE">
      <w:pPr>
        <w:jc w:val="both"/>
        <w:rPr>
          <w:sz w:val="20"/>
        </w:rPr>
      </w:pPr>
    </w:p>
    <w:p w:rsidR="00EE1CCE" w:rsidRPr="008F3D8D" w:rsidRDefault="00EE1CCE" w:rsidP="00EE1CCE">
      <w:pPr>
        <w:jc w:val="center"/>
        <w:rPr>
          <w:b/>
          <w:sz w:val="20"/>
        </w:rPr>
      </w:pPr>
      <w:r w:rsidRPr="008F3D8D">
        <w:rPr>
          <w:b/>
          <w:sz w:val="20"/>
        </w:rPr>
        <w:t>Tablero de control del rendimiento a mediano plazo (2016)</w:t>
      </w:r>
    </w:p>
    <w:p w:rsidR="00EE1CCE" w:rsidRPr="008F3D8D" w:rsidRDefault="00EE1CCE" w:rsidP="00EE1CCE">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EE1CCE" w:rsidP="00EE1CCE">
      <w:pPr>
        <w:jc w:val="center"/>
        <w:rPr>
          <w:sz w:val="20"/>
        </w:rPr>
      </w:pPr>
      <w:r w:rsidRPr="008F3D8D">
        <w:rPr>
          <w:noProof/>
          <w:lang w:val="en-US" w:eastAsia="en-US"/>
        </w:rPr>
        <w:drawing>
          <wp:inline distT="0" distB="0" distL="0" distR="0" wp14:anchorId="24F79BFF" wp14:editId="4A283D02">
            <wp:extent cx="3867150" cy="2432049"/>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71292" cy="2434654"/>
                    </a:xfrm>
                    <a:prstGeom prst="rect">
                      <a:avLst/>
                    </a:prstGeom>
                    <a:noFill/>
                    <a:ln>
                      <a:noFill/>
                    </a:ln>
                  </pic:spPr>
                </pic:pic>
              </a:graphicData>
            </a:graphic>
          </wp:inline>
        </w:drawing>
      </w:r>
    </w:p>
    <w:tbl>
      <w:tblPr>
        <w:tblW w:w="9214" w:type="dxa"/>
        <w:tblInd w:w="108" w:type="dxa"/>
        <w:tblLayout w:type="fixed"/>
        <w:tblLook w:val="0000" w:firstRow="0" w:lastRow="0" w:firstColumn="0" w:lastColumn="0" w:noHBand="0" w:noVBand="0"/>
      </w:tblPr>
      <w:tblGrid>
        <w:gridCol w:w="2720"/>
        <w:gridCol w:w="3857"/>
        <w:gridCol w:w="1588"/>
        <w:gridCol w:w="1049"/>
      </w:tblGrid>
      <w:tr w:rsidR="00EE1CCE" w:rsidRPr="008F3D8D" w:rsidTr="00A34E19">
        <w:trPr>
          <w:cantSplit/>
          <w:tblHeader/>
        </w:trPr>
        <w:tc>
          <w:tcPr>
            <w:tcW w:w="1476" w:type="pct"/>
            <w:shd w:val="clear" w:color="auto" w:fill="B8CCE4" w:themeFill="accent1" w:themeFillTint="66"/>
            <w:tcMar>
              <w:top w:w="113" w:type="dxa"/>
              <w:bottom w:w="113" w:type="dxa"/>
            </w:tcMar>
            <w:vAlign w:val="center"/>
          </w:tcPr>
          <w:p w:rsidR="00EE1CCE" w:rsidRPr="008F3D8D" w:rsidRDefault="00EE1CCE" w:rsidP="00A34E19">
            <w:pPr>
              <w:spacing w:after="120"/>
              <w:rPr>
                <w:b/>
                <w:bCs/>
                <w:sz w:val="18"/>
                <w:szCs w:val="18"/>
              </w:rPr>
            </w:pPr>
            <w:r w:rsidRPr="008F3D8D">
              <w:rPr>
                <w:b/>
                <w:bCs/>
                <w:sz w:val="18"/>
                <w:szCs w:val="18"/>
                <w:lang w:val="es-ES_tradnl"/>
              </w:rPr>
              <w:t>Resultado previsto</w:t>
            </w:r>
          </w:p>
        </w:tc>
        <w:tc>
          <w:tcPr>
            <w:tcW w:w="2093" w:type="pct"/>
            <w:shd w:val="clear" w:color="auto" w:fill="B8CCE4" w:themeFill="accent1" w:themeFillTint="66"/>
            <w:tcMar>
              <w:top w:w="113" w:type="dxa"/>
              <w:bottom w:w="113" w:type="dxa"/>
            </w:tcMar>
            <w:vAlign w:val="center"/>
          </w:tcPr>
          <w:p w:rsidR="00EE1CCE" w:rsidRPr="008F3D8D" w:rsidRDefault="00EE1CCE" w:rsidP="00A34E19">
            <w:pPr>
              <w:spacing w:after="120"/>
              <w:rPr>
                <w:b/>
                <w:sz w:val="18"/>
                <w:szCs w:val="18"/>
              </w:rPr>
            </w:pPr>
            <w:r w:rsidRPr="008F3D8D">
              <w:rPr>
                <w:b/>
                <w:sz w:val="18"/>
                <w:szCs w:val="18"/>
                <w:lang w:val="es-ES_tradnl"/>
              </w:rPr>
              <w:t>Indicadores de rendimiento</w:t>
            </w:r>
          </w:p>
        </w:tc>
        <w:tc>
          <w:tcPr>
            <w:tcW w:w="862" w:type="pct"/>
            <w:shd w:val="clear" w:color="auto" w:fill="B8CCE4" w:themeFill="accent1" w:themeFillTint="66"/>
            <w:tcMar>
              <w:top w:w="113" w:type="dxa"/>
              <w:bottom w:w="113" w:type="dxa"/>
            </w:tcMar>
            <w:vAlign w:val="center"/>
          </w:tcPr>
          <w:p w:rsidR="00EE1CCE" w:rsidRPr="008F3D8D" w:rsidRDefault="00EE1CCE" w:rsidP="00A34E19">
            <w:pPr>
              <w:spacing w:after="120"/>
              <w:ind w:left="85"/>
              <w:jc w:val="center"/>
              <w:rPr>
                <w:sz w:val="18"/>
                <w:szCs w:val="18"/>
              </w:rPr>
            </w:pPr>
            <w:r w:rsidRPr="008F3D8D">
              <w:rPr>
                <w:b/>
                <w:sz w:val="18"/>
                <w:szCs w:val="18"/>
                <w:lang w:val="es-ES_tradnl"/>
              </w:rPr>
              <w:t>Programas responsables</w:t>
            </w:r>
          </w:p>
        </w:tc>
        <w:tc>
          <w:tcPr>
            <w:tcW w:w="569" w:type="pct"/>
            <w:shd w:val="clear" w:color="auto" w:fill="B8CCE4" w:themeFill="accent1" w:themeFillTint="66"/>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Clave de colores</w:t>
            </w:r>
          </w:p>
        </w:tc>
      </w:tr>
      <w:tr w:rsidR="00EE1CCE" w:rsidRPr="008F3D8D" w:rsidTr="00A34E19">
        <w:trPr>
          <w:cantSplit/>
          <w:trHeight w:val="617"/>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II.1  Mayor y más eficaz utilización del Sistema del PCT para presentar solicitudes internacionales de patente</w:t>
            </w: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Desarrollo continuo del Sistema del PCT, sobre todo gracias a la aplicación de las recomendaciones de la hoja de ruta suscritas por los Estados miembros del PCT</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b/>
                <w:bCs/>
                <w:szCs w:val="22"/>
              </w:rPr>
            </w:pPr>
            <w:r w:rsidRPr="008F3D8D">
              <w:rPr>
                <w:color w:val="00B050"/>
                <w:szCs w:val="22"/>
              </w:rPr>
              <w:sym w:font="Wingdings" w:char="F06C"/>
            </w:r>
          </w:p>
        </w:tc>
      </w:tr>
      <w:tr w:rsidR="00EE1CCE" w:rsidRPr="008F3D8D" w:rsidTr="00A34E19">
        <w:trPr>
          <w:cantSplit/>
          <w:trHeight w:val="38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Nivel de satisfacción de los usuarios respecto de los servicios, específicos del PCT, de asesoramiento jurídico, información, formación y de atención al cliente</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70C0"/>
                <w:szCs w:val="22"/>
              </w:rPr>
              <w:sym w:font="Wingdings" w:char="F06C"/>
            </w:r>
          </w:p>
        </w:tc>
      </w:tr>
      <w:tr w:rsidR="00EE1CCE" w:rsidRPr="008F3D8D" w:rsidTr="00A34E19">
        <w:trPr>
          <w:cantSplit/>
          <w:trHeight w:val="116"/>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Satisfacción de las Oficinas y las Administraciones internacionales con las actividades de cooperación en el marco del PCT</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70C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Mejora de los servicios electrónicos dirigidos a solicitantes, terceros, Oficinas y Administraciones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color w:val="FF000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457"/>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solicitudes PCT procedentes de países en desarrollo, países con economías en transición y países desarrollados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9</w:t>
            </w:r>
            <w:r w:rsidRPr="008F3D8D">
              <w:rPr>
                <w:sz w:val="16"/>
                <w:szCs w:val="16"/>
              </w:rPr>
              <w:t xml:space="preserve"> </w:t>
            </w:r>
          </w:p>
          <w:p w:rsidR="00EE1CCE" w:rsidRPr="008F3D8D" w:rsidRDefault="00EE1CCE" w:rsidP="00A34E19">
            <w:pPr>
              <w:jc w:val="center"/>
              <w:rPr>
                <w:sz w:val="16"/>
                <w:szCs w:val="16"/>
              </w:rPr>
            </w:pPr>
          </w:p>
          <w:p w:rsidR="00EE1CCE" w:rsidRPr="008F3D8D" w:rsidRDefault="00EE1CCE" w:rsidP="00A34E19">
            <w:pPr>
              <w:jc w:val="center"/>
              <w:rPr>
                <w:sz w:val="16"/>
                <w:szCs w:val="16"/>
              </w:rPr>
            </w:pPr>
            <w:r w:rsidRPr="008F3D8D">
              <w:rPr>
                <w:sz w:val="16"/>
                <w:szCs w:val="16"/>
                <w:lang w:val="es-ES_tradnl"/>
              </w:rPr>
              <w:t>Programa 10</w:t>
            </w:r>
            <w:r w:rsidRPr="008F3D8D">
              <w:rPr>
                <w:sz w:val="16"/>
                <w:szCs w:val="16"/>
              </w:rPr>
              <w:t xml:space="preserve"> </w:t>
            </w:r>
          </w:p>
          <w:p w:rsidR="00EE1CCE" w:rsidRPr="008F3D8D" w:rsidRDefault="00EE1CCE" w:rsidP="00A34E19">
            <w:pPr>
              <w:jc w:val="center"/>
              <w:rPr>
                <w:sz w:val="16"/>
                <w:szCs w:val="16"/>
              </w:rPr>
            </w:pPr>
          </w:p>
          <w:p w:rsidR="00EE1CCE" w:rsidRPr="008F3D8D" w:rsidRDefault="00EE1CCE" w:rsidP="00A34E19">
            <w:pPr>
              <w:jc w:val="center"/>
              <w:rPr>
                <w:sz w:val="16"/>
                <w:szCs w:val="16"/>
              </w:rPr>
            </w:pPr>
            <w:r w:rsidRPr="008F3D8D">
              <w:rPr>
                <w:sz w:val="16"/>
                <w:szCs w:val="16"/>
                <w:lang w:val="es-ES_tradnl"/>
              </w:rPr>
              <w:t>Programa 20</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FF000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rPr>
                <w:color w:val="00B050"/>
                <w:sz w:val="8"/>
                <w:szCs w:val="8"/>
              </w:rPr>
            </w:pPr>
          </w:p>
          <w:p w:rsidR="00EE1CCE" w:rsidRPr="008F3D8D" w:rsidRDefault="00EE1CCE" w:rsidP="00A34E19">
            <w:pPr>
              <w:jc w:val="center"/>
              <w:rPr>
                <w:color w:val="FF0000"/>
                <w:szCs w:val="22"/>
              </w:rPr>
            </w:pPr>
            <w:r w:rsidRPr="008F3D8D">
              <w:rPr>
                <w:color w:val="FF0000"/>
                <w:szCs w:val="22"/>
              </w:rPr>
              <w:sym w:font="Wingdings" w:char="F06C"/>
            </w:r>
          </w:p>
          <w:p w:rsidR="00EE1CCE" w:rsidRPr="008F3D8D" w:rsidRDefault="00EE1CCE" w:rsidP="00A34E19">
            <w:pPr>
              <w:jc w:val="center"/>
              <w:rPr>
                <w:color w:val="FF0000"/>
                <w:sz w:val="8"/>
                <w:szCs w:val="8"/>
              </w:rPr>
            </w:pPr>
          </w:p>
          <w:p w:rsidR="00EE1CCE" w:rsidRPr="008F3D8D" w:rsidRDefault="00EE1CCE" w:rsidP="00A34E19">
            <w:pPr>
              <w:jc w:val="center"/>
              <w:rPr>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r w:rsidRPr="008F3D8D">
              <w:rPr>
                <w:color w:val="FF0000"/>
                <w:szCs w:val="22"/>
              </w:rPr>
              <w:sym w:font="Wingdings" w:char="F06C"/>
            </w:r>
          </w:p>
        </w:tc>
      </w:tr>
      <w:tr w:rsidR="00EE1CCE" w:rsidRPr="008F3D8D" w:rsidTr="00A34E19">
        <w:trPr>
          <w:cantSplit/>
          <w:trHeight w:val="399"/>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 de encuestados que han expresado utilizar más los servicios de la OMPI en los 6 meses posteriores a su participación en seminarios itinerantes sobre los servicios e iniciativas de la OMPI</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10</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58"/>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 de encargados de la adopción de políticas, funcionarios gubernamentales, profesionales de la P.I. y participantes en talleres con un mayor conocimiento del PCT y los temas conexos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20</w:t>
            </w:r>
          </w:p>
        </w:tc>
        <w:tc>
          <w:tcPr>
            <w:tcW w:w="569" w:type="pct"/>
            <w:shd w:val="clear" w:color="auto" w:fill="FFFFFF"/>
            <w:tcMar>
              <w:top w:w="57" w:type="dxa"/>
            </w:tcMar>
          </w:tcPr>
          <w:p w:rsidR="00EE1CCE" w:rsidRPr="008F3D8D" w:rsidRDefault="00EE1CCE" w:rsidP="00A34E19">
            <w:pPr>
              <w:jc w:val="center"/>
              <w:rPr>
                <w:szCs w:val="22"/>
              </w:rPr>
            </w:pPr>
            <w:r w:rsidRPr="008F3D8D">
              <w:rPr>
                <w:color w:val="80808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195"/>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II.3  Mejora de la productividad y de la calidad de los servicios en las operaciones del PCT</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Calidad global del examen de forma (incluido el tiempo empleado)</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2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Costo unitario de tramitación de las solicitudes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2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Niveles de los servicios prestados por los sistemas de información</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2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Calidad del desarrollo de programas informáticos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2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Calidad de las traducciones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26"/>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Tiempo necesario para la traducción de los informes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5</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II.4  Mayor y más eficaz utilización del Sistema de La Haya, entre otros por los países en desarrollo y los PMA</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solicitudes presentadas en el marco del Sistema de La Haya procedentes de países en desarrollo, países con economías en transición y países desarrollados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9</w:t>
            </w:r>
            <w:r w:rsidRPr="008F3D8D">
              <w:rPr>
                <w:sz w:val="16"/>
                <w:szCs w:val="16"/>
              </w:rPr>
              <w:t xml:space="preserve"> </w:t>
            </w:r>
          </w:p>
          <w:p w:rsidR="00EE1CCE" w:rsidRPr="008F3D8D" w:rsidRDefault="00EE1CCE" w:rsidP="00A34E19">
            <w:pPr>
              <w:jc w:val="center"/>
              <w:rPr>
                <w:sz w:val="16"/>
                <w:szCs w:val="16"/>
              </w:rPr>
            </w:pPr>
          </w:p>
          <w:p w:rsidR="00EE1CCE" w:rsidRPr="008F3D8D" w:rsidRDefault="00EE1CCE" w:rsidP="00A34E19">
            <w:pPr>
              <w:jc w:val="center"/>
              <w:rPr>
                <w:sz w:val="16"/>
                <w:szCs w:val="16"/>
              </w:rPr>
            </w:pPr>
            <w:r w:rsidRPr="008F3D8D">
              <w:rPr>
                <w:sz w:val="16"/>
                <w:szCs w:val="16"/>
                <w:lang w:val="es-ES_tradnl"/>
              </w:rPr>
              <w:t>Programa 10</w:t>
            </w:r>
            <w:r w:rsidRPr="008F3D8D">
              <w:rPr>
                <w:sz w:val="16"/>
                <w:szCs w:val="16"/>
              </w:rPr>
              <w:t xml:space="preserve"> </w:t>
            </w:r>
          </w:p>
          <w:p w:rsidR="00EE1CCE" w:rsidRPr="008F3D8D" w:rsidRDefault="00EE1CCE" w:rsidP="00A34E19">
            <w:pPr>
              <w:jc w:val="center"/>
              <w:rPr>
                <w:sz w:val="16"/>
                <w:szCs w:val="16"/>
              </w:rPr>
            </w:pPr>
          </w:p>
          <w:p w:rsidR="00EE1CCE" w:rsidRPr="008F3D8D" w:rsidRDefault="00EE1CCE" w:rsidP="00A34E19">
            <w:pPr>
              <w:jc w:val="center"/>
              <w:rPr>
                <w:sz w:val="16"/>
                <w:szCs w:val="16"/>
              </w:rPr>
            </w:pPr>
            <w:r w:rsidRPr="008F3D8D">
              <w:rPr>
                <w:sz w:val="16"/>
                <w:szCs w:val="16"/>
                <w:lang w:val="es-ES_tradnl"/>
              </w:rPr>
              <w:t>Programa 20</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r w:rsidRPr="008F3D8D">
              <w:rPr>
                <w:color w:val="FF0000"/>
                <w:szCs w:val="22"/>
              </w:rPr>
              <w:sym w:font="Wingdings" w:char="F06C"/>
            </w:r>
            <w:r w:rsidRPr="008F3D8D">
              <w:rPr>
                <w:color w:val="00B050"/>
                <w:szCs w:val="22"/>
              </w:rPr>
              <w:sym w:font="Wingdings" w:char="F06C"/>
            </w:r>
          </w:p>
          <w:p w:rsidR="00EE1CCE" w:rsidRPr="008F3D8D" w:rsidRDefault="00EE1CCE" w:rsidP="00A34E19">
            <w:pPr>
              <w:jc w:val="center"/>
              <w:rPr>
                <w:color w:val="00B050"/>
                <w:sz w:val="8"/>
                <w:szCs w:val="8"/>
              </w:rPr>
            </w:pPr>
          </w:p>
          <w:p w:rsidR="00EE1CCE" w:rsidRPr="008F3D8D" w:rsidRDefault="00EE1CCE" w:rsidP="00A34E19">
            <w:pPr>
              <w:jc w:val="center"/>
              <w:rPr>
                <w:color w:val="00B050"/>
                <w:szCs w:val="22"/>
              </w:rPr>
            </w:pPr>
            <w:r w:rsidRPr="008F3D8D">
              <w:rPr>
                <w:color w:val="00B050"/>
                <w:szCs w:val="22"/>
              </w:rPr>
              <w:sym w:font="Wingdings" w:char="F06C"/>
            </w:r>
          </w:p>
          <w:p w:rsidR="00EE1CCE" w:rsidRPr="008F3D8D" w:rsidRDefault="00EE1CCE" w:rsidP="00A34E19">
            <w:pPr>
              <w:jc w:val="center"/>
              <w:rPr>
                <w:color w:val="00B050"/>
                <w:sz w:val="8"/>
                <w:szCs w:val="8"/>
              </w:rPr>
            </w:pPr>
          </w:p>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97"/>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 de encargados de la adopción de políticas, funcionarios gubernamentales, profesionales de la P.I. y participantes en talleres con un mayor conocimiento del Sistema de La Haya</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20</w:t>
            </w:r>
          </w:p>
        </w:tc>
        <w:tc>
          <w:tcPr>
            <w:tcW w:w="569" w:type="pct"/>
            <w:shd w:val="clear" w:color="auto" w:fill="FFFFFF"/>
            <w:tcMar>
              <w:top w:w="57" w:type="dxa"/>
            </w:tcMar>
          </w:tcPr>
          <w:p w:rsidR="00EE1CCE" w:rsidRPr="008F3D8D" w:rsidRDefault="00EE1CCE" w:rsidP="00A34E19">
            <w:pPr>
              <w:jc w:val="center"/>
              <w:rPr>
                <w:szCs w:val="22"/>
              </w:rPr>
            </w:pPr>
            <w:r w:rsidRPr="008F3D8D">
              <w:rPr>
                <w:color w:val="808080"/>
                <w:szCs w:val="22"/>
              </w:rPr>
              <w:sym w:font="Wingdings" w:char="F06C"/>
            </w:r>
            <w:r w:rsidRPr="008F3D8D">
              <w:rPr>
                <w:color w:val="FF0000"/>
                <w:szCs w:val="22"/>
              </w:rPr>
              <w:sym w:font="Wingdings" w:char="F06C"/>
            </w:r>
            <w:r w:rsidRPr="008F3D8D">
              <w:rPr>
                <w:color w:val="00B050"/>
                <w:szCs w:val="22"/>
              </w:rPr>
              <w:sym w:font="Wingdings" w:char="F06C"/>
            </w:r>
          </w:p>
        </w:tc>
      </w:tr>
      <w:tr w:rsidR="00EE1CCE" w:rsidRPr="008F3D8D" w:rsidTr="00A34E19">
        <w:trPr>
          <w:cantSplit/>
          <w:trHeight w:val="17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miembros del Acta de Ginebra (1999)</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20</w:t>
            </w:r>
          </w:p>
          <w:p w:rsidR="00EE1CCE" w:rsidRPr="008F3D8D" w:rsidRDefault="00EE1CCE" w:rsidP="00A34E19">
            <w:pPr>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color w:val="FF0000"/>
                <w:szCs w:val="22"/>
              </w:rPr>
            </w:pPr>
            <w:r w:rsidRPr="008F3D8D">
              <w:rPr>
                <w:color w:val="FF0000"/>
                <w:szCs w:val="22"/>
              </w:rPr>
              <w:sym w:font="Wingdings" w:char="F06C"/>
            </w:r>
          </w:p>
          <w:p w:rsidR="00EE1CCE" w:rsidRPr="008F3D8D" w:rsidRDefault="00EE1CCE" w:rsidP="00A34E19">
            <w:pPr>
              <w:jc w:val="center"/>
              <w:rPr>
                <w:szCs w:val="22"/>
              </w:rPr>
            </w:pPr>
            <w:r w:rsidRPr="008F3D8D">
              <w:rPr>
                <w:color w:val="FF0000"/>
                <w:szCs w:val="22"/>
              </w:rPr>
              <w:sym w:font="Wingdings" w:char="F06C"/>
            </w:r>
          </w:p>
        </w:tc>
      </w:tr>
      <w:tr w:rsidR="00EE1CCE" w:rsidRPr="008F3D8D" w:rsidTr="00A34E19">
        <w:trPr>
          <w:cantSplit/>
          <w:trHeight w:val="108"/>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Solicitudes de registro y renovaciones en virtud del Sistema de La Haya</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r w:rsidRPr="008F3D8D">
              <w:rPr>
                <w:color w:val="FF0000"/>
                <w:szCs w:val="22"/>
              </w:rPr>
              <w:sym w:font="Wingdings" w:char="F06C"/>
            </w:r>
            <w:r w:rsidRPr="008F3D8D">
              <w:rPr>
                <w:color w:val="00B050"/>
                <w:szCs w:val="22"/>
              </w:rPr>
              <w:sym w:font="Wingdings" w:char="F06C"/>
            </w:r>
          </w:p>
        </w:tc>
      </w:tr>
      <w:tr w:rsidR="00EE1CCE" w:rsidRPr="008F3D8D" w:rsidTr="00A34E19">
        <w:trPr>
          <w:cantSplit/>
          <w:trHeight w:val="26"/>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 de oficinas que proporcionan información a los usuarios sobre el Sistema de La Haya</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II.5  Mejora de la productividad y de la calidad de los servicios en las operaciones del Sistema de La Haya</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3 versiones instaladas de DIRIS y 3 versiones instaladas del sistema de presentación electrónica de solicitudes del Sistema de La Haya</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szCs w:val="22"/>
              </w:rPr>
              <w:sym w:font="Wingdings" w:char="F06C"/>
            </w:r>
            <w:r w:rsidRPr="008F3D8D">
              <w:rPr>
                <w:color w:val="00B05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Flexibilidad de los datos inscritos en el Registro Internacional</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FF000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Mejora del funcionamiento del Registro de La Haya, incluidos los procesos y procedimientos electrónicos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FF000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Predominio del Acta de Ginebra (1999) en el Sistema de La Haya</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95"/>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Procesos y procedimientos adaptados a la evolución geográfica y jurídica del sistema</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Avances en la mejora del marco jurídico</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Prestación estable de las funciones auxiliares de gestión de los servicios informáticos del Sistema de La Haya, que van perfeccionándose</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31</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34"/>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II.6  Mayor y más eficaz utilización del Sistema de Madrid, entre otros por los países en desarrollo y los PMA</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Índice de presentación de solicitudes (Madrid)</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Mejoras del funcionamiento del Sistema de Madrid</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6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Índice de irregularidades (Artículos 12 y 13) (Madrid)</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65"/>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Cuota de mercado (es decir, vía nacional, en contraposición al Sistema de Madrid) (Madrid)</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color w:val="3366FF"/>
                <w:szCs w:val="22"/>
              </w:rPr>
            </w:pPr>
            <w:r w:rsidRPr="008F3D8D">
              <w:rPr>
                <w:color w:val="0070C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Registros (Madrid)</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Renovaciones (Madrid)</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total de miembros del Sistema de Madrid</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FF0000"/>
                <w:szCs w:val="22"/>
              </w:rPr>
              <w:sym w:font="Wingdings" w:char="F06C"/>
            </w:r>
          </w:p>
        </w:tc>
      </w:tr>
      <w:tr w:rsidR="00EE1CCE" w:rsidRPr="008F3D8D" w:rsidTr="00A34E19">
        <w:trPr>
          <w:cantSplit/>
          <w:trHeight w:val="24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total de designaciones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103"/>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total de registros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48"/>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solicitudes presentadas en el marco del Sistema de Madrid procedentes de países en desarrollo, países con economías en transición y países desarrollados</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9</w:t>
            </w:r>
          </w:p>
          <w:p w:rsidR="00EE1CCE" w:rsidRPr="008F3D8D" w:rsidRDefault="00EE1CCE" w:rsidP="00A34E19">
            <w:pPr>
              <w:jc w:val="center"/>
              <w:rPr>
                <w:sz w:val="16"/>
                <w:szCs w:val="16"/>
              </w:rPr>
            </w:pPr>
          </w:p>
          <w:p w:rsidR="00EE1CCE" w:rsidRPr="008F3D8D" w:rsidRDefault="00EE1CCE" w:rsidP="00A34E19">
            <w:pPr>
              <w:jc w:val="center"/>
              <w:rPr>
                <w:sz w:val="16"/>
                <w:szCs w:val="16"/>
              </w:rPr>
            </w:pPr>
            <w:r w:rsidRPr="008F3D8D">
              <w:rPr>
                <w:sz w:val="16"/>
                <w:szCs w:val="16"/>
                <w:lang w:val="es-ES_tradnl"/>
              </w:rPr>
              <w:t>Programa 10</w:t>
            </w:r>
          </w:p>
          <w:p w:rsidR="00EE1CCE" w:rsidRPr="008F3D8D" w:rsidRDefault="00EE1CCE" w:rsidP="00A34E19">
            <w:pPr>
              <w:jc w:val="center"/>
              <w:rPr>
                <w:sz w:val="16"/>
                <w:szCs w:val="16"/>
              </w:rPr>
            </w:pPr>
          </w:p>
          <w:p w:rsidR="00EE1CCE" w:rsidRPr="008F3D8D" w:rsidRDefault="00EE1CCE" w:rsidP="00A34E19">
            <w:pPr>
              <w:jc w:val="center"/>
              <w:rPr>
                <w:sz w:val="16"/>
                <w:szCs w:val="16"/>
              </w:rPr>
            </w:pPr>
            <w:r w:rsidRPr="008F3D8D">
              <w:rPr>
                <w:sz w:val="16"/>
                <w:szCs w:val="16"/>
                <w:lang w:val="es-ES_tradnl"/>
              </w:rPr>
              <w:t>Programa 20</w:t>
            </w:r>
          </w:p>
        </w:tc>
        <w:tc>
          <w:tcPr>
            <w:tcW w:w="569" w:type="pct"/>
            <w:shd w:val="clear" w:color="auto" w:fill="FFFFFF"/>
            <w:tcMar>
              <w:top w:w="57" w:type="dxa"/>
            </w:tcMar>
          </w:tcPr>
          <w:p w:rsidR="00EE1CCE" w:rsidRPr="008F3D8D" w:rsidRDefault="00EE1CCE" w:rsidP="00A34E19">
            <w:pPr>
              <w:jc w:val="center"/>
              <w:rPr>
                <w:color w:val="FF0000"/>
                <w:szCs w:val="22"/>
              </w:rPr>
            </w:pPr>
            <w:r w:rsidRPr="008F3D8D">
              <w:rPr>
                <w:color w:val="FF0000"/>
                <w:szCs w:val="22"/>
              </w:rPr>
              <w:sym w:font="Wingdings" w:char="F06C"/>
            </w:r>
            <w:r w:rsidRPr="008F3D8D">
              <w:rPr>
                <w:color w:val="FF0000"/>
                <w:szCs w:val="22"/>
              </w:rPr>
              <w:sym w:font="Wingdings" w:char="F06C"/>
            </w:r>
            <w:r w:rsidRPr="008F3D8D">
              <w:rPr>
                <w:color w:val="00B050"/>
                <w:szCs w:val="22"/>
              </w:rPr>
              <w:sym w:font="Wingdings" w:char="F06C"/>
            </w:r>
            <w:r w:rsidRPr="008F3D8D">
              <w:rPr>
                <w:color w:val="FF0000"/>
                <w:szCs w:val="22"/>
              </w:rPr>
              <w:sym w:font="Wingdings" w:char="F06C"/>
            </w:r>
          </w:p>
          <w:p w:rsidR="00EE1CCE" w:rsidRPr="008F3D8D" w:rsidRDefault="00EE1CCE" w:rsidP="00A34E19">
            <w:pPr>
              <w:jc w:val="center"/>
              <w:rPr>
                <w:color w:val="FF0000"/>
                <w:sz w:val="8"/>
                <w:szCs w:val="8"/>
              </w:rPr>
            </w:pPr>
          </w:p>
          <w:p w:rsidR="00EE1CCE" w:rsidRPr="008F3D8D" w:rsidRDefault="00EE1CCE" w:rsidP="00A34E19">
            <w:pPr>
              <w:jc w:val="center"/>
              <w:rPr>
                <w:color w:val="00B050"/>
                <w:szCs w:val="22"/>
              </w:rPr>
            </w:pPr>
            <w:r w:rsidRPr="008F3D8D">
              <w:rPr>
                <w:color w:val="00B050"/>
                <w:szCs w:val="22"/>
              </w:rPr>
              <w:sym w:font="Wingdings" w:char="F06C"/>
            </w:r>
          </w:p>
          <w:p w:rsidR="00EE1CCE" w:rsidRPr="008F3D8D" w:rsidRDefault="00EE1CCE" w:rsidP="00A34E19">
            <w:pPr>
              <w:jc w:val="center"/>
              <w:rPr>
                <w:color w:val="00B050"/>
                <w:sz w:val="10"/>
                <w:szCs w:val="10"/>
              </w:rPr>
            </w:pPr>
          </w:p>
          <w:p w:rsidR="00EE1CCE" w:rsidRPr="008F3D8D" w:rsidRDefault="00EE1CCE" w:rsidP="00A34E19">
            <w:pPr>
              <w:jc w:val="center"/>
              <w:rPr>
                <w:szCs w:val="22"/>
              </w:rPr>
            </w:pPr>
            <w:r w:rsidRPr="008F3D8D">
              <w:rPr>
                <w:color w:val="80808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50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 de encargados de la adopción de políticas, funcionarios gubernamentales, profesionales de la P.I. y participantes en talleres con un mayor conocimiento del Sistema de Madrid</w:t>
            </w:r>
          </w:p>
        </w:tc>
        <w:tc>
          <w:tcPr>
            <w:tcW w:w="862" w:type="pct"/>
            <w:shd w:val="clear" w:color="auto" w:fill="FFFFFF"/>
            <w:tcMar>
              <w:top w:w="57" w:type="dxa"/>
              <w:bottom w:w="113" w:type="dxa"/>
            </w:tcMar>
          </w:tcPr>
          <w:p w:rsidR="00EE1CCE" w:rsidRPr="008F3D8D" w:rsidRDefault="00EE1CCE" w:rsidP="00A34E19">
            <w:pPr>
              <w:spacing w:before="40"/>
              <w:jc w:val="center"/>
              <w:rPr>
                <w:sz w:val="16"/>
                <w:szCs w:val="16"/>
              </w:rPr>
            </w:pPr>
            <w:r w:rsidRPr="008F3D8D">
              <w:rPr>
                <w:sz w:val="16"/>
                <w:szCs w:val="16"/>
                <w:lang w:val="es-ES_tradnl"/>
              </w:rPr>
              <w:t>Programa 20</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total de miembros del Sistema de Madrid</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20</w:t>
            </w:r>
          </w:p>
        </w:tc>
        <w:tc>
          <w:tcPr>
            <w:tcW w:w="569" w:type="pct"/>
            <w:shd w:val="clear" w:color="auto" w:fill="FFFFFF"/>
            <w:tcMar>
              <w:top w:w="57" w:type="dxa"/>
            </w:tcMar>
          </w:tcPr>
          <w:p w:rsidR="00EE1CCE" w:rsidRPr="008F3D8D" w:rsidRDefault="00EE1CCE" w:rsidP="00A34E19">
            <w:pPr>
              <w:jc w:val="center"/>
              <w:rPr>
                <w:szCs w:val="22"/>
              </w:rPr>
            </w:pPr>
            <w:r w:rsidRPr="008F3D8D">
              <w:rPr>
                <w:color w:val="FF0000"/>
                <w:szCs w:val="22"/>
              </w:rPr>
              <w:sym w:font="Wingdings" w:char="F06C"/>
            </w:r>
          </w:p>
        </w:tc>
      </w:tr>
      <w:tr w:rsidR="00EE1CCE" w:rsidRPr="008F3D8D" w:rsidTr="00A34E19">
        <w:trPr>
          <w:cantSplit/>
          <w:trHeight w:val="387"/>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II.7  Mejora de la productividad y de la calidad de los servicios en las operaciones del Sistema de Madrid</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3 versiones instaladas de M-IRIS y 3 versiones instaladas del sistema de presentación electrónica de solicitudes del Sistema de Madrid (IRPI)</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B050"/>
                <w:szCs w:val="22"/>
              </w:rPr>
              <w:sym w:font="Wingdings" w:char="F06C"/>
            </w:r>
            <w:r w:rsidRPr="008F3D8D">
              <w:rPr>
                <w:szCs w:val="22"/>
              </w:rPr>
              <w:sym w:font="Wingdings" w:char="F06C"/>
            </w:r>
            <w:r w:rsidRPr="008F3D8D">
              <w:rPr>
                <w:color w:val="00B05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Satisfacción del cliente (Madrid)</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szCs w:val="22"/>
              </w:rPr>
            </w:pPr>
            <w:r w:rsidRPr="008F3D8D">
              <w:rPr>
                <w:color w:val="0070C0"/>
                <w:szCs w:val="22"/>
              </w:rPr>
              <w:sym w:font="Wingdings" w:char="F06C"/>
            </w:r>
          </w:p>
        </w:tc>
      </w:tr>
      <w:tr w:rsidR="00EE1CCE" w:rsidRPr="008F3D8D" w:rsidTr="00A34E19">
        <w:trPr>
          <w:cantSplit/>
          <w:trHeight w:val="3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Mejor funcionamiento del Registro de Madrid, también de los procesos y procedimientos electrónicos</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rPr>
                <w:szCs w:val="22"/>
              </w:rPr>
            </w:pPr>
            <w:r w:rsidRPr="008F3D8D">
              <w:rPr>
                <w:color w:val="FF000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Calidad (Madrid)</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rPr>
                <w:szCs w:val="22"/>
              </w:rPr>
            </w:pP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Prestación estable de servicios auxiliares de TI del Sistema de Madrid, que van perfeccionándose</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FF0000"/>
                <w:szCs w:val="22"/>
              </w:rPr>
              <w:sym w:font="Wingdings" w:char="F06C"/>
            </w:r>
            <w:r w:rsidRPr="008F3D8D">
              <w:rPr>
                <w:color w:val="00B05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Tiempo necesario para realizar</w:t>
            </w:r>
            <w:r w:rsidRPr="008F3D8D">
              <w:rPr>
                <w:sz w:val="16"/>
                <w:szCs w:val="16"/>
              </w:rPr>
              <w:t xml:space="preserve"> las transacciones</w:t>
            </w:r>
            <w:r w:rsidRPr="008F3D8D">
              <w:rPr>
                <w:sz w:val="16"/>
                <w:szCs w:val="16"/>
              </w:rPr>
              <w:br/>
              <w:t>(días) (Madrid)</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FF0000"/>
                <w:szCs w:val="22"/>
              </w:rPr>
              <w:sym w:font="Wingdings" w:char="F06C"/>
            </w:r>
          </w:p>
        </w:tc>
      </w:tr>
      <w:tr w:rsidR="00EE1CCE" w:rsidRPr="008F3D8D" w:rsidTr="00A34E19">
        <w:trPr>
          <w:cantSplit/>
          <w:trHeight w:val="3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Costo unitario (Madrid)</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6</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808080"/>
                <w:szCs w:val="22"/>
              </w:rPr>
              <w:sym w:font="Wingdings" w:char="F06C"/>
            </w:r>
            <w:r w:rsidRPr="008F3D8D">
              <w:rPr>
                <w:color w:val="808080"/>
                <w:szCs w:val="22"/>
              </w:rPr>
              <w:sym w:font="Wingdings" w:char="F06C"/>
            </w:r>
          </w:p>
        </w:tc>
      </w:tr>
      <w:tr w:rsidR="00EE1CCE" w:rsidRPr="008F3D8D" w:rsidTr="00A34E19">
        <w:trPr>
          <w:cantSplit/>
          <w:trHeight w:val="500"/>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II.8  Las controversias nacionales e internacionales en materia de P.I. se evitan o resuelven cada vez con más frecuencia mediante procedimientos de mediación, arbitraje y demás métodos de solución extrajudicial de controversias</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Mayor uso de los servicios y cláusulas de solución extrajudicial de controversias en las transacciones y los registros de P.I., entre otros medios, valiéndose de los procedimientos de la OMPI</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7</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500"/>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Políticas de solución extrajudicial de controversias en cuya elaboración y aplicación ha participado el Centro</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7</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00B050"/>
                <w:szCs w:val="22"/>
              </w:rPr>
              <w:sym w:font="Wingdings" w:char="F06C"/>
            </w:r>
          </w:p>
        </w:tc>
      </w:tr>
      <w:tr w:rsidR="00EE1CCE" w:rsidRPr="008F3D8D" w:rsidTr="00A34E19">
        <w:trPr>
          <w:cantSplit/>
          <w:trHeight w:val="50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controversias de P.I. que surgen en países en transición y desarrollados y que se evitan o resuelven por mediación o arbitraje de la OMPI y otros métodos extrajudiciales de solución de controversias</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10</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00B050"/>
                <w:szCs w:val="22"/>
              </w:rPr>
              <w:sym w:font="Wingdings" w:char="F06C"/>
            </w:r>
          </w:p>
        </w:tc>
      </w:tr>
      <w:tr w:rsidR="00EE1CCE" w:rsidRPr="008F3D8D" w:rsidTr="00A34E19">
        <w:trPr>
          <w:cantSplit/>
          <w:trHeight w:val="500"/>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II.9  Protección eficaz de la propiedad intelectual en los gTLD y los ccTLD</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Políticas de solución de controversias en el Sistema de Nombres de Dominio en cuya elaboración y aplicación ha participado el Centro</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7</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349"/>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procedimientos relativos a los gTLD y los ccTLD administrados por el Centro en virtud de la Política Uniforme</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7</w:t>
            </w:r>
          </w:p>
        </w:tc>
        <w:tc>
          <w:tcPr>
            <w:tcW w:w="569" w:type="pct"/>
            <w:shd w:val="clear" w:color="auto" w:fill="FFFFFF"/>
            <w:tcMar>
              <w:top w:w="57" w:type="dxa"/>
            </w:tcMar>
          </w:tcPr>
          <w:p w:rsidR="00EE1CCE" w:rsidRPr="008F3D8D" w:rsidRDefault="00EE1CCE" w:rsidP="00A34E19">
            <w:pPr>
              <w:jc w:val="center"/>
              <w:rPr>
                <w:color w:val="E36C0A" w:themeColor="accent6" w:themeShade="BF"/>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500"/>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II.10  Mayor y más eficaz utilización del Sistema de Lisboa, entre otros por los países en desarrollo y los PMA</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registros internacionales de países en desarrollo y PMA en vigor en virtud del Sistema de Lisboa (con respecto al número total)</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9</w:t>
            </w:r>
            <w:r w:rsidRPr="008F3D8D">
              <w:rPr>
                <w:sz w:val="16"/>
                <w:szCs w:val="16"/>
              </w:rPr>
              <w:t xml:space="preserve">  </w:t>
            </w:r>
          </w:p>
          <w:p w:rsidR="00EE1CCE" w:rsidRPr="008F3D8D" w:rsidRDefault="00EE1CCE" w:rsidP="00A34E19">
            <w:pPr>
              <w:jc w:val="center"/>
              <w:rPr>
                <w:sz w:val="16"/>
                <w:szCs w:val="16"/>
              </w:rPr>
            </w:pPr>
            <w:r w:rsidRPr="008F3D8D">
              <w:rPr>
                <w:sz w:val="16"/>
                <w:szCs w:val="16"/>
                <w:lang w:val="es-ES_tradnl"/>
              </w:rPr>
              <w:t>Programa 32</w:t>
            </w:r>
          </w:p>
        </w:tc>
        <w:tc>
          <w:tcPr>
            <w:tcW w:w="569" w:type="pct"/>
            <w:shd w:val="clear" w:color="auto" w:fill="FFFFFF"/>
            <w:tcMar>
              <w:top w:w="57" w:type="dxa"/>
            </w:tcMar>
          </w:tcPr>
          <w:p w:rsidR="00EE1CCE" w:rsidRPr="008F3D8D" w:rsidRDefault="00EE1CCE" w:rsidP="00A34E19">
            <w:pPr>
              <w:jc w:val="center"/>
              <w:rPr>
                <w:color w:val="FF0000"/>
                <w:szCs w:val="22"/>
              </w:rPr>
            </w:pPr>
            <w:r w:rsidRPr="008F3D8D">
              <w:rPr>
                <w:color w:val="FF0000"/>
                <w:szCs w:val="22"/>
              </w:rPr>
              <w:sym w:font="Wingdings" w:char="F06C"/>
            </w:r>
          </w:p>
          <w:p w:rsidR="00EE1CCE" w:rsidRPr="008F3D8D" w:rsidRDefault="00EE1CCE" w:rsidP="00A34E19">
            <w:pPr>
              <w:jc w:val="center"/>
              <w:rPr>
                <w:color w:val="00B050"/>
                <w:szCs w:val="22"/>
              </w:rPr>
            </w:pPr>
            <w:r w:rsidRPr="008F3D8D">
              <w:rPr>
                <w:color w:val="FF0000"/>
                <w:szCs w:val="22"/>
              </w:rPr>
              <w:sym w:font="Wingdings" w:char="F06C"/>
            </w:r>
          </w:p>
        </w:tc>
      </w:tr>
      <w:tr w:rsidR="00EE1CCE" w:rsidRPr="008F3D8D" w:rsidTr="00A34E19">
        <w:trPr>
          <w:cantSplit/>
          <w:trHeight w:val="369"/>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registros internacionales en virtud del Sistema de Lisboa en vigor, de países con economías en transición y países desarrollados</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10</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p>
        </w:tc>
      </w:tr>
      <w:tr w:rsidR="00EE1CCE" w:rsidRPr="008F3D8D" w:rsidTr="00A34E19">
        <w:trPr>
          <w:cantSplit/>
          <w:trHeight w:val="521"/>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 de participantes en las actividades del Sistema de Lisboa que están satisfechos y manifiestan haber mejorado sus conocimientos tras haber participado en las actividades</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32</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p>
        </w:tc>
      </w:tr>
      <w:tr w:rsidR="00EE1CCE" w:rsidRPr="008F3D8D" w:rsidTr="00A34E19">
        <w:trPr>
          <w:cantSplit/>
          <w:trHeight w:val="22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Expansión del alcance geográfico del Sistema de Lisboa</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32</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FF0000"/>
                <w:szCs w:val="22"/>
              </w:rPr>
              <w:sym w:font="Wingdings" w:char="F06C"/>
            </w:r>
          </w:p>
        </w:tc>
      </w:tr>
      <w:tr w:rsidR="00EE1CCE" w:rsidRPr="008F3D8D" w:rsidTr="00A34E19">
        <w:trPr>
          <w:cantSplit/>
          <w:trHeight w:val="351"/>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N.º de solicitudes internacionales y otras transacciones (Lisboa)</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32</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255"/>
        </w:trPr>
        <w:tc>
          <w:tcPr>
            <w:tcW w:w="1476" w:type="pct"/>
            <w:vMerge w:val="restar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II.11  Mejora de la productividad y de la calidad de los servicios en las operaciones del Sistema de Lisboa</w:t>
            </w:r>
          </w:p>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Adopción de disposiciones que agilicen el marco jurídico del Sistema de Lisboa</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32</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p>
        </w:tc>
      </w:tr>
      <w:tr w:rsidR="00EE1CCE" w:rsidRPr="008F3D8D" w:rsidTr="00A34E19">
        <w:trPr>
          <w:cantSplit/>
          <w:trHeight w:val="291"/>
        </w:trPr>
        <w:tc>
          <w:tcPr>
            <w:tcW w:w="1476" w:type="pct"/>
            <w:vMerge/>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rPr>
              <w:t>Mejora de los servicios electrónicos correspondientes al Registro de Lisboa</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32</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FF0000"/>
                <w:szCs w:val="22"/>
              </w:rPr>
              <w:sym w:font="Wingdings" w:char="F06C"/>
            </w:r>
          </w:p>
        </w:tc>
      </w:tr>
      <w:tr w:rsidR="00EE1CCE" w:rsidRPr="008F3D8D" w:rsidTr="00A34E19">
        <w:trPr>
          <w:cantSplit/>
          <w:trHeight w:val="500"/>
        </w:trPr>
        <w:tc>
          <w:tcPr>
            <w:tcW w:w="1476" w:type="pct"/>
            <w:shd w:val="clear" w:color="auto" w:fill="auto"/>
            <w:tcMar>
              <w:top w:w="57" w:type="dxa"/>
              <w:bottom w:w="113" w:type="dxa"/>
            </w:tcMar>
          </w:tcPr>
          <w:p w:rsidR="00EE1CCE" w:rsidRPr="008F3D8D" w:rsidRDefault="00EE1CCE" w:rsidP="00A34E19">
            <w:pPr>
              <w:rPr>
                <w:sz w:val="16"/>
                <w:szCs w:val="16"/>
              </w:rPr>
            </w:pPr>
          </w:p>
        </w:tc>
        <w:tc>
          <w:tcPr>
            <w:tcW w:w="2093" w:type="pct"/>
            <w:shd w:val="clear" w:color="auto" w:fill="auto"/>
            <w:tcMar>
              <w:top w:w="57" w:type="dxa"/>
              <w:bottom w:w="113" w:type="dxa"/>
            </w:tcMar>
          </w:tcPr>
          <w:p w:rsidR="00EE1CCE" w:rsidRPr="008F3D8D" w:rsidRDefault="00EE1CCE" w:rsidP="00A34E19">
            <w:pPr>
              <w:rPr>
                <w:sz w:val="16"/>
                <w:szCs w:val="16"/>
              </w:rPr>
            </w:pPr>
            <w:r w:rsidRPr="008F3D8D">
              <w:rPr>
                <w:sz w:val="16"/>
                <w:szCs w:val="16"/>
                <w:lang w:val="es-ES_tradnl"/>
              </w:rPr>
              <w:t>Mayor uso de los medios electrónicos para la presentación y tramitación de solicitudes internacionales y otras transacciones (Lisboa)</w:t>
            </w:r>
          </w:p>
        </w:tc>
        <w:tc>
          <w:tcPr>
            <w:tcW w:w="862" w:type="pct"/>
            <w:shd w:val="clear" w:color="auto" w:fill="FFFFFF"/>
            <w:tcMar>
              <w:top w:w="57" w:type="dxa"/>
              <w:bottom w:w="113" w:type="dxa"/>
            </w:tcMar>
          </w:tcPr>
          <w:p w:rsidR="00EE1CCE" w:rsidRPr="008F3D8D" w:rsidRDefault="00EE1CCE" w:rsidP="00A34E19">
            <w:pPr>
              <w:jc w:val="center"/>
              <w:rPr>
                <w:sz w:val="16"/>
                <w:szCs w:val="16"/>
              </w:rPr>
            </w:pPr>
            <w:r w:rsidRPr="008F3D8D">
              <w:rPr>
                <w:sz w:val="16"/>
                <w:szCs w:val="16"/>
                <w:lang w:val="es-ES_tradnl"/>
              </w:rPr>
              <w:t>Programa 32</w:t>
            </w:r>
          </w:p>
        </w:tc>
        <w:tc>
          <w:tcPr>
            <w:tcW w:w="569" w:type="pct"/>
            <w:shd w:val="clear" w:color="auto" w:fill="FFFFFF"/>
            <w:tcMar>
              <w:top w:w="57" w:type="dxa"/>
            </w:tcMar>
          </w:tcPr>
          <w:p w:rsidR="00EE1CCE" w:rsidRPr="008F3D8D" w:rsidRDefault="00EE1CCE" w:rsidP="00A34E19">
            <w:pPr>
              <w:jc w:val="center"/>
              <w:rPr>
                <w:color w:val="00B050"/>
                <w:szCs w:val="22"/>
              </w:rPr>
            </w:pPr>
            <w:r w:rsidRPr="008F3D8D">
              <w:rPr>
                <w:color w:val="00B050"/>
                <w:szCs w:val="22"/>
              </w:rPr>
              <w:sym w:font="Wingdings" w:char="F06C"/>
            </w:r>
            <w:r w:rsidRPr="008F3D8D">
              <w:rPr>
                <w:color w:val="FF0000"/>
                <w:szCs w:val="22"/>
              </w:rPr>
              <w:sym w:font="Wingdings" w:char="F06C"/>
            </w:r>
          </w:p>
        </w:tc>
      </w:tr>
      <w:bookmarkEnd w:id="29"/>
    </w:tbl>
    <w:p w:rsidR="00EE1CCE" w:rsidRPr="008F3D8D" w:rsidRDefault="00EE1CCE" w:rsidP="00EE1CCE">
      <w:pPr>
        <w:pStyle w:val="ListParagraph"/>
        <w:ind w:left="0"/>
        <w:contextualSpacing/>
        <w:jc w:val="both"/>
        <w:rPr>
          <w:rFonts w:cs="Arial"/>
        </w:rPr>
      </w:pPr>
    </w:p>
    <w:p w:rsidR="00596002" w:rsidRDefault="00596002">
      <w:pPr>
        <w:rPr>
          <w:rFonts w:eastAsia="Times New Roman"/>
          <w:sz w:val="20"/>
          <w:lang w:val="en-US" w:eastAsia="en-US"/>
        </w:rPr>
      </w:pPr>
      <w:r>
        <w:br w:type="page"/>
      </w:r>
    </w:p>
    <w:p w:rsidR="008415E8" w:rsidRPr="00D74BDF" w:rsidRDefault="008415E8" w:rsidP="00BB510E">
      <w:pPr>
        <w:keepNext/>
        <w:spacing w:before="240" w:after="60"/>
        <w:ind w:left="2410" w:hanging="2410"/>
        <w:outlineLvl w:val="1"/>
        <w:rPr>
          <w:b/>
          <w:iCs/>
          <w:caps/>
          <w:szCs w:val="22"/>
        </w:rPr>
      </w:pPr>
      <w:bookmarkStart w:id="30" w:name="_Toc482711244"/>
      <w:r w:rsidRPr="00D74BDF">
        <w:rPr>
          <w:b/>
          <w:iCs/>
          <w:caps/>
          <w:szCs w:val="22"/>
        </w:rPr>
        <w:lastRenderedPageBreak/>
        <w:t>PROGRAMA 5</w:t>
      </w:r>
      <w:r w:rsidRPr="00D74BDF">
        <w:rPr>
          <w:b/>
          <w:iCs/>
          <w:caps/>
          <w:szCs w:val="22"/>
        </w:rPr>
        <w:tab/>
        <w:t>SISTEMA DEL PCT</w:t>
      </w:r>
      <w:bookmarkEnd w:id="30"/>
    </w:p>
    <w:p w:rsidR="008415E8" w:rsidRPr="00D74BDF" w:rsidRDefault="008415E8" w:rsidP="00A34E19">
      <w:pPr>
        <w:rPr>
          <w:rFonts w:cs="Times New Roman"/>
          <w:sz w:val="20"/>
        </w:rPr>
      </w:pPr>
    </w:p>
    <w:p w:rsidR="008415E8" w:rsidRPr="00D74BDF" w:rsidRDefault="008415E8" w:rsidP="00BB510E">
      <w:pPr>
        <w:tabs>
          <w:tab w:val="left" w:pos="2410"/>
        </w:tabs>
        <w:rPr>
          <w:rFonts w:cs="Times New Roman"/>
          <w:b/>
          <w:sz w:val="20"/>
          <w:szCs w:val="22"/>
        </w:rPr>
      </w:pPr>
      <w:r w:rsidRPr="00D74BDF">
        <w:rPr>
          <w:rFonts w:cs="Times New Roman"/>
          <w:b/>
          <w:sz w:val="20"/>
          <w:szCs w:val="22"/>
        </w:rPr>
        <w:t>Director de programa</w:t>
      </w:r>
      <w:r w:rsidRPr="00D74BDF">
        <w:rPr>
          <w:rFonts w:cs="Times New Roman"/>
          <w:sz w:val="20"/>
          <w:szCs w:val="22"/>
        </w:rPr>
        <w:tab/>
      </w:r>
      <w:r w:rsidRPr="00D74BDF">
        <w:rPr>
          <w:rFonts w:cs="Times New Roman"/>
          <w:b/>
          <w:sz w:val="20"/>
          <w:szCs w:val="22"/>
        </w:rPr>
        <w:t>Sr. J. Sandage</w:t>
      </w:r>
    </w:p>
    <w:p w:rsidR="008415E8" w:rsidRPr="00D74BDF" w:rsidRDefault="008415E8" w:rsidP="00A34E19">
      <w:pPr>
        <w:tabs>
          <w:tab w:val="left" w:pos="1985"/>
        </w:tabs>
        <w:jc w:val="center"/>
        <w:rPr>
          <w:szCs w:val="22"/>
        </w:rPr>
      </w:pPr>
      <w:r w:rsidRPr="001F3BF7">
        <w:rPr>
          <w:noProof/>
          <w:lang w:val="en-US" w:eastAsia="en-US"/>
        </w:rPr>
        <w:drawing>
          <wp:inline distT="0" distB="0" distL="0" distR="0" wp14:anchorId="04B9587C" wp14:editId="55844FF5">
            <wp:extent cx="4932687" cy="2434074"/>
            <wp:effectExtent l="0" t="0" r="1270" b="444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932687" cy="2434074"/>
                    </a:xfrm>
                    <a:prstGeom prst="rect">
                      <a:avLst/>
                    </a:prstGeom>
                    <a:noFill/>
                    <a:ln>
                      <a:noFill/>
                    </a:ln>
                  </pic:spPr>
                </pic:pic>
              </a:graphicData>
            </a:graphic>
          </wp:inline>
        </w:drawing>
      </w:r>
    </w:p>
    <w:tbl>
      <w:tblPr>
        <w:tblW w:w="5181" w:type="pct"/>
        <w:tblInd w:w="-84" w:type="dxa"/>
        <w:tblLayout w:type="fixed"/>
        <w:tblCellMar>
          <w:left w:w="115" w:type="dxa"/>
          <w:right w:w="115" w:type="dxa"/>
        </w:tblCellMar>
        <w:tblLook w:val="0000" w:firstRow="0" w:lastRow="0" w:firstColumn="0" w:lastColumn="0" w:noHBand="0" w:noVBand="0"/>
      </w:tblPr>
      <w:tblGrid>
        <w:gridCol w:w="1941"/>
        <w:gridCol w:w="2791"/>
        <w:gridCol w:w="1222"/>
        <w:gridCol w:w="141"/>
        <w:gridCol w:w="2483"/>
        <w:gridCol w:w="942"/>
      </w:tblGrid>
      <w:tr w:rsidR="008415E8" w:rsidRPr="00D74BDF" w:rsidTr="00A34E19">
        <w:trPr>
          <w:trHeight w:val="565"/>
        </w:trPr>
        <w:tc>
          <w:tcPr>
            <w:tcW w:w="5000" w:type="pct"/>
            <w:gridSpan w:val="6"/>
            <w:shd w:val="clear" w:color="auto" w:fill="C6D9F1" w:themeFill="text2" w:themeFillTint="33"/>
            <w:tcMar>
              <w:left w:w="58" w:type="dxa"/>
              <w:right w:w="58" w:type="dxa"/>
            </w:tcMar>
            <w:vAlign w:val="center"/>
          </w:tcPr>
          <w:p w:rsidR="008415E8" w:rsidRPr="00D74BDF" w:rsidRDefault="008415E8" w:rsidP="00A34E19">
            <w:pPr>
              <w:keepNext/>
              <w:keepLines/>
              <w:tabs>
                <w:tab w:val="left" w:pos="1452"/>
                <w:tab w:val="left" w:pos="1725"/>
              </w:tabs>
              <w:ind w:left="1725" w:hanging="1725"/>
              <w:rPr>
                <w:b/>
                <w:bCs/>
                <w:sz w:val="16"/>
                <w:szCs w:val="16"/>
              </w:rPr>
            </w:pPr>
            <w:r w:rsidRPr="00D74BDF">
              <w:rPr>
                <w:b/>
                <w:bCs/>
                <w:sz w:val="16"/>
                <w:szCs w:val="16"/>
              </w:rPr>
              <w:t>Resultado previsto:</w:t>
            </w:r>
            <w:r w:rsidRPr="00D74BDF">
              <w:rPr>
                <w:b/>
                <w:bCs/>
                <w:sz w:val="16"/>
                <w:szCs w:val="16"/>
              </w:rPr>
              <w:tab/>
            </w:r>
            <w:r w:rsidRPr="00D74BDF">
              <w:rPr>
                <w:bCs/>
                <w:sz w:val="16"/>
                <w:szCs w:val="16"/>
              </w:rPr>
              <w:t>II.1  Mayor y más eficaz utilización del Sistema del PCT para presentar solicitudes internacionales de patentes</w:t>
            </w:r>
          </w:p>
        </w:tc>
      </w:tr>
      <w:tr w:rsidR="008415E8" w:rsidRPr="00D74BDF" w:rsidTr="00A34E19">
        <w:tc>
          <w:tcPr>
            <w:tcW w:w="1019" w:type="pct"/>
            <w:shd w:val="clear" w:color="auto" w:fill="auto"/>
            <w:tcMar>
              <w:left w:w="58" w:type="dxa"/>
              <w:right w:w="58" w:type="dxa"/>
            </w:tcMar>
            <w:vAlign w:val="center"/>
          </w:tcPr>
          <w:p w:rsidR="008415E8" w:rsidRPr="00D74BDF" w:rsidRDefault="008415E8" w:rsidP="00A34E19">
            <w:pPr>
              <w:rPr>
                <w:b/>
                <w:bCs/>
                <w:sz w:val="16"/>
                <w:szCs w:val="16"/>
              </w:rPr>
            </w:pPr>
            <w:r w:rsidRPr="00D74BDF">
              <w:rPr>
                <w:b/>
                <w:bCs/>
                <w:sz w:val="16"/>
                <w:szCs w:val="16"/>
              </w:rPr>
              <w:t>Indicadores de rendimiento</w:t>
            </w:r>
          </w:p>
        </w:tc>
        <w:tc>
          <w:tcPr>
            <w:tcW w:w="1466" w:type="pct"/>
            <w:shd w:val="clear" w:color="auto" w:fill="auto"/>
            <w:tcMar>
              <w:left w:w="58" w:type="dxa"/>
              <w:right w:w="58" w:type="dxa"/>
            </w:tcMar>
            <w:vAlign w:val="center"/>
          </w:tcPr>
          <w:p w:rsidR="008415E8" w:rsidRPr="00D74BDF" w:rsidRDefault="008415E8" w:rsidP="00A34E19">
            <w:pPr>
              <w:rPr>
                <w:b/>
                <w:bCs/>
                <w:sz w:val="16"/>
                <w:szCs w:val="16"/>
              </w:rPr>
            </w:pPr>
            <w:r w:rsidRPr="00D74BDF">
              <w:rPr>
                <w:b/>
                <w:bCs/>
                <w:sz w:val="16"/>
                <w:szCs w:val="16"/>
              </w:rPr>
              <w:t>Referencia</w:t>
            </w:r>
            <w:r w:rsidR="00BB510E">
              <w:rPr>
                <w:b/>
                <w:bCs/>
                <w:sz w:val="16"/>
                <w:szCs w:val="16"/>
              </w:rPr>
              <w:t>s de base</w:t>
            </w:r>
          </w:p>
        </w:tc>
        <w:tc>
          <w:tcPr>
            <w:tcW w:w="642" w:type="pct"/>
            <w:shd w:val="clear" w:color="auto" w:fill="auto"/>
            <w:tcMar>
              <w:top w:w="110" w:type="dxa"/>
              <w:left w:w="43" w:type="dxa"/>
              <w:right w:w="43" w:type="dxa"/>
            </w:tcMar>
            <w:vAlign w:val="center"/>
          </w:tcPr>
          <w:p w:rsidR="008415E8" w:rsidRPr="00D74BDF" w:rsidRDefault="008415E8" w:rsidP="00A34E19">
            <w:pPr>
              <w:tabs>
                <w:tab w:val="left" w:pos="290"/>
              </w:tabs>
              <w:rPr>
                <w:b/>
                <w:bCs/>
                <w:sz w:val="16"/>
                <w:szCs w:val="16"/>
              </w:rPr>
            </w:pPr>
            <w:r w:rsidRPr="00D74BDF">
              <w:rPr>
                <w:b/>
                <w:bCs/>
                <w:sz w:val="16"/>
                <w:szCs w:val="16"/>
              </w:rPr>
              <w:t>Objetivos</w:t>
            </w:r>
          </w:p>
        </w:tc>
        <w:tc>
          <w:tcPr>
            <w:tcW w:w="1378" w:type="pct"/>
            <w:gridSpan w:val="2"/>
            <w:shd w:val="clear" w:color="auto" w:fill="FFFFFF"/>
            <w:tcMar>
              <w:top w:w="110" w:type="dxa"/>
              <w:left w:w="58" w:type="dxa"/>
              <w:right w:w="58" w:type="dxa"/>
            </w:tcMar>
            <w:vAlign w:val="center"/>
          </w:tcPr>
          <w:p w:rsidR="008415E8" w:rsidRPr="00D74BDF" w:rsidRDefault="008415E8" w:rsidP="00A34E19">
            <w:pPr>
              <w:rPr>
                <w:b/>
                <w:bCs/>
                <w:sz w:val="16"/>
                <w:szCs w:val="16"/>
              </w:rPr>
            </w:pPr>
            <w:r w:rsidRPr="00D74BDF">
              <w:rPr>
                <w:b/>
                <w:bCs/>
                <w:sz w:val="16"/>
                <w:szCs w:val="16"/>
              </w:rPr>
              <w:t>Datos sobre el rendimiento</w:t>
            </w:r>
          </w:p>
        </w:tc>
        <w:tc>
          <w:tcPr>
            <w:tcW w:w="495" w:type="pct"/>
            <w:shd w:val="clear" w:color="auto" w:fill="auto"/>
            <w:tcMar>
              <w:top w:w="110" w:type="dxa"/>
              <w:left w:w="58" w:type="dxa"/>
              <w:right w:w="58" w:type="dxa"/>
            </w:tcMar>
            <w:vAlign w:val="center"/>
          </w:tcPr>
          <w:p w:rsidR="008415E8" w:rsidRPr="00D74BDF" w:rsidRDefault="008415E8" w:rsidP="00A34E19">
            <w:pPr>
              <w:keepNext/>
              <w:keepLines/>
              <w:jc w:val="center"/>
              <w:rPr>
                <w:b/>
                <w:bCs/>
                <w:sz w:val="16"/>
                <w:szCs w:val="16"/>
              </w:rPr>
            </w:pPr>
            <w:r w:rsidRPr="00D74BDF">
              <w:rPr>
                <w:b/>
                <w:bCs/>
                <w:sz w:val="16"/>
                <w:szCs w:val="16"/>
              </w:rPr>
              <w:t>Clave de colores</w:t>
            </w:r>
          </w:p>
        </w:tc>
      </w:tr>
      <w:tr w:rsidR="008415E8" w:rsidRPr="00D74BDF" w:rsidTr="00A34E19">
        <w:trPr>
          <w:trHeight w:val="1357"/>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Grado de satisfacción de los usuarios del PCT respecto de los servicios, específicos del PCT, de asesoramiento jurídico, información, formación y de atención al cliente</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8415E8" w:rsidP="00A34E19">
            <w:pPr>
              <w:rPr>
                <w:color w:val="002060"/>
                <w:sz w:val="16"/>
                <w:szCs w:val="16"/>
              </w:rPr>
            </w:pPr>
            <w:r w:rsidRPr="00C01376">
              <w:rPr>
                <w:color w:val="002060"/>
                <w:sz w:val="16"/>
                <w:szCs w:val="16"/>
              </w:rPr>
              <w:t>El grado de satisfacción general de los usuarios del PCT con los servicios prestados por la OMPI aumentó un 11% desde 2009 hasta llegar al 89%.</w:t>
            </w:r>
          </w:p>
          <w:p w:rsidR="008415E8" w:rsidRPr="00D74BDF" w:rsidRDefault="008415E8" w:rsidP="00A34E19">
            <w:pPr>
              <w:rPr>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Resultados de las encuestas de 2009 y 2015</w:t>
            </w:r>
          </w:p>
          <w:p w:rsidR="008415E8" w:rsidRPr="00D74BDF" w:rsidRDefault="008415E8" w:rsidP="00A34E19">
            <w:pPr>
              <w:widowControl w:val="0"/>
              <w:tabs>
                <w:tab w:val="left" w:pos="1733"/>
              </w:tabs>
              <w:autoSpaceDE w:val="0"/>
              <w:autoSpaceDN w:val="0"/>
              <w:adjustRightInd w:val="0"/>
              <w:ind w:right="321"/>
              <w:rPr>
                <w:sz w:val="16"/>
                <w:szCs w:val="16"/>
              </w:rPr>
            </w:pPr>
          </w:p>
        </w:tc>
        <w:tc>
          <w:tcPr>
            <w:tcW w:w="642" w:type="pct"/>
            <w:shd w:val="clear" w:color="auto" w:fill="auto"/>
            <w:tcMar>
              <w:top w:w="110" w:type="dxa"/>
              <w:left w:w="43" w:type="dxa"/>
              <w:right w:w="43" w:type="dxa"/>
            </w:tcMar>
          </w:tcPr>
          <w:p w:rsidR="008415E8" w:rsidRPr="00D74BDF" w:rsidRDefault="008415E8" w:rsidP="00A34E19">
            <w:pPr>
              <w:widowControl w:val="0"/>
              <w:autoSpaceDE w:val="0"/>
              <w:autoSpaceDN w:val="0"/>
              <w:adjustRightInd w:val="0"/>
              <w:ind w:left="-13" w:right="-43"/>
              <w:rPr>
                <w:sz w:val="16"/>
                <w:szCs w:val="16"/>
              </w:rPr>
            </w:pPr>
            <w:r w:rsidRPr="00D74BDF">
              <w:rPr>
                <w:sz w:val="16"/>
                <w:szCs w:val="16"/>
              </w:rPr>
              <w:t xml:space="preserve">Aumento, o al menos mantenimiento, del grado de satisfacción de los usuarios del PCT. </w:t>
            </w:r>
          </w:p>
        </w:tc>
        <w:tc>
          <w:tcPr>
            <w:tcW w:w="1378" w:type="pct"/>
            <w:gridSpan w:val="2"/>
            <w:shd w:val="clear" w:color="auto" w:fill="FFFFFF"/>
            <w:tcMar>
              <w:top w:w="110" w:type="dxa"/>
              <w:left w:w="58" w:type="dxa"/>
              <w:right w:w="58" w:type="dxa"/>
            </w:tcMar>
          </w:tcPr>
          <w:p w:rsidR="008415E8" w:rsidRPr="00D74BDF" w:rsidRDefault="008415E8" w:rsidP="00A34E19">
            <w:pPr>
              <w:rPr>
                <w:sz w:val="16"/>
                <w:szCs w:val="16"/>
              </w:rPr>
            </w:pPr>
            <w:r w:rsidRPr="00D74BDF">
              <w:rPr>
                <w:sz w:val="16"/>
                <w:szCs w:val="16"/>
              </w:rPr>
              <w:t>La encuesta de satisfacción se hace una vez por bienio;  la próxima encuesta se hará en 2017</w:t>
            </w:r>
          </w:p>
        </w:tc>
        <w:tc>
          <w:tcPr>
            <w:tcW w:w="495" w:type="pct"/>
            <w:shd w:val="clear" w:color="auto" w:fill="auto"/>
            <w:tcMar>
              <w:top w:w="110" w:type="dxa"/>
              <w:left w:w="58" w:type="dxa"/>
              <w:right w:w="58" w:type="dxa"/>
            </w:tcMar>
          </w:tcPr>
          <w:p w:rsidR="008415E8" w:rsidRPr="00D74BDF" w:rsidRDefault="008415E8" w:rsidP="00A34E19">
            <w:pPr>
              <w:keepNext/>
              <w:keepLines/>
              <w:jc w:val="center"/>
              <w:rPr>
                <w:b/>
                <w:sz w:val="16"/>
                <w:szCs w:val="16"/>
              </w:rPr>
            </w:pPr>
            <w:r w:rsidRPr="00D74BDF">
              <w:rPr>
                <w:b/>
                <w:color w:val="0070C0"/>
                <w:sz w:val="16"/>
                <w:szCs w:val="16"/>
              </w:rPr>
              <w:t>No disponible para 2016</w:t>
            </w:r>
          </w:p>
          <w:p w:rsidR="008415E8" w:rsidRPr="00D74BDF" w:rsidRDefault="008415E8" w:rsidP="00A34E19">
            <w:pPr>
              <w:keepNext/>
              <w:keepLines/>
              <w:jc w:val="center"/>
              <w:rPr>
                <w:sz w:val="16"/>
                <w:szCs w:val="16"/>
              </w:rPr>
            </w:pPr>
          </w:p>
        </w:tc>
      </w:tr>
      <w:tr w:rsidR="008415E8" w:rsidRPr="00D74BDF" w:rsidTr="00A34E19">
        <w:trPr>
          <w:trHeight w:val="1195"/>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Satisfacción de las oficinas y las administraciones internacionales respecto de las actividades de cooperación del PCT</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8415E8" w:rsidP="00A34E19">
            <w:pPr>
              <w:rPr>
                <w:color w:val="002060"/>
                <w:sz w:val="16"/>
                <w:szCs w:val="16"/>
              </w:rPr>
            </w:pPr>
            <w:r w:rsidRPr="00C01376">
              <w:rPr>
                <w:color w:val="002060"/>
                <w:sz w:val="16"/>
                <w:szCs w:val="16"/>
              </w:rPr>
              <w:t xml:space="preserve">96% (58 de los 60 beneficiarios de actividades de cooperación en el marco del PCT);  </w:t>
            </w:r>
          </w:p>
          <w:p w:rsidR="008415E8" w:rsidRPr="00C01376" w:rsidRDefault="008415E8" w:rsidP="00A34E19">
            <w:pPr>
              <w:rPr>
                <w:color w:val="002060"/>
                <w:sz w:val="16"/>
                <w:szCs w:val="16"/>
              </w:rPr>
            </w:pPr>
            <w:r w:rsidRPr="00C01376">
              <w:rPr>
                <w:color w:val="002060"/>
                <w:sz w:val="16"/>
                <w:szCs w:val="16"/>
              </w:rPr>
              <w:t>95% (58 de los 61 encuestados) (encuesta de 2016)</w:t>
            </w:r>
          </w:p>
          <w:p w:rsidR="008415E8" w:rsidRPr="00D74BDF" w:rsidRDefault="008415E8" w:rsidP="00A34E19">
            <w:pPr>
              <w:rPr>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56 (el 95% de 59 beneficiarios de actividades de cooperación en el marco del PCT;  85% de 66 encuestados (encuesta de 2012).  La encuesta de satisfacción se hace una vez por bienio</w:t>
            </w:r>
          </w:p>
          <w:p w:rsidR="008415E8" w:rsidRPr="00D74BDF" w:rsidRDefault="008415E8" w:rsidP="00A34E19">
            <w:pPr>
              <w:widowControl w:val="0"/>
              <w:tabs>
                <w:tab w:val="left" w:pos="1733"/>
              </w:tabs>
              <w:autoSpaceDE w:val="0"/>
              <w:autoSpaceDN w:val="0"/>
              <w:adjustRightInd w:val="0"/>
              <w:ind w:right="321"/>
              <w:rPr>
                <w:sz w:val="16"/>
                <w:szCs w:val="16"/>
              </w:rPr>
            </w:pPr>
          </w:p>
        </w:tc>
        <w:tc>
          <w:tcPr>
            <w:tcW w:w="642" w:type="pct"/>
            <w:shd w:val="clear" w:color="auto" w:fill="auto"/>
            <w:tcMar>
              <w:top w:w="110" w:type="dxa"/>
              <w:left w:w="43" w:type="dxa"/>
              <w:right w:w="43" w:type="dxa"/>
            </w:tcMar>
          </w:tcPr>
          <w:p w:rsidR="008415E8" w:rsidRPr="00D74BDF" w:rsidRDefault="008415E8" w:rsidP="00A34E19">
            <w:pPr>
              <w:widowControl w:val="0"/>
              <w:autoSpaceDE w:val="0"/>
              <w:autoSpaceDN w:val="0"/>
              <w:adjustRightInd w:val="0"/>
              <w:rPr>
                <w:sz w:val="16"/>
                <w:szCs w:val="16"/>
              </w:rPr>
            </w:pPr>
            <w:r w:rsidRPr="00D74BDF">
              <w:rPr>
                <w:sz w:val="16"/>
                <w:szCs w:val="16"/>
              </w:rPr>
              <w:t>Mantenimiento del grado de satisfacción existente en 2015 entre las Oficinas y las Administra-ciones internacionales</w:t>
            </w:r>
          </w:p>
        </w:tc>
        <w:tc>
          <w:tcPr>
            <w:tcW w:w="1378" w:type="pct"/>
            <w:gridSpan w:val="2"/>
            <w:shd w:val="clear" w:color="auto" w:fill="FFFFFF"/>
            <w:tcMar>
              <w:top w:w="110" w:type="dxa"/>
              <w:left w:w="58" w:type="dxa"/>
              <w:right w:w="58" w:type="dxa"/>
            </w:tcMar>
          </w:tcPr>
          <w:p w:rsidR="008415E8" w:rsidRPr="00D74BDF" w:rsidRDefault="008415E8" w:rsidP="00A34E19">
            <w:pPr>
              <w:keepNext/>
              <w:keepLines/>
              <w:rPr>
                <w:sz w:val="16"/>
                <w:szCs w:val="16"/>
              </w:rPr>
            </w:pPr>
            <w:r w:rsidRPr="00D74BDF">
              <w:rPr>
                <w:sz w:val="16"/>
                <w:szCs w:val="16"/>
              </w:rPr>
              <w:t>La encuesta de satisfacción se hace una vez por bienio;  la próxima encuesta se hará en 2017</w:t>
            </w:r>
          </w:p>
        </w:tc>
        <w:tc>
          <w:tcPr>
            <w:tcW w:w="495" w:type="pct"/>
            <w:shd w:val="clear" w:color="auto" w:fill="auto"/>
            <w:tcMar>
              <w:top w:w="110" w:type="dxa"/>
              <w:left w:w="58" w:type="dxa"/>
              <w:right w:w="58" w:type="dxa"/>
            </w:tcMar>
          </w:tcPr>
          <w:p w:rsidR="008415E8" w:rsidRPr="00D74BDF" w:rsidRDefault="008415E8" w:rsidP="00A34E19">
            <w:pPr>
              <w:keepNext/>
              <w:keepLines/>
              <w:jc w:val="center"/>
              <w:rPr>
                <w:sz w:val="16"/>
                <w:szCs w:val="16"/>
              </w:rPr>
            </w:pPr>
            <w:r w:rsidRPr="00D74BDF">
              <w:rPr>
                <w:b/>
                <w:color w:val="0070C0"/>
                <w:sz w:val="16"/>
                <w:szCs w:val="16"/>
              </w:rPr>
              <w:t>No disponible para 2016</w:t>
            </w:r>
          </w:p>
        </w:tc>
      </w:tr>
      <w:tr w:rsidR="008415E8" w:rsidRPr="00D74BDF" w:rsidTr="00A34E19">
        <w:trPr>
          <w:trHeight w:val="1213"/>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Continuo desarrollo del  Sistema del PCT, sobre todo gracias a la aplicación de las recomendaciones de la hoja de ruta del PCT suscritas por los Estados miembros del PCT</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8415E8" w:rsidP="00A34E19">
            <w:pPr>
              <w:rPr>
                <w:color w:val="002060"/>
                <w:sz w:val="16"/>
                <w:szCs w:val="16"/>
                <w:lang w:bidi="th-TH"/>
              </w:rPr>
            </w:pPr>
            <w:r w:rsidRPr="00C01376">
              <w:rPr>
                <w:color w:val="002060"/>
                <w:sz w:val="16"/>
                <w:szCs w:val="16"/>
                <w:lang w:bidi="th-TH"/>
              </w:rPr>
              <w:t xml:space="preserve">En 2014/15, se avanzó en el fomento de los objetivos del Tratado en favor de todos los sectores interesados, de conformidad con las recomendaciones de la hoja de ruta del PCT suscritas por los Estados miembros con respecto a los siguientes asuntos:  a) acuerdo de los Estados miembros sobre los criterios que deben cumplirse para obtener la reducción de las tasas;  b)  </w:t>
            </w:r>
            <w:r w:rsidRPr="00C01376">
              <w:rPr>
                <w:color w:val="002060"/>
                <w:sz w:val="16"/>
                <w:szCs w:val="16"/>
                <w:lang w:bidi="th-TH"/>
              </w:rPr>
              <w:lastRenderedPageBreak/>
              <w:t>acuerdo de los Estados miembros sobre el procedimiento revisado para la designación de las Administraciones encargadas de la búsqueda y el examen preliminar internacionales;  c) acuerdo de los Estados miembros para intercambiar los resultados de la labor de búsqueda sobre las solicitudes anteriores a fin de mejorar la calidad y puntualidad de los informes producidos en el marco del PCT; d) puesta en marcha de un nuevo servicio, eSearchCopy, para transmitir de forma más rápida y eficaz las solicitudes de búsqueda internacional, y e) acuerdo a fin de que las Oficinas remitan puntualmente a la Oficina Internacional datos acerca de las solicitudes en la fase nacional para mejorar la información sobre la situación jurídica de las patentes</w:t>
            </w:r>
          </w:p>
          <w:p w:rsidR="008415E8" w:rsidRPr="00C01376" w:rsidRDefault="008415E8" w:rsidP="00A34E19">
            <w:pPr>
              <w:rPr>
                <w:color w:val="002060"/>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rsidP="00A34E19">
            <w:pPr>
              <w:widowControl w:val="0"/>
              <w:tabs>
                <w:tab w:val="left" w:pos="1931"/>
              </w:tabs>
              <w:autoSpaceDE w:val="0"/>
              <w:autoSpaceDN w:val="0"/>
              <w:adjustRightInd w:val="0"/>
              <w:ind w:right="4"/>
              <w:rPr>
                <w:sz w:val="16"/>
                <w:szCs w:val="16"/>
              </w:rPr>
            </w:pPr>
            <w:r w:rsidRPr="00D74BDF">
              <w:rPr>
                <w:sz w:val="16"/>
                <w:szCs w:val="16"/>
              </w:rPr>
              <w:t>Decisiones de los órganos pertinentes del PCT hasta el final de 2014 (documento PCT/A/46/6).</w:t>
            </w:r>
          </w:p>
          <w:p w:rsidR="008415E8" w:rsidRPr="00D74BDF" w:rsidRDefault="008415E8" w:rsidP="00A34E19">
            <w:pPr>
              <w:widowControl w:val="0"/>
              <w:tabs>
                <w:tab w:val="left" w:pos="1931"/>
              </w:tabs>
              <w:autoSpaceDE w:val="0"/>
              <w:autoSpaceDN w:val="0"/>
              <w:adjustRightInd w:val="0"/>
              <w:ind w:right="4"/>
              <w:rPr>
                <w:sz w:val="16"/>
                <w:szCs w:val="16"/>
              </w:rPr>
            </w:pPr>
          </w:p>
        </w:tc>
        <w:tc>
          <w:tcPr>
            <w:tcW w:w="642" w:type="pct"/>
            <w:shd w:val="clear" w:color="auto" w:fill="auto"/>
            <w:tcMar>
              <w:top w:w="110" w:type="dxa"/>
              <w:left w:w="43" w:type="dxa"/>
              <w:right w:w="43" w:type="dxa"/>
            </w:tcMar>
          </w:tcPr>
          <w:p w:rsidR="008415E8" w:rsidRPr="00D74BDF" w:rsidRDefault="008415E8" w:rsidP="00A34E19">
            <w:pPr>
              <w:widowControl w:val="0"/>
              <w:autoSpaceDE w:val="0"/>
              <w:autoSpaceDN w:val="0"/>
              <w:adjustRightInd w:val="0"/>
              <w:rPr>
                <w:sz w:val="16"/>
                <w:szCs w:val="16"/>
              </w:rPr>
            </w:pPr>
            <w:r w:rsidRPr="00D74BDF">
              <w:rPr>
                <w:sz w:val="16"/>
                <w:szCs w:val="16"/>
              </w:rPr>
              <w:lastRenderedPageBreak/>
              <w:t>Decisiones de los órganos pertinentes del PCT hasta el final de 2017.</w:t>
            </w:r>
          </w:p>
        </w:tc>
        <w:tc>
          <w:tcPr>
            <w:tcW w:w="1378" w:type="pct"/>
            <w:gridSpan w:val="2"/>
            <w:shd w:val="clear" w:color="auto" w:fill="FFFFFF"/>
            <w:tcMar>
              <w:top w:w="110" w:type="dxa"/>
              <w:left w:w="58" w:type="dxa"/>
              <w:right w:w="58" w:type="dxa"/>
            </w:tcMar>
          </w:tcPr>
          <w:p w:rsidR="008415E8" w:rsidRPr="00D74BDF" w:rsidRDefault="008415E8">
            <w:pPr>
              <w:keepNext/>
              <w:keepLines/>
              <w:rPr>
                <w:sz w:val="16"/>
                <w:szCs w:val="16"/>
                <w:lang w:bidi="th-TH"/>
              </w:rPr>
            </w:pPr>
            <w:r w:rsidRPr="00D74BDF">
              <w:rPr>
                <w:sz w:val="16"/>
                <w:szCs w:val="16"/>
                <w:lang w:bidi="th-TH"/>
              </w:rPr>
              <w:t>En 2016, el Grupo de Trabajo del PCT prosiguió los debates encaminados a fomentar los objetivos del Tratado en favor de todos los sectores interesados, de conformidad con las recomendaciones de la hoja de ruta del PCT suscritas por los Estados miembros.  Entre otros, el Grupo de Trabajo examinó los siguientes asuntos:</w:t>
            </w:r>
          </w:p>
          <w:p w:rsidR="008415E8" w:rsidRPr="00D74BDF" w:rsidRDefault="008415E8" w:rsidP="008415E8">
            <w:pPr>
              <w:pStyle w:val="ListParagraph"/>
              <w:keepNext/>
              <w:keepLines/>
              <w:numPr>
                <w:ilvl w:val="0"/>
                <w:numId w:val="18"/>
              </w:numPr>
              <w:ind w:left="288" w:hanging="288"/>
              <w:rPr>
                <w:sz w:val="16"/>
                <w:szCs w:val="16"/>
                <w:lang w:val="es-ES"/>
              </w:rPr>
            </w:pPr>
            <w:r w:rsidRPr="00D74BDF">
              <w:rPr>
                <w:sz w:val="16"/>
                <w:szCs w:val="16"/>
                <w:lang w:val="es-ES"/>
              </w:rPr>
              <w:t xml:space="preserve">servicios basados en las T.I. que actualmente ofrecen </w:t>
            </w:r>
            <w:r w:rsidRPr="00D74BDF">
              <w:rPr>
                <w:sz w:val="16"/>
                <w:szCs w:val="16"/>
                <w:lang w:val="es-ES"/>
              </w:rPr>
              <w:lastRenderedPageBreak/>
              <w:t xml:space="preserve">nuevas oportunidades en colaboración entre las Oficinas; </w:t>
            </w:r>
          </w:p>
          <w:p w:rsidR="008415E8" w:rsidRPr="00D74BDF" w:rsidRDefault="008415E8" w:rsidP="008415E8">
            <w:pPr>
              <w:pStyle w:val="ListParagraph"/>
              <w:keepNext/>
              <w:keepLines/>
              <w:numPr>
                <w:ilvl w:val="0"/>
                <w:numId w:val="18"/>
              </w:numPr>
              <w:ind w:left="288" w:hanging="288"/>
              <w:rPr>
                <w:sz w:val="16"/>
                <w:szCs w:val="16"/>
                <w:lang w:val="es-ES"/>
              </w:rPr>
            </w:pPr>
            <w:r w:rsidRPr="00D74BDF">
              <w:rPr>
                <w:sz w:val="16"/>
                <w:szCs w:val="16"/>
                <w:lang w:val="es-ES"/>
              </w:rPr>
              <w:t xml:space="preserve">formas más eficientes de colaboración y mejora del intercambio de la información;  </w:t>
            </w:r>
          </w:p>
          <w:p w:rsidR="008415E8" w:rsidRPr="00D74BDF" w:rsidRDefault="008415E8" w:rsidP="008415E8">
            <w:pPr>
              <w:pStyle w:val="ListParagraph"/>
              <w:keepNext/>
              <w:keepLines/>
              <w:numPr>
                <w:ilvl w:val="0"/>
                <w:numId w:val="18"/>
              </w:numPr>
              <w:ind w:left="288" w:hanging="288"/>
              <w:rPr>
                <w:sz w:val="16"/>
                <w:szCs w:val="16"/>
                <w:lang w:val="es-ES"/>
              </w:rPr>
            </w:pPr>
            <w:r w:rsidRPr="00D74BDF">
              <w:rPr>
                <w:sz w:val="16"/>
                <w:szCs w:val="16"/>
                <w:lang w:val="es-ES"/>
              </w:rPr>
              <w:t xml:space="preserve">propuesta de reducir las tasas del PCT a las universidades y las instituciones públicas de investigación; </w:t>
            </w:r>
          </w:p>
          <w:p w:rsidR="008415E8" w:rsidRPr="00D74BDF" w:rsidRDefault="008415E8" w:rsidP="008415E8">
            <w:pPr>
              <w:pStyle w:val="ListParagraph"/>
              <w:keepNext/>
              <w:keepLines/>
              <w:numPr>
                <w:ilvl w:val="0"/>
                <w:numId w:val="18"/>
              </w:numPr>
              <w:ind w:left="288" w:hanging="288"/>
              <w:rPr>
                <w:sz w:val="16"/>
                <w:szCs w:val="16"/>
                <w:lang w:val="es-ES"/>
              </w:rPr>
            </w:pPr>
            <w:r w:rsidRPr="00D74BDF">
              <w:rPr>
                <w:sz w:val="16"/>
                <w:szCs w:val="16"/>
                <w:lang w:val="es-ES"/>
              </w:rPr>
              <w:t xml:space="preserve">coordinación de la asistencia técnica que se presta en el marco del PCT;  y </w:t>
            </w:r>
          </w:p>
          <w:p w:rsidR="008415E8" w:rsidRPr="00D74BDF" w:rsidRDefault="008415E8" w:rsidP="008415E8">
            <w:pPr>
              <w:pStyle w:val="ListParagraph"/>
              <w:keepNext/>
              <w:keepLines/>
              <w:numPr>
                <w:ilvl w:val="0"/>
                <w:numId w:val="18"/>
              </w:numPr>
              <w:ind w:left="288" w:hanging="288"/>
              <w:rPr>
                <w:sz w:val="16"/>
                <w:szCs w:val="16"/>
                <w:lang w:val="es-ES"/>
              </w:rPr>
            </w:pPr>
            <w:r w:rsidRPr="00D74BDF">
              <w:rPr>
                <w:sz w:val="16"/>
                <w:szCs w:val="16"/>
                <w:lang w:val="es-ES"/>
              </w:rPr>
              <w:t>mejor coordinación entre las Oficinas en lo que respecta a la formación para examinadores de patentes</w:t>
            </w:r>
          </w:p>
        </w:tc>
        <w:tc>
          <w:tcPr>
            <w:tcW w:w="495" w:type="pct"/>
            <w:shd w:val="clear" w:color="auto" w:fill="auto"/>
            <w:tcMar>
              <w:top w:w="110" w:type="dxa"/>
              <w:left w:w="58" w:type="dxa"/>
              <w:right w:w="58" w:type="dxa"/>
            </w:tcMar>
          </w:tcPr>
          <w:p w:rsidR="008415E8" w:rsidRPr="00D74BDF" w:rsidRDefault="008415E8" w:rsidP="00A34E19">
            <w:pPr>
              <w:keepNext/>
              <w:keepLines/>
              <w:jc w:val="center"/>
              <w:rPr>
                <w:sz w:val="16"/>
                <w:szCs w:val="16"/>
              </w:rPr>
            </w:pPr>
            <w:r w:rsidRPr="00D74BDF">
              <w:rPr>
                <w:b/>
                <w:color w:val="00B050"/>
                <w:sz w:val="16"/>
                <w:szCs w:val="16"/>
              </w:rPr>
              <w:lastRenderedPageBreak/>
              <w:t>Avanza</w:t>
            </w:r>
            <w:r w:rsidRPr="00D74BDF">
              <w:rPr>
                <w:b/>
                <w:sz w:val="16"/>
                <w:szCs w:val="16"/>
              </w:rPr>
              <w:t xml:space="preserve"> </w:t>
            </w:r>
          </w:p>
        </w:tc>
      </w:tr>
      <w:tr w:rsidR="008415E8" w:rsidRPr="00D74BDF" w:rsidTr="00A34E19">
        <w:trPr>
          <w:trHeight w:val="3492"/>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lastRenderedPageBreak/>
              <w:t>Mejora de los servicios electrónicos dirigidos a solicitantes, terceros, oficinas y Administraciones</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8415E8" w:rsidP="00A34E19">
            <w:pPr>
              <w:rPr>
                <w:i/>
                <w:color w:val="002060"/>
                <w:sz w:val="16"/>
                <w:szCs w:val="16"/>
              </w:rPr>
            </w:pPr>
          </w:p>
          <w:p w:rsidR="008415E8" w:rsidRPr="00C01376" w:rsidRDefault="008415E8" w:rsidP="00A34E19">
            <w:pPr>
              <w:keepNext/>
              <w:keepLines/>
              <w:rPr>
                <w:color w:val="002060"/>
                <w:sz w:val="16"/>
                <w:szCs w:val="16"/>
              </w:rPr>
            </w:pPr>
            <w:r w:rsidRPr="00C01376">
              <w:rPr>
                <w:color w:val="002060"/>
                <w:sz w:val="16"/>
                <w:szCs w:val="16"/>
              </w:rPr>
              <w:t>29 Oficinas que aceptan la presentación electrónica de solicitudes por medio del ePCT</w:t>
            </w:r>
          </w:p>
          <w:p w:rsidR="008415E8" w:rsidRPr="00C01376" w:rsidRDefault="008415E8" w:rsidP="00A34E19">
            <w:pPr>
              <w:keepNext/>
              <w:keepLines/>
              <w:rPr>
                <w:color w:val="002060"/>
                <w:sz w:val="16"/>
                <w:szCs w:val="16"/>
              </w:rPr>
            </w:pPr>
          </w:p>
          <w:p w:rsidR="008415E8" w:rsidRPr="00C01376" w:rsidRDefault="008415E8" w:rsidP="00A34E19">
            <w:pPr>
              <w:keepNext/>
              <w:keepLines/>
              <w:rPr>
                <w:color w:val="002060"/>
                <w:sz w:val="16"/>
                <w:szCs w:val="16"/>
              </w:rPr>
            </w:pPr>
            <w:r w:rsidRPr="00C01376">
              <w:rPr>
                <w:color w:val="002060"/>
                <w:sz w:val="16"/>
                <w:szCs w:val="16"/>
              </w:rPr>
              <w:t xml:space="preserve">34 Oficinas receptoras (RO) y </w:t>
            </w:r>
          </w:p>
          <w:p w:rsidR="008415E8" w:rsidRPr="00C01376" w:rsidRDefault="008415E8">
            <w:pPr>
              <w:keepNext/>
              <w:keepLines/>
              <w:rPr>
                <w:color w:val="002060"/>
                <w:sz w:val="16"/>
                <w:szCs w:val="16"/>
              </w:rPr>
            </w:pPr>
            <w:r w:rsidRPr="00C01376">
              <w:rPr>
                <w:color w:val="002060"/>
                <w:sz w:val="16"/>
                <w:szCs w:val="16"/>
              </w:rPr>
              <w:t>8 administraciones internacionales aceptan documentos transmitidos por los solicitantes</w:t>
            </w:r>
          </w:p>
          <w:p w:rsidR="008415E8" w:rsidRPr="00C01376" w:rsidRDefault="008415E8" w:rsidP="00A34E19">
            <w:pPr>
              <w:keepNext/>
              <w:keepLines/>
              <w:rPr>
                <w:color w:val="002060"/>
                <w:sz w:val="16"/>
                <w:szCs w:val="16"/>
              </w:rPr>
            </w:pPr>
          </w:p>
          <w:p w:rsidR="008415E8" w:rsidRPr="00C01376" w:rsidRDefault="008415E8" w:rsidP="00A34E19">
            <w:pPr>
              <w:keepNext/>
              <w:keepLines/>
              <w:rPr>
                <w:i/>
                <w:color w:val="002060"/>
                <w:sz w:val="16"/>
                <w:szCs w:val="16"/>
              </w:rPr>
            </w:pPr>
            <w:r w:rsidRPr="00C01376">
              <w:rPr>
                <w:color w:val="002060"/>
                <w:sz w:val="16"/>
                <w:szCs w:val="16"/>
              </w:rPr>
              <w:t xml:space="preserve">7.229 solicitudes presentadas en 2015 utilizando el ePCT </w:t>
            </w:r>
          </w:p>
          <w:p w:rsidR="008415E8" w:rsidRPr="00D74BDF" w:rsidRDefault="008415E8">
            <w:pPr>
              <w:rPr>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 xml:space="preserve">A fines de 2014, con respecto a fines de 2013:  </w:t>
            </w:r>
          </w:p>
          <w:p w:rsidR="008415E8" w:rsidRPr="00D74BDF" w:rsidRDefault="008415E8">
            <w:pPr>
              <w:widowControl w:val="0"/>
              <w:tabs>
                <w:tab w:val="left" w:pos="1733"/>
              </w:tabs>
              <w:autoSpaceDE w:val="0"/>
              <w:autoSpaceDN w:val="0"/>
              <w:adjustRightInd w:val="0"/>
              <w:ind w:right="321"/>
              <w:rPr>
                <w:sz w:val="16"/>
                <w:szCs w:val="16"/>
              </w:rPr>
            </w:pPr>
            <w:r w:rsidRPr="00D74BDF">
              <w:rPr>
                <w:sz w:val="16"/>
                <w:szCs w:val="16"/>
              </w:rPr>
              <w:t xml:space="preserve">+32% de solicitantes del sector público;  </w:t>
            </w:r>
          </w:p>
          <w:p w:rsidR="008415E8" w:rsidRPr="00D74BDF" w:rsidRDefault="008415E8">
            <w:pPr>
              <w:widowControl w:val="0"/>
              <w:tabs>
                <w:tab w:val="left" w:pos="1733"/>
              </w:tabs>
              <w:autoSpaceDE w:val="0"/>
              <w:autoSpaceDN w:val="0"/>
              <w:adjustRightInd w:val="0"/>
              <w:ind w:right="321"/>
              <w:rPr>
                <w:sz w:val="16"/>
                <w:szCs w:val="16"/>
              </w:rPr>
            </w:pPr>
            <w:r w:rsidRPr="00D74BDF">
              <w:rPr>
                <w:sz w:val="16"/>
                <w:szCs w:val="16"/>
              </w:rPr>
              <w:t xml:space="preserve">+100% de solicitantes del sector privado;  </w:t>
            </w:r>
          </w:p>
          <w:p w:rsidR="008415E8" w:rsidRPr="00D74BDF" w:rsidRDefault="008415E8">
            <w:pPr>
              <w:widowControl w:val="0"/>
              <w:tabs>
                <w:tab w:val="left" w:pos="2111"/>
              </w:tabs>
              <w:autoSpaceDE w:val="0"/>
              <w:autoSpaceDN w:val="0"/>
              <w:adjustRightInd w:val="0"/>
              <w:ind w:right="4"/>
              <w:rPr>
                <w:sz w:val="16"/>
                <w:szCs w:val="16"/>
              </w:rPr>
            </w:pPr>
            <w:r w:rsidRPr="00D74BDF">
              <w:rPr>
                <w:sz w:val="16"/>
                <w:szCs w:val="16"/>
              </w:rPr>
              <w:t xml:space="preserve">+25% de terceros que presentan observaciones;  +329% Oficinas receptoras;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-73% de las Administraciones internacionales (la Oficina con mayor número de usuarios pasó al siguiente nivel de automatización).</w:t>
            </w:r>
          </w:p>
          <w:p w:rsidR="008415E8" w:rsidRPr="00D74BDF" w:rsidRDefault="008415E8" w:rsidP="00A34E19">
            <w:pPr>
              <w:widowControl w:val="0"/>
              <w:tabs>
                <w:tab w:val="left" w:pos="1733"/>
              </w:tabs>
              <w:autoSpaceDE w:val="0"/>
              <w:autoSpaceDN w:val="0"/>
              <w:adjustRightInd w:val="0"/>
              <w:ind w:right="321"/>
              <w:rPr>
                <w:sz w:val="16"/>
                <w:szCs w:val="16"/>
              </w:rPr>
            </w:pPr>
          </w:p>
        </w:tc>
        <w:tc>
          <w:tcPr>
            <w:tcW w:w="642" w:type="pct"/>
            <w:shd w:val="clear" w:color="auto" w:fill="auto"/>
            <w:tcMar>
              <w:top w:w="110" w:type="dxa"/>
              <w:left w:w="43" w:type="dxa"/>
              <w:right w:w="43" w:type="dxa"/>
            </w:tcMar>
          </w:tcPr>
          <w:p w:rsidR="008415E8" w:rsidRPr="00D74BDF" w:rsidRDefault="008415E8" w:rsidP="00A34E19">
            <w:pPr>
              <w:widowControl w:val="0"/>
              <w:autoSpaceDE w:val="0"/>
              <w:autoSpaceDN w:val="0"/>
              <w:adjustRightInd w:val="0"/>
              <w:rPr>
                <w:sz w:val="16"/>
                <w:szCs w:val="16"/>
              </w:rPr>
            </w:pPr>
            <w:r w:rsidRPr="00D74BDF">
              <w:rPr>
                <w:sz w:val="16"/>
                <w:szCs w:val="16"/>
              </w:rPr>
              <w:t xml:space="preserve">Mayor número de:  </w:t>
            </w:r>
          </w:p>
          <w:p w:rsidR="008415E8" w:rsidRPr="00D74BDF" w:rsidRDefault="008415E8" w:rsidP="00A34E19">
            <w:pPr>
              <w:widowControl w:val="0"/>
              <w:autoSpaceDE w:val="0"/>
              <w:autoSpaceDN w:val="0"/>
              <w:adjustRightInd w:val="0"/>
              <w:rPr>
                <w:sz w:val="16"/>
                <w:szCs w:val="16"/>
              </w:rPr>
            </w:pPr>
          </w:p>
          <w:p w:rsidR="008415E8" w:rsidRPr="00D74BDF" w:rsidRDefault="008415E8" w:rsidP="00A34E19">
            <w:pPr>
              <w:widowControl w:val="0"/>
              <w:autoSpaceDE w:val="0"/>
              <w:autoSpaceDN w:val="0"/>
              <w:adjustRightInd w:val="0"/>
              <w:rPr>
                <w:sz w:val="16"/>
                <w:szCs w:val="16"/>
              </w:rPr>
            </w:pPr>
            <w:r w:rsidRPr="00D74BDF">
              <w:rPr>
                <w:sz w:val="16"/>
                <w:szCs w:val="16"/>
              </w:rPr>
              <w:t xml:space="preserve">Oficinas que aceptan la presentación electrónica de solicitudes por medio del ePCT; </w:t>
            </w:r>
          </w:p>
          <w:p w:rsidR="008415E8" w:rsidRPr="00D74BDF" w:rsidRDefault="008415E8" w:rsidP="00A34E19">
            <w:pPr>
              <w:widowControl w:val="0"/>
              <w:autoSpaceDE w:val="0"/>
              <w:autoSpaceDN w:val="0"/>
              <w:adjustRightInd w:val="0"/>
              <w:rPr>
                <w:sz w:val="16"/>
                <w:szCs w:val="16"/>
              </w:rPr>
            </w:pPr>
          </w:p>
          <w:p w:rsidR="008415E8" w:rsidRPr="00D74BDF" w:rsidRDefault="008415E8" w:rsidP="00A34E19">
            <w:pPr>
              <w:widowControl w:val="0"/>
              <w:autoSpaceDE w:val="0"/>
              <w:autoSpaceDN w:val="0"/>
              <w:adjustRightInd w:val="0"/>
              <w:rPr>
                <w:sz w:val="16"/>
                <w:szCs w:val="16"/>
              </w:rPr>
            </w:pPr>
            <w:r w:rsidRPr="00D74BDF">
              <w:rPr>
                <w:sz w:val="16"/>
                <w:szCs w:val="16"/>
              </w:rPr>
              <w:t xml:space="preserve">Oficinas que utilizan el ePCT o que aceptan documentos transmitidos por los solicitantes que utilizan el ePCT;  </w:t>
            </w:r>
          </w:p>
          <w:p w:rsidR="008415E8" w:rsidRPr="00D74BDF" w:rsidRDefault="008415E8" w:rsidP="00A34E19">
            <w:pPr>
              <w:widowControl w:val="0"/>
              <w:autoSpaceDE w:val="0"/>
              <w:autoSpaceDN w:val="0"/>
              <w:adjustRightInd w:val="0"/>
              <w:rPr>
                <w:sz w:val="16"/>
                <w:szCs w:val="16"/>
              </w:rPr>
            </w:pPr>
          </w:p>
          <w:p w:rsidR="008415E8" w:rsidRPr="00D74BDF" w:rsidRDefault="008415E8" w:rsidP="00A34E19">
            <w:pPr>
              <w:widowControl w:val="0"/>
              <w:autoSpaceDE w:val="0"/>
              <w:autoSpaceDN w:val="0"/>
              <w:adjustRightInd w:val="0"/>
              <w:rPr>
                <w:sz w:val="16"/>
                <w:szCs w:val="16"/>
              </w:rPr>
            </w:pPr>
            <w:r w:rsidRPr="00D74BDF">
              <w:rPr>
                <w:sz w:val="16"/>
                <w:szCs w:val="16"/>
              </w:rPr>
              <w:t>Solicitudes presentadas utilizando el ePCT</w:t>
            </w:r>
          </w:p>
        </w:tc>
        <w:tc>
          <w:tcPr>
            <w:tcW w:w="1378" w:type="pct"/>
            <w:gridSpan w:val="2"/>
            <w:shd w:val="clear" w:color="auto" w:fill="FFFFFF"/>
            <w:tcMar>
              <w:top w:w="110" w:type="dxa"/>
              <w:left w:w="58" w:type="dxa"/>
              <w:right w:w="58" w:type="dxa"/>
            </w:tcMar>
          </w:tcPr>
          <w:p w:rsidR="008415E8" w:rsidRPr="00D74BDF" w:rsidRDefault="008415E8" w:rsidP="00A34E19">
            <w:pPr>
              <w:keepNext/>
              <w:keepLines/>
              <w:rPr>
                <w:sz w:val="16"/>
                <w:szCs w:val="16"/>
              </w:rPr>
            </w:pPr>
            <w:r w:rsidRPr="00D74BDF">
              <w:rPr>
                <w:sz w:val="16"/>
                <w:szCs w:val="16"/>
              </w:rPr>
              <w:t>A finales de 2016:</w:t>
            </w:r>
          </w:p>
          <w:p w:rsidR="008415E8" w:rsidRPr="00D74BDF" w:rsidRDefault="008415E8">
            <w:pPr>
              <w:keepNext/>
              <w:keepLines/>
              <w:rPr>
                <w:sz w:val="16"/>
                <w:szCs w:val="16"/>
              </w:rPr>
            </w:pPr>
          </w:p>
          <w:p w:rsidR="008415E8" w:rsidRPr="00D74BDF" w:rsidRDefault="008415E8">
            <w:pPr>
              <w:keepNext/>
              <w:keepLines/>
              <w:rPr>
                <w:sz w:val="16"/>
                <w:szCs w:val="16"/>
              </w:rPr>
            </w:pPr>
          </w:p>
          <w:p w:rsidR="008415E8" w:rsidRPr="00D74BDF" w:rsidRDefault="008415E8">
            <w:pPr>
              <w:keepNext/>
              <w:keepLines/>
              <w:rPr>
                <w:sz w:val="16"/>
                <w:szCs w:val="16"/>
              </w:rPr>
            </w:pPr>
            <w:r w:rsidRPr="00D74BDF">
              <w:rPr>
                <w:sz w:val="16"/>
                <w:szCs w:val="16"/>
              </w:rPr>
              <w:t>45 Oficinas que aceptan la presentación electrónica de solicitudes por medio del ePCT (+55% con respecto a 2015)</w:t>
            </w:r>
          </w:p>
          <w:p w:rsidR="008415E8" w:rsidRPr="00D74BDF" w:rsidRDefault="008415E8">
            <w:pPr>
              <w:keepNext/>
              <w:keepLines/>
              <w:rPr>
                <w:sz w:val="16"/>
                <w:szCs w:val="16"/>
              </w:rPr>
            </w:pPr>
          </w:p>
          <w:p w:rsidR="008415E8" w:rsidRPr="00D74BDF" w:rsidRDefault="008415E8">
            <w:pPr>
              <w:keepNext/>
              <w:keepLines/>
              <w:rPr>
                <w:sz w:val="16"/>
                <w:szCs w:val="16"/>
              </w:rPr>
            </w:pPr>
          </w:p>
          <w:p w:rsidR="008415E8" w:rsidRPr="00D74BDF" w:rsidRDefault="008415E8">
            <w:pPr>
              <w:keepNext/>
              <w:keepLines/>
              <w:rPr>
                <w:sz w:val="16"/>
                <w:szCs w:val="16"/>
              </w:rPr>
            </w:pPr>
            <w:r w:rsidRPr="00D74BDF">
              <w:rPr>
                <w:sz w:val="16"/>
                <w:szCs w:val="16"/>
              </w:rPr>
              <w:t xml:space="preserve">45 Oficinas receptoras (+32% con respecto a 2015) y </w:t>
            </w:r>
          </w:p>
          <w:p w:rsidR="008415E8" w:rsidRPr="00D74BDF" w:rsidRDefault="008415E8">
            <w:pPr>
              <w:keepNext/>
              <w:keepLines/>
              <w:rPr>
                <w:rFonts w:ascii="Microsoft Sans Serif" w:hAnsi="Microsoft Sans Serif" w:cs="Microsoft Sans Serif"/>
                <w:sz w:val="16"/>
                <w:szCs w:val="16"/>
              </w:rPr>
            </w:pPr>
            <w:r w:rsidRPr="00D74BDF">
              <w:rPr>
                <w:sz w:val="16"/>
                <w:szCs w:val="16"/>
              </w:rPr>
              <w:t>13 Administraciones internacionales (+63% con respecto a 2015) que aceptan documentos transmitidos por solicitantes</w:t>
            </w:r>
          </w:p>
          <w:p w:rsidR="008415E8" w:rsidRPr="00D74BDF" w:rsidRDefault="008415E8">
            <w:pPr>
              <w:keepNext/>
              <w:keepLines/>
              <w:rPr>
                <w:rFonts w:ascii="Microsoft Sans Serif" w:hAnsi="Microsoft Sans Serif" w:cs="Microsoft Sans Serif"/>
                <w:sz w:val="16"/>
                <w:szCs w:val="16"/>
              </w:rPr>
            </w:pPr>
          </w:p>
          <w:p w:rsidR="008415E8" w:rsidRPr="00D74BDF" w:rsidRDefault="008415E8">
            <w:pPr>
              <w:keepNext/>
              <w:keepLines/>
              <w:rPr>
                <w:sz w:val="16"/>
                <w:szCs w:val="16"/>
              </w:rPr>
            </w:pPr>
          </w:p>
          <w:p w:rsidR="008415E8" w:rsidRPr="00D74BDF" w:rsidRDefault="008415E8" w:rsidP="00A34E19">
            <w:pPr>
              <w:keepNext/>
              <w:keepLines/>
              <w:rPr>
                <w:sz w:val="16"/>
                <w:szCs w:val="16"/>
              </w:rPr>
            </w:pPr>
            <w:r w:rsidRPr="00D74BDF">
              <w:rPr>
                <w:sz w:val="16"/>
                <w:szCs w:val="16"/>
              </w:rPr>
              <w:t xml:space="preserve">10.843 solicitudes presentadas utilizando el ePCT (+50% con respecto a 2015) </w:t>
            </w:r>
          </w:p>
        </w:tc>
        <w:tc>
          <w:tcPr>
            <w:tcW w:w="495" w:type="pct"/>
            <w:shd w:val="clear" w:color="auto" w:fill="auto"/>
            <w:tcMar>
              <w:top w:w="110" w:type="dxa"/>
              <w:left w:w="58" w:type="dxa"/>
              <w:right w:w="58" w:type="dxa"/>
            </w:tcMar>
          </w:tcPr>
          <w:p w:rsidR="008415E8" w:rsidRPr="00D74BDF" w:rsidRDefault="008415E8" w:rsidP="00A34E19">
            <w:pPr>
              <w:keepNext/>
              <w:keepLines/>
              <w:jc w:val="center"/>
              <w:rPr>
                <w:b/>
                <w:sz w:val="16"/>
                <w:szCs w:val="16"/>
              </w:rPr>
            </w:pPr>
          </w:p>
          <w:p w:rsidR="008415E8" w:rsidRPr="00D74BDF" w:rsidRDefault="008415E8">
            <w:pPr>
              <w:keepNext/>
              <w:keepLines/>
              <w:jc w:val="center"/>
              <w:rPr>
                <w:b/>
                <w:sz w:val="16"/>
                <w:szCs w:val="16"/>
              </w:rPr>
            </w:pPr>
          </w:p>
          <w:p w:rsidR="008415E8" w:rsidRPr="00D74BDF" w:rsidRDefault="008415E8">
            <w:pPr>
              <w:keepNext/>
              <w:keepLines/>
              <w:jc w:val="center"/>
              <w:rPr>
                <w:b/>
                <w:sz w:val="16"/>
                <w:szCs w:val="16"/>
              </w:rPr>
            </w:pPr>
          </w:p>
          <w:p w:rsidR="008415E8" w:rsidRPr="00D74BDF" w:rsidRDefault="008415E8" w:rsidP="00A34E19">
            <w:pPr>
              <w:keepNext/>
              <w:keepLines/>
              <w:jc w:val="center"/>
              <w:rPr>
                <w:b/>
                <w:sz w:val="16"/>
                <w:szCs w:val="16"/>
              </w:rPr>
            </w:pPr>
            <w:r w:rsidRPr="00D74BDF">
              <w:rPr>
                <w:b/>
                <w:color w:val="00B050"/>
                <w:sz w:val="16"/>
                <w:szCs w:val="16"/>
              </w:rPr>
              <w:t>Avanza</w:t>
            </w:r>
          </w:p>
          <w:p w:rsidR="008415E8" w:rsidRPr="00D74BDF" w:rsidRDefault="008415E8">
            <w:pPr>
              <w:keepNext/>
              <w:keepLines/>
              <w:jc w:val="center"/>
              <w:rPr>
                <w:b/>
                <w:sz w:val="16"/>
                <w:szCs w:val="16"/>
              </w:rPr>
            </w:pPr>
          </w:p>
          <w:p w:rsidR="008415E8" w:rsidRPr="00D74BDF" w:rsidRDefault="008415E8">
            <w:pPr>
              <w:keepNext/>
              <w:keepLines/>
              <w:jc w:val="center"/>
              <w:rPr>
                <w:b/>
                <w:sz w:val="16"/>
                <w:szCs w:val="16"/>
              </w:rPr>
            </w:pPr>
          </w:p>
          <w:p w:rsidR="008415E8" w:rsidRPr="00D74BDF" w:rsidRDefault="008415E8" w:rsidP="00A34E19">
            <w:pPr>
              <w:keepNext/>
              <w:keepLines/>
              <w:rPr>
                <w:b/>
                <w:sz w:val="16"/>
                <w:szCs w:val="16"/>
              </w:rPr>
            </w:pPr>
          </w:p>
          <w:p w:rsidR="008415E8" w:rsidRPr="00D74BDF" w:rsidRDefault="008415E8">
            <w:pPr>
              <w:keepNext/>
              <w:keepLines/>
              <w:jc w:val="center"/>
              <w:rPr>
                <w:b/>
                <w:sz w:val="16"/>
                <w:szCs w:val="16"/>
              </w:rPr>
            </w:pPr>
          </w:p>
          <w:p w:rsidR="008415E8" w:rsidRPr="00D74BDF" w:rsidRDefault="008415E8" w:rsidP="00A34E19">
            <w:pPr>
              <w:keepNext/>
              <w:keepLines/>
              <w:jc w:val="center"/>
              <w:rPr>
                <w:b/>
                <w:sz w:val="16"/>
                <w:szCs w:val="16"/>
              </w:rPr>
            </w:pPr>
            <w:r w:rsidRPr="00D74BDF">
              <w:rPr>
                <w:b/>
                <w:color w:val="00B050"/>
                <w:sz w:val="16"/>
                <w:szCs w:val="16"/>
              </w:rPr>
              <w:t>Avanza</w:t>
            </w:r>
          </w:p>
          <w:p w:rsidR="008415E8" w:rsidRPr="00D74BDF" w:rsidRDefault="008415E8">
            <w:pPr>
              <w:keepNext/>
              <w:keepLines/>
              <w:jc w:val="center"/>
              <w:rPr>
                <w:b/>
                <w:sz w:val="16"/>
                <w:szCs w:val="16"/>
              </w:rPr>
            </w:pPr>
          </w:p>
          <w:p w:rsidR="008415E8" w:rsidRPr="00D74BDF" w:rsidRDefault="008415E8">
            <w:pPr>
              <w:keepNext/>
              <w:keepLines/>
              <w:jc w:val="center"/>
              <w:rPr>
                <w:b/>
                <w:sz w:val="16"/>
                <w:szCs w:val="16"/>
              </w:rPr>
            </w:pPr>
          </w:p>
          <w:p w:rsidR="008415E8" w:rsidRPr="00D74BDF" w:rsidRDefault="008415E8">
            <w:pPr>
              <w:keepNext/>
              <w:keepLines/>
              <w:jc w:val="center"/>
              <w:rPr>
                <w:b/>
                <w:sz w:val="16"/>
                <w:szCs w:val="16"/>
              </w:rPr>
            </w:pPr>
          </w:p>
          <w:p w:rsidR="008415E8" w:rsidRPr="00D74BDF" w:rsidRDefault="008415E8">
            <w:pPr>
              <w:keepNext/>
              <w:keepLines/>
              <w:jc w:val="center"/>
              <w:rPr>
                <w:b/>
                <w:sz w:val="16"/>
                <w:szCs w:val="16"/>
              </w:rPr>
            </w:pPr>
          </w:p>
          <w:p w:rsidR="008415E8" w:rsidRPr="00D74BDF" w:rsidRDefault="008415E8">
            <w:pPr>
              <w:keepNext/>
              <w:keepLines/>
              <w:jc w:val="center"/>
              <w:rPr>
                <w:b/>
                <w:sz w:val="16"/>
                <w:szCs w:val="16"/>
              </w:rPr>
            </w:pPr>
          </w:p>
          <w:p w:rsidR="008415E8" w:rsidRPr="00D74BDF" w:rsidRDefault="008415E8" w:rsidP="00A34E19">
            <w:pPr>
              <w:keepNext/>
              <w:keepLines/>
              <w:rPr>
                <w:b/>
                <w:sz w:val="16"/>
                <w:szCs w:val="16"/>
              </w:rPr>
            </w:pPr>
          </w:p>
          <w:p w:rsidR="008415E8" w:rsidRPr="00D74BDF" w:rsidRDefault="008415E8" w:rsidP="00A34E19">
            <w:pPr>
              <w:keepNext/>
              <w:keepLines/>
              <w:jc w:val="center"/>
              <w:rPr>
                <w:b/>
                <w:sz w:val="16"/>
                <w:szCs w:val="16"/>
              </w:rPr>
            </w:pPr>
          </w:p>
          <w:p w:rsidR="008415E8" w:rsidRPr="00D74BDF" w:rsidRDefault="008415E8" w:rsidP="00A34E19">
            <w:pPr>
              <w:keepNext/>
              <w:keepLines/>
              <w:jc w:val="center"/>
              <w:rPr>
                <w:sz w:val="16"/>
                <w:szCs w:val="16"/>
              </w:rPr>
            </w:pPr>
            <w:r w:rsidRPr="00D74BDF">
              <w:rPr>
                <w:b/>
                <w:color w:val="00B050"/>
                <w:sz w:val="16"/>
                <w:szCs w:val="16"/>
              </w:rPr>
              <w:t>Avanza</w:t>
            </w:r>
          </w:p>
        </w:tc>
      </w:tr>
      <w:tr w:rsidR="008415E8" w:rsidRPr="00D74BDF" w:rsidTr="00A34E19">
        <w:trPr>
          <w:trHeight w:val="504"/>
        </w:trPr>
        <w:tc>
          <w:tcPr>
            <w:tcW w:w="5000" w:type="pct"/>
            <w:gridSpan w:val="6"/>
            <w:shd w:val="clear" w:color="auto" w:fill="C6D9F1" w:themeFill="text2" w:themeFillTint="33"/>
            <w:tcMar>
              <w:left w:w="43" w:type="dxa"/>
              <w:right w:w="43" w:type="dxa"/>
            </w:tcMar>
            <w:vAlign w:val="center"/>
          </w:tcPr>
          <w:p w:rsidR="008415E8" w:rsidRPr="00D74BDF" w:rsidRDefault="008415E8" w:rsidP="00A34E19">
            <w:pPr>
              <w:keepNext/>
              <w:keepLines/>
              <w:tabs>
                <w:tab w:val="left" w:pos="1452"/>
                <w:tab w:val="left" w:pos="1723"/>
              </w:tabs>
              <w:ind w:left="1452" w:hanging="1452"/>
              <w:rPr>
                <w:b/>
                <w:bCs/>
                <w:sz w:val="16"/>
                <w:szCs w:val="16"/>
              </w:rPr>
            </w:pPr>
            <w:r w:rsidRPr="00D74BDF">
              <w:rPr>
                <w:b/>
                <w:bCs/>
                <w:sz w:val="16"/>
                <w:szCs w:val="16"/>
              </w:rPr>
              <w:lastRenderedPageBreak/>
              <w:t>Resultado previsto:</w:t>
            </w:r>
            <w:r w:rsidRPr="00D74BDF">
              <w:rPr>
                <w:b/>
                <w:bCs/>
                <w:sz w:val="16"/>
                <w:szCs w:val="16"/>
              </w:rPr>
              <w:tab/>
            </w:r>
            <w:r w:rsidRPr="00D74BDF">
              <w:rPr>
                <w:bCs/>
                <w:sz w:val="16"/>
                <w:szCs w:val="16"/>
              </w:rPr>
              <w:t>II.3  Mejora de la productividad y de la calidad de los servicios en las operaciones del PCT</w:t>
            </w:r>
          </w:p>
        </w:tc>
      </w:tr>
      <w:tr w:rsidR="008415E8" w:rsidRPr="00D74BDF" w:rsidTr="00A34E19">
        <w:tc>
          <w:tcPr>
            <w:tcW w:w="1019" w:type="pct"/>
            <w:shd w:val="clear" w:color="auto" w:fill="auto"/>
            <w:tcMar>
              <w:left w:w="58" w:type="dxa"/>
              <w:right w:w="58" w:type="dxa"/>
            </w:tcMar>
            <w:vAlign w:val="center"/>
          </w:tcPr>
          <w:p w:rsidR="008415E8" w:rsidRPr="00D74BDF" w:rsidRDefault="008415E8" w:rsidP="00A34E19">
            <w:pPr>
              <w:keepNext/>
              <w:rPr>
                <w:b/>
                <w:bCs/>
                <w:sz w:val="16"/>
                <w:szCs w:val="16"/>
              </w:rPr>
            </w:pPr>
            <w:r w:rsidRPr="00D74BDF">
              <w:rPr>
                <w:b/>
                <w:bCs/>
                <w:sz w:val="16"/>
                <w:szCs w:val="16"/>
              </w:rPr>
              <w:t>Indicadores de rendimiento</w:t>
            </w:r>
          </w:p>
        </w:tc>
        <w:tc>
          <w:tcPr>
            <w:tcW w:w="1466" w:type="pct"/>
            <w:shd w:val="clear" w:color="auto" w:fill="auto"/>
            <w:tcMar>
              <w:left w:w="58" w:type="dxa"/>
              <w:right w:w="58" w:type="dxa"/>
            </w:tcMar>
            <w:vAlign w:val="center"/>
          </w:tcPr>
          <w:p w:rsidR="008415E8" w:rsidRPr="00D74BDF" w:rsidRDefault="008415E8" w:rsidP="00A34E19">
            <w:pPr>
              <w:keepNext/>
              <w:rPr>
                <w:b/>
                <w:bCs/>
                <w:sz w:val="16"/>
                <w:szCs w:val="16"/>
              </w:rPr>
            </w:pPr>
            <w:r w:rsidRPr="00D74BDF">
              <w:rPr>
                <w:b/>
                <w:bCs/>
                <w:sz w:val="16"/>
                <w:szCs w:val="16"/>
              </w:rPr>
              <w:t>Referencia</w:t>
            </w:r>
            <w:r w:rsidR="00BB510E">
              <w:rPr>
                <w:b/>
                <w:bCs/>
                <w:sz w:val="16"/>
                <w:szCs w:val="16"/>
              </w:rPr>
              <w:t>s de base</w:t>
            </w:r>
          </w:p>
        </w:tc>
        <w:tc>
          <w:tcPr>
            <w:tcW w:w="716" w:type="pct"/>
            <w:gridSpan w:val="2"/>
            <w:shd w:val="clear" w:color="auto" w:fill="auto"/>
            <w:tcMar>
              <w:top w:w="110" w:type="dxa"/>
              <w:left w:w="43" w:type="dxa"/>
              <w:right w:w="43" w:type="dxa"/>
            </w:tcMar>
            <w:vAlign w:val="center"/>
          </w:tcPr>
          <w:p w:rsidR="008415E8" w:rsidRPr="00D74BDF" w:rsidRDefault="008415E8" w:rsidP="00A34E19">
            <w:pPr>
              <w:keepNext/>
              <w:rPr>
                <w:b/>
                <w:bCs/>
                <w:sz w:val="16"/>
                <w:szCs w:val="16"/>
              </w:rPr>
            </w:pPr>
            <w:r w:rsidRPr="00D74BDF">
              <w:rPr>
                <w:b/>
                <w:bCs/>
                <w:sz w:val="16"/>
                <w:szCs w:val="16"/>
              </w:rPr>
              <w:t>Objetivos</w:t>
            </w:r>
          </w:p>
        </w:tc>
        <w:tc>
          <w:tcPr>
            <w:tcW w:w="1304" w:type="pct"/>
            <w:shd w:val="clear" w:color="auto" w:fill="FFFFFF"/>
            <w:tcMar>
              <w:top w:w="110" w:type="dxa"/>
              <w:left w:w="58" w:type="dxa"/>
              <w:right w:w="58" w:type="dxa"/>
            </w:tcMar>
            <w:vAlign w:val="center"/>
          </w:tcPr>
          <w:p w:rsidR="008415E8" w:rsidRPr="00D74BDF" w:rsidRDefault="008415E8" w:rsidP="00A34E19">
            <w:pPr>
              <w:keepNext/>
              <w:rPr>
                <w:b/>
                <w:bCs/>
                <w:sz w:val="16"/>
                <w:szCs w:val="16"/>
              </w:rPr>
            </w:pPr>
            <w:r w:rsidRPr="00D74BDF">
              <w:rPr>
                <w:b/>
                <w:bCs/>
                <w:sz w:val="16"/>
                <w:szCs w:val="16"/>
              </w:rPr>
              <w:t>Datos sobre el rendimiento</w:t>
            </w:r>
          </w:p>
        </w:tc>
        <w:tc>
          <w:tcPr>
            <w:tcW w:w="495" w:type="pct"/>
            <w:shd w:val="clear" w:color="auto" w:fill="auto"/>
            <w:tcMar>
              <w:top w:w="110" w:type="dxa"/>
              <w:left w:w="58" w:type="dxa"/>
              <w:right w:w="58" w:type="dxa"/>
            </w:tcMar>
            <w:vAlign w:val="center"/>
          </w:tcPr>
          <w:p w:rsidR="008415E8" w:rsidRPr="00D74BDF" w:rsidRDefault="008415E8" w:rsidP="00A34E19">
            <w:pPr>
              <w:keepNext/>
              <w:keepLines/>
              <w:jc w:val="center"/>
              <w:rPr>
                <w:b/>
                <w:bCs/>
                <w:sz w:val="16"/>
                <w:szCs w:val="16"/>
              </w:rPr>
            </w:pPr>
            <w:r w:rsidRPr="00D74BDF">
              <w:rPr>
                <w:b/>
                <w:bCs/>
                <w:sz w:val="16"/>
                <w:szCs w:val="16"/>
              </w:rPr>
              <w:t>Clave de colores</w:t>
            </w:r>
          </w:p>
        </w:tc>
      </w:tr>
      <w:tr w:rsidR="008415E8" w:rsidRPr="00D74BDF" w:rsidTr="00A34E19">
        <w:trPr>
          <w:trHeight w:val="1438"/>
        </w:trPr>
        <w:tc>
          <w:tcPr>
            <w:tcW w:w="1019" w:type="pct"/>
            <w:shd w:val="clear" w:color="auto" w:fill="auto"/>
            <w:tcMar>
              <w:left w:w="58" w:type="dxa"/>
              <w:right w:w="58" w:type="dxa"/>
            </w:tcMar>
          </w:tcPr>
          <w:p w:rsidR="008415E8" w:rsidRPr="00D74BDF" w:rsidRDefault="008415E8" w:rsidP="00A34E19">
            <w:pPr>
              <w:keepNext/>
              <w:widowControl w:val="0"/>
              <w:autoSpaceDE w:val="0"/>
              <w:autoSpaceDN w:val="0"/>
              <w:adjustRightInd w:val="0"/>
              <w:rPr>
                <w:sz w:val="16"/>
                <w:szCs w:val="16"/>
              </w:rPr>
            </w:pPr>
            <w:r w:rsidRPr="00D74BDF">
              <w:rPr>
                <w:sz w:val="16"/>
                <w:szCs w:val="16"/>
              </w:rPr>
              <w:t>Costo unitario de tramitación de las solicitudes</w:t>
            </w:r>
          </w:p>
        </w:tc>
        <w:tc>
          <w:tcPr>
            <w:tcW w:w="1466" w:type="pct"/>
            <w:shd w:val="clear" w:color="auto" w:fill="auto"/>
            <w:tcMar>
              <w:left w:w="58" w:type="dxa"/>
              <w:right w:w="58" w:type="dxa"/>
            </w:tcMar>
          </w:tcPr>
          <w:p w:rsidR="008415E8" w:rsidRPr="00C01376" w:rsidRDefault="008415E8" w:rsidP="00A34E19">
            <w:pPr>
              <w:keepNext/>
              <w:rPr>
                <w:i/>
                <w:color w:val="002060"/>
                <w:sz w:val="16"/>
                <w:szCs w:val="16"/>
              </w:rPr>
            </w:pPr>
            <w:r w:rsidRPr="00C01376">
              <w:rPr>
                <w:i/>
                <w:color w:val="002060"/>
                <w:sz w:val="16"/>
                <w:szCs w:val="16"/>
              </w:rPr>
              <w:t xml:space="preserve">Referencia actualizada a fines de 2015:  </w:t>
            </w:r>
          </w:p>
          <w:p w:rsidR="008415E8" w:rsidRPr="00C01376" w:rsidRDefault="008415E8" w:rsidP="00A34E19">
            <w:pPr>
              <w:keepNext/>
              <w:keepLines/>
              <w:rPr>
                <w:color w:val="002060"/>
                <w:sz w:val="16"/>
                <w:szCs w:val="16"/>
              </w:rPr>
            </w:pPr>
            <w:r w:rsidRPr="00C01376">
              <w:rPr>
                <w:color w:val="002060"/>
                <w:sz w:val="16"/>
                <w:szCs w:val="16"/>
              </w:rPr>
              <w:t>662 francos suizos en 2014</w:t>
            </w:r>
          </w:p>
          <w:p w:rsidR="008415E8" w:rsidRPr="00C01376" w:rsidRDefault="008415E8" w:rsidP="00A34E19">
            <w:pPr>
              <w:keepNext/>
              <w:keepLines/>
              <w:rPr>
                <w:color w:val="002060"/>
                <w:sz w:val="16"/>
                <w:szCs w:val="16"/>
              </w:rPr>
            </w:pPr>
            <w:r w:rsidRPr="00C01376">
              <w:rPr>
                <w:color w:val="002060"/>
                <w:sz w:val="16"/>
                <w:szCs w:val="16"/>
              </w:rPr>
              <w:t>735 francos suizos en 2015</w:t>
            </w:r>
          </w:p>
          <w:p w:rsidR="008415E8" w:rsidRDefault="008415E8" w:rsidP="00A34E19">
            <w:pPr>
              <w:keepNext/>
              <w:keepLines/>
              <w:rPr>
                <w:color w:val="002060"/>
                <w:sz w:val="16"/>
                <w:szCs w:val="16"/>
              </w:rPr>
            </w:pPr>
          </w:p>
          <w:p w:rsidR="008415E8" w:rsidRPr="00D74BDF" w:rsidRDefault="008415E8" w:rsidP="00A34E19">
            <w:pPr>
              <w:keepNext/>
              <w:rPr>
                <w:i/>
                <w:sz w:val="16"/>
                <w:szCs w:val="16"/>
              </w:rPr>
            </w:pPr>
          </w:p>
          <w:p w:rsidR="008415E8" w:rsidRPr="00D74BDF" w:rsidRDefault="008415E8" w:rsidP="00A34E19">
            <w:pPr>
              <w:keepNext/>
              <w:rPr>
                <w:i/>
                <w:sz w:val="16"/>
                <w:szCs w:val="16"/>
              </w:rPr>
            </w:pPr>
            <w:r w:rsidRPr="00D74BDF">
              <w:rPr>
                <w:i/>
                <w:sz w:val="16"/>
                <w:szCs w:val="16"/>
              </w:rPr>
              <w:t>Referencia original en el presupuesto de 2016/17:</w:t>
            </w:r>
          </w:p>
          <w:p w:rsidR="008415E8" w:rsidRPr="00D74BDF" w:rsidRDefault="008415E8" w:rsidP="00A34E19">
            <w:pPr>
              <w:keepNext/>
              <w:rPr>
                <w:sz w:val="16"/>
                <w:szCs w:val="16"/>
              </w:rPr>
            </w:pPr>
            <w:r w:rsidRPr="00D74BDF">
              <w:rPr>
                <w:sz w:val="16"/>
                <w:szCs w:val="16"/>
              </w:rPr>
              <w:t>662 francos suizos (2014)</w:t>
            </w:r>
          </w:p>
        </w:tc>
        <w:tc>
          <w:tcPr>
            <w:tcW w:w="716" w:type="pct"/>
            <w:gridSpan w:val="2"/>
            <w:shd w:val="clear" w:color="auto" w:fill="auto"/>
            <w:tcMar>
              <w:top w:w="110" w:type="dxa"/>
              <w:left w:w="43" w:type="dxa"/>
              <w:right w:w="43" w:type="dxa"/>
            </w:tcMar>
          </w:tcPr>
          <w:p w:rsidR="008415E8" w:rsidRPr="00B649CE" w:rsidRDefault="008415E8" w:rsidP="00A34E19">
            <w:pPr>
              <w:keepNext/>
              <w:rPr>
                <w:i/>
                <w:color w:val="002060"/>
                <w:sz w:val="16"/>
              </w:rPr>
            </w:pPr>
            <w:r w:rsidRPr="00B649CE">
              <w:rPr>
                <w:i/>
                <w:color w:val="002060"/>
                <w:sz w:val="16"/>
              </w:rPr>
              <w:t xml:space="preserve">Objetivo actualizado:  </w:t>
            </w:r>
          </w:p>
          <w:p w:rsidR="008415E8" w:rsidRPr="00B649CE" w:rsidRDefault="008415E8" w:rsidP="00A34E19">
            <w:pPr>
              <w:keepNext/>
              <w:rPr>
                <w:color w:val="002060"/>
                <w:sz w:val="16"/>
              </w:rPr>
            </w:pPr>
            <w:r w:rsidRPr="00B649CE">
              <w:rPr>
                <w:color w:val="002060"/>
                <w:sz w:val="16"/>
              </w:rPr>
              <w:t xml:space="preserve">Reducción </w:t>
            </w:r>
            <w:r w:rsidR="00BB510E">
              <w:rPr>
                <w:color w:val="002060"/>
                <w:sz w:val="16"/>
              </w:rPr>
              <w:t xml:space="preserve">bienal </w:t>
            </w:r>
            <w:r w:rsidRPr="00B649CE">
              <w:rPr>
                <w:color w:val="002060"/>
                <w:sz w:val="16"/>
              </w:rPr>
              <w:t>del 10% del costo unitario</w:t>
            </w:r>
          </w:p>
          <w:p w:rsidR="008415E8" w:rsidRPr="00D74BDF" w:rsidRDefault="008415E8" w:rsidP="00A34E19">
            <w:pPr>
              <w:keepNext/>
              <w:keepLines/>
              <w:rPr>
                <w:sz w:val="16"/>
                <w:szCs w:val="16"/>
              </w:rPr>
            </w:pPr>
          </w:p>
          <w:p w:rsidR="008415E8" w:rsidRPr="00D74BDF" w:rsidRDefault="008415E8" w:rsidP="00A34E19">
            <w:pPr>
              <w:keepNext/>
              <w:rPr>
                <w:i/>
                <w:sz w:val="16"/>
                <w:szCs w:val="16"/>
                <w:lang w:bidi="th-TH"/>
              </w:rPr>
            </w:pPr>
            <w:r w:rsidRPr="00D74BDF">
              <w:rPr>
                <w:i/>
                <w:sz w:val="16"/>
                <w:szCs w:val="16"/>
                <w:lang w:bidi="th-TH"/>
              </w:rPr>
              <w:t xml:space="preserve">Objetivo original en el presupuesto de 2016/17:  </w:t>
            </w:r>
          </w:p>
          <w:p w:rsidR="008415E8" w:rsidRPr="00D74BDF" w:rsidRDefault="008415E8" w:rsidP="00A34E19">
            <w:pPr>
              <w:keepNext/>
              <w:widowControl w:val="0"/>
              <w:autoSpaceDE w:val="0"/>
              <w:autoSpaceDN w:val="0"/>
              <w:adjustRightInd w:val="0"/>
              <w:rPr>
                <w:sz w:val="16"/>
                <w:szCs w:val="16"/>
              </w:rPr>
            </w:pPr>
            <w:r w:rsidRPr="00D74BDF">
              <w:rPr>
                <w:sz w:val="16"/>
                <w:szCs w:val="16"/>
              </w:rPr>
              <w:t>Mantener el costo unitario pese a las inversiones previstas para aumentar los niveles de seguridad y de capacidad de reacción y recuperación del PCT.</w:t>
            </w:r>
          </w:p>
        </w:tc>
        <w:tc>
          <w:tcPr>
            <w:tcW w:w="1304" w:type="pct"/>
            <w:shd w:val="clear" w:color="auto" w:fill="FFFFFF"/>
            <w:tcMar>
              <w:top w:w="110" w:type="dxa"/>
              <w:left w:w="58" w:type="dxa"/>
              <w:right w:w="58" w:type="dxa"/>
            </w:tcMar>
          </w:tcPr>
          <w:p w:rsidR="008415E8" w:rsidRPr="00D74BDF" w:rsidRDefault="008415E8" w:rsidP="00A34E19">
            <w:pPr>
              <w:keepNext/>
              <w:rPr>
                <w:sz w:val="16"/>
                <w:szCs w:val="16"/>
              </w:rPr>
            </w:pPr>
            <w:r w:rsidRPr="00D74BDF">
              <w:rPr>
                <w:sz w:val="16"/>
                <w:szCs w:val="16"/>
              </w:rPr>
              <w:t xml:space="preserve">685 CHF  </w:t>
            </w:r>
          </w:p>
          <w:p w:rsidR="008415E8" w:rsidRPr="00D74BDF" w:rsidRDefault="008415E8" w:rsidP="00A34E19">
            <w:pPr>
              <w:keepNext/>
              <w:rPr>
                <w:sz w:val="16"/>
                <w:szCs w:val="16"/>
              </w:rPr>
            </w:pPr>
            <w:r w:rsidRPr="00D74BDF">
              <w:rPr>
                <w:sz w:val="16"/>
                <w:szCs w:val="16"/>
              </w:rPr>
              <w:t>(-6,8% en comparación con 2015)</w:t>
            </w:r>
          </w:p>
        </w:tc>
        <w:tc>
          <w:tcPr>
            <w:tcW w:w="495" w:type="pct"/>
            <w:shd w:val="clear" w:color="auto" w:fill="auto"/>
            <w:tcMar>
              <w:top w:w="110" w:type="dxa"/>
              <w:left w:w="58" w:type="dxa"/>
              <w:right w:w="58" w:type="dxa"/>
            </w:tcMar>
          </w:tcPr>
          <w:p w:rsidR="008415E8" w:rsidRPr="00D74BDF" w:rsidRDefault="008415E8" w:rsidP="00A34E19">
            <w:pPr>
              <w:keepNext/>
              <w:keepLines/>
              <w:jc w:val="center"/>
              <w:rPr>
                <w:sz w:val="16"/>
                <w:szCs w:val="16"/>
              </w:rPr>
            </w:pPr>
            <w:r w:rsidRPr="00D74BDF">
              <w:rPr>
                <w:b/>
                <w:color w:val="00B050"/>
                <w:sz w:val="16"/>
                <w:szCs w:val="16"/>
              </w:rPr>
              <w:t>Avanza</w:t>
            </w:r>
          </w:p>
        </w:tc>
      </w:tr>
      <w:tr w:rsidR="008415E8" w:rsidRPr="00D74BDF" w:rsidTr="00A34E19">
        <w:trPr>
          <w:trHeight w:val="1051"/>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Calidad global del examen de forma (incluido el tiempo empleado)</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BB510E" w:rsidP="00A34E19">
            <w:pPr>
              <w:rPr>
                <w:color w:val="002060"/>
                <w:sz w:val="16"/>
                <w:szCs w:val="16"/>
              </w:rPr>
            </w:pPr>
            <w:r>
              <w:rPr>
                <w:color w:val="002060"/>
                <w:sz w:val="16"/>
                <w:szCs w:val="16"/>
              </w:rPr>
              <w:t xml:space="preserve">92,7% </w:t>
            </w:r>
          </w:p>
          <w:p w:rsidR="008415E8" w:rsidRPr="00D74BDF" w:rsidRDefault="008415E8" w:rsidP="00A34E19">
            <w:pPr>
              <w:rPr>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93,1% (2014)</w:t>
            </w:r>
          </w:p>
          <w:p w:rsidR="008415E8" w:rsidRPr="00D74BDF" w:rsidRDefault="008415E8">
            <w:pPr>
              <w:widowControl w:val="0"/>
              <w:tabs>
                <w:tab w:val="left" w:pos="1733"/>
              </w:tabs>
              <w:autoSpaceDE w:val="0"/>
              <w:autoSpaceDN w:val="0"/>
              <w:adjustRightInd w:val="0"/>
              <w:ind w:right="321"/>
              <w:rPr>
                <w:sz w:val="16"/>
                <w:szCs w:val="16"/>
              </w:rPr>
            </w:pPr>
          </w:p>
        </w:tc>
        <w:tc>
          <w:tcPr>
            <w:tcW w:w="716" w:type="pct"/>
            <w:gridSpan w:val="2"/>
            <w:shd w:val="clear" w:color="auto" w:fill="auto"/>
            <w:tcMar>
              <w:top w:w="110" w:type="dxa"/>
              <w:left w:w="43" w:type="dxa"/>
              <w:right w:w="43" w:type="dxa"/>
            </w:tcMar>
          </w:tcPr>
          <w:p w:rsidR="008415E8" w:rsidRPr="00D74BDF" w:rsidRDefault="00BB510E" w:rsidP="00BB510E">
            <w:pPr>
              <w:widowControl w:val="0"/>
              <w:autoSpaceDE w:val="0"/>
              <w:autoSpaceDN w:val="0"/>
              <w:adjustRightInd w:val="0"/>
              <w:rPr>
                <w:sz w:val="16"/>
                <w:szCs w:val="16"/>
              </w:rPr>
            </w:pPr>
            <w:r w:rsidRPr="00BB510E">
              <w:rPr>
                <w:i/>
                <w:sz w:val="16"/>
                <w:szCs w:val="16"/>
              </w:rPr>
              <w:t>Objetivo actualizado:</w:t>
            </w:r>
            <w:r>
              <w:rPr>
                <w:sz w:val="16"/>
                <w:szCs w:val="16"/>
              </w:rPr>
              <w:t xml:space="preserve"> 95% (+/- 2%)</w:t>
            </w:r>
            <w:r w:rsidR="00AF4AF6">
              <w:rPr>
                <w:sz w:val="16"/>
                <w:szCs w:val="16"/>
              </w:rPr>
              <w:br/>
            </w:r>
            <w:r w:rsidR="00AF4AF6">
              <w:rPr>
                <w:sz w:val="16"/>
                <w:szCs w:val="16"/>
              </w:rPr>
              <w:br/>
            </w:r>
            <w:r w:rsidR="00AF4AF6" w:rsidRPr="00AF4AF6">
              <w:rPr>
                <w:i/>
                <w:sz w:val="16"/>
                <w:szCs w:val="16"/>
              </w:rPr>
              <w:t xml:space="preserve">Objetivo original </w:t>
            </w:r>
            <w:proofErr w:type="spellStart"/>
            <w:r w:rsidR="00AF4AF6" w:rsidRPr="00AF4AF6">
              <w:rPr>
                <w:i/>
                <w:sz w:val="16"/>
                <w:szCs w:val="16"/>
              </w:rPr>
              <w:t>presup</w:t>
            </w:r>
            <w:proofErr w:type="spellEnd"/>
            <w:r w:rsidR="00AF4AF6" w:rsidRPr="00AF4AF6">
              <w:rPr>
                <w:i/>
                <w:sz w:val="16"/>
                <w:szCs w:val="16"/>
              </w:rPr>
              <w:t>. 2016/17:</w:t>
            </w:r>
            <w:r w:rsidR="00AF4AF6">
              <w:rPr>
                <w:sz w:val="16"/>
                <w:szCs w:val="16"/>
              </w:rPr>
              <w:t xml:space="preserve"> Mayor calidad</w:t>
            </w:r>
          </w:p>
        </w:tc>
        <w:tc>
          <w:tcPr>
            <w:tcW w:w="1304" w:type="pct"/>
            <w:shd w:val="clear" w:color="auto" w:fill="FFFFFF"/>
            <w:tcMar>
              <w:top w:w="110" w:type="dxa"/>
              <w:left w:w="58" w:type="dxa"/>
              <w:right w:w="58" w:type="dxa"/>
            </w:tcMar>
          </w:tcPr>
          <w:p w:rsidR="008415E8" w:rsidRPr="00D74BDF" w:rsidRDefault="00BB510E" w:rsidP="00A34E19">
            <w:pPr>
              <w:keepNext/>
              <w:keepLines/>
              <w:rPr>
                <w:sz w:val="16"/>
                <w:szCs w:val="16"/>
              </w:rPr>
            </w:pPr>
            <w:r>
              <w:rPr>
                <w:sz w:val="16"/>
                <w:szCs w:val="16"/>
              </w:rPr>
              <w:t xml:space="preserve">95,1% </w:t>
            </w:r>
          </w:p>
        </w:tc>
        <w:tc>
          <w:tcPr>
            <w:tcW w:w="495" w:type="pct"/>
            <w:shd w:val="clear" w:color="auto" w:fill="auto"/>
            <w:tcMar>
              <w:top w:w="110" w:type="dxa"/>
              <w:left w:w="58" w:type="dxa"/>
              <w:right w:w="58" w:type="dxa"/>
            </w:tcMar>
          </w:tcPr>
          <w:p w:rsidR="008415E8" w:rsidRPr="00D74BDF" w:rsidRDefault="008415E8" w:rsidP="00A34E19">
            <w:pPr>
              <w:keepNext/>
              <w:keepLines/>
              <w:jc w:val="center"/>
              <w:rPr>
                <w:sz w:val="16"/>
                <w:szCs w:val="16"/>
              </w:rPr>
            </w:pPr>
            <w:r w:rsidRPr="00D74BDF">
              <w:rPr>
                <w:b/>
                <w:color w:val="00B050"/>
                <w:sz w:val="16"/>
                <w:szCs w:val="16"/>
              </w:rPr>
              <w:t>Avanza</w:t>
            </w:r>
          </w:p>
        </w:tc>
      </w:tr>
      <w:tr w:rsidR="008415E8" w:rsidRPr="00D74BDF" w:rsidTr="00A34E19">
        <w:trPr>
          <w:trHeight w:val="311"/>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Plazos de traducción de los informes</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BB510E" w:rsidP="00A34E19">
            <w:pPr>
              <w:rPr>
                <w:color w:val="002060"/>
                <w:sz w:val="16"/>
                <w:szCs w:val="16"/>
              </w:rPr>
            </w:pPr>
            <w:r>
              <w:rPr>
                <w:color w:val="002060"/>
                <w:sz w:val="16"/>
                <w:szCs w:val="16"/>
              </w:rPr>
              <w:t>90,0% a tiempo</w:t>
            </w:r>
          </w:p>
          <w:p w:rsidR="008415E8" w:rsidRPr="00D74BDF" w:rsidRDefault="008415E8" w:rsidP="00A34E19">
            <w:pPr>
              <w:rPr>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82,5% (2014)</w:t>
            </w:r>
          </w:p>
          <w:p w:rsidR="008415E8" w:rsidRPr="00D74BDF" w:rsidRDefault="008415E8" w:rsidP="00A34E19">
            <w:pPr>
              <w:widowControl w:val="0"/>
              <w:tabs>
                <w:tab w:val="left" w:pos="1733"/>
              </w:tabs>
              <w:autoSpaceDE w:val="0"/>
              <w:autoSpaceDN w:val="0"/>
              <w:adjustRightInd w:val="0"/>
              <w:ind w:right="321"/>
              <w:rPr>
                <w:sz w:val="16"/>
                <w:szCs w:val="16"/>
              </w:rPr>
            </w:pPr>
          </w:p>
        </w:tc>
        <w:tc>
          <w:tcPr>
            <w:tcW w:w="716" w:type="pct"/>
            <w:gridSpan w:val="2"/>
            <w:shd w:val="clear" w:color="auto" w:fill="auto"/>
            <w:tcMar>
              <w:top w:w="110" w:type="dxa"/>
              <w:left w:w="43" w:type="dxa"/>
              <w:right w:w="43" w:type="dxa"/>
            </w:tcMar>
          </w:tcPr>
          <w:p w:rsidR="008415E8" w:rsidRPr="00D74BDF" w:rsidRDefault="00AF4AF6" w:rsidP="00AF4AF6">
            <w:pPr>
              <w:widowControl w:val="0"/>
              <w:autoSpaceDE w:val="0"/>
              <w:autoSpaceDN w:val="0"/>
              <w:adjustRightInd w:val="0"/>
              <w:rPr>
                <w:sz w:val="16"/>
                <w:szCs w:val="16"/>
              </w:rPr>
            </w:pPr>
            <w:r w:rsidRPr="00BB510E">
              <w:rPr>
                <w:i/>
                <w:sz w:val="16"/>
                <w:szCs w:val="16"/>
              </w:rPr>
              <w:t>Objetivo actualizado:</w:t>
            </w:r>
            <w:r>
              <w:rPr>
                <w:sz w:val="16"/>
                <w:szCs w:val="16"/>
              </w:rPr>
              <w:t xml:space="preserve"> 91% (+/- 2%)</w:t>
            </w:r>
            <w:r>
              <w:rPr>
                <w:sz w:val="16"/>
                <w:szCs w:val="16"/>
              </w:rPr>
              <w:br/>
            </w:r>
            <w:r>
              <w:rPr>
                <w:sz w:val="16"/>
                <w:szCs w:val="16"/>
              </w:rPr>
              <w:br/>
            </w:r>
            <w:r w:rsidRPr="00AF4AF6">
              <w:rPr>
                <w:i/>
                <w:sz w:val="16"/>
                <w:szCs w:val="16"/>
              </w:rPr>
              <w:t xml:space="preserve">Objetivo original </w:t>
            </w:r>
            <w:proofErr w:type="spellStart"/>
            <w:r w:rsidRPr="00AF4AF6">
              <w:rPr>
                <w:i/>
                <w:sz w:val="16"/>
                <w:szCs w:val="16"/>
              </w:rPr>
              <w:t>presup</w:t>
            </w:r>
            <w:proofErr w:type="spellEnd"/>
            <w:r w:rsidRPr="00AF4AF6">
              <w:rPr>
                <w:i/>
                <w:sz w:val="16"/>
                <w:szCs w:val="16"/>
              </w:rPr>
              <w:t>. 2016/17:</w:t>
            </w:r>
            <w:r>
              <w:rPr>
                <w:sz w:val="16"/>
                <w:szCs w:val="16"/>
              </w:rPr>
              <w:t xml:space="preserve"> Mejora</w:t>
            </w:r>
          </w:p>
        </w:tc>
        <w:tc>
          <w:tcPr>
            <w:tcW w:w="1304" w:type="pct"/>
            <w:shd w:val="clear" w:color="auto" w:fill="FFFFFF"/>
            <w:tcMar>
              <w:top w:w="110" w:type="dxa"/>
              <w:left w:w="58" w:type="dxa"/>
              <w:right w:w="58" w:type="dxa"/>
            </w:tcMar>
          </w:tcPr>
          <w:p w:rsidR="008415E8" w:rsidRPr="00D74BDF" w:rsidRDefault="00BB510E">
            <w:pPr>
              <w:rPr>
                <w:sz w:val="16"/>
                <w:szCs w:val="16"/>
              </w:rPr>
            </w:pPr>
            <w:r>
              <w:rPr>
                <w:sz w:val="16"/>
                <w:szCs w:val="16"/>
              </w:rPr>
              <w:t>89,1%</w:t>
            </w:r>
          </w:p>
          <w:p w:rsidR="008415E8" w:rsidRPr="00D74BDF" w:rsidRDefault="008415E8">
            <w:pPr>
              <w:keepNext/>
              <w:keepLines/>
              <w:rPr>
                <w:sz w:val="16"/>
                <w:szCs w:val="16"/>
              </w:rPr>
            </w:pPr>
          </w:p>
        </w:tc>
        <w:tc>
          <w:tcPr>
            <w:tcW w:w="495" w:type="pct"/>
            <w:shd w:val="clear" w:color="auto" w:fill="auto"/>
            <w:tcMar>
              <w:top w:w="110" w:type="dxa"/>
              <w:left w:w="58" w:type="dxa"/>
              <w:right w:w="58" w:type="dxa"/>
            </w:tcMar>
          </w:tcPr>
          <w:p w:rsidR="008415E8" w:rsidRPr="00D74BDF" w:rsidRDefault="00BB510E" w:rsidP="00A34E19">
            <w:pPr>
              <w:keepNext/>
              <w:keepLines/>
              <w:jc w:val="center"/>
              <w:rPr>
                <w:sz w:val="16"/>
                <w:szCs w:val="16"/>
              </w:rPr>
            </w:pPr>
            <w:r w:rsidRPr="00D74BDF">
              <w:rPr>
                <w:b/>
                <w:color w:val="00B050"/>
                <w:sz w:val="16"/>
                <w:szCs w:val="16"/>
              </w:rPr>
              <w:t>Avanza</w:t>
            </w:r>
          </w:p>
        </w:tc>
      </w:tr>
      <w:tr w:rsidR="008415E8" w:rsidRPr="00D74BDF" w:rsidTr="00A34E19">
        <w:trPr>
          <w:trHeight w:val="1008"/>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Calidad de las traducciones</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AF4AF6" w:rsidP="00A34E19">
            <w:pPr>
              <w:rPr>
                <w:color w:val="002060"/>
                <w:sz w:val="16"/>
                <w:szCs w:val="16"/>
              </w:rPr>
            </w:pPr>
            <w:r>
              <w:rPr>
                <w:rFonts w:eastAsia="Batang"/>
                <w:color w:val="002060"/>
                <w:sz w:val="16"/>
                <w:szCs w:val="16"/>
                <w:lang w:eastAsia="ja-JP"/>
              </w:rPr>
              <w:t xml:space="preserve">87,6% </w:t>
            </w:r>
          </w:p>
          <w:p w:rsidR="008415E8" w:rsidRPr="00D74BDF" w:rsidRDefault="008415E8" w:rsidP="00A34E19">
            <w:pPr>
              <w:rPr>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pPr>
              <w:rPr>
                <w:sz w:val="16"/>
                <w:szCs w:val="16"/>
              </w:rPr>
            </w:pPr>
            <w:r w:rsidRPr="00D74BDF">
              <w:rPr>
                <w:sz w:val="16"/>
                <w:szCs w:val="16"/>
              </w:rPr>
              <w:t>86% (2014)</w:t>
            </w:r>
          </w:p>
          <w:p w:rsidR="008415E8" w:rsidRPr="00D74BDF" w:rsidRDefault="008415E8">
            <w:pPr>
              <w:rPr>
                <w:i/>
                <w:sz w:val="16"/>
                <w:szCs w:val="16"/>
                <w:lang w:bidi="th-TH"/>
              </w:rPr>
            </w:pPr>
          </w:p>
        </w:tc>
        <w:tc>
          <w:tcPr>
            <w:tcW w:w="716" w:type="pct"/>
            <w:gridSpan w:val="2"/>
            <w:shd w:val="clear" w:color="auto" w:fill="auto"/>
            <w:tcMar>
              <w:top w:w="110" w:type="dxa"/>
              <w:left w:w="43" w:type="dxa"/>
              <w:right w:w="43" w:type="dxa"/>
            </w:tcMar>
          </w:tcPr>
          <w:p w:rsidR="008415E8" w:rsidRPr="00D74BDF" w:rsidRDefault="00AF4AF6" w:rsidP="00AF4AF6">
            <w:pPr>
              <w:widowControl w:val="0"/>
              <w:autoSpaceDE w:val="0"/>
              <w:autoSpaceDN w:val="0"/>
              <w:adjustRightInd w:val="0"/>
              <w:rPr>
                <w:sz w:val="16"/>
                <w:szCs w:val="16"/>
              </w:rPr>
            </w:pPr>
            <w:r w:rsidRPr="00BB510E">
              <w:rPr>
                <w:i/>
                <w:sz w:val="16"/>
                <w:szCs w:val="16"/>
              </w:rPr>
              <w:t>Objetivo actualizado:</w:t>
            </w:r>
            <w:r>
              <w:rPr>
                <w:sz w:val="16"/>
                <w:szCs w:val="16"/>
              </w:rPr>
              <w:t xml:space="preserve"> 88% (+/- 2%)</w:t>
            </w:r>
            <w:r w:rsidR="005D26C9">
              <w:rPr>
                <w:rStyle w:val="FootnoteReference"/>
                <w:sz w:val="16"/>
                <w:szCs w:val="16"/>
              </w:rPr>
              <w:footnoteReference w:id="21"/>
            </w:r>
            <w:r>
              <w:rPr>
                <w:sz w:val="16"/>
                <w:szCs w:val="16"/>
              </w:rPr>
              <w:br/>
            </w:r>
            <w:r>
              <w:rPr>
                <w:sz w:val="16"/>
                <w:szCs w:val="16"/>
              </w:rPr>
              <w:br/>
            </w:r>
            <w:r w:rsidRPr="00AF4AF6">
              <w:rPr>
                <w:i/>
                <w:sz w:val="16"/>
                <w:szCs w:val="16"/>
              </w:rPr>
              <w:t xml:space="preserve">Objetivo original </w:t>
            </w:r>
            <w:proofErr w:type="spellStart"/>
            <w:r w:rsidRPr="00AF4AF6">
              <w:rPr>
                <w:i/>
                <w:sz w:val="16"/>
                <w:szCs w:val="16"/>
              </w:rPr>
              <w:t>presup</w:t>
            </w:r>
            <w:proofErr w:type="spellEnd"/>
            <w:r w:rsidRPr="00AF4AF6">
              <w:rPr>
                <w:i/>
                <w:sz w:val="16"/>
                <w:szCs w:val="16"/>
              </w:rPr>
              <w:t>. 2016/17:</w:t>
            </w:r>
            <w:r>
              <w:rPr>
                <w:sz w:val="16"/>
                <w:szCs w:val="16"/>
              </w:rPr>
              <w:t xml:space="preserve"> Mayor calidad</w:t>
            </w:r>
          </w:p>
        </w:tc>
        <w:tc>
          <w:tcPr>
            <w:tcW w:w="1304" w:type="pct"/>
            <w:shd w:val="clear" w:color="auto" w:fill="FFFFFF"/>
            <w:tcMar>
              <w:top w:w="110" w:type="dxa"/>
              <w:left w:w="58" w:type="dxa"/>
              <w:right w:w="58" w:type="dxa"/>
            </w:tcMar>
          </w:tcPr>
          <w:p w:rsidR="008415E8" w:rsidRPr="00D74BDF" w:rsidRDefault="00AF4AF6">
            <w:pPr>
              <w:keepNext/>
              <w:keepLines/>
              <w:rPr>
                <w:sz w:val="16"/>
                <w:szCs w:val="16"/>
              </w:rPr>
            </w:pPr>
            <w:r>
              <w:rPr>
                <w:sz w:val="16"/>
                <w:szCs w:val="16"/>
              </w:rPr>
              <w:t>86%</w:t>
            </w:r>
          </w:p>
        </w:tc>
        <w:tc>
          <w:tcPr>
            <w:tcW w:w="495" w:type="pct"/>
            <w:shd w:val="clear" w:color="auto" w:fill="auto"/>
            <w:tcMar>
              <w:top w:w="110" w:type="dxa"/>
              <w:left w:w="58" w:type="dxa"/>
              <w:right w:w="58" w:type="dxa"/>
            </w:tcMar>
          </w:tcPr>
          <w:p w:rsidR="008415E8" w:rsidRPr="00D74BDF" w:rsidRDefault="00AF4AF6" w:rsidP="00A34E19">
            <w:pPr>
              <w:keepNext/>
              <w:keepLines/>
              <w:jc w:val="center"/>
              <w:rPr>
                <w:sz w:val="16"/>
                <w:szCs w:val="16"/>
              </w:rPr>
            </w:pPr>
            <w:r w:rsidRPr="00AF4AF6">
              <w:rPr>
                <w:b/>
                <w:color w:val="00B050"/>
                <w:sz w:val="16"/>
                <w:szCs w:val="16"/>
              </w:rPr>
              <w:t>Avanza</w:t>
            </w:r>
          </w:p>
        </w:tc>
      </w:tr>
      <w:tr w:rsidR="008415E8" w:rsidRPr="00D74BDF" w:rsidTr="00A34E19">
        <w:trPr>
          <w:trHeight w:val="1023"/>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Calidad del desarrollo de programas informáticos</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8415E8" w:rsidP="00A34E19">
            <w:pPr>
              <w:rPr>
                <w:color w:val="002060"/>
                <w:sz w:val="16"/>
                <w:szCs w:val="16"/>
              </w:rPr>
            </w:pPr>
            <w:r w:rsidRPr="00C01376">
              <w:rPr>
                <w:color w:val="002060"/>
                <w:sz w:val="16"/>
                <w:szCs w:val="16"/>
              </w:rPr>
              <w:t>91,9% (2015)</w:t>
            </w:r>
          </w:p>
          <w:p w:rsidR="008415E8" w:rsidRPr="00C01376" w:rsidRDefault="008415E8" w:rsidP="00A34E19">
            <w:pPr>
              <w:rPr>
                <w:color w:val="002060"/>
                <w:sz w:val="16"/>
                <w:szCs w:val="16"/>
              </w:rPr>
            </w:pPr>
            <w:r w:rsidRPr="00C01376">
              <w:rPr>
                <w:color w:val="002060"/>
                <w:sz w:val="16"/>
                <w:szCs w:val="16"/>
              </w:rPr>
              <w:t>94,5% (2014)</w:t>
            </w:r>
            <w:r w:rsidRPr="00C01376">
              <w:rPr>
                <w:rStyle w:val="FootnoteReference"/>
                <w:color w:val="002060"/>
              </w:rPr>
              <w:footnoteReference w:id="22"/>
            </w:r>
          </w:p>
          <w:p w:rsidR="008415E8" w:rsidRPr="00D74BDF" w:rsidRDefault="008415E8" w:rsidP="00A34E19">
            <w:pPr>
              <w:rPr>
                <w:sz w:val="16"/>
                <w:szCs w:val="16"/>
              </w:rPr>
            </w:pPr>
          </w:p>
          <w:p w:rsidR="008415E8" w:rsidRPr="00D74BDF" w:rsidRDefault="008415E8" w:rsidP="00A34E19">
            <w:pPr>
              <w:rPr>
                <w:i/>
                <w:sz w:val="16"/>
                <w:szCs w:val="16"/>
                <w:lang w:bidi="th-TH"/>
              </w:rPr>
            </w:pPr>
            <w:r w:rsidRPr="00D74BDF">
              <w:rPr>
                <w:i/>
                <w:sz w:val="16"/>
                <w:szCs w:val="16"/>
                <w:lang w:bidi="th-TH"/>
              </w:rPr>
              <w:t xml:space="preserve">Referencia original en el presupuesto de 2016/17: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94,3% (2014)</w:t>
            </w:r>
          </w:p>
          <w:p w:rsidR="008415E8" w:rsidRPr="00D74BDF" w:rsidRDefault="008415E8" w:rsidP="00A34E19">
            <w:pPr>
              <w:widowControl w:val="0"/>
              <w:tabs>
                <w:tab w:val="left" w:pos="1733"/>
              </w:tabs>
              <w:autoSpaceDE w:val="0"/>
              <w:autoSpaceDN w:val="0"/>
              <w:adjustRightInd w:val="0"/>
              <w:ind w:right="321"/>
              <w:rPr>
                <w:sz w:val="16"/>
                <w:szCs w:val="16"/>
              </w:rPr>
            </w:pPr>
          </w:p>
        </w:tc>
        <w:tc>
          <w:tcPr>
            <w:tcW w:w="716" w:type="pct"/>
            <w:gridSpan w:val="2"/>
            <w:shd w:val="clear" w:color="auto" w:fill="auto"/>
            <w:tcMar>
              <w:top w:w="110" w:type="dxa"/>
              <w:left w:w="43" w:type="dxa"/>
              <w:right w:w="43" w:type="dxa"/>
            </w:tcMar>
          </w:tcPr>
          <w:p w:rsidR="008415E8" w:rsidRPr="00D74BDF" w:rsidRDefault="00AF4AF6" w:rsidP="00AF4AF6">
            <w:pPr>
              <w:widowControl w:val="0"/>
              <w:autoSpaceDE w:val="0"/>
              <w:autoSpaceDN w:val="0"/>
              <w:adjustRightInd w:val="0"/>
              <w:rPr>
                <w:sz w:val="16"/>
                <w:szCs w:val="16"/>
              </w:rPr>
            </w:pPr>
            <w:r w:rsidRPr="00BB510E">
              <w:rPr>
                <w:i/>
                <w:sz w:val="16"/>
                <w:szCs w:val="16"/>
              </w:rPr>
              <w:t>Objetivo actualizado:</w:t>
            </w:r>
            <w:r>
              <w:rPr>
                <w:sz w:val="16"/>
                <w:szCs w:val="16"/>
              </w:rPr>
              <w:t xml:space="preserve"> 95% (+/- 2%)</w:t>
            </w:r>
            <w:r>
              <w:rPr>
                <w:sz w:val="16"/>
                <w:szCs w:val="16"/>
              </w:rPr>
              <w:br/>
            </w:r>
            <w:r>
              <w:rPr>
                <w:sz w:val="16"/>
                <w:szCs w:val="16"/>
              </w:rPr>
              <w:br/>
            </w:r>
            <w:r>
              <w:rPr>
                <w:sz w:val="16"/>
                <w:szCs w:val="16"/>
              </w:rPr>
              <w:br/>
            </w:r>
            <w:r w:rsidRPr="00AF4AF6">
              <w:rPr>
                <w:i/>
                <w:sz w:val="16"/>
                <w:szCs w:val="16"/>
              </w:rPr>
              <w:t xml:space="preserve">Objetivo original </w:t>
            </w:r>
            <w:proofErr w:type="spellStart"/>
            <w:r w:rsidRPr="00AF4AF6">
              <w:rPr>
                <w:i/>
                <w:sz w:val="16"/>
                <w:szCs w:val="16"/>
              </w:rPr>
              <w:t>presup</w:t>
            </w:r>
            <w:proofErr w:type="spellEnd"/>
            <w:r w:rsidRPr="00AF4AF6">
              <w:rPr>
                <w:i/>
                <w:sz w:val="16"/>
                <w:szCs w:val="16"/>
              </w:rPr>
              <w:t>. 2016/17:</w:t>
            </w:r>
            <w:r>
              <w:rPr>
                <w:sz w:val="16"/>
                <w:szCs w:val="16"/>
              </w:rPr>
              <w:t xml:space="preserve"> Mayor calidad</w:t>
            </w:r>
          </w:p>
        </w:tc>
        <w:tc>
          <w:tcPr>
            <w:tcW w:w="1304" w:type="pct"/>
            <w:shd w:val="clear" w:color="auto" w:fill="FFFFFF"/>
            <w:tcMar>
              <w:top w:w="110" w:type="dxa"/>
              <w:left w:w="58" w:type="dxa"/>
              <w:right w:w="58" w:type="dxa"/>
            </w:tcMar>
          </w:tcPr>
          <w:p w:rsidR="008415E8" w:rsidRPr="00D74BDF" w:rsidRDefault="005D26C9" w:rsidP="00A34E19">
            <w:pPr>
              <w:keepNext/>
              <w:keepLines/>
              <w:rPr>
                <w:sz w:val="16"/>
                <w:szCs w:val="16"/>
              </w:rPr>
            </w:pPr>
            <w:r>
              <w:rPr>
                <w:sz w:val="16"/>
                <w:szCs w:val="16"/>
              </w:rPr>
              <w:t>93,3%</w:t>
            </w:r>
          </w:p>
        </w:tc>
        <w:tc>
          <w:tcPr>
            <w:tcW w:w="495" w:type="pct"/>
            <w:shd w:val="clear" w:color="auto" w:fill="auto"/>
            <w:tcMar>
              <w:top w:w="110" w:type="dxa"/>
              <w:left w:w="58" w:type="dxa"/>
              <w:right w:w="58" w:type="dxa"/>
            </w:tcMar>
          </w:tcPr>
          <w:p w:rsidR="008415E8" w:rsidRPr="00D74BDF" w:rsidRDefault="008415E8" w:rsidP="00A34E19">
            <w:pPr>
              <w:keepNext/>
              <w:keepLines/>
              <w:jc w:val="center"/>
              <w:rPr>
                <w:sz w:val="16"/>
                <w:szCs w:val="16"/>
              </w:rPr>
            </w:pPr>
            <w:r w:rsidRPr="00D74BDF">
              <w:rPr>
                <w:b/>
                <w:color w:val="00B050"/>
                <w:sz w:val="16"/>
                <w:szCs w:val="16"/>
              </w:rPr>
              <w:t>Avanza</w:t>
            </w:r>
          </w:p>
        </w:tc>
      </w:tr>
      <w:tr w:rsidR="008415E8" w:rsidRPr="00D74BDF" w:rsidTr="008415E8">
        <w:trPr>
          <w:trHeight w:val="287"/>
        </w:trPr>
        <w:tc>
          <w:tcPr>
            <w:tcW w:w="1019" w:type="pct"/>
            <w:shd w:val="clear" w:color="auto" w:fill="auto"/>
            <w:tcMar>
              <w:left w:w="58" w:type="dxa"/>
              <w:right w:w="58" w:type="dxa"/>
            </w:tcMar>
          </w:tcPr>
          <w:p w:rsidR="008415E8" w:rsidRPr="00D74BDF" w:rsidRDefault="008415E8" w:rsidP="00A34E19">
            <w:pPr>
              <w:widowControl w:val="0"/>
              <w:autoSpaceDE w:val="0"/>
              <w:autoSpaceDN w:val="0"/>
              <w:adjustRightInd w:val="0"/>
              <w:rPr>
                <w:sz w:val="16"/>
                <w:szCs w:val="16"/>
              </w:rPr>
            </w:pPr>
            <w:r w:rsidRPr="00D74BDF">
              <w:rPr>
                <w:sz w:val="16"/>
                <w:szCs w:val="16"/>
              </w:rPr>
              <w:t>Niveles de los servicios prestados por los sistemas de información</w:t>
            </w:r>
          </w:p>
        </w:tc>
        <w:tc>
          <w:tcPr>
            <w:tcW w:w="1466" w:type="pct"/>
            <w:shd w:val="clear" w:color="auto" w:fill="auto"/>
            <w:tcMar>
              <w:left w:w="58" w:type="dxa"/>
              <w:right w:w="58" w:type="dxa"/>
            </w:tcMar>
          </w:tcPr>
          <w:p w:rsidR="008415E8" w:rsidRPr="00C01376" w:rsidRDefault="008415E8" w:rsidP="00A34E19">
            <w:pPr>
              <w:rPr>
                <w:i/>
                <w:color w:val="002060"/>
                <w:sz w:val="16"/>
                <w:szCs w:val="16"/>
              </w:rPr>
            </w:pPr>
            <w:r w:rsidRPr="00C01376">
              <w:rPr>
                <w:i/>
                <w:color w:val="002060"/>
                <w:sz w:val="16"/>
                <w:szCs w:val="16"/>
              </w:rPr>
              <w:t xml:space="preserve">Referencia actualizada a fines de 2015:  </w:t>
            </w:r>
          </w:p>
          <w:p w:rsidR="008415E8" w:rsidRPr="00C01376" w:rsidRDefault="008415E8" w:rsidP="00A34E19">
            <w:pPr>
              <w:rPr>
                <w:color w:val="002060"/>
                <w:sz w:val="16"/>
                <w:szCs w:val="16"/>
              </w:rPr>
            </w:pPr>
            <w:r w:rsidRPr="00C01376">
              <w:rPr>
                <w:color w:val="002060"/>
                <w:sz w:val="16"/>
                <w:szCs w:val="16"/>
              </w:rPr>
              <w:t>96,5% (2015)</w:t>
            </w:r>
          </w:p>
          <w:p w:rsidR="008415E8" w:rsidRPr="00C01376" w:rsidRDefault="008415E8" w:rsidP="00A34E19">
            <w:pPr>
              <w:rPr>
                <w:color w:val="002060"/>
                <w:sz w:val="16"/>
                <w:szCs w:val="16"/>
              </w:rPr>
            </w:pPr>
            <w:r w:rsidRPr="00C01376">
              <w:rPr>
                <w:color w:val="002060"/>
                <w:sz w:val="16"/>
                <w:szCs w:val="16"/>
              </w:rPr>
              <w:t>95,1% (2014)</w:t>
            </w:r>
            <w:r w:rsidRPr="00C01376">
              <w:rPr>
                <w:rStyle w:val="FootnoteReference"/>
                <w:color w:val="002060"/>
              </w:rPr>
              <w:footnoteReference w:id="23"/>
            </w:r>
          </w:p>
          <w:p w:rsidR="008415E8" w:rsidRDefault="008415E8" w:rsidP="00A34E19">
            <w:pPr>
              <w:rPr>
                <w:sz w:val="16"/>
                <w:szCs w:val="16"/>
              </w:rPr>
            </w:pPr>
          </w:p>
          <w:p w:rsidR="005D26C9" w:rsidRPr="00D74BDF" w:rsidRDefault="005D26C9" w:rsidP="00A34E19">
            <w:pPr>
              <w:rPr>
                <w:sz w:val="16"/>
                <w:szCs w:val="16"/>
              </w:rPr>
            </w:pPr>
          </w:p>
          <w:p w:rsidR="008415E8" w:rsidRPr="00D74BDF" w:rsidRDefault="008415E8" w:rsidP="00A34E19">
            <w:pPr>
              <w:rPr>
                <w:i/>
                <w:sz w:val="16"/>
                <w:szCs w:val="16"/>
                <w:lang w:bidi="th-TH"/>
              </w:rPr>
            </w:pPr>
            <w:r w:rsidRPr="00D74BDF">
              <w:rPr>
                <w:i/>
                <w:sz w:val="16"/>
                <w:szCs w:val="16"/>
                <w:lang w:bidi="th-TH"/>
              </w:rPr>
              <w:lastRenderedPageBreak/>
              <w:t xml:space="preserve">Referencia original en el presupuesto de 2016/17:  </w:t>
            </w:r>
          </w:p>
          <w:p w:rsidR="008415E8" w:rsidRPr="00D74BDF" w:rsidRDefault="008415E8" w:rsidP="00A34E19">
            <w:pPr>
              <w:widowControl w:val="0"/>
              <w:tabs>
                <w:tab w:val="left" w:pos="1733"/>
              </w:tabs>
              <w:autoSpaceDE w:val="0"/>
              <w:autoSpaceDN w:val="0"/>
              <w:adjustRightInd w:val="0"/>
              <w:ind w:right="321"/>
              <w:rPr>
                <w:sz w:val="16"/>
                <w:szCs w:val="16"/>
              </w:rPr>
            </w:pPr>
            <w:r w:rsidRPr="00D74BDF">
              <w:rPr>
                <w:sz w:val="16"/>
                <w:szCs w:val="16"/>
              </w:rPr>
              <w:t>95,3% (2014)</w:t>
            </w:r>
          </w:p>
        </w:tc>
        <w:tc>
          <w:tcPr>
            <w:tcW w:w="716" w:type="pct"/>
            <w:gridSpan w:val="2"/>
            <w:shd w:val="clear" w:color="auto" w:fill="auto"/>
            <w:tcMar>
              <w:top w:w="110" w:type="dxa"/>
              <w:left w:w="58" w:type="dxa"/>
              <w:right w:w="58" w:type="dxa"/>
            </w:tcMar>
          </w:tcPr>
          <w:p w:rsidR="008415E8" w:rsidRPr="00D74BDF" w:rsidRDefault="005D26C9" w:rsidP="005D26C9">
            <w:pPr>
              <w:widowControl w:val="0"/>
              <w:autoSpaceDE w:val="0"/>
              <w:autoSpaceDN w:val="0"/>
              <w:adjustRightInd w:val="0"/>
              <w:rPr>
                <w:sz w:val="16"/>
                <w:szCs w:val="16"/>
              </w:rPr>
            </w:pPr>
            <w:r w:rsidRPr="00BB510E">
              <w:rPr>
                <w:i/>
                <w:sz w:val="16"/>
                <w:szCs w:val="16"/>
              </w:rPr>
              <w:lastRenderedPageBreak/>
              <w:t>Objetivo actualizado:</w:t>
            </w:r>
            <w:r>
              <w:rPr>
                <w:sz w:val="16"/>
                <w:szCs w:val="16"/>
              </w:rPr>
              <w:t xml:space="preserve"> 97% (+/- 2%)</w:t>
            </w:r>
            <w:r>
              <w:rPr>
                <w:sz w:val="16"/>
                <w:szCs w:val="16"/>
              </w:rPr>
              <w:br/>
            </w:r>
            <w:r>
              <w:rPr>
                <w:sz w:val="16"/>
                <w:szCs w:val="16"/>
              </w:rPr>
              <w:br/>
            </w:r>
            <w:r>
              <w:rPr>
                <w:sz w:val="16"/>
                <w:szCs w:val="16"/>
              </w:rPr>
              <w:br/>
            </w:r>
            <w:r>
              <w:rPr>
                <w:sz w:val="16"/>
                <w:szCs w:val="16"/>
              </w:rPr>
              <w:br/>
            </w:r>
            <w:r>
              <w:rPr>
                <w:sz w:val="16"/>
                <w:szCs w:val="16"/>
              </w:rPr>
              <w:br/>
            </w:r>
            <w:r w:rsidRPr="00AF4AF6">
              <w:rPr>
                <w:i/>
                <w:sz w:val="16"/>
                <w:szCs w:val="16"/>
              </w:rPr>
              <w:lastRenderedPageBreak/>
              <w:t xml:space="preserve">Objetivo original </w:t>
            </w:r>
            <w:proofErr w:type="spellStart"/>
            <w:r w:rsidRPr="00AF4AF6">
              <w:rPr>
                <w:i/>
                <w:sz w:val="16"/>
                <w:szCs w:val="16"/>
              </w:rPr>
              <w:t>presup</w:t>
            </w:r>
            <w:proofErr w:type="spellEnd"/>
            <w:r w:rsidRPr="00AF4AF6">
              <w:rPr>
                <w:i/>
                <w:sz w:val="16"/>
                <w:szCs w:val="16"/>
              </w:rPr>
              <w:t>. 2016/17:</w:t>
            </w:r>
            <w:r>
              <w:rPr>
                <w:sz w:val="16"/>
                <w:szCs w:val="16"/>
              </w:rPr>
              <w:t xml:space="preserve"> </w:t>
            </w:r>
            <w:r w:rsidR="008415E8" w:rsidRPr="00D74BDF">
              <w:rPr>
                <w:sz w:val="16"/>
                <w:szCs w:val="16"/>
              </w:rPr>
              <w:t>Niveles más elevados de los servicios prestados por los sistemas de información</w:t>
            </w:r>
          </w:p>
        </w:tc>
        <w:tc>
          <w:tcPr>
            <w:tcW w:w="1304" w:type="pct"/>
            <w:shd w:val="clear" w:color="auto" w:fill="FFFFFF"/>
            <w:tcMar>
              <w:top w:w="110" w:type="dxa"/>
              <w:left w:w="58" w:type="dxa"/>
              <w:right w:w="58" w:type="dxa"/>
            </w:tcMar>
          </w:tcPr>
          <w:p w:rsidR="008415E8" w:rsidRPr="00D74BDF" w:rsidRDefault="005D26C9" w:rsidP="00A34E19">
            <w:pPr>
              <w:keepNext/>
              <w:keepLines/>
              <w:rPr>
                <w:sz w:val="16"/>
                <w:szCs w:val="16"/>
              </w:rPr>
            </w:pPr>
            <w:r>
              <w:rPr>
                <w:sz w:val="16"/>
                <w:szCs w:val="16"/>
              </w:rPr>
              <w:lastRenderedPageBreak/>
              <w:t xml:space="preserve">97,1% </w:t>
            </w:r>
          </w:p>
        </w:tc>
        <w:tc>
          <w:tcPr>
            <w:tcW w:w="495" w:type="pct"/>
            <w:shd w:val="clear" w:color="auto" w:fill="auto"/>
            <w:tcMar>
              <w:top w:w="110" w:type="dxa"/>
              <w:left w:w="58" w:type="dxa"/>
              <w:right w:w="58" w:type="dxa"/>
            </w:tcMar>
          </w:tcPr>
          <w:p w:rsidR="008415E8" w:rsidRPr="00D74BDF" w:rsidRDefault="008415E8" w:rsidP="00A34E19">
            <w:pPr>
              <w:keepNext/>
              <w:keepLines/>
              <w:jc w:val="center"/>
              <w:rPr>
                <w:sz w:val="16"/>
                <w:szCs w:val="16"/>
              </w:rPr>
            </w:pPr>
            <w:r w:rsidRPr="00D74BDF">
              <w:rPr>
                <w:b/>
                <w:color w:val="00B050"/>
                <w:sz w:val="16"/>
                <w:szCs w:val="16"/>
              </w:rPr>
              <w:t>Avanza</w:t>
            </w:r>
          </w:p>
        </w:tc>
      </w:tr>
    </w:tbl>
    <w:p w:rsidR="008415E8" w:rsidRPr="00D74BDF" w:rsidRDefault="008415E8" w:rsidP="00A34E19">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8415E8" w:rsidRPr="00D74BDF" w:rsidTr="00A34E19">
        <w:trPr>
          <w:trHeight w:val="423"/>
          <w:jc w:val="center"/>
        </w:trPr>
        <w:tc>
          <w:tcPr>
            <w:tcW w:w="9571" w:type="dxa"/>
            <w:shd w:val="clear" w:color="auto" w:fill="C6D9F1" w:themeFill="text2" w:themeFillTint="33"/>
            <w:vAlign w:val="center"/>
          </w:tcPr>
          <w:p w:rsidR="008415E8" w:rsidRPr="00D74BDF" w:rsidRDefault="008415E8" w:rsidP="00A34E19">
            <w:pPr>
              <w:keepNext/>
              <w:keepLines/>
              <w:jc w:val="center"/>
              <w:rPr>
                <w:b/>
                <w:sz w:val="20"/>
              </w:rPr>
            </w:pPr>
            <w:r w:rsidRPr="00D74BDF">
              <w:rPr>
                <w:sz w:val="20"/>
              </w:rPr>
              <w:br w:type="page"/>
            </w:r>
            <w:r w:rsidRPr="00D74BDF">
              <w:rPr>
                <w:b/>
                <w:sz w:val="20"/>
              </w:rPr>
              <w:t>Utilización de los recursos del programa 5</w:t>
            </w:r>
          </w:p>
        </w:tc>
      </w:tr>
    </w:tbl>
    <w:p w:rsidR="008415E8" w:rsidRPr="00D74BDF" w:rsidRDefault="008415E8" w:rsidP="00A34E19">
      <w:pPr>
        <w:rPr>
          <w:sz w:val="20"/>
        </w:rPr>
      </w:pPr>
    </w:p>
    <w:p w:rsidR="008415E8" w:rsidRPr="00D74BDF" w:rsidRDefault="008415E8" w:rsidP="00A34E19">
      <w:pPr>
        <w:keepNext/>
        <w:keepLines/>
        <w:jc w:val="center"/>
        <w:rPr>
          <w:sz w:val="18"/>
          <w:szCs w:val="18"/>
        </w:rPr>
      </w:pPr>
      <w:r w:rsidRPr="00D74BDF">
        <w:rPr>
          <w:sz w:val="18"/>
          <w:szCs w:val="18"/>
        </w:rPr>
        <w:t>Presupuesto y gastos reales (por resultado)</w:t>
      </w:r>
    </w:p>
    <w:p w:rsidR="008415E8" w:rsidRPr="00D74BDF" w:rsidRDefault="008415E8" w:rsidP="00A34E19">
      <w:pPr>
        <w:keepNext/>
        <w:keepLines/>
        <w:jc w:val="center"/>
        <w:rPr>
          <w:i/>
          <w:iCs/>
          <w:sz w:val="16"/>
          <w:szCs w:val="16"/>
        </w:rPr>
      </w:pPr>
      <w:r w:rsidRPr="00D74BDF">
        <w:rPr>
          <w:i/>
          <w:iCs/>
          <w:sz w:val="16"/>
          <w:szCs w:val="16"/>
        </w:rPr>
        <w:t>(en miles de francos suizos)</w:t>
      </w:r>
    </w:p>
    <w:p w:rsidR="008415E8" w:rsidRPr="00D74BDF" w:rsidRDefault="008415E8" w:rsidP="00A34E19">
      <w:pPr>
        <w:rPr>
          <w:sz w:val="20"/>
        </w:rPr>
      </w:pPr>
    </w:p>
    <w:tbl>
      <w:tblPr>
        <w:tblW w:w="8222" w:type="dxa"/>
        <w:jc w:val="center"/>
        <w:tblLook w:val="04A0" w:firstRow="1" w:lastRow="0" w:firstColumn="1" w:lastColumn="0" w:noHBand="0" w:noVBand="1"/>
      </w:tblPr>
      <w:tblGrid>
        <w:gridCol w:w="439"/>
        <w:gridCol w:w="4243"/>
        <w:gridCol w:w="1186"/>
        <w:gridCol w:w="1310"/>
        <w:gridCol w:w="1180"/>
      </w:tblGrid>
      <w:tr w:rsidR="008415E8" w:rsidRPr="00D74BDF" w:rsidTr="00A34E19">
        <w:trPr>
          <w:trHeight w:val="825"/>
          <w:jc w:val="center"/>
        </w:trPr>
        <w:tc>
          <w:tcPr>
            <w:tcW w:w="4660" w:type="dxa"/>
            <w:gridSpan w:val="2"/>
            <w:tcBorders>
              <w:top w:val="nil"/>
              <w:left w:val="nil"/>
              <w:bottom w:val="nil"/>
              <w:right w:val="nil"/>
            </w:tcBorders>
            <w:shd w:val="clear" w:color="000000" w:fill="C5D9F1"/>
            <w:noWrap/>
            <w:vAlign w:val="center"/>
            <w:hideMark/>
          </w:tcPr>
          <w:p w:rsidR="008415E8" w:rsidRPr="00D74BDF" w:rsidRDefault="008415E8" w:rsidP="00A34E19">
            <w:pPr>
              <w:jc w:val="center"/>
              <w:rPr>
                <w:b/>
                <w:bCs/>
                <w:sz w:val="16"/>
                <w:szCs w:val="16"/>
              </w:rPr>
            </w:pPr>
            <w:r w:rsidRPr="00D74BDF">
              <w:rPr>
                <w:b/>
                <w:bCs/>
                <w:sz w:val="16"/>
                <w:szCs w:val="16"/>
              </w:rPr>
              <w:t xml:space="preserve">Número del resultado previsto y descripción </w:t>
            </w:r>
          </w:p>
        </w:tc>
        <w:tc>
          <w:tcPr>
            <w:tcW w:w="118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 xml:space="preserve"> Presupuesto aprobado de 2016/17 </w:t>
            </w:r>
          </w:p>
        </w:tc>
        <w:tc>
          <w:tcPr>
            <w:tcW w:w="118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 xml:space="preserve"> Presupuesto de 2016/17 tras las transferencias </w:t>
            </w:r>
          </w:p>
        </w:tc>
        <w:tc>
          <w:tcPr>
            <w:tcW w:w="118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 xml:space="preserve"> Gastos en 2016* </w:t>
            </w:r>
          </w:p>
        </w:tc>
      </w:tr>
      <w:tr w:rsidR="008415E8" w:rsidRPr="00D74BDF" w:rsidTr="00A34E19">
        <w:trPr>
          <w:trHeight w:val="825"/>
          <w:jc w:val="center"/>
        </w:trPr>
        <w:tc>
          <w:tcPr>
            <w:tcW w:w="417" w:type="dxa"/>
            <w:tcBorders>
              <w:top w:val="nil"/>
              <w:left w:val="nil"/>
              <w:bottom w:val="nil"/>
              <w:right w:val="nil"/>
            </w:tcBorders>
            <w:shd w:val="clear" w:color="auto" w:fill="auto"/>
            <w:noWrap/>
            <w:vAlign w:val="center"/>
            <w:hideMark/>
          </w:tcPr>
          <w:p w:rsidR="008415E8" w:rsidRPr="00D74BDF" w:rsidRDefault="008415E8" w:rsidP="00A34E19">
            <w:pPr>
              <w:rPr>
                <w:sz w:val="16"/>
                <w:szCs w:val="16"/>
              </w:rPr>
            </w:pPr>
            <w:r w:rsidRPr="00D74BDF">
              <w:rPr>
                <w:sz w:val="16"/>
                <w:szCs w:val="16"/>
              </w:rPr>
              <w:t>II.1</w:t>
            </w:r>
          </w:p>
        </w:tc>
        <w:tc>
          <w:tcPr>
            <w:tcW w:w="4243" w:type="dxa"/>
            <w:tcBorders>
              <w:top w:val="nil"/>
              <w:left w:val="nil"/>
              <w:bottom w:val="nil"/>
              <w:right w:val="nil"/>
            </w:tcBorders>
            <w:shd w:val="clear" w:color="auto" w:fill="auto"/>
            <w:vAlign w:val="center"/>
            <w:hideMark/>
          </w:tcPr>
          <w:p w:rsidR="008415E8" w:rsidRPr="00D74BDF" w:rsidRDefault="008415E8" w:rsidP="00A34E19">
            <w:pPr>
              <w:rPr>
                <w:sz w:val="16"/>
                <w:szCs w:val="16"/>
              </w:rPr>
            </w:pPr>
            <w:r w:rsidRPr="00D74BDF">
              <w:rPr>
                <w:sz w:val="16"/>
                <w:szCs w:val="16"/>
              </w:rPr>
              <w:t>Mayor y más eficaz utilización del Sistema del PCT para presentar solicitudes internacionales de patentes</w:t>
            </w:r>
          </w:p>
        </w:tc>
        <w:tc>
          <w:tcPr>
            <w:tcW w:w="1180" w:type="dxa"/>
            <w:tcBorders>
              <w:top w:val="nil"/>
              <w:left w:val="nil"/>
              <w:bottom w:val="nil"/>
              <w:right w:val="nil"/>
            </w:tcBorders>
            <w:shd w:val="clear" w:color="auto" w:fill="auto"/>
            <w:noWrap/>
            <w:vAlign w:val="center"/>
            <w:hideMark/>
          </w:tcPr>
          <w:p w:rsidR="008415E8" w:rsidRPr="00D74BDF" w:rsidRDefault="008415E8" w:rsidP="00A34E19">
            <w:pPr>
              <w:jc w:val="center"/>
              <w:rPr>
                <w:sz w:val="16"/>
                <w:szCs w:val="16"/>
              </w:rPr>
            </w:pPr>
            <w:r w:rsidRPr="00D74BDF">
              <w:rPr>
                <w:sz w:val="16"/>
                <w:szCs w:val="16"/>
              </w:rPr>
              <w:t>27.129</w:t>
            </w:r>
          </w:p>
        </w:tc>
        <w:tc>
          <w:tcPr>
            <w:tcW w:w="1180" w:type="dxa"/>
            <w:tcBorders>
              <w:top w:val="nil"/>
              <w:left w:val="nil"/>
              <w:bottom w:val="nil"/>
              <w:right w:val="nil"/>
            </w:tcBorders>
            <w:shd w:val="clear" w:color="auto" w:fill="auto"/>
            <w:noWrap/>
            <w:vAlign w:val="center"/>
            <w:hideMark/>
          </w:tcPr>
          <w:p w:rsidR="008415E8" w:rsidRPr="00D74BDF" w:rsidRDefault="008415E8" w:rsidP="00A34E19">
            <w:pPr>
              <w:jc w:val="center"/>
              <w:rPr>
                <w:sz w:val="16"/>
                <w:szCs w:val="16"/>
              </w:rPr>
            </w:pPr>
            <w:r w:rsidRPr="00D74BDF">
              <w:rPr>
                <w:sz w:val="16"/>
                <w:szCs w:val="16"/>
              </w:rPr>
              <w:t>26.074</w:t>
            </w:r>
          </w:p>
        </w:tc>
        <w:tc>
          <w:tcPr>
            <w:tcW w:w="1180" w:type="dxa"/>
            <w:tcBorders>
              <w:top w:val="nil"/>
              <w:left w:val="nil"/>
              <w:bottom w:val="nil"/>
              <w:right w:val="nil"/>
            </w:tcBorders>
            <w:shd w:val="clear" w:color="auto" w:fill="auto"/>
            <w:noWrap/>
            <w:vAlign w:val="center"/>
            <w:hideMark/>
          </w:tcPr>
          <w:p w:rsidR="008415E8" w:rsidRPr="00D74BDF" w:rsidRDefault="008415E8" w:rsidP="00A34E19">
            <w:pPr>
              <w:jc w:val="center"/>
              <w:rPr>
                <w:sz w:val="16"/>
                <w:szCs w:val="16"/>
              </w:rPr>
            </w:pPr>
            <w:r w:rsidRPr="00D74BDF">
              <w:rPr>
                <w:sz w:val="16"/>
                <w:szCs w:val="16"/>
              </w:rPr>
              <w:t>11.973</w:t>
            </w:r>
          </w:p>
        </w:tc>
      </w:tr>
      <w:tr w:rsidR="008415E8" w:rsidRPr="00D74BDF" w:rsidTr="00A34E19">
        <w:trPr>
          <w:trHeight w:val="825"/>
          <w:jc w:val="center"/>
        </w:trPr>
        <w:tc>
          <w:tcPr>
            <w:tcW w:w="417" w:type="dxa"/>
            <w:tcBorders>
              <w:top w:val="nil"/>
              <w:left w:val="nil"/>
              <w:bottom w:val="nil"/>
              <w:right w:val="nil"/>
            </w:tcBorders>
            <w:shd w:val="clear" w:color="auto" w:fill="auto"/>
            <w:noWrap/>
            <w:vAlign w:val="center"/>
            <w:hideMark/>
          </w:tcPr>
          <w:p w:rsidR="008415E8" w:rsidRPr="00D74BDF" w:rsidRDefault="008415E8" w:rsidP="00A34E19">
            <w:pPr>
              <w:rPr>
                <w:sz w:val="16"/>
                <w:szCs w:val="16"/>
              </w:rPr>
            </w:pPr>
            <w:r w:rsidRPr="00D74BDF">
              <w:rPr>
                <w:sz w:val="16"/>
                <w:szCs w:val="16"/>
              </w:rPr>
              <w:t>II.3</w:t>
            </w:r>
          </w:p>
        </w:tc>
        <w:tc>
          <w:tcPr>
            <w:tcW w:w="4243" w:type="dxa"/>
            <w:tcBorders>
              <w:top w:val="nil"/>
              <w:left w:val="nil"/>
              <w:bottom w:val="nil"/>
              <w:right w:val="nil"/>
            </w:tcBorders>
            <w:shd w:val="clear" w:color="auto" w:fill="auto"/>
            <w:vAlign w:val="center"/>
            <w:hideMark/>
          </w:tcPr>
          <w:p w:rsidR="008415E8" w:rsidRPr="00D74BDF" w:rsidRDefault="008415E8" w:rsidP="00A34E19">
            <w:pPr>
              <w:rPr>
                <w:sz w:val="16"/>
                <w:szCs w:val="16"/>
              </w:rPr>
            </w:pPr>
            <w:r w:rsidRPr="00D74BDF">
              <w:rPr>
                <w:sz w:val="16"/>
                <w:szCs w:val="16"/>
              </w:rPr>
              <w:t>Mejora de la productividad y de la calidad de los servicios en las operaciones del PCT</w:t>
            </w:r>
          </w:p>
        </w:tc>
        <w:tc>
          <w:tcPr>
            <w:tcW w:w="1180" w:type="dxa"/>
            <w:tcBorders>
              <w:top w:val="nil"/>
              <w:left w:val="nil"/>
              <w:bottom w:val="nil"/>
              <w:right w:val="nil"/>
            </w:tcBorders>
            <w:shd w:val="clear" w:color="auto" w:fill="auto"/>
            <w:noWrap/>
            <w:vAlign w:val="center"/>
            <w:hideMark/>
          </w:tcPr>
          <w:p w:rsidR="008415E8" w:rsidRPr="00D74BDF" w:rsidRDefault="008415E8" w:rsidP="00A34E19">
            <w:pPr>
              <w:jc w:val="center"/>
              <w:rPr>
                <w:sz w:val="16"/>
                <w:szCs w:val="16"/>
              </w:rPr>
            </w:pPr>
            <w:r w:rsidRPr="00D74BDF">
              <w:rPr>
                <w:sz w:val="16"/>
                <w:szCs w:val="16"/>
              </w:rPr>
              <w:t>181.080</w:t>
            </w:r>
          </w:p>
        </w:tc>
        <w:tc>
          <w:tcPr>
            <w:tcW w:w="1180" w:type="dxa"/>
            <w:tcBorders>
              <w:top w:val="nil"/>
              <w:left w:val="nil"/>
              <w:bottom w:val="nil"/>
              <w:right w:val="nil"/>
            </w:tcBorders>
            <w:shd w:val="clear" w:color="auto" w:fill="auto"/>
            <w:noWrap/>
            <w:vAlign w:val="center"/>
            <w:hideMark/>
          </w:tcPr>
          <w:p w:rsidR="008415E8" w:rsidRPr="00D74BDF" w:rsidRDefault="008415E8" w:rsidP="00A34E19">
            <w:pPr>
              <w:jc w:val="center"/>
              <w:rPr>
                <w:sz w:val="16"/>
                <w:szCs w:val="16"/>
              </w:rPr>
            </w:pPr>
            <w:r w:rsidRPr="00D74BDF">
              <w:rPr>
                <w:sz w:val="16"/>
                <w:szCs w:val="16"/>
              </w:rPr>
              <w:t>177.330</w:t>
            </w:r>
          </w:p>
        </w:tc>
        <w:tc>
          <w:tcPr>
            <w:tcW w:w="1180" w:type="dxa"/>
            <w:tcBorders>
              <w:top w:val="nil"/>
              <w:left w:val="nil"/>
              <w:bottom w:val="nil"/>
              <w:right w:val="nil"/>
            </w:tcBorders>
            <w:shd w:val="clear" w:color="auto" w:fill="auto"/>
            <w:noWrap/>
            <w:vAlign w:val="center"/>
            <w:hideMark/>
          </w:tcPr>
          <w:p w:rsidR="008415E8" w:rsidRPr="00D74BDF" w:rsidRDefault="008415E8" w:rsidP="00A34E19">
            <w:pPr>
              <w:jc w:val="center"/>
              <w:rPr>
                <w:sz w:val="16"/>
                <w:szCs w:val="16"/>
              </w:rPr>
            </w:pPr>
            <w:r w:rsidRPr="00D74BDF">
              <w:rPr>
                <w:sz w:val="16"/>
                <w:szCs w:val="16"/>
              </w:rPr>
              <w:t>81.888</w:t>
            </w:r>
          </w:p>
        </w:tc>
      </w:tr>
      <w:tr w:rsidR="008415E8" w:rsidRPr="00D74BDF" w:rsidTr="00A34E19">
        <w:trPr>
          <w:trHeight w:val="225"/>
          <w:jc w:val="center"/>
        </w:trPr>
        <w:tc>
          <w:tcPr>
            <w:tcW w:w="417" w:type="dxa"/>
            <w:tcBorders>
              <w:top w:val="nil"/>
              <w:left w:val="nil"/>
              <w:bottom w:val="nil"/>
              <w:right w:val="nil"/>
            </w:tcBorders>
            <w:shd w:val="clear" w:color="000000" w:fill="C5D9F1"/>
            <w:noWrap/>
            <w:vAlign w:val="bottom"/>
            <w:hideMark/>
          </w:tcPr>
          <w:p w:rsidR="008415E8" w:rsidRPr="00D74BDF" w:rsidRDefault="008415E8" w:rsidP="00A34E19">
            <w:pPr>
              <w:rPr>
                <w:sz w:val="16"/>
                <w:szCs w:val="16"/>
              </w:rPr>
            </w:pPr>
            <w:r w:rsidRPr="00D74BDF">
              <w:rPr>
                <w:sz w:val="16"/>
                <w:szCs w:val="16"/>
              </w:rPr>
              <w:t> </w:t>
            </w:r>
          </w:p>
        </w:tc>
        <w:tc>
          <w:tcPr>
            <w:tcW w:w="4243" w:type="dxa"/>
            <w:tcBorders>
              <w:top w:val="nil"/>
              <w:left w:val="nil"/>
              <w:bottom w:val="nil"/>
              <w:right w:val="nil"/>
            </w:tcBorders>
            <w:shd w:val="clear" w:color="000000" w:fill="C5D9F1"/>
            <w:noWrap/>
            <w:vAlign w:val="bottom"/>
            <w:hideMark/>
          </w:tcPr>
          <w:p w:rsidR="008415E8" w:rsidRPr="00D74BDF" w:rsidRDefault="008415E8" w:rsidP="00A34E19">
            <w:pPr>
              <w:jc w:val="right"/>
              <w:rPr>
                <w:b/>
                <w:bCs/>
                <w:sz w:val="16"/>
                <w:szCs w:val="16"/>
              </w:rPr>
            </w:pPr>
            <w:r w:rsidRPr="00D74BDF">
              <w:rPr>
                <w:b/>
                <w:bCs/>
                <w:sz w:val="16"/>
                <w:szCs w:val="16"/>
              </w:rPr>
              <w:t>Total</w:t>
            </w:r>
          </w:p>
        </w:tc>
        <w:tc>
          <w:tcPr>
            <w:tcW w:w="1180" w:type="dxa"/>
            <w:tcBorders>
              <w:top w:val="nil"/>
              <w:left w:val="nil"/>
              <w:bottom w:val="nil"/>
              <w:right w:val="nil"/>
            </w:tcBorders>
            <w:shd w:val="clear" w:color="000000" w:fill="C5D9F1"/>
            <w:noWrap/>
            <w:vAlign w:val="center"/>
            <w:hideMark/>
          </w:tcPr>
          <w:p w:rsidR="008415E8" w:rsidRPr="00D74BDF" w:rsidRDefault="008415E8" w:rsidP="00A34E19">
            <w:pPr>
              <w:jc w:val="center"/>
              <w:rPr>
                <w:sz w:val="16"/>
                <w:szCs w:val="16"/>
              </w:rPr>
            </w:pPr>
            <w:r w:rsidRPr="00D74BDF">
              <w:rPr>
                <w:sz w:val="16"/>
                <w:szCs w:val="16"/>
              </w:rPr>
              <w:t>208.209</w:t>
            </w:r>
          </w:p>
        </w:tc>
        <w:tc>
          <w:tcPr>
            <w:tcW w:w="1180" w:type="dxa"/>
            <w:tcBorders>
              <w:top w:val="nil"/>
              <w:left w:val="nil"/>
              <w:bottom w:val="nil"/>
              <w:right w:val="nil"/>
            </w:tcBorders>
            <w:shd w:val="clear" w:color="000000" w:fill="C5D9F1"/>
            <w:noWrap/>
            <w:vAlign w:val="center"/>
            <w:hideMark/>
          </w:tcPr>
          <w:p w:rsidR="008415E8" w:rsidRPr="00D74BDF" w:rsidRDefault="008415E8" w:rsidP="00A34E19">
            <w:pPr>
              <w:jc w:val="center"/>
              <w:rPr>
                <w:sz w:val="16"/>
                <w:szCs w:val="16"/>
              </w:rPr>
            </w:pPr>
            <w:r w:rsidRPr="00D74BDF">
              <w:rPr>
                <w:sz w:val="16"/>
                <w:szCs w:val="16"/>
              </w:rPr>
              <w:t>203.404</w:t>
            </w:r>
          </w:p>
        </w:tc>
        <w:tc>
          <w:tcPr>
            <w:tcW w:w="1180" w:type="dxa"/>
            <w:tcBorders>
              <w:top w:val="nil"/>
              <w:left w:val="nil"/>
              <w:bottom w:val="nil"/>
              <w:right w:val="nil"/>
            </w:tcBorders>
            <w:shd w:val="clear" w:color="000000" w:fill="C5D9F1"/>
            <w:noWrap/>
            <w:vAlign w:val="center"/>
            <w:hideMark/>
          </w:tcPr>
          <w:p w:rsidR="008415E8" w:rsidRPr="00D74BDF" w:rsidRDefault="008415E8" w:rsidP="00A34E19">
            <w:pPr>
              <w:jc w:val="center"/>
              <w:rPr>
                <w:sz w:val="16"/>
                <w:szCs w:val="16"/>
              </w:rPr>
            </w:pPr>
            <w:r w:rsidRPr="00D74BDF">
              <w:rPr>
                <w:sz w:val="16"/>
                <w:szCs w:val="16"/>
              </w:rPr>
              <w:t>93.861</w:t>
            </w:r>
          </w:p>
        </w:tc>
      </w:tr>
      <w:tr w:rsidR="008415E8" w:rsidRPr="00D74BDF" w:rsidTr="00A34E19">
        <w:trPr>
          <w:trHeight w:val="330"/>
          <w:jc w:val="center"/>
        </w:trPr>
        <w:tc>
          <w:tcPr>
            <w:tcW w:w="7020" w:type="dxa"/>
            <w:gridSpan w:val="4"/>
            <w:tcBorders>
              <w:top w:val="nil"/>
              <w:left w:val="nil"/>
              <w:bottom w:val="nil"/>
              <w:right w:val="nil"/>
            </w:tcBorders>
            <w:shd w:val="clear" w:color="auto" w:fill="auto"/>
            <w:noWrap/>
            <w:vAlign w:val="center"/>
            <w:hideMark/>
          </w:tcPr>
          <w:p w:rsidR="008415E8" w:rsidRPr="00D74BDF" w:rsidRDefault="008415E8" w:rsidP="00A34E19">
            <w:pPr>
              <w:rPr>
                <w:i/>
                <w:iCs/>
                <w:sz w:val="16"/>
                <w:szCs w:val="16"/>
              </w:rPr>
            </w:pPr>
            <w:r w:rsidRPr="00D74BDF">
              <w:rPr>
                <w:i/>
                <w:iCs/>
                <w:sz w:val="16"/>
                <w:szCs w:val="16"/>
              </w:rPr>
              <w:t>*Las cifras de gastos en 2016 son preliminares, a reserva de verificación por el Auditor Externo.</w:t>
            </w:r>
          </w:p>
        </w:tc>
        <w:tc>
          <w:tcPr>
            <w:tcW w:w="1180" w:type="dxa"/>
            <w:tcBorders>
              <w:top w:val="nil"/>
              <w:left w:val="nil"/>
              <w:bottom w:val="nil"/>
              <w:right w:val="nil"/>
            </w:tcBorders>
            <w:shd w:val="clear" w:color="auto" w:fill="auto"/>
            <w:noWrap/>
            <w:vAlign w:val="center"/>
            <w:hideMark/>
          </w:tcPr>
          <w:p w:rsidR="008415E8" w:rsidRPr="00D74BDF" w:rsidRDefault="008415E8" w:rsidP="00A34E19">
            <w:pPr>
              <w:rPr>
                <w:sz w:val="16"/>
                <w:szCs w:val="16"/>
              </w:rPr>
            </w:pPr>
          </w:p>
        </w:tc>
      </w:tr>
    </w:tbl>
    <w:p w:rsidR="008415E8" w:rsidRPr="00D74BDF" w:rsidRDefault="008415E8" w:rsidP="00A34E19">
      <w:pPr>
        <w:jc w:val="center"/>
        <w:rPr>
          <w:sz w:val="20"/>
        </w:rPr>
      </w:pPr>
    </w:p>
    <w:p w:rsidR="008415E8" w:rsidRPr="00D74BDF" w:rsidRDefault="008415E8" w:rsidP="00A34E19">
      <w:pPr>
        <w:keepNext/>
        <w:keepLines/>
        <w:jc w:val="center"/>
        <w:rPr>
          <w:sz w:val="18"/>
          <w:szCs w:val="18"/>
        </w:rPr>
      </w:pPr>
      <w:r w:rsidRPr="00D74BDF">
        <w:rPr>
          <w:sz w:val="18"/>
          <w:szCs w:val="18"/>
        </w:rPr>
        <w:t xml:space="preserve">Presupuesto y gastos reales (de personal y no relativos a personal) </w:t>
      </w:r>
    </w:p>
    <w:p w:rsidR="008415E8" w:rsidRPr="00D74BDF" w:rsidRDefault="008415E8" w:rsidP="00A34E19">
      <w:pPr>
        <w:keepNext/>
        <w:keepLines/>
        <w:jc w:val="center"/>
        <w:rPr>
          <w:i/>
          <w:iCs/>
          <w:sz w:val="16"/>
          <w:szCs w:val="16"/>
        </w:rPr>
      </w:pPr>
      <w:r w:rsidRPr="00D74BDF">
        <w:rPr>
          <w:i/>
          <w:iCs/>
          <w:sz w:val="16"/>
          <w:szCs w:val="16"/>
        </w:rPr>
        <w:t>(en miles de francos suizos)</w:t>
      </w:r>
    </w:p>
    <w:p w:rsidR="008415E8" w:rsidRPr="00D74BDF" w:rsidRDefault="008415E8" w:rsidP="00A34E19">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8415E8" w:rsidRPr="00D74BDF" w:rsidTr="00A34E19">
        <w:trPr>
          <w:trHeight w:val="720"/>
          <w:jc w:val="center"/>
        </w:trPr>
        <w:tc>
          <w:tcPr>
            <w:tcW w:w="2440" w:type="dxa"/>
            <w:tcBorders>
              <w:top w:val="nil"/>
              <w:left w:val="nil"/>
              <w:bottom w:val="nil"/>
              <w:right w:val="nil"/>
            </w:tcBorders>
            <w:shd w:val="clear" w:color="000000" w:fill="C5D9F1"/>
            <w:noWrap/>
            <w:vAlign w:val="center"/>
            <w:hideMark/>
          </w:tcPr>
          <w:p w:rsidR="008415E8" w:rsidRPr="00D74BDF" w:rsidRDefault="008415E8" w:rsidP="00A34E19">
            <w:pPr>
              <w:rPr>
                <w:sz w:val="16"/>
                <w:szCs w:val="16"/>
              </w:rPr>
            </w:pPr>
            <w:r w:rsidRPr="00D74BDF">
              <w:rPr>
                <w:sz w:val="16"/>
                <w:szCs w:val="16"/>
              </w:rPr>
              <w:t> </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Gastos en 2016*</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Índice de utilización (%)</w:t>
            </w:r>
          </w:p>
        </w:tc>
      </w:tr>
      <w:tr w:rsidR="008415E8" w:rsidRPr="00D74BDF" w:rsidTr="00A34E19">
        <w:trPr>
          <w:trHeight w:val="315"/>
          <w:jc w:val="center"/>
        </w:trPr>
        <w:tc>
          <w:tcPr>
            <w:tcW w:w="2440" w:type="dxa"/>
            <w:tcBorders>
              <w:top w:val="nil"/>
              <w:left w:val="nil"/>
              <w:bottom w:val="nil"/>
              <w:right w:val="nil"/>
            </w:tcBorders>
            <w:shd w:val="clear" w:color="auto" w:fill="auto"/>
            <w:noWrap/>
            <w:vAlign w:val="center"/>
            <w:hideMark/>
          </w:tcPr>
          <w:p w:rsidR="008415E8" w:rsidRPr="00D74BDF" w:rsidRDefault="008415E8" w:rsidP="00A34E19">
            <w:pPr>
              <w:rPr>
                <w:sz w:val="16"/>
                <w:szCs w:val="16"/>
              </w:rPr>
            </w:pPr>
            <w:r w:rsidRPr="00D74BDF">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 xml:space="preserve">133.970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 xml:space="preserve">129.909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 xml:space="preserve">59.294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46%</w:t>
            </w:r>
          </w:p>
        </w:tc>
      </w:tr>
      <w:tr w:rsidR="008415E8" w:rsidRPr="00D74BDF" w:rsidTr="00A34E19">
        <w:trPr>
          <w:trHeight w:val="315"/>
          <w:jc w:val="center"/>
        </w:trPr>
        <w:tc>
          <w:tcPr>
            <w:tcW w:w="2440" w:type="dxa"/>
            <w:tcBorders>
              <w:top w:val="nil"/>
              <w:left w:val="nil"/>
              <w:bottom w:val="nil"/>
              <w:right w:val="nil"/>
            </w:tcBorders>
            <w:shd w:val="clear" w:color="auto" w:fill="auto"/>
            <w:noWrap/>
            <w:vAlign w:val="center"/>
            <w:hideMark/>
          </w:tcPr>
          <w:p w:rsidR="008415E8" w:rsidRPr="00D74BDF" w:rsidRDefault="008415E8" w:rsidP="00A34E19">
            <w:pPr>
              <w:rPr>
                <w:sz w:val="16"/>
                <w:szCs w:val="16"/>
              </w:rPr>
            </w:pPr>
            <w:r w:rsidRPr="00D74BDF">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 xml:space="preserve">74.239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 xml:space="preserve">73.495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 xml:space="preserve">34.567 </w:t>
            </w:r>
          </w:p>
        </w:tc>
        <w:tc>
          <w:tcPr>
            <w:tcW w:w="1420" w:type="dxa"/>
            <w:tcBorders>
              <w:top w:val="nil"/>
              <w:left w:val="nil"/>
              <w:bottom w:val="nil"/>
              <w:right w:val="nil"/>
            </w:tcBorders>
            <w:shd w:val="clear" w:color="auto" w:fill="auto"/>
            <w:vAlign w:val="center"/>
            <w:hideMark/>
          </w:tcPr>
          <w:p w:rsidR="008415E8" w:rsidRPr="00D74BDF" w:rsidRDefault="008415E8" w:rsidP="00A34E19">
            <w:pPr>
              <w:jc w:val="center"/>
              <w:rPr>
                <w:sz w:val="16"/>
                <w:szCs w:val="16"/>
              </w:rPr>
            </w:pPr>
            <w:r w:rsidRPr="00D74BDF">
              <w:rPr>
                <w:sz w:val="16"/>
                <w:szCs w:val="16"/>
              </w:rPr>
              <w:t>47%</w:t>
            </w:r>
          </w:p>
        </w:tc>
      </w:tr>
      <w:tr w:rsidR="008415E8" w:rsidRPr="00D74BDF" w:rsidTr="00A34E19">
        <w:trPr>
          <w:trHeight w:val="225"/>
          <w:jc w:val="center"/>
        </w:trPr>
        <w:tc>
          <w:tcPr>
            <w:tcW w:w="2440" w:type="dxa"/>
            <w:tcBorders>
              <w:top w:val="nil"/>
              <w:left w:val="nil"/>
              <w:bottom w:val="nil"/>
              <w:right w:val="nil"/>
            </w:tcBorders>
            <w:shd w:val="clear" w:color="000000" w:fill="C5D9F1"/>
            <w:noWrap/>
            <w:vAlign w:val="center"/>
            <w:hideMark/>
          </w:tcPr>
          <w:p w:rsidR="008415E8" w:rsidRPr="00D74BDF" w:rsidRDefault="008415E8" w:rsidP="00A34E19">
            <w:pPr>
              <w:jc w:val="right"/>
              <w:rPr>
                <w:b/>
                <w:bCs/>
                <w:sz w:val="16"/>
                <w:szCs w:val="16"/>
              </w:rPr>
            </w:pPr>
            <w:r w:rsidRPr="00D74BDF">
              <w:rPr>
                <w:b/>
                <w:bCs/>
                <w:sz w:val="16"/>
                <w:szCs w:val="16"/>
              </w:rPr>
              <w:t xml:space="preserve"> Total </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 xml:space="preserve">208.209 </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 xml:space="preserve">203.404 </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 xml:space="preserve">93.861 </w:t>
            </w:r>
          </w:p>
        </w:tc>
        <w:tc>
          <w:tcPr>
            <w:tcW w:w="1420" w:type="dxa"/>
            <w:tcBorders>
              <w:top w:val="nil"/>
              <w:left w:val="nil"/>
              <w:bottom w:val="nil"/>
              <w:right w:val="nil"/>
            </w:tcBorders>
            <w:shd w:val="clear" w:color="000000" w:fill="C5D9F1"/>
            <w:vAlign w:val="center"/>
            <w:hideMark/>
          </w:tcPr>
          <w:p w:rsidR="008415E8" w:rsidRPr="00D74BDF" w:rsidRDefault="008415E8" w:rsidP="00A34E19">
            <w:pPr>
              <w:jc w:val="center"/>
              <w:rPr>
                <w:b/>
                <w:bCs/>
                <w:sz w:val="16"/>
                <w:szCs w:val="16"/>
              </w:rPr>
            </w:pPr>
            <w:r w:rsidRPr="00D74BDF">
              <w:rPr>
                <w:b/>
                <w:bCs/>
                <w:sz w:val="16"/>
                <w:szCs w:val="16"/>
              </w:rPr>
              <w:t>46%</w:t>
            </w:r>
          </w:p>
        </w:tc>
      </w:tr>
      <w:tr w:rsidR="008415E8" w:rsidRPr="00D74BDF" w:rsidTr="00A34E19">
        <w:trPr>
          <w:trHeight w:val="300"/>
          <w:jc w:val="center"/>
        </w:trPr>
        <w:tc>
          <w:tcPr>
            <w:tcW w:w="8120" w:type="dxa"/>
            <w:gridSpan w:val="5"/>
            <w:tcBorders>
              <w:top w:val="nil"/>
              <w:left w:val="nil"/>
              <w:bottom w:val="nil"/>
              <w:right w:val="nil"/>
            </w:tcBorders>
            <w:shd w:val="clear" w:color="auto" w:fill="auto"/>
            <w:noWrap/>
            <w:vAlign w:val="center"/>
            <w:hideMark/>
          </w:tcPr>
          <w:p w:rsidR="008415E8" w:rsidRPr="00D74BDF" w:rsidRDefault="008415E8" w:rsidP="00A34E19">
            <w:pPr>
              <w:rPr>
                <w:i/>
                <w:iCs/>
                <w:sz w:val="16"/>
                <w:szCs w:val="16"/>
              </w:rPr>
            </w:pPr>
            <w:r w:rsidRPr="00D74BDF">
              <w:rPr>
                <w:i/>
                <w:iCs/>
                <w:sz w:val="16"/>
                <w:szCs w:val="16"/>
              </w:rPr>
              <w:t xml:space="preserve"> *Las cifras de gastos en 2016 son preliminares, a reserva de verificación por el Auditor Externo.</w:t>
            </w:r>
          </w:p>
        </w:tc>
      </w:tr>
    </w:tbl>
    <w:p w:rsidR="008415E8" w:rsidRPr="00D74BDF" w:rsidRDefault="008415E8" w:rsidP="00A34E19">
      <w:pPr>
        <w:rPr>
          <w:sz w:val="20"/>
        </w:rPr>
      </w:pPr>
    </w:p>
    <w:p w:rsidR="008415E8" w:rsidRPr="00D74BDF" w:rsidRDefault="008415E8" w:rsidP="00A34E19">
      <w:pPr>
        <w:keepNext/>
        <w:keepLines/>
        <w:ind w:left="567" w:right="282"/>
        <w:rPr>
          <w:i/>
          <w:sz w:val="16"/>
          <w:szCs w:val="16"/>
        </w:rPr>
      </w:pPr>
      <w:r w:rsidRPr="00D74BDF">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8415E8" w:rsidRPr="00B22B13" w:rsidRDefault="008415E8" w:rsidP="00A34E19">
      <w:pPr>
        <w:rPr>
          <w:sz w:val="16"/>
          <w:szCs w:val="16"/>
        </w:rPr>
      </w:pPr>
    </w:p>
    <w:p w:rsidR="008415E8" w:rsidRPr="00B22B13" w:rsidRDefault="008415E8" w:rsidP="00A34E19">
      <w:pPr>
        <w:jc w:val="both"/>
        <w:rPr>
          <w:sz w:val="16"/>
          <w:szCs w:val="16"/>
        </w:rPr>
      </w:pPr>
    </w:p>
    <w:p w:rsidR="008415E8" w:rsidRPr="00D74BDF" w:rsidRDefault="008415E8" w:rsidP="00A34E19">
      <w:pPr>
        <w:jc w:val="both"/>
        <w:rPr>
          <w:sz w:val="20"/>
          <w:u w:val="single"/>
        </w:rPr>
      </w:pPr>
      <w:r w:rsidRPr="00D74BDF">
        <w:rPr>
          <w:sz w:val="20"/>
        </w:rPr>
        <w:t>A.</w:t>
      </w:r>
      <w:r w:rsidRPr="00D74BDF">
        <w:rPr>
          <w:sz w:val="20"/>
        </w:rPr>
        <w:tab/>
      </w:r>
      <w:r w:rsidRPr="00D74BDF">
        <w:rPr>
          <w:sz w:val="20"/>
          <w:u w:val="single"/>
        </w:rPr>
        <w:t>Presupuesto de 2016/17 tras las transferencias</w:t>
      </w:r>
    </w:p>
    <w:p w:rsidR="008415E8" w:rsidRPr="00D74BDF" w:rsidRDefault="008415E8" w:rsidP="00A34E19">
      <w:pPr>
        <w:jc w:val="both"/>
        <w:rPr>
          <w:sz w:val="20"/>
        </w:rPr>
      </w:pPr>
    </w:p>
    <w:p w:rsidR="008415E8" w:rsidRPr="00D74BDF" w:rsidRDefault="008415E8" w:rsidP="008415E8">
      <w:pPr>
        <w:pStyle w:val="ListParagraph"/>
        <w:numPr>
          <w:ilvl w:val="0"/>
          <w:numId w:val="19"/>
        </w:numPr>
        <w:ind w:left="0" w:firstLine="0"/>
        <w:jc w:val="both"/>
        <w:rPr>
          <w:szCs w:val="22"/>
          <w:lang w:val="es-ES"/>
        </w:rPr>
      </w:pPr>
      <w:r w:rsidRPr="00D74BDF">
        <w:rPr>
          <w:szCs w:val="22"/>
          <w:lang w:val="es-ES"/>
        </w:rPr>
        <w:t xml:space="preserve">La disminución </w:t>
      </w:r>
      <w:r w:rsidR="00B22B13">
        <w:rPr>
          <w:szCs w:val="22"/>
          <w:lang w:val="es-ES"/>
        </w:rPr>
        <w:t>gl</w:t>
      </w:r>
      <w:r w:rsidRPr="00D74BDF">
        <w:rPr>
          <w:szCs w:val="22"/>
          <w:lang w:val="es-ES"/>
        </w:rPr>
        <w:t>o</w:t>
      </w:r>
      <w:r w:rsidR="00B22B13">
        <w:rPr>
          <w:szCs w:val="22"/>
          <w:lang w:val="es-ES"/>
        </w:rPr>
        <w:t>b</w:t>
      </w:r>
      <w:r w:rsidRPr="00D74BDF">
        <w:rPr>
          <w:szCs w:val="22"/>
          <w:lang w:val="es-ES"/>
        </w:rPr>
        <w:t>al del presupuesto tras las transferencias con respecto al presupuesto aprobado de 2016/17</w:t>
      </w:r>
      <w:r w:rsidR="00B22B13">
        <w:rPr>
          <w:szCs w:val="22"/>
          <w:lang w:val="es-ES"/>
        </w:rPr>
        <w:t xml:space="preserve"> refleja la tendencia a largo plazo de aumento constante de la productividad en las operaciones del PCT.  Ello</w:t>
      </w:r>
      <w:r w:rsidRPr="00D74BDF">
        <w:rPr>
          <w:szCs w:val="22"/>
          <w:lang w:val="es-ES"/>
        </w:rPr>
        <w:t xml:space="preserve"> se deb</w:t>
      </w:r>
      <w:r w:rsidR="00B22B13">
        <w:rPr>
          <w:szCs w:val="22"/>
          <w:lang w:val="es-ES"/>
        </w:rPr>
        <w:t>ió</w:t>
      </w:r>
      <w:r w:rsidRPr="00D74BDF">
        <w:rPr>
          <w:szCs w:val="22"/>
          <w:lang w:val="es-ES"/>
        </w:rPr>
        <w:t xml:space="preserve"> en gran medida a la reducción de gastos de personal, lo cual es el resultado neto de, por una parte, las transferencias, reclasificaciones y regularizaciones de funciones permanentes y, por otra, la distribución de los ahorros acumulados en el programa con respecto a gastos de personal (a partir de puestos vacantes y contratos de trabajo a tiempo parcial) a otras prioridades institucionales.  La disminución en los recursos no relativos a personal </w:t>
      </w:r>
      <w:r w:rsidR="0048069B">
        <w:rPr>
          <w:szCs w:val="22"/>
          <w:lang w:val="es-ES"/>
        </w:rPr>
        <w:t>se debió</w:t>
      </w:r>
      <w:r w:rsidRPr="00D74BDF">
        <w:rPr>
          <w:szCs w:val="22"/>
          <w:lang w:val="es-ES"/>
        </w:rPr>
        <w:t xml:space="preserve"> principalmente al ajuste a la baja de la consignación presupuestaria para servicios de traducción del PCT en anticipación de los ahorros previstos en gastos de traducción. </w:t>
      </w:r>
    </w:p>
    <w:p w:rsidR="008415E8" w:rsidRPr="00D74BDF" w:rsidRDefault="008415E8" w:rsidP="00A34E19">
      <w:pPr>
        <w:jc w:val="both"/>
        <w:rPr>
          <w:sz w:val="20"/>
          <w:szCs w:val="22"/>
        </w:rPr>
      </w:pPr>
    </w:p>
    <w:p w:rsidR="008415E8" w:rsidRPr="00D74BDF" w:rsidRDefault="008415E8" w:rsidP="00A34E19">
      <w:pPr>
        <w:jc w:val="both"/>
        <w:rPr>
          <w:sz w:val="20"/>
          <w:u w:val="single"/>
        </w:rPr>
      </w:pPr>
      <w:r w:rsidRPr="00D74BDF">
        <w:rPr>
          <w:sz w:val="20"/>
        </w:rPr>
        <w:t>B.</w:t>
      </w:r>
      <w:r w:rsidRPr="00D74BDF">
        <w:rPr>
          <w:sz w:val="20"/>
        </w:rPr>
        <w:tab/>
      </w:r>
      <w:r w:rsidRPr="00D74BDF">
        <w:rPr>
          <w:sz w:val="20"/>
          <w:u w:val="single"/>
        </w:rPr>
        <w:t>Utilización del presupuesto en 2016/17</w:t>
      </w:r>
    </w:p>
    <w:p w:rsidR="008415E8" w:rsidRPr="00D74BDF" w:rsidRDefault="008415E8" w:rsidP="00A34E19">
      <w:pPr>
        <w:jc w:val="both"/>
        <w:rPr>
          <w:sz w:val="20"/>
        </w:rPr>
      </w:pPr>
    </w:p>
    <w:p w:rsidR="008415E8" w:rsidRPr="00D74BDF" w:rsidRDefault="008415E8" w:rsidP="008415E8">
      <w:pPr>
        <w:pStyle w:val="ListParagraph"/>
        <w:numPr>
          <w:ilvl w:val="0"/>
          <w:numId w:val="19"/>
        </w:numPr>
        <w:ind w:left="0" w:firstLine="0"/>
        <w:jc w:val="both"/>
        <w:rPr>
          <w:szCs w:val="22"/>
          <w:lang w:val="es-ES"/>
        </w:rPr>
      </w:pPr>
      <w:r w:rsidRPr="00D74BDF">
        <w:rPr>
          <w:szCs w:val="22"/>
          <w:lang w:val="es-ES"/>
        </w:rPr>
        <w:t>La utilización del presupuesto se ha mantenido dentro de los límites establecidos (40-60%) durante el primer año del bienio.</w:t>
      </w:r>
    </w:p>
    <w:p w:rsidR="008415E8" w:rsidRPr="00D74BDF" w:rsidRDefault="008415E8" w:rsidP="00A34E19">
      <w:pPr>
        <w:pStyle w:val="ListParagraph"/>
        <w:ind w:left="0"/>
        <w:jc w:val="both"/>
        <w:rPr>
          <w:szCs w:val="22"/>
          <w:lang w:val="es-ES"/>
        </w:rPr>
      </w:pPr>
    </w:p>
    <w:p w:rsidR="00C24C56" w:rsidRPr="002F663B" w:rsidRDefault="00C24C56">
      <w:pPr>
        <w:rPr>
          <w:rFonts w:eastAsia="Times New Roman"/>
          <w:sz w:val="20"/>
          <w:lang w:eastAsia="en-US"/>
        </w:rPr>
      </w:pPr>
      <w:r>
        <w:br w:type="page"/>
      </w:r>
    </w:p>
    <w:p w:rsidR="00C24C56" w:rsidRPr="000A4E8B" w:rsidRDefault="00C24C56" w:rsidP="00C24C56">
      <w:pPr>
        <w:pStyle w:val="Heading3"/>
        <w:tabs>
          <w:tab w:val="left" w:pos="2552"/>
        </w:tabs>
        <w:rPr>
          <w:b/>
          <w:i/>
          <w:u w:val="none"/>
        </w:rPr>
      </w:pPr>
      <w:bookmarkStart w:id="31" w:name="_Toc482629448"/>
      <w:bookmarkStart w:id="32" w:name="_Toc482711245"/>
      <w:r w:rsidRPr="000A4E8B">
        <w:rPr>
          <w:b/>
          <w:i/>
          <w:u w:val="none"/>
          <w:lang w:val="es-ES_tradnl"/>
        </w:rPr>
        <w:lastRenderedPageBreak/>
        <w:t>Programa 5, Anexo:</w:t>
      </w:r>
      <w:r w:rsidRPr="000A4E8B">
        <w:rPr>
          <w:b/>
          <w:i/>
          <w:u w:val="none"/>
          <w:lang w:val="es-ES_tradnl"/>
        </w:rPr>
        <w:tab/>
        <w:t>Indicadores de las operaciones del PCT</w:t>
      </w:r>
      <w:bookmarkEnd w:id="31"/>
      <w:bookmarkEnd w:id="32"/>
    </w:p>
    <w:p w:rsidR="00C24C56" w:rsidRPr="008D0976" w:rsidRDefault="00C24C56" w:rsidP="00C24C56">
      <w:pPr>
        <w:spacing w:line="276" w:lineRule="auto"/>
        <w:rPr>
          <w:rFonts w:eastAsiaTheme="minorHAnsi"/>
          <w:bCs/>
          <w:sz w:val="20"/>
        </w:rPr>
      </w:pPr>
    </w:p>
    <w:p w:rsidR="00C24C56" w:rsidRPr="001B09FE" w:rsidRDefault="00C24C56" w:rsidP="00C24C56">
      <w:pPr>
        <w:rPr>
          <w:sz w:val="20"/>
        </w:rPr>
      </w:pPr>
      <w:r w:rsidRPr="001B09FE">
        <w:rPr>
          <w:sz w:val="20"/>
          <w:lang w:val="es-ES_tradnl"/>
        </w:rPr>
        <w:t>INDICADORES DE RENDIMIENTO CON RESPECTO AL RESULTADO PREVISTO</w:t>
      </w:r>
    </w:p>
    <w:p w:rsidR="00C24C56" w:rsidRPr="001B09FE" w:rsidRDefault="00C24C56" w:rsidP="00C24C56">
      <w:pPr>
        <w:rPr>
          <w:sz w:val="20"/>
        </w:rPr>
      </w:pPr>
      <w:r w:rsidRPr="001B09FE">
        <w:rPr>
          <w:sz w:val="20"/>
          <w:lang w:val="es-ES_tradnl"/>
        </w:rPr>
        <w:t>“MEJORA DE LA PRODUCTIVIDAD Y DE LA CALIDAD DE LOS SERVICIOS EN LAS OPERACIONES DEL PCT”</w:t>
      </w:r>
    </w:p>
    <w:p w:rsidR="00C24C56" w:rsidRPr="001B09FE" w:rsidRDefault="00C24C56" w:rsidP="00C24C56">
      <w:pPr>
        <w:rPr>
          <w:bCs/>
          <w:sz w:val="20"/>
        </w:rPr>
      </w:pPr>
    </w:p>
    <w:p w:rsidR="00C24C56" w:rsidRPr="001B09FE" w:rsidRDefault="00C24C56" w:rsidP="00C24C56">
      <w:pPr>
        <w:rPr>
          <w:b/>
          <w:sz w:val="20"/>
        </w:rPr>
      </w:pPr>
      <w:r w:rsidRPr="001B09FE">
        <w:rPr>
          <w:b/>
          <w:sz w:val="20"/>
          <w:lang w:val="es-ES_tradnl"/>
        </w:rPr>
        <w:t>Generalidades</w:t>
      </w:r>
    </w:p>
    <w:p w:rsidR="00C24C56" w:rsidRPr="001B09FE" w:rsidRDefault="00C24C56" w:rsidP="00C24C56">
      <w:pPr>
        <w:rPr>
          <w:bCs/>
          <w:sz w:val="20"/>
        </w:rPr>
      </w:pPr>
    </w:p>
    <w:p w:rsidR="00C24C56" w:rsidRPr="001B09FE" w:rsidRDefault="00C24C56" w:rsidP="00C24C56">
      <w:pPr>
        <w:numPr>
          <w:ilvl w:val="0"/>
          <w:numId w:val="22"/>
        </w:numPr>
        <w:jc w:val="both"/>
        <w:rPr>
          <w:sz w:val="20"/>
        </w:rPr>
      </w:pPr>
      <w:r w:rsidRPr="001B09FE">
        <w:rPr>
          <w:sz w:val="20"/>
          <w:lang w:val="es-ES_tradnl"/>
        </w:rPr>
        <w:t>Como referencia de los indicadores de rendimiento en lo que respecta al resultado previsto “Mejora de la productividad y de la calidad de los servicios en las operaciones del Sistema del PCT”, es necesario considerar la evolución de los siguientes factores:</w:t>
      </w:r>
      <w:r w:rsidRPr="001B09FE">
        <w:rPr>
          <w:sz w:val="20"/>
        </w:rPr>
        <w:t xml:space="preserve">  </w:t>
      </w:r>
    </w:p>
    <w:p w:rsidR="00C24C56" w:rsidRPr="001B09FE" w:rsidRDefault="00C24C56" w:rsidP="00C24C56">
      <w:pPr>
        <w:rPr>
          <w:sz w:val="20"/>
        </w:rPr>
      </w:pPr>
    </w:p>
    <w:p w:rsidR="00C24C56" w:rsidRPr="001B09FE" w:rsidRDefault="00C24C56" w:rsidP="00C24C56">
      <w:pPr>
        <w:numPr>
          <w:ilvl w:val="0"/>
          <w:numId w:val="21"/>
        </w:numPr>
        <w:tabs>
          <w:tab w:val="clear" w:pos="720"/>
          <w:tab w:val="num" w:pos="1134"/>
        </w:tabs>
        <w:spacing w:after="120"/>
        <w:ind w:left="567" w:firstLine="0"/>
        <w:jc w:val="both"/>
        <w:rPr>
          <w:rFonts w:eastAsiaTheme="minorHAnsi"/>
          <w:sz w:val="20"/>
        </w:rPr>
      </w:pPr>
      <w:r w:rsidRPr="001B09FE">
        <w:rPr>
          <w:rFonts w:eastAsiaTheme="minorHAnsi"/>
          <w:sz w:val="20"/>
          <w:lang w:val="es-ES_tradnl"/>
        </w:rPr>
        <w:t>los volúmenes de trabajo del Sistema del PCT;</w:t>
      </w:r>
    </w:p>
    <w:p w:rsidR="00C24C56" w:rsidRPr="001B09FE" w:rsidRDefault="00C24C56" w:rsidP="00C24C56">
      <w:pPr>
        <w:numPr>
          <w:ilvl w:val="0"/>
          <w:numId w:val="21"/>
        </w:numPr>
        <w:tabs>
          <w:tab w:val="clear" w:pos="720"/>
          <w:tab w:val="num" w:pos="1134"/>
        </w:tabs>
        <w:spacing w:after="120"/>
        <w:ind w:left="567" w:firstLine="0"/>
        <w:jc w:val="both"/>
        <w:rPr>
          <w:rFonts w:eastAsiaTheme="minorHAnsi"/>
          <w:sz w:val="20"/>
        </w:rPr>
      </w:pPr>
      <w:r w:rsidRPr="001B09FE">
        <w:rPr>
          <w:rFonts w:eastAsiaTheme="minorHAnsi"/>
          <w:sz w:val="20"/>
          <w:lang w:val="es-ES_tradnl"/>
        </w:rPr>
        <w:t>la distribución de idiomas con respecto al volumen de trabajo;</w:t>
      </w:r>
    </w:p>
    <w:p w:rsidR="00C24C56" w:rsidRPr="001B09FE" w:rsidRDefault="00C24C56" w:rsidP="00C24C56">
      <w:pPr>
        <w:numPr>
          <w:ilvl w:val="0"/>
          <w:numId w:val="21"/>
        </w:numPr>
        <w:tabs>
          <w:tab w:val="clear" w:pos="720"/>
          <w:tab w:val="num" w:pos="1134"/>
        </w:tabs>
        <w:spacing w:after="120"/>
        <w:ind w:left="567" w:firstLine="0"/>
        <w:jc w:val="both"/>
        <w:rPr>
          <w:rFonts w:eastAsiaTheme="minorHAnsi"/>
          <w:sz w:val="20"/>
        </w:rPr>
      </w:pPr>
      <w:r w:rsidRPr="001B09FE">
        <w:rPr>
          <w:rFonts w:eastAsiaTheme="minorHAnsi"/>
          <w:sz w:val="20"/>
          <w:lang w:val="es-ES_tradnl"/>
        </w:rPr>
        <w:t>el número de miembros del personal asignados a ocuparse del volumen de trabajo;  y</w:t>
      </w:r>
    </w:p>
    <w:p w:rsidR="00C24C56" w:rsidRPr="001B09FE" w:rsidRDefault="00C24C56" w:rsidP="00C24C56">
      <w:pPr>
        <w:numPr>
          <w:ilvl w:val="0"/>
          <w:numId w:val="21"/>
        </w:numPr>
        <w:tabs>
          <w:tab w:val="clear" w:pos="720"/>
          <w:tab w:val="num" w:pos="1134"/>
        </w:tabs>
        <w:spacing w:after="120"/>
        <w:ind w:left="567" w:firstLine="0"/>
        <w:jc w:val="both"/>
        <w:rPr>
          <w:rFonts w:eastAsiaTheme="minorHAnsi"/>
          <w:sz w:val="20"/>
        </w:rPr>
      </w:pPr>
      <w:r w:rsidRPr="001B09FE">
        <w:rPr>
          <w:rFonts w:eastAsiaTheme="minorHAnsi"/>
          <w:sz w:val="20"/>
          <w:lang w:val="es-ES_tradnl"/>
        </w:rPr>
        <w:t>el grado de automatización.</w:t>
      </w:r>
    </w:p>
    <w:p w:rsidR="00C24C56" w:rsidRPr="001B09FE" w:rsidRDefault="00C24C56" w:rsidP="00C24C56">
      <w:pPr>
        <w:tabs>
          <w:tab w:val="num" w:pos="1100"/>
        </w:tabs>
        <w:ind w:left="1210" w:hanging="660"/>
        <w:rPr>
          <w:sz w:val="20"/>
          <w:lang w:val="en-GB"/>
        </w:rPr>
      </w:pPr>
    </w:p>
    <w:p w:rsidR="00C24C56" w:rsidRPr="001B09FE" w:rsidRDefault="00C24C56" w:rsidP="00C24C56">
      <w:pPr>
        <w:rPr>
          <w:i/>
          <w:sz w:val="20"/>
          <w:lang w:val="en-GB"/>
        </w:rPr>
      </w:pPr>
      <w:r w:rsidRPr="001B09FE">
        <w:rPr>
          <w:i/>
          <w:sz w:val="20"/>
          <w:lang w:val="es-ES_tradnl"/>
        </w:rPr>
        <w:t>Volúmenes de trabajo</w:t>
      </w:r>
    </w:p>
    <w:p w:rsidR="00C24C56" w:rsidRPr="001B09FE" w:rsidRDefault="00C24C56" w:rsidP="00C24C56">
      <w:pPr>
        <w:rPr>
          <w:sz w:val="20"/>
          <w:lang w:val="en-GB"/>
        </w:rPr>
      </w:pPr>
    </w:p>
    <w:p w:rsidR="00C24C56" w:rsidRPr="001B09FE" w:rsidRDefault="00C24C56" w:rsidP="00C24C56">
      <w:pPr>
        <w:numPr>
          <w:ilvl w:val="0"/>
          <w:numId w:val="22"/>
        </w:numPr>
        <w:rPr>
          <w:sz w:val="20"/>
        </w:rPr>
      </w:pPr>
      <w:r w:rsidRPr="001B09FE">
        <w:rPr>
          <w:sz w:val="20"/>
          <w:lang w:val="es-ES_tradnl"/>
        </w:rPr>
        <w:t>La evolución de los volúmenes de trabajo se analiza a partir del número de ejemplares originales que la Oficina Internacional (IB) recibe anualmente.</w:t>
      </w:r>
      <w:r w:rsidRPr="001B09FE">
        <w:rPr>
          <w:rStyle w:val="FootnoteReference"/>
          <w:sz w:val="20"/>
          <w:lang w:val="en-GB"/>
        </w:rPr>
        <w:footnoteReference w:id="24"/>
      </w:r>
      <w:r w:rsidRPr="001B09FE">
        <w:rPr>
          <w:sz w:val="20"/>
        </w:rPr>
        <w:t xml:space="preserve"> </w:t>
      </w:r>
    </w:p>
    <w:p w:rsidR="00C24C56" w:rsidRPr="001B09FE" w:rsidRDefault="00C24C56" w:rsidP="00C24C56">
      <w:pPr>
        <w:jc w:val="center"/>
        <w:rPr>
          <w:b/>
          <w:bCs/>
          <w:sz w:val="20"/>
        </w:rPr>
      </w:pPr>
    </w:p>
    <w:p w:rsidR="00C24C56" w:rsidRPr="001B09FE" w:rsidRDefault="00C24C56" w:rsidP="00C24C56">
      <w:pPr>
        <w:jc w:val="center"/>
        <w:rPr>
          <w:b/>
          <w:bCs/>
          <w:sz w:val="20"/>
        </w:rPr>
      </w:pPr>
      <w:r w:rsidRPr="001B09FE">
        <w:rPr>
          <w:b/>
          <w:bCs/>
          <w:sz w:val="20"/>
          <w:lang w:val="es-ES_tradnl"/>
        </w:rPr>
        <w:t>Evolución del número de ejemplares originales por medio de presentación</w:t>
      </w:r>
    </w:p>
    <w:p w:rsidR="00C24C56" w:rsidRPr="001B09FE" w:rsidRDefault="00C24C56" w:rsidP="00C24C56">
      <w:pPr>
        <w:jc w:val="center"/>
        <w:rPr>
          <w:b/>
          <w:bCs/>
          <w:sz w:val="20"/>
        </w:rPr>
      </w:pPr>
      <w:r w:rsidRPr="001B09FE">
        <w:rPr>
          <w:noProof/>
          <w:sz w:val="20"/>
          <w:lang w:val="en-US" w:eastAsia="en-US"/>
        </w:rPr>
        <w:drawing>
          <wp:inline distT="0" distB="0" distL="0" distR="0" wp14:anchorId="4FFC4BB6" wp14:editId="1CF15990">
            <wp:extent cx="5760085" cy="2477590"/>
            <wp:effectExtent l="0" t="0" r="0" b="0"/>
            <wp:docPr id="908" name="Picture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60085" cy="2477590"/>
                    </a:xfrm>
                    <a:prstGeom prst="rect">
                      <a:avLst/>
                    </a:prstGeom>
                    <a:noFill/>
                    <a:ln>
                      <a:noFill/>
                    </a:ln>
                  </pic:spPr>
                </pic:pic>
              </a:graphicData>
            </a:graphic>
          </wp:inline>
        </w:drawing>
      </w:r>
    </w:p>
    <w:p w:rsidR="00C24C56" w:rsidRPr="001B09FE" w:rsidRDefault="00C24C56" w:rsidP="00C24C56">
      <w:pPr>
        <w:jc w:val="center"/>
        <w:rPr>
          <w:b/>
          <w:bCs/>
          <w:sz w:val="20"/>
        </w:rPr>
      </w:pPr>
    </w:p>
    <w:p w:rsidR="00C24C56" w:rsidRPr="001B09FE" w:rsidRDefault="00C24C56" w:rsidP="00C24C56">
      <w:pPr>
        <w:numPr>
          <w:ilvl w:val="0"/>
          <w:numId w:val="20"/>
        </w:numPr>
        <w:tabs>
          <w:tab w:val="clear" w:pos="720"/>
          <w:tab w:val="num" w:pos="1134"/>
        </w:tabs>
        <w:ind w:left="1134" w:hanging="567"/>
        <w:jc w:val="both"/>
        <w:rPr>
          <w:rFonts w:eastAsiaTheme="minorHAnsi"/>
          <w:sz w:val="20"/>
        </w:rPr>
      </w:pPr>
      <w:r w:rsidRPr="001B09FE">
        <w:rPr>
          <w:rFonts w:eastAsiaTheme="minorHAnsi"/>
          <w:sz w:val="20"/>
          <w:lang w:val="es-ES_tradnl"/>
        </w:rPr>
        <w:t>La IB recibió aproximadamente 233.000 ejemplares originales en 2016, lo que representa un aumento del 7,4% con respecto a 2015.</w:t>
      </w:r>
    </w:p>
    <w:p w:rsidR="00C24C56" w:rsidRPr="001B09FE" w:rsidRDefault="00C24C56" w:rsidP="00C24C56">
      <w:pPr>
        <w:ind w:left="1134"/>
        <w:jc w:val="both"/>
        <w:rPr>
          <w:rFonts w:eastAsiaTheme="minorHAnsi"/>
          <w:sz w:val="20"/>
        </w:rPr>
      </w:pPr>
    </w:p>
    <w:p w:rsidR="00C24C56" w:rsidRPr="001B09FE" w:rsidRDefault="00C24C56" w:rsidP="00C24C56">
      <w:pPr>
        <w:numPr>
          <w:ilvl w:val="0"/>
          <w:numId w:val="20"/>
        </w:numPr>
        <w:tabs>
          <w:tab w:val="clear" w:pos="720"/>
          <w:tab w:val="num" w:pos="1134"/>
        </w:tabs>
        <w:ind w:left="1134" w:hanging="567"/>
        <w:jc w:val="both"/>
        <w:rPr>
          <w:rFonts w:eastAsiaTheme="minorHAnsi"/>
          <w:sz w:val="20"/>
        </w:rPr>
      </w:pPr>
      <w:r w:rsidRPr="001B09FE">
        <w:rPr>
          <w:rFonts w:eastAsiaTheme="minorHAnsi"/>
          <w:sz w:val="20"/>
          <w:lang w:val="es-ES_tradnl"/>
        </w:rPr>
        <w:t>En 2016 siguió aumentando el porcentaje de solicitudes presentadas enteramente por medios electrónicos, que actualmente constituye el 95% de todas las solicitudes que se presentan.</w:t>
      </w:r>
    </w:p>
    <w:p w:rsidR="00C24C56" w:rsidRPr="001B09FE" w:rsidRDefault="00C24C56" w:rsidP="00C24C56">
      <w:pPr>
        <w:pStyle w:val="BodyText2"/>
        <w:spacing w:after="0" w:line="240" w:lineRule="auto"/>
        <w:ind w:left="1100"/>
        <w:jc w:val="both"/>
        <w:rPr>
          <w:rFonts w:cs="Arial"/>
          <w:szCs w:val="20"/>
          <w:lang w:val="es-ES"/>
        </w:rPr>
      </w:pPr>
    </w:p>
    <w:p w:rsidR="00C24C56" w:rsidRPr="001B09FE" w:rsidRDefault="00C24C56" w:rsidP="00C24C56">
      <w:pPr>
        <w:keepNext/>
        <w:rPr>
          <w:i/>
          <w:sz w:val="20"/>
          <w:lang w:val="en-GB"/>
        </w:rPr>
      </w:pPr>
      <w:r w:rsidRPr="001B09FE">
        <w:rPr>
          <w:i/>
          <w:sz w:val="20"/>
          <w:lang w:val="es-ES_tradnl"/>
        </w:rPr>
        <w:lastRenderedPageBreak/>
        <w:t>Distribución de idiomas</w:t>
      </w:r>
    </w:p>
    <w:p w:rsidR="00C24C56" w:rsidRPr="001B09FE" w:rsidRDefault="00C24C56" w:rsidP="00C24C56">
      <w:pPr>
        <w:keepNext/>
        <w:rPr>
          <w:i/>
          <w:sz w:val="20"/>
          <w:lang w:val="en-GB"/>
        </w:rPr>
      </w:pPr>
    </w:p>
    <w:p w:rsidR="00C24C56" w:rsidRPr="001B09FE" w:rsidRDefault="00C24C56" w:rsidP="00C24C56">
      <w:pPr>
        <w:pStyle w:val="ListParagraph"/>
        <w:keepNext/>
        <w:numPr>
          <w:ilvl w:val="0"/>
          <w:numId w:val="22"/>
        </w:numPr>
        <w:tabs>
          <w:tab w:val="left" w:pos="0"/>
          <w:tab w:val="left" w:pos="567"/>
        </w:tabs>
        <w:contextualSpacing/>
        <w:jc w:val="both"/>
        <w:rPr>
          <w:rFonts w:eastAsiaTheme="minorHAnsi" w:cs="Arial"/>
          <w:lang w:val="es-ES"/>
        </w:rPr>
      </w:pPr>
      <w:r w:rsidRPr="001B09FE">
        <w:rPr>
          <w:rFonts w:eastAsiaTheme="minorHAnsi" w:cs="Arial"/>
          <w:lang w:val="es-ES_tradnl"/>
        </w:rPr>
        <w:t>Uno de los factores fundamentales del cambio en el funcionamiento de la IB es la creciente diversidad lingüística de las solicitudes presentadas, que es consecuencia, principalmente, del aumento continuo en el uso del Sistema del PCT en los países de Asia oriental.</w:t>
      </w:r>
      <w:r w:rsidRPr="001B09FE">
        <w:rPr>
          <w:rFonts w:eastAsiaTheme="minorHAnsi" w:cs="Arial"/>
          <w:lang w:val="es-ES"/>
        </w:rPr>
        <w:t xml:space="preserve"> </w:t>
      </w:r>
    </w:p>
    <w:p w:rsidR="00C24C56" w:rsidRPr="001B09FE" w:rsidRDefault="00C24C56" w:rsidP="00C24C56">
      <w:pPr>
        <w:pStyle w:val="ListParagraph"/>
        <w:tabs>
          <w:tab w:val="left" w:pos="0"/>
          <w:tab w:val="left" w:pos="567"/>
        </w:tabs>
        <w:ind w:left="0"/>
        <w:jc w:val="both"/>
        <w:rPr>
          <w:rFonts w:eastAsiaTheme="minorHAnsi" w:cs="Arial"/>
          <w:lang w:val="es-ES"/>
        </w:rPr>
      </w:pPr>
    </w:p>
    <w:p w:rsidR="00C24C56" w:rsidRPr="001B09FE" w:rsidRDefault="00C24C56" w:rsidP="00C24C56">
      <w:pPr>
        <w:spacing w:after="120"/>
        <w:jc w:val="center"/>
        <w:rPr>
          <w:i/>
          <w:sz w:val="20"/>
        </w:rPr>
      </w:pPr>
      <w:r w:rsidRPr="001B09FE">
        <w:rPr>
          <w:b/>
          <w:sz w:val="20"/>
          <w:lang w:val="es-ES_tradnl"/>
        </w:rPr>
        <w:t>Idiomas de presentación</w:t>
      </w:r>
      <w:r w:rsidRPr="001B09FE">
        <w:rPr>
          <w:sz w:val="20"/>
          <w:lang w:val="es-ES_tradnl"/>
        </w:rPr>
        <w:t xml:space="preserve"> </w:t>
      </w:r>
      <w:r w:rsidRPr="001B09FE">
        <w:rPr>
          <w:i/>
          <w:sz w:val="20"/>
          <w:lang w:val="es-ES_tradnl"/>
        </w:rPr>
        <w:t>(todos)</w:t>
      </w:r>
    </w:p>
    <w:p w:rsidR="00C24C56" w:rsidRPr="001B09FE" w:rsidRDefault="00C24C56" w:rsidP="00C24C56">
      <w:pPr>
        <w:spacing w:after="120"/>
        <w:jc w:val="center"/>
        <w:rPr>
          <w:sz w:val="20"/>
        </w:rPr>
      </w:pPr>
      <w:r w:rsidRPr="001B09FE">
        <w:rPr>
          <w:noProof/>
          <w:sz w:val="20"/>
          <w:lang w:val="en-US" w:eastAsia="en-US"/>
        </w:rPr>
        <w:drawing>
          <wp:inline distT="0" distB="0" distL="0" distR="0" wp14:anchorId="7205B7FC" wp14:editId="6070341C">
            <wp:extent cx="5760085" cy="2915963"/>
            <wp:effectExtent l="0" t="0" r="0" b="0"/>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60085" cy="2915963"/>
                    </a:xfrm>
                    <a:prstGeom prst="rect">
                      <a:avLst/>
                    </a:prstGeom>
                    <a:noFill/>
                    <a:ln>
                      <a:noFill/>
                    </a:ln>
                  </pic:spPr>
                </pic:pic>
              </a:graphicData>
            </a:graphic>
          </wp:inline>
        </w:drawing>
      </w:r>
    </w:p>
    <w:p w:rsidR="00C24C56" w:rsidRPr="001B09FE" w:rsidRDefault="00C24C56" w:rsidP="00C24C56">
      <w:pPr>
        <w:rPr>
          <w:i/>
          <w:sz w:val="20"/>
        </w:rPr>
      </w:pPr>
    </w:p>
    <w:p w:rsidR="00C24C56" w:rsidRPr="001B09FE" w:rsidRDefault="00C24C56" w:rsidP="00C24C56">
      <w:pPr>
        <w:pStyle w:val="ListParagraph"/>
        <w:numPr>
          <w:ilvl w:val="0"/>
          <w:numId w:val="22"/>
        </w:numPr>
        <w:tabs>
          <w:tab w:val="left" w:pos="0"/>
          <w:tab w:val="left" w:pos="567"/>
        </w:tabs>
        <w:contextualSpacing/>
        <w:jc w:val="both"/>
        <w:rPr>
          <w:rFonts w:eastAsiaTheme="minorHAnsi" w:cs="Arial"/>
          <w:lang w:val="es-ES"/>
        </w:rPr>
      </w:pPr>
      <w:r w:rsidRPr="001B09FE">
        <w:rPr>
          <w:rFonts w:eastAsiaTheme="minorHAnsi" w:cs="Arial"/>
          <w:lang w:val="es-ES_tradnl"/>
        </w:rPr>
        <w:t>Como puede observarse en el gráfico, si bien el porcentaje más alto de solicitudes corresponde a las que se presentaron en inglés, a saber, el 45% en 2016, en el último decenio aumentó la proporción de idiomas asiáticos.</w:t>
      </w:r>
      <w:r w:rsidRPr="001B09FE">
        <w:rPr>
          <w:rFonts w:eastAsiaTheme="minorHAnsi" w:cs="Arial"/>
          <w:lang w:val="es-ES"/>
        </w:rPr>
        <w:t xml:space="preserve">  </w:t>
      </w:r>
      <w:r w:rsidRPr="001B09FE">
        <w:rPr>
          <w:rFonts w:eastAsiaTheme="minorHAnsi" w:cs="Arial"/>
          <w:lang w:val="es-ES_tradnl"/>
        </w:rPr>
        <w:t>El porcentaje combinado de solicitudes PCT presentadas en chino, coreano y japonés aumentó, pasando del 29,5% en 2010 al 42% en 2016.</w:t>
      </w:r>
      <w:r w:rsidRPr="001B09FE">
        <w:rPr>
          <w:rFonts w:eastAsiaTheme="minorHAnsi" w:cs="Arial"/>
          <w:lang w:val="es-ES"/>
        </w:rPr>
        <w:t xml:space="preserve">  </w:t>
      </w:r>
      <w:r w:rsidRPr="001B09FE">
        <w:rPr>
          <w:rFonts w:eastAsiaTheme="minorHAnsi" w:cs="Arial"/>
          <w:lang w:val="es-ES_tradnl"/>
        </w:rPr>
        <w:t>En el siguiente gráfico se presenta la evolución de idiomas distintos al inglés en la presentación de solicitudes:</w:t>
      </w:r>
    </w:p>
    <w:p w:rsidR="00C24C56" w:rsidRPr="001B09FE" w:rsidRDefault="00C24C56" w:rsidP="00C24C56">
      <w:pPr>
        <w:spacing w:after="200" w:line="276" w:lineRule="auto"/>
        <w:rPr>
          <w:sz w:val="20"/>
        </w:rPr>
      </w:pPr>
    </w:p>
    <w:p w:rsidR="00C24C56" w:rsidRPr="001B09FE" w:rsidRDefault="00C24C56" w:rsidP="00C24C56">
      <w:pPr>
        <w:spacing w:after="120"/>
        <w:jc w:val="center"/>
        <w:rPr>
          <w:sz w:val="20"/>
        </w:rPr>
      </w:pPr>
      <w:r w:rsidRPr="001B09FE">
        <w:rPr>
          <w:b/>
          <w:sz w:val="20"/>
          <w:lang w:val="es-ES_tradnl"/>
        </w:rPr>
        <w:t xml:space="preserve">Idiomas de presentación </w:t>
      </w:r>
      <w:r w:rsidRPr="001B09FE">
        <w:rPr>
          <w:sz w:val="20"/>
          <w:lang w:val="es-ES_tradnl"/>
        </w:rPr>
        <w:t>(</w:t>
      </w:r>
      <w:r w:rsidRPr="001B09FE">
        <w:rPr>
          <w:i/>
          <w:sz w:val="20"/>
          <w:lang w:val="es-ES_tradnl"/>
        </w:rPr>
        <w:t>todos excepto el inglés</w:t>
      </w:r>
      <w:r w:rsidRPr="001B09FE">
        <w:rPr>
          <w:sz w:val="20"/>
          <w:lang w:val="es-ES_tradnl"/>
        </w:rPr>
        <w:t>)</w:t>
      </w:r>
    </w:p>
    <w:p w:rsidR="00C24C56" w:rsidRPr="001B09FE" w:rsidRDefault="00C24C56" w:rsidP="00C24C56">
      <w:pPr>
        <w:spacing w:after="120"/>
        <w:jc w:val="center"/>
        <w:rPr>
          <w:sz w:val="20"/>
        </w:rPr>
      </w:pPr>
      <w:r w:rsidRPr="001B09FE">
        <w:rPr>
          <w:noProof/>
          <w:sz w:val="20"/>
          <w:lang w:val="en-US" w:eastAsia="en-US"/>
        </w:rPr>
        <w:drawing>
          <wp:inline distT="0" distB="0" distL="0" distR="0" wp14:anchorId="4B8BEFDC" wp14:editId="527DB505">
            <wp:extent cx="5760085" cy="2926230"/>
            <wp:effectExtent l="0" t="0" r="0" b="7620"/>
            <wp:docPr id="910" name="Picture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2926230"/>
                    </a:xfrm>
                    <a:prstGeom prst="rect">
                      <a:avLst/>
                    </a:prstGeom>
                    <a:noFill/>
                    <a:ln>
                      <a:noFill/>
                    </a:ln>
                  </pic:spPr>
                </pic:pic>
              </a:graphicData>
            </a:graphic>
          </wp:inline>
        </w:drawing>
      </w:r>
    </w:p>
    <w:p w:rsidR="00C24C56" w:rsidRPr="001B09FE" w:rsidRDefault="00C24C56" w:rsidP="00C24C56">
      <w:pPr>
        <w:spacing w:after="120"/>
        <w:jc w:val="center"/>
        <w:rPr>
          <w:sz w:val="20"/>
        </w:rPr>
      </w:pPr>
    </w:p>
    <w:p w:rsidR="00C24C56" w:rsidRPr="001B09FE" w:rsidRDefault="00C24C56" w:rsidP="00421967">
      <w:pPr>
        <w:keepNext/>
        <w:keepLines/>
        <w:numPr>
          <w:ilvl w:val="0"/>
          <w:numId w:val="22"/>
        </w:numPr>
        <w:jc w:val="both"/>
        <w:rPr>
          <w:sz w:val="20"/>
        </w:rPr>
      </w:pPr>
      <w:r w:rsidRPr="001B09FE">
        <w:rPr>
          <w:sz w:val="20"/>
          <w:lang w:val="es-ES_tradnl"/>
        </w:rPr>
        <w:lastRenderedPageBreak/>
        <w:t>El marcado aumento de las solicitudes presentadas en idiomas asiáticos en los últimos años ha supuesto una carga de trabajo considerable para la IB debido al número limitado de recursos de personal disponible para trabajar en esos idiomas.</w:t>
      </w:r>
      <w:r w:rsidRPr="001B09FE">
        <w:rPr>
          <w:sz w:val="20"/>
        </w:rPr>
        <w:t xml:space="preserve">  </w:t>
      </w:r>
      <w:r w:rsidRPr="001B09FE">
        <w:rPr>
          <w:sz w:val="20"/>
          <w:lang w:val="es-ES_tradnl"/>
        </w:rPr>
        <w:t>La solución al problema está dada por la automatización de determinadas tareas y la contratación de personal que pueda trabajar en esos idiomas.</w:t>
      </w:r>
    </w:p>
    <w:p w:rsidR="00C24C56" w:rsidRPr="001B09FE" w:rsidRDefault="00C24C56" w:rsidP="00C24C56">
      <w:pPr>
        <w:keepNext/>
        <w:keepLines/>
        <w:spacing w:line="276" w:lineRule="auto"/>
        <w:rPr>
          <w:sz w:val="20"/>
        </w:rPr>
      </w:pPr>
    </w:p>
    <w:p w:rsidR="00C24C56" w:rsidRPr="001B09FE" w:rsidRDefault="00C24C56" w:rsidP="00C24C56">
      <w:pPr>
        <w:keepNext/>
        <w:keepLines/>
        <w:tabs>
          <w:tab w:val="left" w:pos="5370"/>
        </w:tabs>
        <w:rPr>
          <w:i/>
          <w:sz w:val="20"/>
          <w:lang w:val="en-GB"/>
        </w:rPr>
      </w:pPr>
      <w:r w:rsidRPr="001B09FE">
        <w:rPr>
          <w:i/>
          <w:sz w:val="20"/>
          <w:lang w:val="es-ES_tradnl"/>
        </w:rPr>
        <w:t>Personal</w:t>
      </w:r>
    </w:p>
    <w:p w:rsidR="00C24C56" w:rsidRPr="001B09FE" w:rsidRDefault="00C24C56" w:rsidP="00C24C56">
      <w:pPr>
        <w:rPr>
          <w:i/>
          <w:sz w:val="20"/>
          <w:lang w:val="en-GB"/>
        </w:rPr>
      </w:pPr>
    </w:p>
    <w:p w:rsidR="00C24C56" w:rsidRPr="001B09FE" w:rsidRDefault="00C24C56" w:rsidP="00C24C56">
      <w:pPr>
        <w:numPr>
          <w:ilvl w:val="0"/>
          <w:numId w:val="22"/>
        </w:numPr>
        <w:jc w:val="both"/>
        <w:rPr>
          <w:sz w:val="20"/>
        </w:rPr>
      </w:pPr>
      <w:r w:rsidRPr="001B09FE">
        <w:rPr>
          <w:sz w:val="20"/>
          <w:lang w:val="es-ES_tradnl"/>
        </w:rPr>
        <w:t>El siguiente gráfico muestra el número de miembros del personal encargados de las operaciones del PCT desde 2001, expresado en equivalente de puestos a jornada completa (número de miembros del personal a jornada completa más el equivalente de puestos a jornada completa de miembros del personal a jornada parcial).</w:t>
      </w:r>
    </w:p>
    <w:p w:rsidR="00C24C56" w:rsidRPr="001B09FE" w:rsidRDefault="00C24C56" w:rsidP="00C24C56">
      <w:pPr>
        <w:rPr>
          <w:sz w:val="20"/>
        </w:rPr>
      </w:pPr>
    </w:p>
    <w:p w:rsidR="00C24C56" w:rsidRPr="001B09FE" w:rsidRDefault="00C24C56" w:rsidP="00C24C56">
      <w:pPr>
        <w:jc w:val="center"/>
        <w:rPr>
          <w:b/>
          <w:sz w:val="20"/>
        </w:rPr>
      </w:pPr>
      <w:r w:rsidRPr="001B09FE">
        <w:rPr>
          <w:b/>
          <w:sz w:val="20"/>
          <w:lang w:val="es-ES_tradnl"/>
        </w:rPr>
        <w:t>Número de miembros del personal asignado a las operaciones del PCT</w:t>
      </w:r>
    </w:p>
    <w:p w:rsidR="00C24C56" w:rsidRPr="001B09FE" w:rsidRDefault="00C24C56" w:rsidP="00C24C56">
      <w:pPr>
        <w:jc w:val="center"/>
        <w:rPr>
          <w:b/>
          <w:sz w:val="20"/>
        </w:rPr>
      </w:pPr>
      <w:r w:rsidRPr="001B09FE">
        <w:rPr>
          <w:noProof/>
          <w:sz w:val="20"/>
          <w:lang w:val="en-US" w:eastAsia="en-US"/>
        </w:rPr>
        <w:drawing>
          <wp:inline distT="0" distB="0" distL="0" distR="0" wp14:anchorId="3B966273" wp14:editId="134BA342">
            <wp:extent cx="5760085" cy="3225623"/>
            <wp:effectExtent l="0" t="0" r="0" b="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60085" cy="3225623"/>
                    </a:xfrm>
                    <a:prstGeom prst="rect">
                      <a:avLst/>
                    </a:prstGeom>
                    <a:noFill/>
                    <a:ln>
                      <a:noFill/>
                    </a:ln>
                  </pic:spPr>
                </pic:pic>
              </a:graphicData>
            </a:graphic>
          </wp:inline>
        </w:drawing>
      </w:r>
    </w:p>
    <w:p w:rsidR="00C24C56" w:rsidRPr="001B09FE" w:rsidRDefault="00C24C56" w:rsidP="00C24C56">
      <w:pPr>
        <w:rPr>
          <w:sz w:val="20"/>
          <w:lang w:val="en-GB"/>
        </w:rPr>
      </w:pPr>
    </w:p>
    <w:p w:rsidR="00C24C56" w:rsidRPr="001B09FE" w:rsidRDefault="00C24C56" w:rsidP="00C24C56">
      <w:pPr>
        <w:numPr>
          <w:ilvl w:val="0"/>
          <w:numId w:val="20"/>
        </w:numPr>
        <w:tabs>
          <w:tab w:val="clear" w:pos="720"/>
          <w:tab w:val="num" w:pos="1134"/>
        </w:tabs>
        <w:ind w:left="1134" w:hanging="567"/>
        <w:jc w:val="both"/>
        <w:rPr>
          <w:rFonts w:eastAsiaTheme="minorHAnsi"/>
          <w:sz w:val="20"/>
        </w:rPr>
      </w:pPr>
      <w:r w:rsidRPr="001B09FE">
        <w:rPr>
          <w:rFonts w:eastAsiaTheme="minorHAnsi"/>
          <w:sz w:val="20"/>
        </w:rPr>
        <w:t>El número de miembros del personal asignado a las operaciones del PCT siguió disminuyendo en 2016.</w:t>
      </w:r>
    </w:p>
    <w:p w:rsidR="00C24C56" w:rsidRPr="001B09FE" w:rsidRDefault="00C24C56" w:rsidP="00C24C56">
      <w:pPr>
        <w:jc w:val="both"/>
        <w:rPr>
          <w:i/>
          <w:sz w:val="20"/>
        </w:rPr>
      </w:pPr>
    </w:p>
    <w:p w:rsidR="00C24C56" w:rsidRPr="001B09FE" w:rsidRDefault="00C24C56" w:rsidP="00C24C56">
      <w:pPr>
        <w:rPr>
          <w:i/>
          <w:sz w:val="20"/>
        </w:rPr>
      </w:pPr>
      <w:r w:rsidRPr="001B09FE">
        <w:rPr>
          <w:i/>
          <w:sz w:val="20"/>
          <w:lang w:val="es-ES_tradnl"/>
        </w:rPr>
        <w:t>Costo unitario de tramitación de las solicitudes</w:t>
      </w:r>
    </w:p>
    <w:p w:rsidR="00C24C56" w:rsidRPr="001B09FE" w:rsidRDefault="00C24C56" w:rsidP="00C24C56">
      <w:pPr>
        <w:rPr>
          <w:i/>
          <w:sz w:val="20"/>
        </w:rPr>
      </w:pPr>
    </w:p>
    <w:p w:rsidR="00C24C56" w:rsidRPr="001B09FE" w:rsidRDefault="00C24C56" w:rsidP="00C24C56">
      <w:pPr>
        <w:pStyle w:val="ListParagraph"/>
        <w:numPr>
          <w:ilvl w:val="0"/>
          <w:numId w:val="22"/>
        </w:numPr>
        <w:jc w:val="both"/>
        <w:rPr>
          <w:rFonts w:cs="Arial"/>
          <w:lang w:val="es-ES"/>
        </w:rPr>
      </w:pPr>
      <w:r w:rsidRPr="001B09FE">
        <w:rPr>
          <w:rFonts w:cs="Arial"/>
          <w:lang w:val="es-ES_tradnl"/>
        </w:rPr>
        <w:t>La eficacia de la IB en cuanto a la tramitación de las solicitudes PCT puede medirse por el costo unitario, que se define como el costo medio de producción de una unidad de producto.  El costo total de la producción comprende el gasto relacionado exclusivamente con el Sistema del PCT y el gasto en concepto de actividades de apoyo al Sistema.</w:t>
      </w:r>
      <w:r w:rsidRPr="001B09FE">
        <w:rPr>
          <w:rFonts w:cs="Arial"/>
          <w:lang w:val="es-ES"/>
        </w:rPr>
        <w:t xml:space="preserve"> </w:t>
      </w:r>
    </w:p>
    <w:p w:rsidR="00C24C56" w:rsidRPr="001B09FE" w:rsidRDefault="00C24C56" w:rsidP="00C24C56">
      <w:pPr>
        <w:jc w:val="both"/>
        <w:rPr>
          <w:sz w:val="20"/>
        </w:rPr>
      </w:pPr>
    </w:p>
    <w:p w:rsidR="00C24C56" w:rsidRPr="001B09FE" w:rsidRDefault="00C24C56" w:rsidP="00C24C56">
      <w:pPr>
        <w:numPr>
          <w:ilvl w:val="0"/>
          <w:numId w:val="22"/>
        </w:numPr>
        <w:jc w:val="both"/>
        <w:rPr>
          <w:sz w:val="20"/>
        </w:rPr>
      </w:pPr>
      <w:r w:rsidRPr="001B09FE">
        <w:rPr>
          <w:sz w:val="20"/>
          <w:lang w:val="es-ES_tradnl"/>
        </w:rPr>
        <w:t>En el gasto relacionado exclusivamente con el Sistema del PCT se incluyen los gastos del programa 5 (Sistema del PCT).</w:t>
      </w:r>
    </w:p>
    <w:p w:rsidR="00C24C56" w:rsidRPr="001B09FE" w:rsidRDefault="00C24C56" w:rsidP="00C24C56">
      <w:pPr>
        <w:jc w:val="both"/>
        <w:rPr>
          <w:sz w:val="20"/>
        </w:rPr>
      </w:pPr>
    </w:p>
    <w:p w:rsidR="00C24C56" w:rsidRPr="001B09FE" w:rsidRDefault="00C24C56" w:rsidP="00C24C56">
      <w:pPr>
        <w:numPr>
          <w:ilvl w:val="0"/>
          <w:numId w:val="22"/>
        </w:numPr>
        <w:jc w:val="both"/>
        <w:rPr>
          <w:sz w:val="20"/>
        </w:rPr>
      </w:pPr>
      <w:r w:rsidRPr="001B09FE">
        <w:rPr>
          <w:sz w:val="20"/>
          <w:lang w:val="es-ES_tradnl"/>
        </w:rPr>
        <w:t>El gasto en concepto de actividades de apoyo al Sistema comprende los gastos derivados de las actividades siguientes:  servicio de conferencias y lingüísticos, construcción, gestión ejecutiva, finanzas y presupuesto, servicios generales de apoyo, gestión de los recursos humanos, supervisión interna, T.I. y seguridad y vigilancia.  Una pequeña parte de estos gastos (el costo del alojamiento del servidor en el Centro Internacional de Cálculo de las Naciones Unidas, el costo estimado de la fuente auténtica de publicación de las solicitudes PCT (PATENTSCOPE) y el porcentaje del costo de la Sección de Ingresos dentro del Departamento de Finanzas) se atribuyen directamente al Sistema del PCT, pero el resto de gastos que se pueden atribuir al Sistema se calculan en función del número de empleados en nómina (incluyendo el personal de plazo fijo, el personal temporal y los becarios).</w:t>
      </w:r>
    </w:p>
    <w:p w:rsidR="00C24C56" w:rsidRPr="001B09FE" w:rsidRDefault="00C24C56" w:rsidP="00C24C56">
      <w:pPr>
        <w:jc w:val="both"/>
        <w:rPr>
          <w:sz w:val="20"/>
        </w:rPr>
      </w:pPr>
    </w:p>
    <w:p w:rsidR="00C24C56" w:rsidRPr="001B09FE" w:rsidRDefault="00C24C56" w:rsidP="00C24C56">
      <w:pPr>
        <w:numPr>
          <w:ilvl w:val="0"/>
          <w:numId w:val="22"/>
        </w:numPr>
        <w:jc w:val="both"/>
        <w:rPr>
          <w:sz w:val="20"/>
        </w:rPr>
      </w:pPr>
      <w:r w:rsidRPr="001B09FE">
        <w:rPr>
          <w:sz w:val="20"/>
          <w:lang w:val="es-ES_tradnl"/>
        </w:rPr>
        <w:lastRenderedPageBreak/>
        <w:t>El método para calcular el costo unitario fue revisado en 2013 para ponerlo en sintonía con el cálculo de otros costos unitarios de la OMPI y para tener mejor en cuenta un entorno en rápida evolución.</w:t>
      </w:r>
      <w:r w:rsidRPr="001B09FE">
        <w:rPr>
          <w:sz w:val="20"/>
        </w:rPr>
        <w:t xml:space="preserve">  </w:t>
      </w:r>
      <w:r w:rsidRPr="001B09FE">
        <w:rPr>
          <w:sz w:val="20"/>
          <w:lang w:val="es-ES_tradnl"/>
        </w:rPr>
        <w:t xml:space="preserve">Por ejemplo, conforme al método antiguo, concebido en 2007, se tenía en cuenta un costo de almacenamiento (por más de 30 años) en depósitos;  sin embargo, la presentación en papel (incluidas las presentaciones de solicitudes mediante el sistema PCT EASY) representó </w:t>
      </w:r>
      <w:r w:rsidR="00DF7910">
        <w:rPr>
          <w:sz w:val="20"/>
          <w:lang w:val="es-ES_tradnl"/>
        </w:rPr>
        <w:t>menos del </w:t>
      </w:r>
      <w:r w:rsidRPr="001B09FE">
        <w:rPr>
          <w:sz w:val="20"/>
          <w:lang w:val="es-ES_tradnl"/>
        </w:rPr>
        <w:t xml:space="preserve">10% de las solicitudes presentadas en 2013.  El costo unitario de 2012 fue calculado con arreglo a ambos métodos.  Dicho costo fue de 680 francos suizos conforme al método antiguo y de 712 francos suizos conforme al nuevo método.  La diferencia de 32 francos suizos </w:t>
      </w:r>
      <w:r w:rsidR="0048069B">
        <w:rPr>
          <w:sz w:val="20"/>
          <w:lang w:val="es-ES_tradnl"/>
        </w:rPr>
        <w:t>se debió</w:t>
      </w:r>
      <w:r w:rsidRPr="001B09FE">
        <w:rPr>
          <w:sz w:val="20"/>
          <w:lang w:val="es-ES_tradnl"/>
        </w:rPr>
        <w:t xml:space="preserve"> al nuevo método de atribución de los costos indirectos.</w:t>
      </w:r>
    </w:p>
    <w:p w:rsidR="00C24C56" w:rsidRPr="001B09FE" w:rsidRDefault="00C24C56" w:rsidP="00C24C56">
      <w:pPr>
        <w:jc w:val="both"/>
        <w:rPr>
          <w:sz w:val="20"/>
        </w:rPr>
      </w:pPr>
    </w:p>
    <w:p w:rsidR="00C24C56" w:rsidRPr="001B09FE" w:rsidRDefault="00C24C56" w:rsidP="00C24C56">
      <w:pPr>
        <w:numPr>
          <w:ilvl w:val="0"/>
          <w:numId w:val="22"/>
        </w:numPr>
        <w:jc w:val="both"/>
        <w:rPr>
          <w:sz w:val="20"/>
        </w:rPr>
      </w:pPr>
      <w:r w:rsidRPr="001B09FE">
        <w:rPr>
          <w:sz w:val="20"/>
          <w:lang w:val="es-ES_tradnl"/>
        </w:rPr>
        <w:t xml:space="preserve">Formalmente, el costo unitario se define de la siguiente manera:  </w:t>
      </w:r>
    </w:p>
    <w:p w:rsidR="00C24C56" w:rsidRPr="001B09FE" w:rsidRDefault="00C24C56" w:rsidP="00C24C56">
      <w:pPr>
        <w:jc w:val="both"/>
        <w:rPr>
          <w:sz w:val="20"/>
        </w:rPr>
      </w:pPr>
    </w:p>
    <w:p w:rsidR="00C24C56" w:rsidRPr="001B09FE" w:rsidRDefault="00C24C56" w:rsidP="00C24C56">
      <w:pPr>
        <w:jc w:val="center"/>
        <w:rPr>
          <w:noProof/>
          <w:sz w:val="20"/>
        </w:rPr>
      </w:pPr>
      <w:r w:rsidRPr="001B09FE">
        <w:rPr>
          <w:noProof/>
          <w:sz w:val="20"/>
          <w:lang w:val="en-US" w:eastAsia="en-US"/>
        </w:rPr>
        <w:drawing>
          <wp:inline distT="0" distB="0" distL="0" distR="0" wp14:anchorId="57C2C768" wp14:editId="6668D5F8">
            <wp:extent cx="2475865" cy="336550"/>
            <wp:effectExtent l="0" t="0" r="635" b="6350"/>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475865" cy="336550"/>
                    </a:xfrm>
                    <a:prstGeom prst="rect">
                      <a:avLst/>
                    </a:prstGeom>
                    <a:noFill/>
                    <a:ln>
                      <a:noFill/>
                    </a:ln>
                  </pic:spPr>
                </pic:pic>
              </a:graphicData>
            </a:graphic>
          </wp:inline>
        </w:drawing>
      </w:r>
    </w:p>
    <w:p w:rsidR="00C24C56" w:rsidRPr="001B09FE" w:rsidRDefault="00C24C56" w:rsidP="00C24C56">
      <w:pPr>
        <w:jc w:val="center"/>
        <w:rPr>
          <w:sz w:val="20"/>
        </w:rPr>
      </w:pPr>
    </w:p>
    <w:p w:rsidR="00C24C56" w:rsidRPr="001B09FE" w:rsidRDefault="00C24C56" w:rsidP="00C24C56">
      <w:pPr>
        <w:numPr>
          <w:ilvl w:val="0"/>
          <w:numId w:val="22"/>
        </w:numPr>
        <w:jc w:val="both"/>
        <w:rPr>
          <w:sz w:val="20"/>
        </w:rPr>
      </w:pPr>
      <w:r w:rsidRPr="001B09FE">
        <w:rPr>
          <w:sz w:val="20"/>
          <w:lang w:val="es-ES_tradnl"/>
        </w:rPr>
        <w:t>En los gráficos que figuran a continuación se ilustra la evolución del costo unitario de tramitación desde 2004 hasta 2012, utilizando el método antiguo, y desde 2012 hasta 2016 utilizando el nuevo método, incluido un desglose de la parte correspondiente a los costos directos e indirectos.</w:t>
      </w:r>
    </w:p>
    <w:p w:rsidR="00C24C56" w:rsidRPr="001B09FE" w:rsidRDefault="00C24C56" w:rsidP="00C24C56">
      <w:pPr>
        <w:rPr>
          <w:sz w:val="20"/>
        </w:rPr>
      </w:pPr>
    </w:p>
    <w:p w:rsidR="00C24C56" w:rsidRPr="001B09FE" w:rsidRDefault="00C24C56" w:rsidP="00C24C56">
      <w:pPr>
        <w:jc w:val="center"/>
        <w:rPr>
          <w:b/>
          <w:sz w:val="20"/>
        </w:rPr>
      </w:pPr>
      <w:r w:rsidRPr="001B09FE">
        <w:rPr>
          <w:b/>
          <w:sz w:val="20"/>
          <w:lang w:val="es-ES_tradnl"/>
        </w:rPr>
        <w:t>Costo de tramitación de una solicitud PCT publicada</w:t>
      </w:r>
    </w:p>
    <w:p w:rsidR="00C24C56" w:rsidRPr="001B09FE" w:rsidRDefault="00C24C56" w:rsidP="00C24C56">
      <w:pPr>
        <w:jc w:val="center"/>
        <w:rPr>
          <w:b/>
          <w:sz w:val="20"/>
        </w:rPr>
      </w:pPr>
    </w:p>
    <w:tbl>
      <w:tblPr>
        <w:tblW w:w="0" w:type="auto"/>
        <w:jc w:val="center"/>
        <w:tblInd w:w="-918" w:type="dxa"/>
        <w:tblLook w:val="04A0" w:firstRow="1" w:lastRow="0" w:firstColumn="1" w:lastColumn="0" w:noHBand="0" w:noVBand="1"/>
      </w:tblPr>
      <w:tblGrid>
        <w:gridCol w:w="9088"/>
      </w:tblGrid>
      <w:tr w:rsidR="00C24C56" w:rsidRPr="001B09FE" w:rsidTr="00BA15A2">
        <w:trPr>
          <w:trHeight w:val="154"/>
          <w:jc w:val="center"/>
        </w:trPr>
        <w:tc>
          <w:tcPr>
            <w:tcW w:w="9088" w:type="dxa"/>
            <w:shd w:val="clear" w:color="auto" w:fill="auto"/>
          </w:tcPr>
          <w:p w:rsidR="00C24C56" w:rsidRPr="001B09FE" w:rsidRDefault="00C24C56" w:rsidP="00A34E19">
            <w:pPr>
              <w:spacing w:before="120"/>
              <w:jc w:val="center"/>
              <w:rPr>
                <w:b/>
                <w:sz w:val="20"/>
              </w:rPr>
            </w:pPr>
            <w:r w:rsidRPr="001B09FE">
              <w:rPr>
                <w:b/>
                <w:sz w:val="20"/>
                <w:lang w:val="es-ES_tradnl"/>
              </w:rPr>
              <w:t>Método antiguo</w:t>
            </w:r>
          </w:p>
        </w:tc>
      </w:tr>
      <w:tr w:rsidR="00C24C56" w:rsidRPr="001B09FE" w:rsidTr="00A34E19">
        <w:trPr>
          <w:trHeight w:val="4940"/>
          <w:jc w:val="center"/>
        </w:trPr>
        <w:tc>
          <w:tcPr>
            <w:tcW w:w="9088" w:type="dxa"/>
            <w:shd w:val="clear" w:color="auto" w:fill="auto"/>
          </w:tcPr>
          <w:p w:rsidR="00C24C56" w:rsidRPr="00BA15A2" w:rsidRDefault="00C24C56" w:rsidP="00A34E19">
            <w:pPr>
              <w:jc w:val="center"/>
              <w:rPr>
                <w:sz w:val="16"/>
                <w:szCs w:val="16"/>
                <w:lang w:val="fr-CH"/>
              </w:rPr>
            </w:pPr>
          </w:p>
          <w:p w:rsidR="00C24C56" w:rsidRPr="001B09FE" w:rsidRDefault="00C24C56" w:rsidP="00A34E19">
            <w:pPr>
              <w:jc w:val="center"/>
              <w:rPr>
                <w:sz w:val="20"/>
                <w:lang w:val="fr-CH"/>
              </w:rPr>
            </w:pPr>
            <w:r w:rsidRPr="001B09FE">
              <w:rPr>
                <w:noProof/>
                <w:sz w:val="20"/>
                <w:lang w:val="en-US" w:eastAsia="en-US"/>
              </w:rPr>
              <w:drawing>
                <wp:inline distT="0" distB="0" distL="0" distR="0" wp14:anchorId="5EE5683A" wp14:editId="21DC70CF">
                  <wp:extent cx="5220000" cy="2684603"/>
                  <wp:effectExtent l="0" t="0" r="0" b="19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220000" cy="2684603"/>
                          </a:xfrm>
                          <a:prstGeom prst="rect">
                            <a:avLst/>
                          </a:prstGeom>
                          <a:noFill/>
                          <a:ln>
                            <a:noFill/>
                          </a:ln>
                        </pic:spPr>
                      </pic:pic>
                    </a:graphicData>
                  </a:graphic>
                </wp:inline>
              </w:drawing>
            </w:r>
          </w:p>
          <w:p w:rsidR="00C24C56" w:rsidRPr="001B09FE" w:rsidRDefault="00C24C56" w:rsidP="00A34E19">
            <w:pPr>
              <w:jc w:val="center"/>
              <w:rPr>
                <w:sz w:val="20"/>
                <w:lang w:val="fr-CH"/>
              </w:rPr>
            </w:pPr>
          </w:p>
        </w:tc>
      </w:tr>
    </w:tbl>
    <w:p w:rsidR="00C24C56" w:rsidRPr="001B09FE" w:rsidRDefault="00C24C56" w:rsidP="00C24C56">
      <w:pPr>
        <w:rPr>
          <w:sz w:val="20"/>
        </w:rPr>
      </w:pPr>
    </w:p>
    <w:tbl>
      <w:tblPr>
        <w:tblW w:w="0" w:type="auto"/>
        <w:tblInd w:w="108" w:type="dxa"/>
        <w:tblLayout w:type="fixed"/>
        <w:tblLook w:val="04A0" w:firstRow="1" w:lastRow="0" w:firstColumn="1" w:lastColumn="0" w:noHBand="0" w:noVBand="1"/>
      </w:tblPr>
      <w:tblGrid>
        <w:gridCol w:w="9072"/>
      </w:tblGrid>
      <w:tr w:rsidR="00C24C56" w:rsidRPr="001B09FE" w:rsidTr="00A34E19">
        <w:tc>
          <w:tcPr>
            <w:tcW w:w="9072" w:type="dxa"/>
          </w:tcPr>
          <w:p w:rsidR="00C24C56" w:rsidRPr="00653EAB" w:rsidRDefault="00C24C56" w:rsidP="00653EAB">
            <w:pPr>
              <w:keepNext/>
              <w:spacing w:before="120"/>
              <w:ind w:left="142"/>
              <w:jc w:val="center"/>
              <w:rPr>
                <w:b/>
                <w:sz w:val="20"/>
              </w:rPr>
            </w:pPr>
            <w:r w:rsidRPr="001B09FE">
              <w:rPr>
                <w:b/>
                <w:sz w:val="20"/>
                <w:lang w:val="es-ES_tradnl"/>
              </w:rPr>
              <w:lastRenderedPageBreak/>
              <w:t>Método nuevo</w:t>
            </w:r>
          </w:p>
        </w:tc>
      </w:tr>
      <w:tr w:rsidR="00C24C56" w:rsidRPr="001B09FE" w:rsidTr="00A34E19">
        <w:tc>
          <w:tcPr>
            <w:tcW w:w="9072" w:type="dxa"/>
          </w:tcPr>
          <w:p w:rsidR="00C24C56" w:rsidRPr="001B09FE" w:rsidRDefault="00C24C56" w:rsidP="00527F58">
            <w:pPr>
              <w:keepNext/>
              <w:ind w:left="34"/>
              <w:jc w:val="center"/>
              <w:rPr>
                <w:sz w:val="20"/>
              </w:rPr>
            </w:pPr>
            <w:r w:rsidRPr="001B09FE">
              <w:rPr>
                <w:noProof/>
                <w:sz w:val="20"/>
                <w:lang w:val="en-US" w:eastAsia="en-US"/>
              </w:rPr>
              <w:drawing>
                <wp:inline distT="0" distB="0" distL="0" distR="0" wp14:anchorId="20E072B8" wp14:editId="5D9DB530">
                  <wp:extent cx="4860000" cy="2952113"/>
                  <wp:effectExtent l="0" t="0" r="0" b="127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60000" cy="2952113"/>
                          </a:xfrm>
                          <a:prstGeom prst="rect">
                            <a:avLst/>
                          </a:prstGeom>
                          <a:noFill/>
                          <a:ln>
                            <a:noFill/>
                          </a:ln>
                        </pic:spPr>
                      </pic:pic>
                    </a:graphicData>
                  </a:graphic>
                </wp:inline>
              </w:drawing>
            </w:r>
          </w:p>
        </w:tc>
      </w:tr>
    </w:tbl>
    <w:p w:rsidR="00C24C56" w:rsidRPr="001B09FE" w:rsidRDefault="00C24C56" w:rsidP="00C24C56">
      <w:pPr>
        <w:tabs>
          <w:tab w:val="num" w:pos="1134"/>
        </w:tabs>
        <w:ind w:left="1134"/>
        <w:rPr>
          <w:sz w:val="20"/>
        </w:rPr>
      </w:pPr>
    </w:p>
    <w:p w:rsidR="00C24C56" w:rsidRPr="001B09FE" w:rsidRDefault="00C24C56" w:rsidP="00C24C56">
      <w:pPr>
        <w:numPr>
          <w:ilvl w:val="0"/>
          <w:numId w:val="20"/>
        </w:numPr>
        <w:tabs>
          <w:tab w:val="clear" w:pos="720"/>
          <w:tab w:val="num" w:pos="1134"/>
        </w:tabs>
        <w:ind w:left="1134" w:hanging="567"/>
        <w:jc w:val="both"/>
        <w:rPr>
          <w:rFonts w:eastAsiaTheme="minorHAnsi"/>
          <w:sz w:val="20"/>
        </w:rPr>
      </w:pPr>
      <w:r w:rsidRPr="001B09FE">
        <w:rPr>
          <w:rFonts w:eastAsiaTheme="minorHAnsi"/>
          <w:sz w:val="20"/>
          <w:lang w:val="es-ES_tradnl"/>
        </w:rPr>
        <w:t>El costo medio de tramitación de una solicitud PCT publicada fue de 685 francos suizos en 2016, lo que representa una disminución del 6,8% en comparación con 2015.</w:t>
      </w:r>
      <w:r w:rsidRPr="001B09FE">
        <w:rPr>
          <w:rFonts w:eastAsiaTheme="minorHAnsi"/>
          <w:sz w:val="20"/>
        </w:rPr>
        <w:t xml:space="preserve">  Esa disminución se debe a que bajó el costo total de producción pese a que aumentara el número total de solicitudes PCT publicadas.  Se trata del costo medio más bajo del período 2012-16, después del costo unitario excepcionalmente bajo registrado en 2014.</w:t>
      </w:r>
    </w:p>
    <w:p w:rsidR="00C24C56" w:rsidRPr="001B09FE" w:rsidRDefault="00C24C56" w:rsidP="00C24C56">
      <w:pPr>
        <w:rPr>
          <w:sz w:val="20"/>
        </w:rPr>
      </w:pPr>
    </w:p>
    <w:p w:rsidR="00C24C56" w:rsidRPr="001B09FE" w:rsidRDefault="00C24C56" w:rsidP="00C24C56">
      <w:pPr>
        <w:rPr>
          <w:i/>
          <w:sz w:val="20"/>
        </w:rPr>
      </w:pPr>
      <w:r w:rsidRPr="001B09FE">
        <w:rPr>
          <w:i/>
          <w:sz w:val="20"/>
          <w:lang w:val="es-ES_tradnl"/>
        </w:rPr>
        <w:t>Productividad en el examen de forma</w:t>
      </w:r>
    </w:p>
    <w:p w:rsidR="00C24C56" w:rsidRPr="001B09FE" w:rsidRDefault="00C24C56" w:rsidP="00C24C56">
      <w:pPr>
        <w:rPr>
          <w:iCs/>
          <w:sz w:val="20"/>
        </w:rPr>
      </w:pPr>
    </w:p>
    <w:p w:rsidR="00C24C56" w:rsidRPr="001B09FE" w:rsidRDefault="00C24C56" w:rsidP="00C24C56">
      <w:pPr>
        <w:numPr>
          <w:ilvl w:val="0"/>
          <w:numId w:val="22"/>
        </w:numPr>
        <w:jc w:val="both"/>
        <w:rPr>
          <w:sz w:val="20"/>
        </w:rPr>
      </w:pPr>
      <w:r w:rsidRPr="001B09FE">
        <w:rPr>
          <w:sz w:val="20"/>
          <w:lang w:val="es-ES_tradnl"/>
        </w:rPr>
        <w:t>La definición de productividad del personal consiste en el valor de la producción (esto es, el número de publicaciones del PCT) dividido por el número de miembros del personal encargados del examen de forma.</w:t>
      </w:r>
    </w:p>
    <w:p w:rsidR="00C24C56" w:rsidRPr="001B09FE" w:rsidRDefault="00C24C56" w:rsidP="00C24C56">
      <w:pPr>
        <w:jc w:val="both"/>
        <w:rPr>
          <w:sz w:val="20"/>
        </w:rPr>
      </w:pPr>
    </w:p>
    <w:p w:rsidR="00C24C56" w:rsidRPr="001B09FE" w:rsidRDefault="00C24C56" w:rsidP="00C24C56">
      <w:pPr>
        <w:jc w:val="center"/>
        <w:rPr>
          <w:b/>
          <w:sz w:val="20"/>
        </w:rPr>
      </w:pPr>
      <w:r w:rsidRPr="001B09FE">
        <w:rPr>
          <w:b/>
          <w:sz w:val="20"/>
          <w:lang w:val="es-ES_tradnl"/>
        </w:rPr>
        <w:t>Productividad en el examen de forma</w:t>
      </w:r>
    </w:p>
    <w:p w:rsidR="00C24C56" w:rsidRPr="001B09FE" w:rsidRDefault="00C24C56" w:rsidP="00C24C56">
      <w:pPr>
        <w:jc w:val="center"/>
        <w:rPr>
          <w:b/>
          <w:lang w:val="en-GB"/>
        </w:rPr>
      </w:pPr>
      <w:r w:rsidRPr="001B09FE">
        <w:rPr>
          <w:noProof/>
          <w:lang w:val="en-US" w:eastAsia="en-US"/>
        </w:rPr>
        <w:drawing>
          <wp:inline distT="0" distB="0" distL="0" distR="0" wp14:anchorId="063CE30F" wp14:editId="68DF6A26">
            <wp:extent cx="5760085" cy="2857566"/>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60085" cy="2857566"/>
                    </a:xfrm>
                    <a:prstGeom prst="rect">
                      <a:avLst/>
                    </a:prstGeom>
                    <a:noFill/>
                    <a:ln>
                      <a:noFill/>
                    </a:ln>
                  </pic:spPr>
                </pic:pic>
              </a:graphicData>
            </a:graphic>
          </wp:inline>
        </w:drawing>
      </w:r>
    </w:p>
    <w:p w:rsidR="00C24C56" w:rsidRPr="00653EAB" w:rsidRDefault="00C24C56" w:rsidP="00C24C56">
      <w:pPr>
        <w:numPr>
          <w:ilvl w:val="0"/>
          <w:numId w:val="20"/>
        </w:numPr>
        <w:tabs>
          <w:tab w:val="clear" w:pos="720"/>
          <w:tab w:val="num" w:pos="993"/>
        </w:tabs>
        <w:ind w:left="993" w:hanging="426"/>
        <w:jc w:val="both"/>
        <w:rPr>
          <w:sz w:val="20"/>
        </w:rPr>
      </w:pPr>
      <w:r w:rsidRPr="001B09FE">
        <w:rPr>
          <w:sz w:val="20"/>
          <w:lang w:val="es-ES_tradnl"/>
        </w:rPr>
        <w:t>Históricamente, la productividad en el examen de forma aumenta con el tiempo debido, principalmente, a la automatización, que ha permitido que un menor o igual número de miembros del personal pueda tramitar un volumen de trabajo mucho mayor.</w:t>
      </w:r>
    </w:p>
    <w:p w:rsidR="00653EAB" w:rsidRPr="001B09FE" w:rsidRDefault="00653EAB" w:rsidP="00653EAB">
      <w:pPr>
        <w:ind w:left="993"/>
        <w:jc w:val="both"/>
        <w:rPr>
          <w:sz w:val="20"/>
        </w:rPr>
      </w:pPr>
    </w:p>
    <w:p w:rsidR="00C24C56" w:rsidRPr="001B09FE" w:rsidRDefault="00C24C56" w:rsidP="00C24C56">
      <w:pPr>
        <w:numPr>
          <w:ilvl w:val="0"/>
          <w:numId w:val="20"/>
        </w:numPr>
        <w:tabs>
          <w:tab w:val="clear" w:pos="720"/>
          <w:tab w:val="num" w:pos="993"/>
        </w:tabs>
        <w:ind w:left="993" w:hanging="426"/>
        <w:jc w:val="both"/>
        <w:rPr>
          <w:sz w:val="20"/>
        </w:rPr>
      </w:pPr>
      <w:r w:rsidRPr="001B09FE">
        <w:rPr>
          <w:sz w:val="20"/>
        </w:rPr>
        <w:t>En 2016 la productividad en este examen aumentó un 5,4% en comparación con 2015.</w:t>
      </w:r>
    </w:p>
    <w:p w:rsidR="00C24C56" w:rsidRPr="001B09FE" w:rsidRDefault="00C24C56" w:rsidP="00C24C56">
      <w:pPr>
        <w:rPr>
          <w:iCs/>
          <w:sz w:val="20"/>
        </w:rPr>
      </w:pPr>
    </w:p>
    <w:p w:rsidR="00C24C56" w:rsidRPr="001B09FE" w:rsidRDefault="00C24C56" w:rsidP="00C24C56">
      <w:pPr>
        <w:rPr>
          <w:i/>
          <w:sz w:val="20"/>
        </w:rPr>
      </w:pPr>
      <w:r w:rsidRPr="001B09FE">
        <w:rPr>
          <w:i/>
          <w:sz w:val="20"/>
          <w:lang w:val="es-ES_tradnl"/>
        </w:rPr>
        <w:lastRenderedPageBreak/>
        <w:t>Calidad global del examen de forma</w:t>
      </w:r>
    </w:p>
    <w:p w:rsidR="00C24C56" w:rsidRPr="001B09FE" w:rsidRDefault="00C24C56" w:rsidP="00C24C56">
      <w:pPr>
        <w:rPr>
          <w:iCs/>
          <w:sz w:val="20"/>
        </w:rPr>
      </w:pPr>
    </w:p>
    <w:p w:rsidR="00C24C56" w:rsidRPr="001B09FE" w:rsidRDefault="00C24C56" w:rsidP="00C24C56">
      <w:pPr>
        <w:numPr>
          <w:ilvl w:val="0"/>
          <w:numId w:val="22"/>
        </w:numPr>
        <w:jc w:val="both"/>
        <w:rPr>
          <w:sz w:val="20"/>
        </w:rPr>
      </w:pPr>
      <w:r w:rsidRPr="001B09FE">
        <w:rPr>
          <w:sz w:val="20"/>
          <w:lang w:val="es-ES_tradnl"/>
        </w:rPr>
        <w:t>Para medir la calidad del trabajo realizado por la IB de una manera sencilla e integral, la IB ha elaborado un indicador de calidad global, que es el promedio de cuatro indicadores de calidad principales.  Tres de ellos se basan en el tiempo necesario para efectuar las transacciones fundamentales:  acuse de recibo de la solicitud PCT, publicación y nueva publicación.  El cuarto indicador da cuenta de los errores cometidos en el curso de la tramitación de solicitudes PCT.</w:t>
      </w:r>
    </w:p>
    <w:p w:rsidR="00C24C56" w:rsidRPr="001B09FE" w:rsidRDefault="00C24C56" w:rsidP="00C24C56">
      <w:pPr>
        <w:rPr>
          <w:sz w:val="20"/>
        </w:rPr>
      </w:pPr>
    </w:p>
    <w:p w:rsidR="00C24C56" w:rsidRPr="001B09FE" w:rsidRDefault="00C24C56" w:rsidP="00C24C56">
      <w:pPr>
        <w:pStyle w:val="BodyText2"/>
        <w:keepNext/>
        <w:keepLines/>
        <w:spacing w:line="240" w:lineRule="auto"/>
        <w:jc w:val="center"/>
        <w:rPr>
          <w:rFonts w:cs="Arial"/>
          <w:b/>
          <w:bCs/>
          <w:szCs w:val="20"/>
          <w:lang w:val="es-ES"/>
        </w:rPr>
      </w:pPr>
      <w:r w:rsidRPr="001B09FE">
        <w:rPr>
          <w:rFonts w:cs="Arial"/>
          <w:b/>
          <w:bCs/>
          <w:szCs w:val="20"/>
          <w:lang w:val="es-ES_tradnl"/>
        </w:rPr>
        <w:t>Indicador de calidad del examen de forma</w:t>
      </w:r>
    </w:p>
    <w:p w:rsidR="00C24C56" w:rsidRPr="001B09FE" w:rsidRDefault="00C24C56" w:rsidP="00C24C56">
      <w:pPr>
        <w:pStyle w:val="BodyText2"/>
        <w:spacing w:line="240" w:lineRule="auto"/>
        <w:jc w:val="center"/>
        <w:rPr>
          <w:rFonts w:cs="Arial"/>
          <w:b/>
          <w:bCs/>
          <w:szCs w:val="20"/>
          <w:lang w:val="en-GB"/>
        </w:rPr>
      </w:pPr>
      <w:r w:rsidRPr="001B09FE">
        <w:rPr>
          <w:rFonts w:cs="Arial"/>
          <w:noProof/>
          <w:szCs w:val="20"/>
        </w:rPr>
        <w:drawing>
          <wp:inline distT="0" distB="0" distL="0" distR="0" wp14:anchorId="5DF81A61" wp14:editId="1218EEA2">
            <wp:extent cx="5760085" cy="2605808"/>
            <wp:effectExtent l="0" t="0" r="0" b="444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2605808"/>
                    </a:xfrm>
                    <a:prstGeom prst="rect">
                      <a:avLst/>
                    </a:prstGeom>
                    <a:noFill/>
                    <a:ln>
                      <a:noFill/>
                    </a:ln>
                  </pic:spPr>
                </pic:pic>
              </a:graphicData>
            </a:graphic>
          </wp:inline>
        </w:drawing>
      </w:r>
    </w:p>
    <w:p w:rsidR="00C24C56" w:rsidRPr="001B09FE" w:rsidRDefault="00C24C56" w:rsidP="00C24C56">
      <w:pPr>
        <w:numPr>
          <w:ilvl w:val="0"/>
          <w:numId w:val="20"/>
        </w:numPr>
        <w:tabs>
          <w:tab w:val="clear" w:pos="720"/>
          <w:tab w:val="num" w:pos="1134"/>
        </w:tabs>
        <w:ind w:left="1134" w:hanging="567"/>
        <w:jc w:val="both"/>
        <w:rPr>
          <w:sz w:val="20"/>
        </w:rPr>
      </w:pPr>
      <w:r w:rsidRPr="001B09FE">
        <w:rPr>
          <w:sz w:val="20"/>
          <w:lang w:val="es-ES_tradnl"/>
        </w:rPr>
        <w:t>La calidad general, de acuerdo con el indicador global, ha mejorado notablemente, pasando del 81%, en promedio, en 2007 al 95,1% en 2016.</w:t>
      </w:r>
    </w:p>
    <w:p w:rsidR="00C24C56" w:rsidRPr="001B09FE" w:rsidRDefault="00C24C56" w:rsidP="00C24C56">
      <w:pPr>
        <w:jc w:val="both"/>
        <w:rPr>
          <w:i/>
          <w:sz w:val="20"/>
        </w:rPr>
      </w:pPr>
    </w:p>
    <w:p w:rsidR="00C24C56" w:rsidRPr="001B09FE" w:rsidRDefault="00C24C56" w:rsidP="00C24C56">
      <w:pPr>
        <w:rPr>
          <w:i/>
          <w:sz w:val="20"/>
        </w:rPr>
      </w:pPr>
      <w:r w:rsidRPr="001B09FE">
        <w:rPr>
          <w:i/>
          <w:sz w:val="20"/>
          <w:lang w:val="es-ES_tradnl"/>
        </w:rPr>
        <w:t>Tiempo que insume el examen de forma</w:t>
      </w:r>
    </w:p>
    <w:p w:rsidR="00C24C56" w:rsidRPr="001B09FE" w:rsidRDefault="00C24C56" w:rsidP="00C24C56">
      <w:pPr>
        <w:rPr>
          <w:iCs/>
          <w:sz w:val="20"/>
        </w:rPr>
      </w:pPr>
    </w:p>
    <w:p w:rsidR="00C24C56" w:rsidRPr="001B09FE" w:rsidRDefault="00C24C56" w:rsidP="00C24C56">
      <w:pPr>
        <w:numPr>
          <w:ilvl w:val="0"/>
          <w:numId w:val="22"/>
        </w:numPr>
        <w:jc w:val="both"/>
        <w:rPr>
          <w:b/>
          <w:sz w:val="20"/>
        </w:rPr>
      </w:pPr>
      <w:r w:rsidRPr="001B09FE">
        <w:rPr>
          <w:sz w:val="20"/>
          <w:lang w:val="es-ES_tradnl"/>
        </w:rPr>
        <w:t>Este indicador refleja más detalladamente uno de los componentes del indicador global de calidad, esto es el tiempo que necesita la IB para enviar el formulario 301.  Este formulario se presenta una vez completado el examen de forma de la solicitud.</w:t>
      </w:r>
      <w:r w:rsidRPr="001B09FE">
        <w:rPr>
          <w:sz w:val="20"/>
        </w:rPr>
        <w:t xml:space="preserve">  </w:t>
      </w:r>
      <w:r w:rsidRPr="001B09FE">
        <w:rPr>
          <w:sz w:val="20"/>
          <w:lang w:val="es-ES_tradnl"/>
        </w:rPr>
        <w:t>Los solicitantes agradecen que se les envíe ese formulario lo antes posible, puesto que constituye un acuse de recibo de la solicitud por la IB y les permite saber si su solicitud presenta errores formales.</w:t>
      </w:r>
    </w:p>
    <w:p w:rsidR="00C24C56" w:rsidRPr="001B09FE" w:rsidRDefault="00C24C56" w:rsidP="00C24C56">
      <w:pPr>
        <w:jc w:val="both"/>
        <w:rPr>
          <w:b/>
          <w:sz w:val="20"/>
        </w:rPr>
      </w:pPr>
    </w:p>
    <w:p w:rsidR="00C24C56" w:rsidRPr="001B09FE" w:rsidRDefault="00C24C56" w:rsidP="00C24C56">
      <w:pPr>
        <w:ind w:left="142"/>
        <w:jc w:val="center"/>
        <w:rPr>
          <w:b/>
          <w:sz w:val="20"/>
        </w:rPr>
      </w:pPr>
      <w:r w:rsidRPr="001B09FE">
        <w:rPr>
          <w:b/>
          <w:sz w:val="20"/>
          <w:lang w:val="es-ES_tradnl"/>
        </w:rPr>
        <w:t>Tiempo que insume el examen de forma</w:t>
      </w:r>
    </w:p>
    <w:p w:rsidR="00C24C56" w:rsidRPr="001B09FE" w:rsidRDefault="00C24C56" w:rsidP="00C24C56">
      <w:pPr>
        <w:rPr>
          <w:i/>
          <w:sz w:val="20"/>
        </w:rPr>
      </w:pPr>
      <w:r w:rsidRPr="001B09FE">
        <w:rPr>
          <w:noProof/>
          <w:sz w:val="20"/>
          <w:lang w:val="en-US" w:eastAsia="en-US"/>
        </w:rPr>
        <w:drawing>
          <wp:inline distT="0" distB="0" distL="0" distR="0" wp14:anchorId="618765D6" wp14:editId="225AAA4C">
            <wp:extent cx="5760085" cy="2422603"/>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60085" cy="2422603"/>
                    </a:xfrm>
                    <a:prstGeom prst="rect">
                      <a:avLst/>
                    </a:prstGeom>
                    <a:noFill/>
                    <a:ln>
                      <a:noFill/>
                    </a:ln>
                  </pic:spPr>
                </pic:pic>
              </a:graphicData>
            </a:graphic>
          </wp:inline>
        </w:drawing>
      </w:r>
    </w:p>
    <w:p w:rsidR="00C24C56" w:rsidRPr="001B09FE" w:rsidRDefault="00C24C56" w:rsidP="00C24C56">
      <w:pPr>
        <w:rPr>
          <w:i/>
          <w:sz w:val="20"/>
        </w:rPr>
      </w:pPr>
    </w:p>
    <w:p w:rsidR="00C24C56" w:rsidRPr="001B09FE" w:rsidRDefault="00C24C56" w:rsidP="00BA15A2">
      <w:pPr>
        <w:keepNext/>
        <w:rPr>
          <w:i/>
          <w:sz w:val="20"/>
        </w:rPr>
      </w:pPr>
      <w:r w:rsidRPr="001B09FE">
        <w:rPr>
          <w:i/>
          <w:sz w:val="20"/>
          <w:lang w:val="es-ES_tradnl"/>
        </w:rPr>
        <w:t>Tiempo que insume la publicación</w:t>
      </w:r>
    </w:p>
    <w:p w:rsidR="00C24C56" w:rsidRPr="001B09FE" w:rsidRDefault="00C24C56" w:rsidP="00BA15A2">
      <w:pPr>
        <w:keepNext/>
        <w:rPr>
          <w:iCs/>
          <w:sz w:val="20"/>
        </w:rPr>
      </w:pPr>
    </w:p>
    <w:p w:rsidR="00C24C56" w:rsidRPr="001B09FE" w:rsidRDefault="00C24C56" w:rsidP="00BA15A2">
      <w:pPr>
        <w:keepNext/>
        <w:numPr>
          <w:ilvl w:val="0"/>
          <w:numId w:val="22"/>
        </w:numPr>
        <w:jc w:val="both"/>
        <w:rPr>
          <w:sz w:val="20"/>
        </w:rPr>
      </w:pPr>
      <w:r w:rsidRPr="001B09FE">
        <w:rPr>
          <w:sz w:val="20"/>
          <w:lang w:val="es-ES_tradnl"/>
        </w:rPr>
        <w:t xml:space="preserve">Este indicador refleja con más detalle uno de los componentes del indicador global de calidad, esto es, el tiempo que tarda la IB en publicar la solicitud.  El artículo 21.2)a) del PCT establece que </w:t>
      </w:r>
      <w:r w:rsidRPr="001B09FE">
        <w:rPr>
          <w:sz w:val="20"/>
          <w:lang w:val="es-ES_tradnl"/>
        </w:rPr>
        <w:lastRenderedPageBreak/>
        <w:t>“[…] la publicación internacional de la solicitud internacional se efectuará rápidamente tras el vencimiento de un plazo de 18 meses desde la fecha de prioridad de esa solicitud”.</w:t>
      </w:r>
    </w:p>
    <w:p w:rsidR="00C24C56" w:rsidRPr="001B09FE" w:rsidRDefault="00C24C56" w:rsidP="00C24C56">
      <w:pPr>
        <w:pStyle w:val="BodyText2"/>
        <w:spacing w:line="240" w:lineRule="auto"/>
        <w:rPr>
          <w:rFonts w:cs="Arial"/>
          <w:szCs w:val="20"/>
          <w:lang w:val="es-ES"/>
        </w:rPr>
      </w:pPr>
    </w:p>
    <w:p w:rsidR="00C24C56" w:rsidRPr="001B09FE" w:rsidRDefault="00C24C56" w:rsidP="00C24C56">
      <w:pPr>
        <w:keepNext/>
        <w:keepLines/>
        <w:ind w:left="142"/>
        <w:jc w:val="center"/>
        <w:rPr>
          <w:b/>
          <w:sz w:val="20"/>
        </w:rPr>
      </w:pPr>
      <w:r w:rsidRPr="001B09FE">
        <w:rPr>
          <w:b/>
          <w:sz w:val="20"/>
          <w:lang w:val="es-ES_tradnl"/>
        </w:rPr>
        <w:t>Tiempo que insume la publicación</w:t>
      </w:r>
    </w:p>
    <w:p w:rsidR="00C24C56" w:rsidRPr="001B09FE" w:rsidRDefault="00C24C56" w:rsidP="00C24C56">
      <w:pPr>
        <w:pStyle w:val="BodyText2"/>
        <w:spacing w:line="240" w:lineRule="auto"/>
        <w:jc w:val="center"/>
        <w:rPr>
          <w:rFonts w:cs="Arial"/>
          <w:i/>
          <w:szCs w:val="20"/>
        </w:rPr>
      </w:pPr>
      <w:r w:rsidRPr="001B09FE">
        <w:rPr>
          <w:rFonts w:cs="Arial"/>
          <w:noProof/>
          <w:szCs w:val="20"/>
        </w:rPr>
        <w:drawing>
          <wp:inline distT="0" distB="0" distL="0" distR="0" wp14:anchorId="0B43DA23" wp14:editId="451430DA">
            <wp:extent cx="5760085" cy="2572348"/>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60085" cy="2572348"/>
                    </a:xfrm>
                    <a:prstGeom prst="rect">
                      <a:avLst/>
                    </a:prstGeom>
                    <a:noFill/>
                    <a:ln>
                      <a:noFill/>
                    </a:ln>
                  </pic:spPr>
                </pic:pic>
              </a:graphicData>
            </a:graphic>
          </wp:inline>
        </w:drawing>
      </w:r>
    </w:p>
    <w:p w:rsidR="00C24C56" w:rsidRPr="001B09FE" w:rsidRDefault="00C24C56" w:rsidP="00C24C56">
      <w:pPr>
        <w:rPr>
          <w:i/>
          <w:sz w:val="20"/>
        </w:rPr>
      </w:pPr>
      <w:r w:rsidRPr="001B09FE">
        <w:rPr>
          <w:i/>
          <w:sz w:val="20"/>
          <w:lang w:val="es-ES_tradnl"/>
        </w:rPr>
        <w:t>Tiempo que insume una nueva publicación</w:t>
      </w:r>
    </w:p>
    <w:p w:rsidR="00C24C56" w:rsidRPr="001B09FE" w:rsidRDefault="00C24C56" w:rsidP="00C24C56">
      <w:pPr>
        <w:rPr>
          <w:iCs/>
          <w:sz w:val="20"/>
        </w:rPr>
      </w:pPr>
    </w:p>
    <w:p w:rsidR="00C24C56" w:rsidRPr="001B09FE" w:rsidRDefault="00C24C56" w:rsidP="00C24C56">
      <w:pPr>
        <w:numPr>
          <w:ilvl w:val="0"/>
          <w:numId w:val="22"/>
        </w:numPr>
        <w:jc w:val="both"/>
        <w:rPr>
          <w:sz w:val="20"/>
        </w:rPr>
      </w:pPr>
      <w:r w:rsidRPr="001B09FE">
        <w:rPr>
          <w:sz w:val="20"/>
          <w:lang w:val="es-ES_tradnl"/>
        </w:rPr>
        <w:t>Este indicador refleja con más detalle uno de los componentes del indicador global de calidad, esto es, el tiempo que tarda la IB en volver a publicar la solicitud junto con el informe de búsqueda internacional (ISR).  Algunas solicitudes internacionales se publican sin su informe de búsqueda internacional porque las Administraciones encargadas de la búsqueda internacional (ISA) los comunican con retraso.  Una vez que se dispone del ISR, la solicitud internacional debe ser publicada nuevamente con el ISR lo antes posible, para que quede completa la publicación internacional.</w:t>
      </w:r>
    </w:p>
    <w:p w:rsidR="00C24C56" w:rsidRPr="001B09FE" w:rsidRDefault="00C24C56" w:rsidP="00C24C56">
      <w:pPr>
        <w:rPr>
          <w:sz w:val="20"/>
        </w:rPr>
      </w:pPr>
    </w:p>
    <w:p w:rsidR="00C24C56" w:rsidRPr="001B09FE" w:rsidRDefault="00C24C56" w:rsidP="00C24C56">
      <w:pPr>
        <w:ind w:left="142"/>
        <w:jc w:val="center"/>
        <w:rPr>
          <w:b/>
          <w:sz w:val="20"/>
        </w:rPr>
      </w:pPr>
      <w:r w:rsidRPr="001B09FE">
        <w:rPr>
          <w:b/>
          <w:sz w:val="20"/>
          <w:lang w:val="es-ES_tradnl"/>
        </w:rPr>
        <w:t>Tiempo que insume una nueva publicación</w:t>
      </w:r>
    </w:p>
    <w:p w:rsidR="00C24C56" w:rsidRPr="001B09FE" w:rsidRDefault="00C24C56" w:rsidP="00C24C56">
      <w:pPr>
        <w:rPr>
          <w:i/>
          <w:sz w:val="20"/>
        </w:rPr>
      </w:pPr>
      <w:r w:rsidRPr="001B09FE">
        <w:rPr>
          <w:noProof/>
          <w:sz w:val="20"/>
          <w:lang w:val="en-US" w:eastAsia="en-US"/>
        </w:rPr>
        <w:drawing>
          <wp:inline distT="0" distB="0" distL="0" distR="0" wp14:anchorId="32A3079E" wp14:editId="33680BDF">
            <wp:extent cx="5760085" cy="2688643"/>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60085" cy="2688643"/>
                    </a:xfrm>
                    <a:prstGeom prst="rect">
                      <a:avLst/>
                    </a:prstGeom>
                    <a:noFill/>
                    <a:ln>
                      <a:noFill/>
                    </a:ln>
                  </pic:spPr>
                </pic:pic>
              </a:graphicData>
            </a:graphic>
          </wp:inline>
        </w:drawing>
      </w:r>
    </w:p>
    <w:p w:rsidR="00C24C56" w:rsidRPr="001B09FE" w:rsidRDefault="00C24C56" w:rsidP="00C24C56">
      <w:pPr>
        <w:rPr>
          <w:i/>
          <w:sz w:val="20"/>
          <w:lang w:val="en-GB"/>
        </w:rPr>
      </w:pPr>
      <w:r w:rsidRPr="001B09FE">
        <w:rPr>
          <w:i/>
          <w:sz w:val="20"/>
          <w:lang w:val="es-ES_tradnl"/>
        </w:rPr>
        <w:t>Calidad de la traducción</w:t>
      </w:r>
    </w:p>
    <w:p w:rsidR="00C24C56" w:rsidRPr="001B09FE" w:rsidRDefault="00C24C56" w:rsidP="00C24C56">
      <w:pPr>
        <w:rPr>
          <w:iCs/>
          <w:sz w:val="20"/>
          <w:lang w:val="en-GB"/>
        </w:rPr>
      </w:pPr>
    </w:p>
    <w:p w:rsidR="00C24C56" w:rsidRPr="001B09FE" w:rsidRDefault="00C24C56" w:rsidP="00C24C56">
      <w:pPr>
        <w:numPr>
          <w:ilvl w:val="0"/>
          <w:numId w:val="22"/>
        </w:numPr>
        <w:jc w:val="both"/>
        <w:rPr>
          <w:sz w:val="20"/>
        </w:rPr>
      </w:pPr>
      <w:r w:rsidRPr="001B09FE">
        <w:rPr>
          <w:sz w:val="20"/>
          <w:lang w:val="es-ES_tradnl"/>
        </w:rPr>
        <w:t xml:space="preserve">Con el fin de evaluar la calidad de la traducción, se extrae una muestra aleatoria de resúmenes e informes de </w:t>
      </w:r>
      <w:r w:rsidRPr="001B09FE">
        <w:rPr>
          <w:sz w:val="20"/>
        </w:rPr>
        <w:t>patentabilidad</w:t>
      </w:r>
      <w:r w:rsidRPr="001B09FE">
        <w:rPr>
          <w:sz w:val="20"/>
          <w:lang w:val="es-ES_tradnl"/>
        </w:rPr>
        <w:t xml:space="preserve"> traducidos bajo la responsabilidad de la IB, muestra que está compuesta por un número de documentos calculado estadísticamente.  La evaluación permite determinar si una traducción es "aceptable" o "no aceptable".  El indicador engloba los resultados del control de calidad realizado por la IB respecto de todas las combinaciones lingüísticas y todos los tipos de documentos.  Se interrumpe la colaboración con aquellas agencias cuya tasa de traducciones consideradas "aceptables" sea sistemáticamente inferior al 80%.</w:t>
      </w:r>
      <w:r w:rsidRPr="001B09FE">
        <w:rPr>
          <w:sz w:val="20"/>
        </w:rPr>
        <w:t xml:space="preserve">  Se registró una ligera baja al 86% en el nivel de calidad como resultado del empeño en reducir costos mediante la introducción de la posedición.</w:t>
      </w:r>
    </w:p>
    <w:p w:rsidR="00C24C56" w:rsidRPr="001B09FE" w:rsidRDefault="00C24C56" w:rsidP="00C24C56">
      <w:pPr>
        <w:keepNext/>
        <w:keepLines/>
        <w:ind w:left="142"/>
        <w:jc w:val="center"/>
        <w:rPr>
          <w:b/>
          <w:sz w:val="20"/>
        </w:rPr>
      </w:pPr>
      <w:r w:rsidRPr="001B09FE">
        <w:rPr>
          <w:b/>
          <w:sz w:val="20"/>
          <w:lang w:val="es-ES_tradnl"/>
        </w:rPr>
        <w:lastRenderedPageBreak/>
        <w:t>Calidad de la traducción en el PCT</w:t>
      </w:r>
    </w:p>
    <w:p w:rsidR="00C24C56" w:rsidRPr="001B09FE" w:rsidRDefault="00C24C56" w:rsidP="00C24C56">
      <w:pPr>
        <w:jc w:val="center"/>
        <w:rPr>
          <w:i/>
          <w:sz w:val="20"/>
        </w:rPr>
      </w:pPr>
      <w:r w:rsidRPr="001B09FE">
        <w:rPr>
          <w:noProof/>
          <w:sz w:val="20"/>
          <w:lang w:val="en-US" w:eastAsia="en-US"/>
        </w:rPr>
        <w:drawing>
          <wp:inline distT="0" distB="0" distL="0" distR="0" wp14:anchorId="399C2AD3" wp14:editId="3723BF10">
            <wp:extent cx="5636808" cy="3483304"/>
            <wp:effectExtent l="0" t="0" r="2540" b="3175"/>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34499" cy="3481877"/>
                    </a:xfrm>
                    <a:prstGeom prst="rect">
                      <a:avLst/>
                    </a:prstGeom>
                    <a:noFill/>
                    <a:ln>
                      <a:noFill/>
                    </a:ln>
                  </pic:spPr>
                </pic:pic>
              </a:graphicData>
            </a:graphic>
          </wp:inline>
        </w:drawing>
      </w:r>
    </w:p>
    <w:p w:rsidR="00653EAB" w:rsidRDefault="00653EAB" w:rsidP="00C24C56">
      <w:pPr>
        <w:rPr>
          <w:i/>
          <w:sz w:val="20"/>
          <w:lang w:val="es-ES_tradnl"/>
        </w:rPr>
      </w:pPr>
    </w:p>
    <w:p w:rsidR="00C24C56" w:rsidRPr="001B09FE" w:rsidRDefault="00C24C56" w:rsidP="00C24C56">
      <w:pPr>
        <w:rPr>
          <w:i/>
          <w:sz w:val="20"/>
        </w:rPr>
      </w:pPr>
      <w:r w:rsidRPr="001B09FE">
        <w:rPr>
          <w:i/>
          <w:sz w:val="20"/>
          <w:lang w:val="es-ES_tradnl"/>
        </w:rPr>
        <w:t>Tiempo que insume la traducción de informes</w:t>
      </w:r>
    </w:p>
    <w:p w:rsidR="00C24C56" w:rsidRPr="001B09FE" w:rsidRDefault="00C24C56" w:rsidP="00C24C56">
      <w:pPr>
        <w:rPr>
          <w:iCs/>
          <w:sz w:val="20"/>
        </w:rPr>
      </w:pPr>
    </w:p>
    <w:p w:rsidR="00C24C56" w:rsidRPr="001B09FE" w:rsidRDefault="00C24C56" w:rsidP="00C24C56">
      <w:pPr>
        <w:numPr>
          <w:ilvl w:val="0"/>
          <w:numId w:val="22"/>
        </w:numPr>
        <w:jc w:val="both"/>
        <w:rPr>
          <w:sz w:val="20"/>
        </w:rPr>
      </w:pPr>
      <w:r w:rsidRPr="001B09FE">
        <w:rPr>
          <w:sz w:val="20"/>
          <w:lang w:val="es-ES_tradnl"/>
        </w:rPr>
        <w:t xml:space="preserve">Este indicador proporciona información sobre el tiempo que tarda la IB en poner la traducción del informe sobre la </w:t>
      </w:r>
      <w:r w:rsidRPr="001B09FE">
        <w:rPr>
          <w:sz w:val="20"/>
        </w:rPr>
        <w:t>patentabilidad</w:t>
      </w:r>
      <w:r w:rsidRPr="001B09FE">
        <w:rPr>
          <w:sz w:val="20"/>
          <w:lang w:val="es-ES_tradnl"/>
        </w:rPr>
        <w:t xml:space="preserve"> a disposición de los solicitantes y las Oficinas.</w:t>
      </w:r>
      <w:r w:rsidRPr="001B09FE">
        <w:rPr>
          <w:sz w:val="20"/>
        </w:rPr>
        <w:t xml:space="preserve">  El porcentaje de informes de patentabilidad traducidos en el plazo de 30 meses, contados a partir de la fecha de prioridad de la solicitud internacional, aumentó de forma sostenida entre 2010 y 2015, estabilizándose desde 2015.  </w:t>
      </w:r>
      <w:r w:rsidRPr="00AE2DBB">
        <w:rPr>
          <w:sz w:val="20"/>
          <w:lang w:val="en-US"/>
        </w:rPr>
        <w:t xml:space="preserve">The share of patentability report translations delivered at 30 months from the priority date of the international application has steadily increased between 2010 and 2015, and has stabilized since 2015.  </w:t>
      </w:r>
      <w:r w:rsidRPr="001B09FE">
        <w:rPr>
          <w:sz w:val="20"/>
          <w:lang w:val="es-ES_tradnl"/>
        </w:rPr>
        <w:t xml:space="preserve">En 2016 el 89% de las traducciones de informes sobre la </w:t>
      </w:r>
      <w:r w:rsidRPr="001B09FE">
        <w:rPr>
          <w:sz w:val="20"/>
        </w:rPr>
        <w:t>patentabilidad</w:t>
      </w:r>
      <w:r w:rsidRPr="001B09FE">
        <w:rPr>
          <w:sz w:val="20"/>
          <w:lang w:val="es-ES_tradnl"/>
        </w:rPr>
        <w:t xml:space="preserve"> fue entregado dentro de esos 30 meses, y el 99% fue entregado en un plazo de 31 meses.</w:t>
      </w:r>
    </w:p>
    <w:p w:rsidR="00C24C56" w:rsidRPr="001B09FE" w:rsidRDefault="00C24C56" w:rsidP="00C24C56">
      <w:pPr>
        <w:jc w:val="both"/>
        <w:rPr>
          <w:sz w:val="20"/>
        </w:rPr>
      </w:pPr>
    </w:p>
    <w:p w:rsidR="00C24C56" w:rsidRPr="001B09FE" w:rsidRDefault="00C24C56" w:rsidP="00C24C56">
      <w:pPr>
        <w:spacing w:after="200" w:line="276" w:lineRule="auto"/>
        <w:jc w:val="center"/>
        <w:rPr>
          <w:b/>
          <w:sz w:val="20"/>
        </w:rPr>
      </w:pPr>
      <w:r w:rsidRPr="001B09FE">
        <w:rPr>
          <w:b/>
          <w:sz w:val="20"/>
          <w:lang w:val="es-ES_tradnl"/>
        </w:rPr>
        <w:t>Tiempo que insume la traducción de informes</w:t>
      </w:r>
    </w:p>
    <w:p w:rsidR="00C24C56" w:rsidRPr="001B09FE" w:rsidRDefault="00C24C56" w:rsidP="00C24C56">
      <w:pPr>
        <w:ind w:left="142"/>
        <w:jc w:val="center"/>
        <w:rPr>
          <w:b/>
          <w:sz w:val="20"/>
        </w:rPr>
      </w:pPr>
      <w:r w:rsidRPr="001B09FE">
        <w:rPr>
          <w:noProof/>
          <w:sz w:val="20"/>
          <w:lang w:val="en-US" w:eastAsia="en-US"/>
        </w:rPr>
        <w:drawing>
          <wp:inline distT="0" distB="0" distL="0" distR="0" wp14:anchorId="71659D8E" wp14:editId="625A3B22">
            <wp:extent cx="5760085" cy="2428693"/>
            <wp:effectExtent l="0" t="0" r="0" b="0"/>
            <wp:docPr id="930"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760085" cy="2428693"/>
                    </a:xfrm>
                    <a:prstGeom prst="rect">
                      <a:avLst/>
                    </a:prstGeom>
                    <a:noFill/>
                    <a:ln>
                      <a:noFill/>
                    </a:ln>
                  </pic:spPr>
                </pic:pic>
              </a:graphicData>
            </a:graphic>
          </wp:inline>
        </w:drawing>
      </w:r>
    </w:p>
    <w:p w:rsidR="00C24C56" w:rsidRPr="001B09FE" w:rsidRDefault="00C24C56" w:rsidP="00C24C56">
      <w:pPr>
        <w:rPr>
          <w:i/>
          <w:sz w:val="20"/>
        </w:rPr>
      </w:pPr>
    </w:p>
    <w:p w:rsidR="00C24C56" w:rsidRPr="001B09FE" w:rsidRDefault="00C24C56" w:rsidP="00A77A46">
      <w:pPr>
        <w:keepNext/>
        <w:rPr>
          <w:i/>
          <w:sz w:val="20"/>
        </w:rPr>
      </w:pPr>
      <w:r w:rsidRPr="001B09FE">
        <w:rPr>
          <w:i/>
          <w:sz w:val="20"/>
          <w:lang w:val="es-ES_tradnl"/>
        </w:rPr>
        <w:t>Calidad del desarrollo de programas informáticos</w:t>
      </w:r>
    </w:p>
    <w:p w:rsidR="00C24C56" w:rsidRPr="001B09FE" w:rsidRDefault="00C24C56" w:rsidP="00A77A46">
      <w:pPr>
        <w:keepNext/>
        <w:rPr>
          <w:iCs/>
          <w:sz w:val="20"/>
        </w:rPr>
      </w:pPr>
    </w:p>
    <w:p w:rsidR="00C24C56" w:rsidRPr="001B09FE" w:rsidRDefault="00C24C56" w:rsidP="00A77A46">
      <w:pPr>
        <w:keepNext/>
        <w:numPr>
          <w:ilvl w:val="0"/>
          <w:numId w:val="22"/>
        </w:numPr>
        <w:jc w:val="both"/>
        <w:rPr>
          <w:sz w:val="20"/>
        </w:rPr>
      </w:pPr>
      <w:r w:rsidRPr="001B09FE">
        <w:rPr>
          <w:sz w:val="20"/>
          <w:lang w:val="es-ES_tradnl"/>
        </w:rPr>
        <w:t xml:space="preserve">El indicador de calidad del desarrollo de programas informáticos proporciona una medida de la calidad de las principales versiones de </w:t>
      </w:r>
      <w:r w:rsidRPr="001B09FE">
        <w:rPr>
          <w:i/>
          <w:sz w:val="20"/>
          <w:lang w:val="es-ES_tradnl"/>
        </w:rPr>
        <w:t>software</w:t>
      </w:r>
      <w:r w:rsidRPr="001B09FE">
        <w:rPr>
          <w:sz w:val="20"/>
          <w:lang w:val="es-ES_tradnl"/>
        </w:rPr>
        <w:t xml:space="preserve"> para los proyectos </w:t>
      </w:r>
      <w:r w:rsidRPr="001B09FE">
        <w:rPr>
          <w:i/>
          <w:sz w:val="20"/>
          <w:lang w:val="es-ES_tradnl"/>
        </w:rPr>
        <w:t>eDossier</w:t>
      </w:r>
      <w:r w:rsidRPr="001B09FE">
        <w:rPr>
          <w:sz w:val="20"/>
          <w:lang w:val="es-ES_tradnl"/>
        </w:rPr>
        <w:t xml:space="preserve"> y </w:t>
      </w:r>
      <w:r w:rsidRPr="001B09FE">
        <w:rPr>
          <w:i/>
          <w:sz w:val="20"/>
          <w:lang w:val="es-ES_tradnl"/>
        </w:rPr>
        <w:t>ePCT</w:t>
      </w:r>
      <w:r w:rsidRPr="001B09FE">
        <w:rPr>
          <w:sz w:val="20"/>
          <w:lang w:val="es-ES_tradnl"/>
        </w:rPr>
        <w:t xml:space="preserve">.  La calidad del desarrollo de programas informáticos refleja el porcentaje de tiempo dedicado a aportar nuevas </w:t>
      </w:r>
      <w:r w:rsidRPr="001B09FE">
        <w:rPr>
          <w:sz w:val="20"/>
          <w:lang w:val="es-ES_tradnl"/>
        </w:rPr>
        <w:lastRenderedPageBreak/>
        <w:t>funciones a las versiones (es decir, trabajo), sobre el total de tiempo utilizado (es decir, trabajo + modificaciones).  Las modificaciones representan el tiempo dedicado a corregir el trabajo defectuoso detectado en el entorno de producción.</w:t>
      </w:r>
      <w:r w:rsidRPr="001B09FE">
        <w:rPr>
          <w:sz w:val="20"/>
        </w:rPr>
        <w:t xml:space="preserve">  </w:t>
      </w:r>
    </w:p>
    <w:p w:rsidR="00C24C56" w:rsidRPr="001B09FE" w:rsidRDefault="00C24C56" w:rsidP="00C24C56">
      <w:pPr>
        <w:jc w:val="both"/>
        <w:rPr>
          <w:sz w:val="20"/>
        </w:rPr>
      </w:pPr>
    </w:p>
    <w:p w:rsidR="00C24C56" w:rsidRPr="001B09FE" w:rsidRDefault="00C24C56" w:rsidP="00C24C56">
      <w:pPr>
        <w:numPr>
          <w:ilvl w:val="0"/>
          <w:numId w:val="22"/>
        </w:numPr>
        <w:jc w:val="both"/>
        <w:rPr>
          <w:sz w:val="20"/>
        </w:rPr>
      </w:pPr>
      <w:r w:rsidRPr="001B09FE">
        <w:rPr>
          <w:sz w:val="20"/>
          <w:lang w:val="es-ES_tradnl"/>
        </w:rPr>
        <w:t>En el marco de ese enfoque, los productos desarrollados que solo requieran ligeras modificaciones se considerarán de alta calidad, pues reflejan la extensión del valor añadido al producto mediante la incorporación de nuevas funciones.</w:t>
      </w:r>
      <w:r w:rsidRPr="001B09FE">
        <w:rPr>
          <w:sz w:val="20"/>
        </w:rPr>
        <w:t xml:space="preserve"> </w:t>
      </w:r>
    </w:p>
    <w:p w:rsidR="00C24C56" w:rsidRPr="001B09FE" w:rsidRDefault="00C24C56" w:rsidP="00C24C56">
      <w:pPr>
        <w:pStyle w:val="ListParagraph"/>
        <w:rPr>
          <w:rFonts w:cs="Arial"/>
          <w:lang w:val="es-ES"/>
        </w:rPr>
      </w:pPr>
    </w:p>
    <w:p w:rsidR="00C24C56" w:rsidRPr="001B09FE" w:rsidRDefault="00C24C56" w:rsidP="00C24C56">
      <w:pPr>
        <w:numPr>
          <w:ilvl w:val="0"/>
          <w:numId w:val="22"/>
        </w:numPr>
        <w:jc w:val="both"/>
        <w:rPr>
          <w:sz w:val="20"/>
        </w:rPr>
      </w:pPr>
      <w:r w:rsidRPr="001B09FE">
        <w:rPr>
          <w:sz w:val="20"/>
          <w:lang w:val="es-ES_tradnl"/>
        </w:rPr>
        <w:t>La calidad del desarrollo de programas informáticos se define de la manera siguiente:</w:t>
      </w:r>
    </w:p>
    <w:p w:rsidR="00C24C56" w:rsidRPr="001B09FE" w:rsidRDefault="00C24C56" w:rsidP="00C24C56">
      <w:pPr>
        <w:pStyle w:val="BodyText2"/>
        <w:spacing w:after="0" w:line="240" w:lineRule="auto"/>
        <w:jc w:val="both"/>
        <w:rPr>
          <w:rFonts w:cs="Arial"/>
          <w:szCs w:val="20"/>
          <w:lang w:val="es-ES"/>
        </w:rPr>
      </w:pPr>
    </w:p>
    <w:p w:rsidR="00C24C56" w:rsidRPr="001B09FE" w:rsidRDefault="00C24C56" w:rsidP="00C24C56">
      <w:pPr>
        <w:pStyle w:val="BodyText2"/>
        <w:spacing w:after="0" w:line="240" w:lineRule="auto"/>
        <w:jc w:val="center"/>
        <w:rPr>
          <w:rFonts w:cs="Arial"/>
          <w:szCs w:val="20"/>
        </w:rPr>
      </w:pPr>
      <w:r w:rsidRPr="001B09FE">
        <w:rPr>
          <w:rFonts w:cs="Arial"/>
          <w:noProof/>
          <w:szCs w:val="20"/>
        </w:rPr>
        <w:drawing>
          <wp:inline distT="0" distB="0" distL="0" distR="0" wp14:anchorId="3A9B6C6E" wp14:editId="779B9312">
            <wp:extent cx="4598035" cy="344805"/>
            <wp:effectExtent l="0" t="0" r="0" b="0"/>
            <wp:docPr id="931"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598035" cy="344805"/>
                    </a:xfrm>
                    <a:prstGeom prst="rect">
                      <a:avLst/>
                    </a:prstGeom>
                    <a:noFill/>
                    <a:ln>
                      <a:noFill/>
                    </a:ln>
                  </pic:spPr>
                </pic:pic>
              </a:graphicData>
            </a:graphic>
          </wp:inline>
        </w:drawing>
      </w:r>
    </w:p>
    <w:p w:rsidR="00C24C56" w:rsidRPr="001B09FE" w:rsidRDefault="00C24C56" w:rsidP="00C24C56">
      <w:pPr>
        <w:jc w:val="center"/>
        <w:rPr>
          <w:b/>
          <w:sz w:val="20"/>
        </w:rPr>
      </w:pPr>
    </w:p>
    <w:p w:rsidR="00C24C56" w:rsidRPr="001B09FE" w:rsidRDefault="00C24C56" w:rsidP="00C24C56">
      <w:pPr>
        <w:jc w:val="center"/>
        <w:rPr>
          <w:b/>
          <w:sz w:val="20"/>
        </w:rPr>
      </w:pPr>
      <w:r w:rsidRPr="001B09FE">
        <w:rPr>
          <w:b/>
          <w:sz w:val="20"/>
          <w:lang w:val="es-ES_tradnl"/>
        </w:rPr>
        <w:t>Calidad del desarrollo de programas informáticos</w:t>
      </w:r>
    </w:p>
    <w:p w:rsidR="00C24C56" w:rsidRPr="001B09FE" w:rsidRDefault="00C24C56" w:rsidP="00C24C56">
      <w:pPr>
        <w:jc w:val="center"/>
        <w:rPr>
          <w:i/>
          <w:sz w:val="20"/>
        </w:rPr>
      </w:pPr>
      <w:r w:rsidRPr="001B09FE">
        <w:rPr>
          <w:noProof/>
          <w:sz w:val="20"/>
          <w:lang w:val="en-US" w:eastAsia="en-US"/>
        </w:rPr>
        <w:drawing>
          <wp:inline distT="0" distB="0" distL="0" distR="0" wp14:anchorId="266614F3" wp14:editId="353E680C">
            <wp:extent cx="5844540" cy="3716020"/>
            <wp:effectExtent l="0" t="0" r="3810" b="0"/>
            <wp:docPr id="913" name="Picture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844540" cy="3716020"/>
                    </a:xfrm>
                    <a:prstGeom prst="rect">
                      <a:avLst/>
                    </a:prstGeom>
                    <a:noFill/>
                    <a:ln>
                      <a:noFill/>
                    </a:ln>
                  </pic:spPr>
                </pic:pic>
              </a:graphicData>
            </a:graphic>
          </wp:inline>
        </w:drawing>
      </w:r>
    </w:p>
    <w:p w:rsidR="00C24C56" w:rsidRPr="001B09FE" w:rsidRDefault="00C24C56" w:rsidP="00C24C56">
      <w:pPr>
        <w:jc w:val="center"/>
        <w:rPr>
          <w:i/>
          <w:sz w:val="20"/>
        </w:rPr>
      </w:pPr>
    </w:p>
    <w:p w:rsidR="00C24C56" w:rsidRPr="001B09FE" w:rsidRDefault="00C24C56" w:rsidP="00C24C56">
      <w:pPr>
        <w:rPr>
          <w:i/>
          <w:sz w:val="20"/>
        </w:rPr>
      </w:pPr>
      <w:r w:rsidRPr="001B09FE">
        <w:rPr>
          <w:i/>
          <w:sz w:val="20"/>
          <w:lang w:val="es-ES_tradnl"/>
        </w:rPr>
        <w:t>Niveles de los servicios prestados por los sistemas de información</w:t>
      </w:r>
    </w:p>
    <w:p w:rsidR="00C24C56" w:rsidRPr="001B09FE" w:rsidRDefault="00C24C56" w:rsidP="00C24C56">
      <w:pPr>
        <w:rPr>
          <w:iCs/>
          <w:sz w:val="20"/>
        </w:rPr>
      </w:pPr>
    </w:p>
    <w:p w:rsidR="00C24C56" w:rsidRPr="001B09FE" w:rsidRDefault="00C24C56" w:rsidP="00C24C56">
      <w:pPr>
        <w:numPr>
          <w:ilvl w:val="0"/>
          <w:numId w:val="22"/>
        </w:numPr>
        <w:jc w:val="both"/>
        <w:rPr>
          <w:sz w:val="20"/>
          <w:lang w:eastAsia="en-GB"/>
        </w:rPr>
      </w:pPr>
      <w:r w:rsidRPr="001B09FE">
        <w:rPr>
          <w:sz w:val="20"/>
          <w:lang w:val="es-ES_tradnl" w:eastAsia="en-GB"/>
        </w:rPr>
        <w:t>El indicador de rendimiento denominado “niveles de los servicios prestados por los sistemas de información” refleja el rendimiento del servicio prestado a los usuarios por el Servicio de Sistemas de Información del PCT, sobre la base de su capacidad para cumplir con los objetivos acordados.</w:t>
      </w:r>
    </w:p>
    <w:p w:rsidR="00C24C56" w:rsidRPr="001B09FE" w:rsidRDefault="00C24C56" w:rsidP="00C24C56">
      <w:pPr>
        <w:pStyle w:val="BodyText2"/>
        <w:spacing w:after="0" w:line="240" w:lineRule="auto"/>
        <w:jc w:val="both"/>
        <w:rPr>
          <w:rFonts w:cs="Arial"/>
          <w:szCs w:val="20"/>
          <w:lang w:val="es-ES"/>
        </w:rPr>
      </w:pPr>
    </w:p>
    <w:p w:rsidR="00C24C56" w:rsidRPr="001B09FE" w:rsidRDefault="00C24C56" w:rsidP="00C24C56">
      <w:pPr>
        <w:numPr>
          <w:ilvl w:val="0"/>
          <w:numId w:val="22"/>
        </w:numPr>
        <w:jc w:val="both"/>
        <w:rPr>
          <w:sz w:val="20"/>
          <w:lang w:eastAsia="en-GB"/>
        </w:rPr>
      </w:pPr>
      <w:r w:rsidRPr="001B09FE">
        <w:rPr>
          <w:sz w:val="20"/>
          <w:lang w:val="es-ES_tradnl" w:eastAsia="en-GB"/>
        </w:rPr>
        <w:t>Este indicador compuesto se calcula a partir del promedio ponderado de cinco indicadores de rendimiento basados en objetivos.  Cada indicador se expresa como porcentaje del objetivo efectivamente cumplido.</w:t>
      </w:r>
      <w:r w:rsidRPr="001B09FE">
        <w:rPr>
          <w:rStyle w:val="FootnoteReference"/>
          <w:sz w:val="20"/>
          <w:lang w:val="en-GB" w:eastAsia="en-GB"/>
        </w:rPr>
        <w:footnoteReference w:id="25"/>
      </w:r>
    </w:p>
    <w:p w:rsidR="00C24C56" w:rsidRPr="001B09FE" w:rsidRDefault="00C24C56" w:rsidP="00C24C56">
      <w:pPr>
        <w:autoSpaceDE w:val="0"/>
        <w:autoSpaceDN w:val="0"/>
        <w:adjustRightInd w:val="0"/>
        <w:jc w:val="both"/>
        <w:rPr>
          <w:sz w:val="20"/>
          <w:lang w:eastAsia="en-GB"/>
        </w:rPr>
      </w:pPr>
    </w:p>
    <w:p w:rsidR="00C24C56" w:rsidRPr="001B09FE" w:rsidRDefault="00C24C56" w:rsidP="00C24C56">
      <w:pPr>
        <w:numPr>
          <w:ilvl w:val="0"/>
          <w:numId w:val="22"/>
        </w:numPr>
        <w:autoSpaceDE w:val="0"/>
        <w:autoSpaceDN w:val="0"/>
        <w:adjustRightInd w:val="0"/>
        <w:jc w:val="both"/>
        <w:rPr>
          <w:sz w:val="20"/>
        </w:rPr>
      </w:pPr>
      <w:r w:rsidRPr="001B09FE">
        <w:rPr>
          <w:sz w:val="20"/>
        </w:rPr>
        <w:t>En 2016, el nivel global de los servicios prestados mejoró por tercer año consecuti</w:t>
      </w:r>
      <w:r>
        <w:rPr>
          <w:sz w:val="20"/>
        </w:rPr>
        <w:t>vo, hasta situarse en el 97,1%.</w:t>
      </w:r>
    </w:p>
    <w:p w:rsidR="00C24C56" w:rsidRPr="001B09FE" w:rsidRDefault="00C24C56" w:rsidP="00C24C56">
      <w:pPr>
        <w:rPr>
          <w:sz w:val="20"/>
        </w:rPr>
      </w:pPr>
    </w:p>
    <w:p w:rsidR="00C24C56" w:rsidRPr="001B09FE" w:rsidRDefault="00C24C56" w:rsidP="00C24C56">
      <w:pPr>
        <w:keepNext/>
        <w:keepLines/>
        <w:jc w:val="center"/>
        <w:rPr>
          <w:b/>
          <w:sz w:val="20"/>
        </w:rPr>
      </w:pPr>
      <w:r w:rsidRPr="001B09FE">
        <w:rPr>
          <w:b/>
          <w:sz w:val="20"/>
          <w:lang w:val="es-ES_tradnl"/>
        </w:rPr>
        <w:lastRenderedPageBreak/>
        <w:t>Niveles de los servicios prestados por los sistemas de información</w:t>
      </w:r>
    </w:p>
    <w:p w:rsidR="00C24C56" w:rsidRPr="001B09FE" w:rsidRDefault="00C24C56" w:rsidP="00C24C56">
      <w:pPr>
        <w:keepNext/>
        <w:keepLines/>
        <w:rPr>
          <w:b/>
          <w:sz w:val="20"/>
        </w:rPr>
      </w:pPr>
    </w:p>
    <w:p w:rsidR="00C24C56" w:rsidRPr="001B09FE" w:rsidRDefault="00C24C56" w:rsidP="00C24C56">
      <w:pPr>
        <w:rPr>
          <w:b/>
          <w:sz w:val="20"/>
        </w:rPr>
      </w:pPr>
      <w:r w:rsidRPr="006A4F54">
        <w:rPr>
          <w:noProof/>
          <w:lang w:val="en-US" w:eastAsia="en-US"/>
        </w:rPr>
        <w:drawing>
          <wp:inline distT="0" distB="0" distL="0" distR="0" wp14:anchorId="362A6FEC" wp14:editId="1514893A">
            <wp:extent cx="5760085" cy="3033663"/>
            <wp:effectExtent l="0" t="0" r="0" b="0"/>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760085" cy="3033663"/>
                    </a:xfrm>
                    <a:prstGeom prst="rect">
                      <a:avLst/>
                    </a:prstGeom>
                    <a:noFill/>
                    <a:ln>
                      <a:noFill/>
                    </a:ln>
                  </pic:spPr>
                </pic:pic>
              </a:graphicData>
            </a:graphic>
          </wp:inline>
        </w:drawing>
      </w:r>
    </w:p>
    <w:p w:rsidR="00C24C56" w:rsidRPr="001B09FE" w:rsidRDefault="00C24C56" w:rsidP="00C24C56">
      <w:pPr>
        <w:rPr>
          <w:b/>
          <w:sz w:val="20"/>
        </w:rPr>
      </w:pPr>
    </w:p>
    <w:p w:rsidR="00C24C56" w:rsidRPr="001B09FE" w:rsidRDefault="00C24C56" w:rsidP="00C24C56">
      <w:pPr>
        <w:tabs>
          <w:tab w:val="left" w:pos="567"/>
        </w:tabs>
        <w:spacing w:before="120" w:after="240"/>
        <w:rPr>
          <w:rFonts w:eastAsiaTheme="minorHAnsi"/>
          <w:b/>
          <w:sz w:val="20"/>
        </w:rPr>
      </w:pPr>
      <w:r w:rsidRPr="001B09FE">
        <w:rPr>
          <w:rFonts w:eastAsiaTheme="minorHAnsi"/>
          <w:b/>
          <w:sz w:val="20"/>
          <w:lang w:val="es-ES_tradnl"/>
        </w:rPr>
        <w:t>Oficina Internacional actuando en calidad de Oficina receptora (RO/IB)</w:t>
      </w:r>
    </w:p>
    <w:p w:rsidR="00C24C56" w:rsidRPr="001B09FE" w:rsidRDefault="00C24C56" w:rsidP="00C24C56">
      <w:pPr>
        <w:rPr>
          <w:i/>
          <w:sz w:val="20"/>
          <w:lang w:val="en-GB"/>
        </w:rPr>
      </w:pPr>
      <w:r w:rsidRPr="001B09FE">
        <w:rPr>
          <w:i/>
          <w:sz w:val="20"/>
          <w:lang w:val="es-ES_tradnl"/>
        </w:rPr>
        <w:t>Presentación de solicitudes</w:t>
      </w:r>
    </w:p>
    <w:p w:rsidR="00C24C56" w:rsidRPr="001B09FE" w:rsidRDefault="00C24C56" w:rsidP="00C24C56">
      <w:pPr>
        <w:rPr>
          <w:iCs/>
          <w:sz w:val="20"/>
          <w:lang w:val="en-GB"/>
        </w:rPr>
      </w:pPr>
    </w:p>
    <w:p w:rsidR="00C24C56" w:rsidRPr="001B09FE" w:rsidRDefault="00C24C56" w:rsidP="00C24C56">
      <w:pPr>
        <w:numPr>
          <w:ilvl w:val="0"/>
          <w:numId w:val="22"/>
        </w:numPr>
        <w:jc w:val="both"/>
        <w:rPr>
          <w:sz w:val="20"/>
        </w:rPr>
      </w:pPr>
      <w:r w:rsidRPr="001B09FE">
        <w:rPr>
          <w:sz w:val="20"/>
          <w:lang w:val="es-ES_tradnl"/>
        </w:rPr>
        <w:t>En este cuadro se muestra la actividad de presentación de sol</w:t>
      </w:r>
      <w:r>
        <w:rPr>
          <w:sz w:val="20"/>
          <w:lang w:val="es-ES_tradnl"/>
        </w:rPr>
        <w:t>icitudes PCT con respecto a las </w:t>
      </w:r>
      <w:r w:rsidRPr="001B09FE">
        <w:rPr>
          <w:sz w:val="20"/>
          <w:lang w:val="es-ES_tradnl"/>
        </w:rPr>
        <w:t>10 principales oficinas receptoras en los últimos cinco años hasta 2016.</w:t>
      </w:r>
      <w:r w:rsidRPr="001B09FE">
        <w:rPr>
          <w:sz w:val="20"/>
        </w:rPr>
        <w:t xml:space="preserve">  </w:t>
      </w:r>
      <w:r w:rsidRPr="001B09FE">
        <w:rPr>
          <w:sz w:val="20"/>
          <w:lang w:val="es-ES_tradnl"/>
        </w:rPr>
        <w:t xml:space="preserve">En principio, las solicitudes PCT se presentan en la oficina de patentes del país de residencia del solicitante o en una oficina regional de patentes con jurisdicción sobre el lugar de residencia del solicitante.  La IB es la Oficina receptora competente (RO/IB) para los solicitantes de todos los Estados contratantes del PCT.  En el cuadro se muestra la evolución en la presentación de solicitudes ante la RO/IB, el </w:t>
      </w:r>
      <w:r w:rsidRPr="001B09FE">
        <w:rPr>
          <w:i/>
          <w:sz w:val="20"/>
          <w:lang w:val="es-ES_tradnl"/>
        </w:rPr>
        <w:t>ranking</w:t>
      </w:r>
      <w:r w:rsidRPr="001B09FE">
        <w:rPr>
          <w:sz w:val="20"/>
          <w:lang w:val="es-ES_tradnl"/>
        </w:rPr>
        <w:t xml:space="preserve"> que le corresponde en lo relativo al número de solicitudes recibidas por otras oficinas receptoras, así como su cuota de mercado.</w:t>
      </w:r>
    </w:p>
    <w:p w:rsidR="00C24C56" w:rsidRPr="001B09FE" w:rsidRDefault="00C24C56" w:rsidP="00C24C56">
      <w:pPr>
        <w:jc w:val="both"/>
        <w:rPr>
          <w:sz w:val="20"/>
        </w:rPr>
      </w:pPr>
    </w:p>
    <w:p w:rsidR="00C24C56" w:rsidRPr="001B09FE" w:rsidRDefault="00C24C56" w:rsidP="00C24C56">
      <w:pPr>
        <w:jc w:val="center"/>
        <w:rPr>
          <w:sz w:val="20"/>
        </w:rPr>
      </w:pPr>
      <w:r w:rsidRPr="001B09FE">
        <w:rPr>
          <w:b/>
          <w:sz w:val="20"/>
        </w:rPr>
        <w:t>Solicitudes PCT recibidas de las 10 principales Oficinas receptoras</w:t>
      </w:r>
    </w:p>
    <w:p w:rsidR="00C24C56" w:rsidRPr="001B09FE" w:rsidRDefault="00C24C56" w:rsidP="00C24C56">
      <w:pPr>
        <w:jc w:val="both"/>
        <w:rPr>
          <w:sz w:val="20"/>
        </w:rPr>
      </w:pPr>
    </w:p>
    <w:p w:rsidR="00C24C56" w:rsidRPr="001B09FE" w:rsidRDefault="00C24C56" w:rsidP="00C24C56">
      <w:pPr>
        <w:jc w:val="center"/>
        <w:rPr>
          <w:noProof/>
          <w:sz w:val="20"/>
        </w:rPr>
      </w:pPr>
      <w:r w:rsidRPr="006A4F54">
        <w:rPr>
          <w:noProof/>
          <w:lang w:val="en-US" w:eastAsia="en-US"/>
        </w:rPr>
        <w:drawing>
          <wp:inline distT="0" distB="0" distL="0" distR="0" wp14:anchorId="4FE13D67" wp14:editId="0EFD6F43">
            <wp:extent cx="5760085" cy="2606898"/>
            <wp:effectExtent l="0" t="0" r="0" b="3175"/>
            <wp:docPr id="1292" name="Picture 1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760085" cy="2606898"/>
                    </a:xfrm>
                    <a:prstGeom prst="rect">
                      <a:avLst/>
                    </a:prstGeom>
                    <a:noFill/>
                    <a:ln>
                      <a:noFill/>
                    </a:ln>
                  </pic:spPr>
                </pic:pic>
              </a:graphicData>
            </a:graphic>
          </wp:inline>
        </w:drawing>
      </w:r>
    </w:p>
    <w:p w:rsidR="00C24C56" w:rsidRPr="001B09FE" w:rsidRDefault="00C24C56" w:rsidP="00C24C56">
      <w:pPr>
        <w:rPr>
          <w:sz w:val="20"/>
        </w:rPr>
      </w:pPr>
    </w:p>
    <w:p w:rsidR="00C24C56" w:rsidRPr="001B09FE" w:rsidRDefault="00C24C56" w:rsidP="00C24C56">
      <w:pPr>
        <w:keepNext/>
        <w:keepLines/>
        <w:rPr>
          <w:i/>
          <w:sz w:val="20"/>
        </w:rPr>
      </w:pPr>
      <w:r w:rsidRPr="001B09FE">
        <w:rPr>
          <w:i/>
          <w:sz w:val="20"/>
          <w:lang w:val="es-ES_tradnl"/>
        </w:rPr>
        <w:lastRenderedPageBreak/>
        <w:t>Tiempo que insume para la notificación de la fecha de presentación de la solicitud internacional</w:t>
      </w:r>
    </w:p>
    <w:p w:rsidR="00C24C56" w:rsidRPr="001B09FE" w:rsidRDefault="00C24C56" w:rsidP="00C24C56">
      <w:pPr>
        <w:keepNext/>
        <w:keepLines/>
        <w:rPr>
          <w:iCs/>
          <w:sz w:val="20"/>
        </w:rPr>
      </w:pPr>
    </w:p>
    <w:p w:rsidR="00C24C56" w:rsidRPr="001B09FE" w:rsidRDefault="00C24C56" w:rsidP="00C24C56">
      <w:pPr>
        <w:keepNext/>
        <w:keepLines/>
        <w:numPr>
          <w:ilvl w:val="0"/>
          <w:numId w:val="22"/>
        </w:numPr>
        <w:jc w:val="both"/>
        <w:rPr>
          <w:sz w:val="20"/>
        </w:rPr>
      </w:pPr>
      <w:r w:rsidRPr="001B09FE">
        <w:rPr>
          <w:sz w:val="20"/>
          <w:lang w:val="es-ES_tradnl"/>
        </w:rPr>
        <w:t>Este indicador refleja el tiempo que tarda la RO/IB en expedir el formulario 105.  Se expide este formulario una vez otorgada la fecha de presentación internacional.  Los solicitantes agradecen que se les envíe lo antes posible, puesto que la solicitud internacional surtirá el mismo efecto que una solicitud nacional común que haya sido presentada en cada uno de los Estados designados en la fecha de presentación internacional, que será considerada como la fecha de presentación efectiva en cada Estado designado.</w:t>
      </w:r>
    </w:p>
    <w:p w:rsidR="00C24C56" w:rsidRPr="001B09FE" w:rsidRDefault="00C24C56" w:rsidP="00C24C56">
      <w:pPr>
        <w:pStyle w:val="BodyText2"/>
        <w:spacing w:after="0" w:line="240" w:lineRule="auto"/>
        <w:jc w:val="both"/>
        <w:rPr>
          <w:rFonts w:cs="Arial"/>
          <w:szCs w:val="20"/>
          <w:lang w:val="es-ES"/>
        </w:rPr>
      </w:pPr>
    </w:p>
    <w:p w:rsidR="00C24C56" w:rsidRPr="001B09FE" w:rsidRDefault="00C24C56" w:rsidP="00C24C56">
      <w:pPr>
        <w:pStyle w:val="PlainText"/>
        <w:jc w:val="center"/>
        <w:rPr>
          <w:rFonts w:ascii="Arial" w:hAnsi="Arial" w:cs="Arial"/>
          <w:b/>
          <w:color w:val="auto"/>
          <w:lang w:val="es-ES"/>
        </w:rPr>
      </w:pPr>
      <w:r w:rsidRPr="001B09FE">
        <w:rPr>
          <w:rFonts w:ascii="Arial" w:hAnsi="Arial" w:cs="Arial"/>
          <w:b/>
          <w:color w:val="auto"/>
          <w:lang w:val="es-ES_tradnl"/>
        </w:rPr>
        <w:t>Tiempo que insume la notificación de la fecha de presentación de la solicitud internacional</w:t>
      </w:r>
    </w:p>
    <w:p w:rsidR="00C24C56" w:rsidRPr="001B09FE" w:rsidRDefault="00C24C56" w:rsidP="00C24C56">
      <w:pPr>
        <w:pStyle w:val="PlainText"/>
        <w:jc w:val="center"/>
        <w:rPr>
          <w:rFonts w:ascii="Arial" w:hAnsi="Arial" w:cs="Arial"/>
          <w:color w:val="auto"/>
        </w:rPr>
      </w:pPr>
      <w:r w:rsidRPr="001B09FE">
        <w:rPr>
          <w:rFonts w:ascii="Arial" w:hAnsi="Arial" w:cs="Arial"/>
          <w:noProof/>
          <w:lang w:eastAsia="en-US"/>
        </w:rPr>
        <w:drawing>
          <wp:inline distT="0" distB="0" distL="0" distR="0" wp14:anchorId="2BA224D3" wp14:editId="066B7112">
            <wp:extent cx="5760085" cy="2702937"/>
            <wp:effectExtent l="0" t="0" r="0" b="2540"/>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60085" cy="2702937"/>
                    </a:xfrm>
                    <a:prstGeom prst="rect">
                      <a:avLst/>
                    </a:prstGeom>
                    <a:noFill/>
                    <a:ln>
                      <a:noFill/>
                    </a:ln>
                  </pic:spPr>
                </pic:pic>
              </a:graphicData>
            </a:graphic>
          </wp:inline>
        </w:drawing>
      </w:r>
    </w:p>
    <w:p w:rsidR="00C24C56" w:rsidRPr="001B09FE" w:rsidRDefault="00C24C56" w:rsidP="00C24C56">
      <w:pPr>
        <w:rPr>
          <w:i/>
          <w:sz w:val="20"/>
        </w:rPr>
      </w:pPr>
    </w:p>
    <w:p w:rsidR="00C24C56" w:rsidRPr="001B09FE" w:rsidRDefault="00C24C56" w:rsidP="00C24C56">
      <w:pPr>
        <w:rPr>
          <w:i/>
          <w:sz w:val="20"/>
        </w:rPr>
      </w:pPr>
      <w:r w:rsidRPr="001B09FE">
        <w:rPr>
          <w:i/>
          <w:sz w:val="20"/>
          <w:lang w:val="es-ES_tradnl"/>
        </w:rPr>
        <w:t>Tiempo que insume la transmisión de la copia para la búsqueda</w:t>
      </w:r>
    </w:p>
    <w:p w:rsidR="00C24C56" w:rsidRPr="001B09FE" w:rsidRDefault="00C24C56" w:rsidP="00C24C56">
      <w:pPr>
        <w:rPr>
          <w:iCs/>
          <w:sz w:val="20"/>
        </w:rPr>
      </w:pPr>
    </w:p>
    <w:p w:rsidR="00C24C56" w:rsidRPr="001B09FE" w:rsidRDefault="00C24C56" w:rsidP="00C24C56">
      <w:pPr>
        <w:numPr>
          <w:ilvl w:val="0"/>
          <w:numId w:val="22"/>
        </w:numPr>
        <w:jc w:val="both"/>
        <w:rPr>
          <w:sz w:val="20"/>
        </w:rPr>
      </w:pPr>
      <w:r w:rsidRPr="001B09FE">
        <w:rPr>
          <w:sz w:val="20"/>
          <w:lang w:val="es-ES_tradnl"/>
        </w:rPr>
        <w:t>Este indicador refleja el tiempo que tarda la RO/IB en transmitir las copias para la búsqueda a las ISA.  La copia para la búsqueda debe ser transmitida lo antes posible tras el pago de la tasa, para que la ISA pueda elaborar el informe sobre la búsqueda internacional dentro de los plazos dispuestos en el marco regulador del PCT.  La demora en el pago de la tasa demorará la transmisión de las copias para la búsqueda a las ISA y, por lo tanto, incidirá negativamente en la capacidad de dichas Administraciones de cumplir con esos plazos.</w:t>
      </w:r>
    </w:p>
    <w:p w:rsidR="00C24C56" w:rsidRPr="001B09FE" w:rsidRDefault="00C24C56" w:rsidP="00C24C56">
      <w:pPr>
        <w:rPr>
          <w:sz w:val="20"/>
        </w:rPr>
      </w:pPr>
    </w:p>
    <w:p w:rsidR="00C24C56" w:rsidRPr="001B09FE" w:rsidRDefault="00C24C56" w:rsidP="00C24C56">
      <w:pPr>
        <w:pStyle w:val="PlainText"/>
        <w:jc w:val="center"/>
        <w:rPr>
          <w:rFonts w:ascii="Arial" w:hAnsi="Arial" w:cs="Arial"/>
          <w:b/>
          <w:color w:val="auto"/>
          <w:lang w:val="es-ES"/>
        </w:rPr>
      </w:pPr>
      <w:r w:rsidRPr="001B09FE">
        <w:rPr>
          <w:rFonts w:ascii="Arial" w:hAnsi="Arial" w:cs="Arial"/>
          <w:b/>
          <w:color w:val="auto"/>
          <w:lang w:val="es-ES_tradnl"/>
        </w:rPr>
        <w:t>Tiempo que insume la transmisión de la copia para la búsqueda</w:t>
      </w:r>
    </w:p>
    <w:p w:rsidR="00C24C56" w:rsidRPr="001B09FE" w:rsidRDefault="00C24C56" w:rsidP="00C24C56">
      <w:pPr>
        <w:rPr>
          <w:bCs/>
          <w:sz w:val="20"/>
        </w:rPr>
      </w:pPr>
      <w:r w:rsidRPr="001B09FE">
        <w:rPr>
          <w:noProof/>
          <w:sz w:val="20"/>
          <w:lang w:val="en-US" w:eastAsia="en-US"/>
        </w:rPr>
        <w:drawing>
          <wp:inline distT="0" distB="0" distL="0" distR="0" wp14:anchorId="62DD7EC7" wp14:editId="66557DD2">
            <wp:extent cx="5760000" cy="2812720"/>
            <wp:effectExtent l="0" t="0" r="0" b="6985"/>
            <wp:docPr id="915" name="Picture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60000" cy="2812720"/>
                    </a:xfrm>
                    <a:prstGeom prst="rect">
                      <a:avLst/>
                    </a:prstGeom>
                    <a:noFill/>
                    <a:ln>
                      <a:noFill/>
                    </a:ln>
                  </pic:spPr>
                </pic:pic>
              </a:graphicData>
            </a:graphic>
          </wp:inline>
        </w:drawing>
      </w:r>
    </w:p>
    <w:p w:rsidR="00C24C56" w:rsidRPr="00C6542E" w:rsidRDefault="00C24C56" w:rsidP="00C24C56">
      <w:pPr>
        <w:pStyle w:val="ListParagraph"/>
        <w:ind w:left="0" w:hanging="11"/>
        <w:rPr>
          <w:rFonts w:cs="Arial"/>
          <w:sz w:val="16"/>
          <w:szCs w:val="16"/>
        </w:rPr>
      </w:pPr>
    </w:p>
    <w:p w:rsidR="00C6542E" w:rsidRDefault="00C24C56" w:rsidP="00F7480A">
      <w:pPr>
        <w:pStyle w:val="ListParagraph"/>
        <w:ind w:left="0"/>
        <w:contextualSpacing/>
        <w:jc w:val="right"/>
        <w:rPr>
          <w:rFonts w:cs="Arial"/>
          <w:lang w:val="es-ES_tradnl"/>
        </w:rPr>
      </w:pPr>
      <w:r w:rsidRPr="001B09FE">
        <w:rPr>
          <w:rFonts w:cs="Arial"/>
          <w:lang w:val="es-ES_tradnl"/>
        </w:rPr>
        <w:t>[Fin del Anexo]</w:t>
      </w:r>
    </w:p>
    <w:p w:rsidR="00C6542E" w:rsidRPr="002F663B" w:rsidRDefault="00C6542E">
      <w:pPr>
        <w:rPr>
          <w:rFonts w:eastAsia="Times New Roman"/>
          <w:sz w:val="20"/>
          <w:lang w:eastAsia="en-US"/>
        </w:rPr>
      </w:pPr>
      <w:r>
        <w:br w:type="page"/>
      </w:r>
    </w:p>
    <w:p w:rsidR="001B23B7" w:rsidRPr="00740CBE" w:rsidRDefault="001B23B7" w:rsidP="00A34E19">
      <w:pPr>
        <w:keepNext/>
        <w:tabs>
          <w:tab w:val="left" w:pos="2410"/>
          <w:tab w:val="right" w:pos="9072"/>
        </w:tabs>
        <w:outlineLvl w:val="1"/>
        <w:rPr>
          <w:b/>
          <w:bCs/>
          <w:iCs/>
        </w:rPr>
      </w:pPr>
      <w:bookmarkStart w:id="33" w:name="_Toc482711246"/>
      <w:r w:rsidRPr="00740CBE">
        <w:rPr>
          <w:b/>
          <w:bCs/>
          <w:iCs/>
          <w:lang w:val="es-ES_tradnl"/>
        </w:rPr>
        <w:lastRenderedPageBreak/>
        <w:t>PROGRAMA 6</w:t>
      </w:r>
      <w:r w:rsidRPr="00740CBE">
        <w:rPr>
          <w:b/>
          <w:bCs/>
          <w:iCs/>
          <w:lang w:val="es-ES_tradnl"/>
        </w:rPr>
        <w:tab/>
        <w:t>SISTEMA DE MADRID</w:t>
      </w:r>
      <w:bookmarkEnd w:id="33"/>
    </w:p>
    <w:p w:rsidR="001B23B7" w:rsidRPr="00740CBE" w:rsidRDefault="001B23B7" w:rsidP="00A34E19">
      <w:pPr>
        <w:rPr>
          <w:rFonts w:cs="Times New Roman"/>
          <w:sz w:val="20"/>
        </w:rPr>
      </w:pPr>
    </w:p>
    <w:p w:rsidR="001B23B7" w:rsidRPr="00740CBE" w:rsidRDefault="001B23B7" w:rsidP="00A34E19">
      <w:pPr>
        <w:tabs>
          <w:tab w:val="left" w:pos="2410"/>
        </w:tabs>
        <w:rPr>
          <w:b/>
          <w:sz w:val="20"/>
        </w:rPr>
      </w:pPr>
      <w:r w:rsidRPr="00740CBE">
        <w:rPr>
          <w:b/>
          <w:sz w:val="20"/>
          <w:lang w:val="es-ES_tradnl"/>
        </w:rPr>
        <w:t>Directora de programa</w:t>
      </w:r>
      <w:r w:rsidRPr="00740CBE">
        <w:rPr>
          <w:sz w:val="20"/>
          <w:lang w:val="es-ES_tradnl"/>
        </w:rPr>
        <w:tab/>
      </w:r>
      <w:r w:rsidRPr="00740CBE">
        <w:rPr>
          <w:b/>
          <w:sz w:val="20"/>
          <w:lang w:val="es-ES_tradnl"/>
        </w:rPr>
        <w:t>Sra. B. Wang</w:t>
      </w:r>
    </w:p>
    <w:p w:rsidR="001B23B7" w:rsidRPr="00740CBE" w:rsidRDefault="001B23B7" w:rsidP="00A34E19">
      <w:pPr>
        <w:tabs>
          <w:tab w:val="left" w:pos="1985"/>
        </w:tabs>
        <w:jc w:val="center"/>
        <w:rPr>
          <w:rFonts w:cs="Times New Roman"/>
          <w:b/>
          <w:sz w:val="20"/>
          <w:szCs w:val="22"/>
        </w:rPr>
      </w:pPr>
      <w:r w:rsidRPr="008174EC">
        <w:rPr>
          <w:noProof/>
          <w:lang w:val="en-US" w:eastAsia="en-US"/>
        </w:rPr>
        <w:drawing>
          <wp:inline distT="0" distB="0" distL="0" distR="0" wp14:anchorId="78C8BFD8" wp14:editId="4874CA83">
            <wp:extent cx="5048250" cy="2647669"/>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57457" cy="2652498"/>
                    </a:xfrm>
                    <a:prstGeom prst="rect">
                      <a:avLst/>
                    </a:prstGeom>
                    <a:noFill/>
                    <a:ln>
                      <a:noFill/>
                    </a:ln>
                  </pic:spPr>
                </pic:pic>
              </a:graphicData>
            </a:graphic>
          </wp:inline>
        </w:drawing>
      </w:r>
    </w:p>
    <w:tbl>
      <w:tblPr>
        <w:tblW w:w="9580" w:type="dxa"/>
        <w:tblInd w:w="57" w:type="dxa"/>
        <w:tblLayout w:type="fixed"/>
        <w:tblCellMar>
          <w:left w:w="115" w:type="dxa"/>
          <w:right w:w="115" w:type="dxa"/>
        </w:tblCellMar>
        <w:tblLook w:val="0000" w:firstRow="0" w:lastRow="0" w:firstColumn="0" w:lastColumn="0" w:noHBand="0" w:noVBand="0"/>
      </w:tblPr>
      <w:tblGrid>
        <w:gridCol w:w="1843"/>
        <w:gridCol w:w="2550"/>
        <w:gridCol w:w="1701"/>
        <w:gridCol w:w="2188"/>
        <w:gridCol w:w="29"/>
        <w:gridCol w:w="1240"/>
        <w:gridCol w:w="29"/>
      </w:tblGrid>
      <w:tr w:rsidR="001B23B7" w:rsidRPr="00ED3AD4" w:rsidTr="00A34E19">
        <w:trPr>
          <w:gridAfter w:val="1"/>
          <w:wAfter w:w="15" w:type="pct"/>
          <w:trHeight w:val="624"/>
        </w:trPr>
        <w:tc>
          <w:tcPr>
            <w:tcW w:w="4985" w:type="pct"/>
            <w:gridSpan w:val="6"/>
            <w:shd w:val="clear" w:color="auto" w:fill="C6D9F1" w:themeFill="text2" w:themeFillTint="33"/>
            <w:tcMar>
              <w:left w:w="58" w:type="dxa"/>
              <w:right w:w="58" w:type="dxa"/>
            </w:tcMar>
            <w:vAlign w:val="center"/>
          </w:tcPr>
          <w:p w:rsidR="001B23B7" w:rsidRPr="00740CBE" w:rsidRDefault="001B23B7" w:rsidP="00A34E19">
            <w:pPr>
              <w:keepNext/>
              <w:keepLines/>
              <w:tabs>
                <w:tab w:val="left" w:pos="1452"/>
              </w:tabs>
              <w:ind w:left="1701" w:hanging="1701"/>
              <w:rPr>
                <w:b/>
                <w:bCs/>
                <w:sz w:val="16"/>
                <w:szCs w:val="16"/>
              </w:rPr>
            </w:pPr>
            <w:r w:rsidRPr="00740CBE">
              <w:rPr>
                <w:b/>
                <w:bCs/>
                <w:sz w:val="16"/>
                <w:szCs w:val="16"/>
              </w:rPr>
              <w:t>Resultado previsto:</w:t>
            </w:r>
            <w:r w:rsidRPr="00740CBE">
              <w:rPr>
                <w:b/>
                <w:bCs/>
                <w:sz w:val="16"/>
                <w:szCs w:val="16"/>
              </w:rPr>
              <w:tab/>
            </w:r>
            <w:r w:rsidRPr="00740CBE">
              <w:rPr>
                <w:bCs/>
                <w:sz w:val="16"/>
                <w:szCs w:val="16"/>
                <w:lang w:val="es-ES_tradnl"/>
              </w:rPr>
              <w:t>II.6  Mayor y más eficaz utilización del Sistema de Madrid, entre otros por los países en desarrollo y los PMA</w:t>
            </w:r>
          </w:p>
        </w:tc>
      </w:tr>
      <w:tr w:rsidR="001B23B7" w:rsidRPr="00740CBE" w:rsidTr="00A34E19">
        <w:trPr>
          <w:gridAfter w:val="1"/>
          <w:wAfter w:w="15" w:type="pct"/>
          <w:trHeight w:val="213"/>
        </w:trPr>
        <w:tc>
          <w:tcPr>
            <w:tcW w:w="962" w:type="pct"/>
            <w:shd w:val="clear" w:color="auto" w:fill="auto"/>
            <w:tcMar>
              <w:left w:w="58" w:type="dxa"/>
              <w:right w:w="58" w:type="dxa"/>
            </w:tcMar>
            <w:vAlign w:val="center"/>
          </w:tcPr>
          <w:p w:rsidR="001B23B7" w:rsidRPr="00740CBE" w:rsidRDefault="001B23B7" w:rsidP="00A34E19">
            <w:pPr>
              <w:rPr>
                <w:b/>
                <w:bCs/>
                <w:sz w:val="16"/>
                <w:szCs w:val="16"/>
              </w:rPr>
            </w:pPr>
            <w:r w:rsidRPr="00740CBE">
              <w:rPr>
                <w:b/>
                <w:bCs/>
                <w:sz w:val="16"/>
                <w:szCs w:val="16"/>
                <w:lang w:val="es-ES_tradnl"/>
              </w:rPr>
              <w:t>Indicadores de rendimiento</w:t>
            </w:r>
          </w:p>
        </w:tc>
        <w:tc>
          <w:tcPr>
            <w:tcW w:w="1331" w:type="pct"/>
            <w:shd w:val="clear" w:color="auto" w:fill="auto"/>
            <w:tcMar>
              <w:left w:w="58" w:type="dxa"/>
              <w:right w:w="58" w:type="dxa"/>
            </w:tcMar>
            <w:vAlign w:val="center"/>
          </w:tcPr>
          <w:p w:rsidR="001B23B7" w:rsidRPr="00740CBE" w:rsidRDefault="001B23B7" w:rsidP="00A34E19">
            <w:pPr>
              <w:rPr>
                <w:b/>
                <w:bCs/>
                <w:sz w:val="16"/>
                <w:szCs w:val="16"/>
              </w:rPr>
            </w:pPr>
            <w:r w:rsidRPr="00740CBE">
              <w:rPr>
                <w:b/>
                <w:bCs/>
                <w:sz w:val="16"/>
                <w:szCs w:val="16"/>
                <w:lang w:val="es-ES_tradnl"/>
              </w:rPr>
              <w:t>Referencias de base</w:t>
            </w:r>
          </w:p>
        </w:tc>
        <w:tc>
          <w:tcPr>
            <w:tcW w:w="888" w:type="pct"/>
            <w:shd w:val="clear" w:color="auto" w:fill="auto"/>
            <w:tcMar>
              <w:top w:w="110" w:type="dxa"/>
              <w:left w:w="58" w:type="dxa"/>
              <w:right w:w="58" w:type="dxa"/>
            </w:tcMar>
            <w:vAlign w:val="center"/>
          </w:tcPr>
          <w:p w:rsidR="001B23B7" w:rsidRPr="00740CBE" w:rsidRDefault="001B23B7" w:rsidP="00A34E19">
            <w:pPr>
              <w:tabs>
                <w:tab w:val="left" w:pos="290"/>
              </w:tabs>
              <w:rPr>
                <w:b/>
                <w:bCs/>
                <w:sz w:val="16"/>
                <w:szCs w:val="16"/>
              </w:rPr>
            </w:pPr>
            <w:r w:rsidRPr="00740CBE">
              <w:rPr>
                <w:b/>
                <w:bCs/>
                <w:sz w:val="16"/>
                <w:szCs w:val="16"/>
                <w:lang w:val="es-ES_tradnl"/>
              </w:rPr>
              <w:t>Objetivos</w:t>
            </w:r>
          </w:p>
        </w:tc>
        <w:tc>
          <w:tcPr>
            <w:tcW w:w="1142" w:type="pct"/>
            <w:shd w:val="clear" w:color="auto" w:fill="FFFFFF"/>
            <w:tcMar>
              <w:top w:w="110" w:type="dxa"/>
              <w:left w:w="58" w:type="dxa"/>
              <w:right w:w="58" w:type="dxa"/>
            </w:tcMar>
            <w:vAlign w:val="center"/>
          </w:tcPr>
          <w:p w:rsidR="001B23B7" w:rsidRPr="00740CBE" w:rsidRDefault="001B23B7" w:rsidP="00A34E19">
            <w:pPr>
              <w:rPr>
                <w:b/>
                <w:bCs/>
                <w:sz w:val="16"/>
                <w:szCs w:val="16"/>
              </w:rPr>
            </w:pPr>
            <w:r w:rsidRPr="00740CBE">
              <w:rPr>
                <w:b/>
                <w:bCs/>
                <w:sz w:val="16"/>
                <w:szCs w:val="16"/>
                <w:lang w:val="es-ES_tradnl"/>
              </w:rPr>
              <w:t>Datos sobre el rendimiento</w:t>
            </w:r>
          </w:p>
        </w:tc>
        <w:tc>
          <w:tcPr>
            <w:tcW w:w="661" w:type="pct"/>
            <w:gridSpan w:val="2"/>
            <w:shd w:val="clear" w:color="auto" w:fill="auto"/>
            <w:tcMar>
              <w:top w:w="110" w:type="dxa"/>
              <w:left w:w="58" w:type="dxa"/>
              <w:right w:w="58" w:type="dxa"/>
            </w:tcMar>
            <w:vAlign w:val="center"/>
          </w:tcPr>
          <w:p w:rsidR="001B23B7" w:rsidRPr="00740CBE" w:rsidRDefault="001B23B7" w:rsidP="00A34E19">
            <w:pPr>
              <w:keepNext/>
              <w:keepLines/>
              <w:jc w:val="center"/>
              <w:rPr>
                <w:b/>
                <w:bCs/>
                <w:sz w:val="16"/>
                <w:szCs w:val="16"/>
              </w:rPr>
            </w:pPr>
            <w:r w:rsidRPr="00740CBE">
              <w:rPr>
                <w:b/>
                <w:bCs/>
                <w:sz w:val="16"/>
                <w:szCs w:val="16"/>
                <w:lang w:val="es-ES_tradnl"/>
              </w:rPr>
              <w:t>Clave de colores</w:t>
            </w:r>
          </w:p>
        </w:tc>
      </w:tr>
      <w:tr w:rsidR="001B23B7" w:rsidRPr="00740CBE" w:rsidTr="00A34E19">
        <w:trPr>
          <w:gridAfter w:val="1"/>
          <w:wAfter w:w="15" w:type="pct"/>
          <w:trHeight w:val="1752"/>
        </w:trPr>
        <w:tc>
          <w:tcPr>
            <w:tcW w:w="962" w:type="pct"/>
            <w:shd w:val="clear" w:color="auto" w:fill="auto"/>
            <w:tcMar>
              <w:left w:w="58" w:type="dxa"/>
              <w:right w:w="58" w:type="dxa"/>
            </w:tcMar>
          </w:tcPr>
          <w:p w:rsidR="001B23B7" w:rsidRPr="00740CBE" w:rsidRDefault="001B23B7" w:rsidP="00A34E19">
            <w:pPr>
              <w:keepNext/>
              <w:keepLines/>
              <w:ind w:right="176"/>
              <w:rPr>
                <w:sz w:val="16"/>
                <w:szCs w:val="16"/>
              </w:rPr>
            </w:pPr>
            <w:r w:rsidRPr="00740CBE">
              <w:rPr>
                <w:sz w:val="16"/>
                <w:szCs w:val="16"/>
                <w:lang w:val="es-ES_tradnl"/>
              </w:rPr>
              <w:t>N.º total de miembros del Sistema de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rPr>
            </w:pPr>
            <w:r w:rsidRPr="0076648C">
              <w:rPr>
                <w:color w:val="002060"/>
                <w:sz w:val="16"/>
                <w:szCs w:val="16"/>
                <w:lang w:val="es-ES_tradnl"/>
              </w:rPr>
              <w:t>96 Partes Contratantes a fines de 2015, que abarcan 112 países</w:t>
            </w:r>
            <w:r w:rsidRPr="0076648C">
              <w:rPr>
                <w:rStyle w:val="FootnoteReference"/>
                <w:color w:val="002060"/>
              </w:rPr>
              <w:footnoteReference w:id="26"/>
            </w:r>
            <w:r w:rsidRPr="0076648C">
              <w:rPr>
                <w:color w:val="002060"/>
                <w:sz w:val="16"/>
                <w:szCs w:val="16"/>
              </w:rPr>
              <w:t xml:space="preserve"> </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A34E19">
            <w:pPr>
              <w:spacing w:after="240"/>
              <w:rPr>
                <w:sz w:val="16"/>
                <w:szCs w:val="16"/>
              </w:rPr>
            </w:pPr>
            <w:r w:rsidRPr="00740CBE">
              <w:rPr>
                <w:sz w:val="16"/>
                <w:szCs w:val="16"/>
              </w:rPr>
              <w:t>95 miembros (al 15 de abril de 2015)</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rPr>
              <w:t>103</w:t>
            </w:r>
          </w:p>
        </w:tc>
        <w:tc>
          <w:tcPr>
            <w:tcW w:w="1142" w:type="pct"/>
            <w:shd w:val="clear" w:color="auto" w:fill="FFFFFF"/>
            <w:tcMar>
              <w:top w:w="110" w:type="dxa"/>
              <w:left w:w="58" w:type="dxa"/>
              <w:right w:w="58" w:type="dxa"/>
            </w:tcMar>
          </w:tcPr>
          <w:p w:rsidR="001B23B7" w:rsidRPr="00740CBE" w:rsidRDefault="001B23B7" w:rsidP="00A34E19">
            <w:pPr>
              <w:rPr>
                <w:sz w:val="16"/>
                <w:szCs w:val="16"/>
              </w:rPr>
            </w:pPr>
            <w:r w:rsidRPr="00740CBE">
              <w:rPr>
                <w:sz w:val="16"/>
                <w:szCs w:val="16"/>
              </w:rPr>
              <w:t>97 Partes Contratantes que abarcan 113 países</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FF0000"/>
                <w:sz w:val="16"/>
                <w:szCs w:val="16"/>
                <w:lang w:val="es-ES_tradnl"/>
              </w:rPr>
              <w:t>No avanza</w:t>
            </w:r>
          </w:p>
          <w:p w:rsidR="001B23B7" w:rsidRPr="00740CBE" w:rsidRDefault="001B23B7" w:rsidP="00A34E19">
            <w:pPr>
              <w:keepNext/>
              <w:keepLines/>
              <w:jc w:val="center"/>
              <w:rPr>
                <w:b/>
                <w:sz w:val="16"/>
                <w:szCs w:val="16"/>
              </w:rPr>
            </w:pPr>
          </w:p>
        </w:tc>
      </w:tr>
      <w:tr w:rsidR="001B23B7" w:rsidRPr="00740CBE" w:rsidTr="00A34E19">
        <w:trPr>
          <w:gridAfter w:val="1"/>
          <w:wAfter w:w="15" w:type="pct"/>
          <w:trHeight w:val="1723"/>
        </w:trPr>
        <w:tc>
          <w:tcPr>
            <w:tcW w:w="962" w:type="pct"/>
            <w:shd w:val="clear" w:color="auto" w:fill="auto"/>
            <w:tcMar>
              <w:left w:w="58" w:type="dxa"/>
              <w:right w:w="58" w:type="dxa"/>
            </w:tcMar>
          </w:tcPr>
          <w:p w:rsidR="001B23B7" w:rsidRPr="00740CBE" w:rsidRDefault="001B23B7" w:rsidP="00A34E19">
            <w:pPr>
              <w:ind w:right="176"/>
              <w:rPr>
                <w:sz w:val="16"/>
                <w:szCs w:val="16"/>
              </w:rPr>
            </w:pPr>
            <w:r w:rsidRPr="00740CBE">
              <w:rPr>
                <w:sz w:val="16"/>
                <w:szCs w:val="16"/>
              </w:rPr>
              <w:t xml:space="preserve">Cuota de mercado </w:t>
            </w:r>
          </w:p>
          <w:p w:rsidR="001B23B7" w:rsidRPr="00740CBE" w:rsidRDefault="001B23B7" w:rsidP="00A34E19">
            <w:pPr>
              <w:ind w:right="176"/>
              <w:rPr>
                <w:sz w:val="16"/>
                <w:szCs w:val="16"/>
              </w:rPr>
            </w:pPr>
            <w:r w:rsidRPr="00740CBE">
              <w:rPr>
                <w:sz w:val="16"/>
                <w:szCs w:val="16"/>
              </w:rPr>
              <w:t>(es decir, preferencia por el Sistema de Madrid en lugar de la vía nacional)</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rPr>
            </w:pPr>
            <w:r w:rsidRPr="0076648C">
              <w:rPr>
                <w:color w:val="002060"/>
                <w:sz w:val="16"/>
                <w:szCs w:val="16"/>
              </w:rPr>
              <w:t>62,6% del mercado (2015)</w:t>
            </w:r>
          </w:p>
          <w:p w:rsidR="001B23B7" w:rsidRPr="0076648C" w:rsidRDefault="001B23B7" w:rsidP="00A34E19">
            <w:pPr>
              <w:rPr>
                <w:color w:val="002060"/>
                <w:sz w:val="16"/>
                <w:szCs w:val="16"/>
              </w:rPr>
            </w:pPr>
            <w:r w:rsidRPr="0076648C">
              <w:rPr>
                <w:color w:val="002060"/>
                <w:sz w:val="16"/>
                <w:szCs w:val="16"/>
              </w:rPr>
              <w:t>65,3% del mercado (2014)</w:t>
            </w:r>
            <w:r w:rsidRPr="0076648C">
              <w:rPr>
                <w:rStyle w:val="FootnoteReference"/>
                <w:color w:val="002060"/>
              </w:rPr>
              <w:footnoteReference w:id="27"/>
            </w:r>
          </w:p>
          <w:p w:rsidR="001B23B7" w:rsidRPr="00740CBE" w:rsidRDefault="001B23B7" w:rsidP="00A34E19">
            <w:pPr>
              <w:rPr>
                <w:i/>
                <w:sz w:val="16"/>
                <w:szCs w:val="16"/>
                <w:lang w:bidi="th-TH"/>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p>
          <w:p w:rsidR="001B23B7" w:rsidRPr="00740CBE" w:rsidRDefault="001B23B7" w:rsidP="00A34E19">
            <w:pPr>
              <w:spacing w:after="240"/>
              <w:rPr>
                <w:sz w:val="16"/>
                <w:szCs w:val="16"/>
              </w:rPr>
            </w:pPr>
            <w:r w:rsidRPr="00740CBE">
              <w:rPr>
                <w:sz w:val="16"/>
                <w:szCs w:val="16"/>
              </w:rPr>
              <w:t>63,4% del mercado (al 31 de diciembre de 2012)</w:t>
            </w:r>
          </w:p>
        </w:tc>
        <w:tc>
          <w:tcPr>
            <w:tcW w:w="888" w:type="pct"/>
            <w:shd w:val="clear" w:color="auto" w:fill="auto"/>
            <w:tcMar>
              <w:top w:w="110" w:type="dxa"/>
              <w:left w:w="58" w:type="dxa"/>
              <w:right w:w="58" w:type="dxa"/>
            </w:tcMar>
          </w:tcPr>
          <w:p w:rsidR="001B23B7" w:rsidRPr="00740CBE" w:rsidRDefault="001B23B7" w:rsidP="00A34E19">
            <w:pPr>
              <w:keepNext/>
              <w:keepLines/>
              <w:rPr>
                <w:sz w:val="16"/>
                <w:szCs w:val="16"/>
              </w:rPr>
            </w:pPr>
            <w:r w:rsidRPr="00740CBE">
              <w:rPr>
                <w:sz w:val="16"/>
                <w:szCs w:val="16"/>
                <w:lang w:val="es-ES_tradnl"/>
              </w:rPr>
              <w:t>Aumento de la cuota de mercado</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rPr>
              <w:t>Los datos de 2016 estarán disponibles solo a fines de 2017</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0070C0"/>
                <w:sz w:val="16"/>
                <w:szCs w:val="16"/>
                <w:lang w:val="es-ES_tradnl"/>
              </w:rPr>
              <w:t>No disponible para 2016</w:t>
            </w:r>
          </w:p>
        </w:tc>
      </w:tr>
      <w:tr w:rsidR="001B23B7" w:rsidRPr="00740CBE" w:rsidTr="00C71F45">
        <w:trPr>
          <w:gridAfter w:val="1"/>
          <w:wAfter w:w="15" w:type="pct"/>
          <w:trHeight w:val="570"/>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Índice de presentación de solicitudes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rPr>
            </w:pPr>
            <w:r w:rsidRPr="0076648C">
              <w:rPr>
                <w:color w:val="002060"/>
                <w:sz w:val="16"/>
                <w:szCs w:val="16"/>
              </w:rPr>
              <w:t>49.013  solicitudes</w:t>
            </w:r>
          </w:p>
          <w:p w:rsidR="001B23B7" w:rsidRPr="0076648C" w:rsidRDefault="001B23B7" w:rsidP="00A34E19">
            <w:pPr>
              <w:rPr>
                <w:color w:val="002060"/>
                <w:sz w:val="16"/>
                <w:szCs w:val="16"/>
              </w:rPr>
            </w:pPr>
            <w:r w:rsidRPr="0076648C">
              <w:rPr>
                <w:color w:val="002060"/>
                <w:sz w:val="16"/>
                <w:szCs w:val="16"/>
              </w:rPr>
              <w:t>+1% en el índice de presentación (en comparación con las 49.013 solicitudes de 2014)</w:t>
            </w:r>
            <w:r w:rsidRPr="0076648C">
              <w:rPr>
                <w:rStyle w:val="FootnoteReference"/>
                <w:color w:val="002060"/>
              </w:rPr>
              <w:footnoteReference w:id="28"/>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bidi="th-TH"/>
              </w:rPr>
              <w:t>Referencia original en el presupuesto de 2016/17:</w:t>
            </w:r>
          </w:p>
          <w:p w:rsidR="001B23B7" w:rsidRPr="00740CBE" w:rsidRDefault="001B23B7" w:rsidP="00A34E19">
            <w:pPr>
              <w:rPr>
                <w:sz w:val="16"/>
                <w:szCs w:val="16"/>
              </w:rPr>
            </w:pPr>
            <w:r w:rsidRPr="00740CBE">
              <w:rPr>
                <w:sz w:val="16"/>
                <w:szCs w:val="16"/>
              </w:rPr>
              <w:t xml:space="preserve">47.885  solicitudes </w:t>
            </w:r>
          </w:p>
          <w:p w:rsidR="001B23B7" w:rsidRPr="00740CBE" w:rsidRDefault="001B23B7" w:rsidP="00A34E19">
            <w:pPr>
              <w:rPr>
                <w:sz w:val="16"/>
                <w:szCs w:val="16"/>
              </w:rPr>
            </w:pPr>
            <w:r w:rsidRPr="00740CBE">
              <w:rPr>
                <w:sz w:val="16"/>
                <w:szCs w:val="16"/>
              </w:rPr>
              <w:t xml:space="preserve">+2,3% en el índice de </w:t>
            </w:r>
            <w:r w:rsidRPr="00740CBE">
              <w:rPr>
                <w:sz w:val="16"/>
                <w:szCs w:val="16"/>
              </w:rPr>
              <w:lastRenderedPageBreak/>
              <w:t>presentación (al 31.12.2014) en comparación con 2013</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lang w:val="es-ES_tradnl"/>
              </w:rPr>
              <w:lastRenderedPageBreak/>
              <w:t xml:space="preserve">2016: + 4,6% en el índice de presentación  </w:t>
            </w:r>
            <w:r w:rsidRPr="00740CBE">
              <w:rPr>
                <w:sz w:val="16"/>
                <w:szCs w:val="16"/>
                <w:lang w:val="es-ES_tradnl"/>
              </w:rPr>
              <w:br/>
              <w:t>2017: + 2,3% en el índice de presentación</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rPr>
              <w:t xml:space="preserve">52.550  solicitudes </w:t>
            </w:r>
          </w:p>
          <w:p w:rsidR="001B23B7" w:rsidRPr="00740CBE" w:rsidRDefault="001B23B7" w:rsidP="00A34E19">
            <w:pPr>
              <w:keepNext/>
              <w:keepLines/>
              <w:rPr>
                <w:sz w:val="16"/>
                <w:szCs w:val="16"/>
              </w:rPr>
            </w:pPr>
            <w:r w:rsidRPr="00740CBE">
              <w:rPr>
                <w:sz w:val="16"/>
                <w:szCs w:val="16"/>
              </w:rPr>
              <w:t>+ 7,2% en el índice de presentación en comparación con 2015)</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sz w:val="16"/>
                <w:szCs w:val="16"/>
              </w:rPr>
            </w:pPr>
            <w:r w:rsidRPr="00740CBE">
              <w:rPr>
                <w:b/>
                <w:color w:val="00B050"/>
                <w:sz w:val="16"/>
                <w:szCs w:val="16"/>
                <w:lang w:val="es-ES_tradnl"/>
              </w:rPr>
              <w:t>Avanza</w:t>
            </w:r>
          </w:p>
        </w:tc>
      </w:tr>
      <w:tr w:rsidR="001B23B7" w:rsidRPr="00740CBE" w:rsidTr="00C71F45">
        <w:trPr>
          <w:gridAfter w:val="1"/>
          <w:wAfter w:w="15" w:type="pct"/>
          <w:trHeight w:val="1444"/>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lastRenderedPageBreak/>
              <w:t>Registros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lang w:bidi="th-TH"/>
              </w:rPr>
            </w:pPr>
            <w:r w:rsidRPr="0076648C">
              <w:rPr>
                <w:color w:val="002060"/>
                <w:sz w:val="16"/>
                <w:szCs w:val="16"/>
                <w:lang w:bidi="th-TH"/>
              </w:rPr>
              <w:t>51.938 (2015)</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A34E19">
            <w:pPr>
              <w:rPr>
                <w:sz w:val="16"/>
                <w:szCs w:val="16"/>
              </w:rPr>
            </w:pPr>
            <w:r w:rsidRPr="00740CBE">
              <w:rPr>
                <w:sz w:val="16"/>
                <w:szCs w:val="16"/>
              </w:rPr>
              <w:t>42.430 (2014)</w:t>
            </w:r>
          </w:p>
        </w:tc>
        <w:tc>
          <w:tcPr>
            <w:tcW w:w="888" w:type="pct"/>
            <w:shd w:val="clear" w:color="auto" w:fill="auto"/>
            <w:tcMar>
              <w:top w:w="110" w:type="dxa"/>
              <w:left w:w="58" w:type="dxa"/>
              <w:right w:w="58" w:type="dxa"/>
            </w:tcMar>
          </w:tcPr>
          <w:p w:rsidR="001B23B7" w:rsidRPr="00F74742" w:rsidRDefault="001B23B7" w:rsidP="00A34E19">
            <w:pPr>
              <w:rPr>
                <w:color w:val="002060"/>
                <w:sz w:val="16"/>
                <w:szCs w:val="16"/>
              </w:rPr>
            </w:pPr>
            <w:r w:rsidRPr="00F74742">
              <w:rPr>
                <w:i/>
                <w:color w:val="002060"/>
                <w:sz w:val="16"/>
                <w:szCs w:val="16"/>
                <w:lang w:val="es-ES_tradnl"/>
              </w:rPr>
              <w:t>Objetivo actualizado:</w:t>
            </w:r>
            <w:r w:rsidRPr="00F74742">
              <w:rPr>
                <w:i/>
                <w:color w:val="002060"/>
                <w:sz w:val="16"/>
                <w:szCs w:val="16"/>
              </w:rPr>
              <w:t xml:space="preserve">  </w:t>
            </w:r>
          </w:p>
          <w:p w:rsidR="001B23B7" w:rsidRPr="00F74742" w:rsidRDefault="001B23B7" w:rsidP="00A34E19">
            <w:pPr>
              <w:keepNext/>
              <w:keepLines/>
              <w:rPr>
                <w:color w:val="002060"/>
                <w:sz w:val="16"/>
                <w:szCs w:val="16"/>
              </w:rPr>
            </w:pPr>
            <w:r w:rsidRPr="00F74742">
              <w:rPr>
                <w:color w:val="002060"/>
                <w:sz w:val="16"/>
                <w:szCs w:val="16"/>
              </w:rPr>
              <w:t>&gt; 47.500 (2016)</w:t>
            </w:r>
          </w:p>
          <w:p w:rsidR="001B23B7" w:rsidRPr="00F74742" w:rsidRDefault="001B23B7" w:rsidP="00A34E19">
            <w:pPr>
              <w:keepNext/>
              <w:keepLines/>
              <w:rPr>
                <w:color w:val="002060"/>
                <w:sz w:val="16"/>
                <w:szCs w:val="16"/>
              </w:rPr>
            </w:pPr>
            <w:r w:rsidRPr="00F74742">
              <w:rPr>
                <w:color w:val="002060"/>
                <w:sz w:val="16"/>
                <w:szCs w:val="16"/>
              </w:rPr>
              <w:t>&gt; 52.000 (2017)</w:t>
            </w:r>
          </w:p>
          <w:p w:rsidR="001B23B7" w:rsidRPr="00740CBE" w:rsidRDefault="001B23B7" w:rsidP="00A34E19">
            <w:pPr>
              <w:keepNext/>
              <w:keepLines/>
              <w:rPr>
                <w:sz w:val="16"/>
                <w:szCs w:val="16"/>
              </w:rPr>
            </w:pPr>
          </w:p>
          <w:p w:rsidR="001B23B7" w:rsidRPr="00740CBE" w:rsidRDefault="001B23B7" w:rsidP="00A34E19">
            <w:pPr>
              <w:rPr>
                <w:i/>
                <w:sz w:val="16"/>
                <w:szCs w:val="16"/>
                <w:lang w:bidi="th-TH"/>
              </w:rPr>
            </w:pPr>
            <w:r w:rsidRPr="00740CBE">
              <w:rPr>
                <w:i/>
                <w:sz w:val="16"/>
                <w:szCs w:val="16"/>
                <w:lang w:val="es-ES_tradnl" w:bidi="th-TH"/>
              </w:rPr>
              <w:t>Objetivo original en el presupuesto 2016/17:</w:t>
            </w:r>
            <w:r w:rsidRPr="00740CBE">
              <w:rPr>
                <w:i/>
                <w:sz w:val="16"/>
                <w:szCs w:val="16"/>
                <w:lang w:bidi="th-TH"/>
              </w:rPr>
              <w:t xml:space="preserve">  </w:t>
            </w:r>
          </w:p>
          <w:p w:rsidR="001B23B7" w:rsidRPr="00740CBE" w:rsidRDefault="001B23B7" w:rsidP="00A34E19">
            <w:pPr>
              <w:rPr>
                <w:sz w:val="16"/>
                <w:szCs w:val="16"/>
              </w:rPr>
            </w:pPr>
            <w:r w:rsidRPr="00740CBE">
              <w:rPr>
                <w:sz w:val="16"/>
                <w:szCs w:val="16"/>
              </w:rPr>
              <w:t>47.387 (2016)</w:t>
            </w:r>
          </w:p>
          <w:p w:rsidR="001B23B7" w:rsidRPr="00740CBE" w:rsidRDefault="001B23B7" w:rsidP="00C71F45">
            <w:pPr>
              <w:rPr>
                <w:sz w:val="16"/>
                <w:szCs w:val="16"/>
              </w:rPr>
            </w:pPr>
            <w:r w:rsidRPr="00740CBE">
              <w:rPr>
                <w:sz w:val="16"/>
                <w:szCs w:val="16"/>
              </w:rPr>
              <w:t>48.652 (2017)</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lang w:val="es-ES_tradnl"/>
              </w:rPr>
              <w:t>44.726 registros</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tc>
        <w:tc>
          <w:tcPr>
            <w:tcW w:w="661" w:type="pct"/>
            <w:gridSpan w:val="2"/>
            <w:shd w:val="clear" w:color="auto" w:fill="auto"/>
            <w:tcMar>
              <w:top w:w="110" w:type="dxa"/>
              <w:left w:w="58" w:type="dxa"/>
              <w:right w:w="58" w:type="dxa"/>
            </w:tcMar>
          </w:tcPr>
          <w:p w:rsidR="001B23B7" w:rsidRPr="00740CBE" w:rsidRDefault="001B23B7" w:rsidP="00A34E19">
            <w:pPr>
              <w:keepNext/>
              <w:keepLines/>
              <w:ind w:right="-238"/>
              <w:jc w:val="center"/>
              <w:rPr>
                <w:b/>
                <w:sz w:val="16"/>
                <w:szCs w:val="16"/>
              </w:rPr>
            </w:pPr>
            <w:r w:rsidRPr="00740CBE">
              <w:rPr>
                <w:b/>
                <w:color w:val="00B050"/>
                <w:sz w:val="16"/>
                <w:szCs w:val="16"/>
                <w:lang w:val="es-ES_tradnl"/>
              </w:rPr>
              <w:t>Avanza</w:t>
            </w:r>
          </w:p>
        </w:tc>
      </w:tr>
      <w:tr w:rsidR="001B23B7" w:rsidRPr="00740CBE" w:rsidTr="00C71F45">
        <w:trPr>
          <w:gridAfter w:val="1"/>
          <w:wAfter w:w="15" w:type="pct"/>
          <w:trHeight w:val="1328"/>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Renovaciones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lang w:bidi="th-TH"/>
              </w:rPr>
            </w:pPr>
            <w:r w:rsidRPr="0076648C">
              <w:rPr>
                <w:color w:val="002060"/>
                <w:sz w:val="16"/>
                <w:szCs w:val="16"/>
                <w:lang w:val="es-ES_tradnl" w:bidi="th-TH"/>
              </w:rPr>
              <w:t>28.384 renovaciones</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p>
          <w:p w:rsidR="001B23B7" w:rsidRPr="00740CBE" w:rsidRDefault="001B23B7" w:rsidP="00C71F45">
            <w:pPr>
              <w:rPr>
                <w:sz w:val="16"/>
                <w:szCs w:val="16"/>
              </w:rPr>
            </w:pPr>
            <w:r w:rsidRPr="00740CBE">
              <w:rPr>
                <w:sz w:val="16"/>
                <w:szCs w:val="16"/>
              </w:rPr>
              <w:t>25.729 (2014)</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rPr>
              <w:t>29.850 (2016)</w:t>
            </w:r>
          </w:p>
          <w:p w:rsidR="001B23B7" w:rsidRPr="00740CBE" w:rsidRDefault="001B23B7" w:rsidP="00A34E19">
            <w:pPr>
              <w:rPr>
                <w:sz w:val="16"/>
                <w:szCs w:val="16"/>
              </w:rPr>
            </w:pPr>
            <w:r w:rsidRPr="00740CBE">
              <w:rPr>
                <w:sz w:val="16"/>
                <w:szCs w:val="16"/>
              </w:rPr>
              <w:t>31.020 (2017)</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lang w:val="es-ES_tradnl"/>
              </w:rPr>
              <w:t>30.103 renovaciones</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00B050"/>
                <w:sz w:val="16"/>
                <w:szCs w:val="16"/>
                <w:lang w:val="es-ES_tradnl"/>
              </w:rPr>
              <w:t>Avanza</w:t>
            </w:r>
          </w:p>
        </w:tc>
      </w:tr>
      <w:tr w:rsidR="001B23B7" w:rsidRPr="00740CBE" w:rsidTr="00C71F45">
        <w:trPr>
          <w:gridAfter w:val="1"/>
          <w:wAfter w:w="15" w:type="pct"/>
          <w:trHeight w:val="1820"/>
        </w:trPr>
        <w:tc>
          <w:tcPr>
            <w:tcW w:w="962" w:type="pct"/>
            <w:shd w:val="clear" w:color="auto" w:fill="auto"/>
            <w:tcMar>
              <w:left w:w="58" w:type="dxa"/>
              <w:right w:w="58" w:type="dxa"/>
            </w:tcMar>
          </w:tcPr>
          <w:p w:rsidR="001B23B7" w:rsidRPr="00740CBE" w:rsidRDefault="001B23B7" w:rsidP="00A34E19">
            <w:pPr>
              <w:ind w:right="176"/>
              <w:rPr>
                <w:sz w:val="16"/>
                <w:szCs w:val="16"/>
              </w:rPr>
            </w:pPr>
            <w:r w:rsidRPr="00740CBE">
              <w:rPr>
                <w:sz w:val="16"/>
                <w:szCs w:val="16"/>
                <w:lang w:val="es-ES_tradnl"/>
              </w:rPr>
              <w:t>N.º total de registros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lang w:bidi="th-TH"/>
              </w:rPr>
            </w:pPr>
            <w:r w:rsidRPr="0076648C">
              <w:rPr>
                <w:color w:val="002060"/>
                <w:sz w:val="16"/>
                <w:szCs w:val="16"/>
                <w:lang w:bidi="th-TH"/>
              </w:rPr>
              <w:t xml:space="preserve">625.765 registros activos </w:t>
            </w:r>
          </w:p>
          <w:p w:rsidR="001B23B7" w:rsidRPr="0076648C" w:rsidRDefault="001B23B7" w:rsidP="00A34E19">
            <w:pPr>
              <w:rPr>
                <w:color w:val="002060"/>
                <w:sz w:val="16"/>
                <w:szCs w:val="16"/>
                <w:lang w:bidi="th-TH"/>
              </w:rPr>
            </w:pPr>
            <w:r w:rsidRPr="0076648C">
              <w:rPr>
                <w:color w:val="002060"/>
                <w:sz w:val="16"/>
                <w:szCs w:val="16"/>
                <w:lang w:val="es-ES_tradnl" w:bidi="th-TH"/>
              </w:rPr>
              <w:t>(al 31 de diciembre de 2015)</w:t>
            </w:r>
            <w:r w:rsidRPr="0076648C">
              <w:rPr>
                <w:rStyle w:val="FootnoteReference"/>
                <w:color w:val="002060"/>
                <w:lang w:bidi="th-TH"/>
              </w:rPr>
              <w:footnoteReference w:id="29"/>
            </w:r>
          </w:p>
          <w:p w:rsidR="001B23B7" w:rsidRPr="00740CBE" w:rsidRDefault="001B23B7" w:rsidP="00A34E19">
            <w:pPr>
              <w:rPr>
                <w:i/>
                <w:sz w:val="16"/>
                <w:szCs w:val="16"/>
                <w:lang w:bidi="th-TH"/>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p>
          <w:p w:rsidR="001B23B7" w:rsidRPr="00740CBE" w:rsidRDefault="001B23B7" w:rsidP="00A34E19">
            <w:pPr>
              <w:rPr>
                <w:sz w:val="16"/>
                <w:szCs w:val="16"/>
              </w:rPr>
            </w:pPr>
            <w:r w:rsidRPr="00740CBE">
              <w:rPr>
                <w:sz w:val="16"/>
                <w:szCs w:val="16"/>
                <w:lang w:val="es-ES_tradnl"/>
              </w:rPr>
              <w:t>594.477 registros</w:t>
            </w:r>
            <w:r w:rsidRPr="00740CBE">
              <w:rPr>
                <w:sz w:val="16"/>
                <w:szCs w:val="16"/>
              </w:rPr>
              <w:t xml:space="preserve"> </w:t>
            </w:r>
          </w:p>
          <w:p w:rsidR="001B23B7" w:rsidRPr="00740CBE" w:rsidRDefault="001B23B7" w:rsidP="00C71F45">
            <w:pPr>
              <w:rPr>
                <w:sz w:val="16"/>
                <w:szCs w:val="16"/>
              </w:rPr>
            </w:pPr>
            <w:r w:rsidRPr="00740CBE">
              <w:rPr>
                <w:sz w:val="16"/>
                <w:szCs w:val="16"/>
                <w:lang w:val="es-ES_tradnl"/>
              </w:rPr>
              <w:t>(al 31 de diciembre de 2014)</w:t>
            </w:r>
          </w:p>
        </w:tc>
        <w:tc>
          <w:tcPr>
            <w:tcW w:w="888" w:type="pct"/>
            <w:shd w:val="clear" w:color="auto" w:fill="auto"/>
            <w:tcMar>
              <w:top w:w="110" w:type="dxa"/>
              <w:left w:w="58" w:type="dxa"/>
              <w:right w:w="58" w:type="dxa"/>
            </w:tcMar>
          </w:tcPr>
          <w:p w:rsidR="001B23B7" w:rsidRPr="00740CBE" w:rsidRDefault="001B23B7" w:rsidP="00A34E19">
            <w:pPr>
              <w:keepNext/>
              <w:keepLines/>
              <w:rPr>
                <w:sz w:val="16"/>
                <w:szCs w:val="16"/>
              </w:rPr>
            </w:pPr>
            <w:r w:rsidRPr="00740CBE">
              <w:rPr>
                <w:sz w:val="16"/>
                <w:szCs w:val="16"/>
              </w:rPr>
              <w:t>2016: 630.000 registros</w:t>
            </w:r>
            <w:r w:rsidRPr="00740CBE">
              <w:rPr>
                <w:sz w:val="16"/>
                <w:szCs w:val="16"/>
              </w:rPr>
              <w:br/>
              <w:t>2017: 650.000 registros</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lang w:val="es-ES_tradnl"/>
              </w:rPr>
              <w:t>641.587 registros</w:t>
            </w:r>
            <w:r w:rsidRPr="00740CBE">
              <w:rPr>
                <w:sz w:val="16"/>
                <w:szCs w:val="16"/>
              </w:rPr>
              <w:t xml:space="preserve"> </w:t>
            </w:r>
          </w:p>
          <w:p w:rsidR="001B23B7" w:rsidRPr="00740CBE" w:rsidRDefault="001B23B7" w:rsidP="00A34E19">
            <w:pPr>
              <w:keepNext/>
              <w:keepLines/>
              <w:rPr>
                <w:sz w:val="16"/>
                <w:szCs w:val="16"/>
              </w:rPr>
            </w:pP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sz w:val="16"/>
                <w:szCs w:val="16"/>
              </w:rPr>
            </w:pPr>
            <w:r w:rsidRPr="00740CBE">
              <w:rPr>
                <w:b/>
                <w:color w:val="00B050"/>
                <w:sz w:val="16"/>
                <w:szCs w:val="16"/>
                <w:lang w:val="es-ES_tradnl"/>
              </w:rPr>
              <w:t>Avanza</w:t>
            </w:r>
          </w:p>
        </w:tc>
      </w:tr>
      <w:tr w:rsidR="001B23B7" w:rsidRPr="00740CBE" w:rsidTr="00C71F45">
        <w:trPr>
          <w:gridAfter w:val="1"/>
          <w:wAfter w:w="15" w:type="pct"/>
          <w:trHeight w:val="1863"/>
        </w:trPr>
        <w:tc>
          <w:tcPr>
            <w:tcW w:w="962" w:type="pct"/>
            <w:shd w:val="clear" w:color="auto" w:fill="auto"/>
            <w:tcMar>
              <w:left w:w="58" w:type="dxa"/>
              <w:right w:w="58" w:type="dxa"/>
            </w:tcMar>
          </w:tcPr>
          <w:p w:rsidR="001B23B7" w:rsidRPr="00740CBE" w:rsidRDefault="001B23B7" w:rsidP="00A34E19">
            <w:pPr>
              <w:ind w:right="176"/>
              <w:rPr>
                <w:sz w:val="16"/>
                <w:szCs w:val="16"/>
              </w:rPr>
            </w:pPr>
            <w:r w:rsidRPr="00740CBE">
              <w:rPr>
                <w:sz w:val="16"/>
                <w:szCs w:val="16"/>
                <w:lang w:val="es-ES_tradnl"/>
              </w:rPr>
              <w:t>N.º total de designaciones (Madrid)</w:t>
            </w:r>
          </w:p>
        </w:tc>
        <w:tc>
          <w:tcPr>
            <w:tcW w:w="1331" w:type="pct"/>
            <w:shd w:val="clear" w:color="auto" w:fill="auto"/>
            <w:tcMar>
              <w:left w:w="58" w:type="dxa"/>
              <w:right w:w="58" w:type="dxa"/>
            </w:tcMar>
          </w:tcPr>
          <w:p w:rsidR="001B23B7" w:rsidRPr="0076648C" w:rsidRDefault="001B23B7" w:rsidP="00A34E19">
            <w:pPr>
              <w:rPr>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rPr>
            </w:pPr>
            <w:r w:rsidRPr="0076648C">
              <w:rPr>
                <w:color w:val="002060"/>
                <w:sz w:val="16"/>
                <w:szCs w:val="16"/>
              </w:rPr>
              <w:t>5,66 millones de designaciones activas (al 31 de diciembre de 2015)</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A34E19">
            <w:pPr>
              <w:rPr>
                <w:sz w:val="16"/>
                <w:szCs w:val="16"/>
              </w:rPr>
            </w:pPr>
            <w:r w:rsidRPr="00740CBE">
              <w:rPr>
                <w:sz w:val="16"/>
                <w:szCs w:val="16"/>
              </w:rPr>
              <w:t>5,61 millones de designaciones</w:t>
            </w:r>
          </w:p>
          <w:p w:rsidR="001B23B7" w:rsidRPr="00740CBE" w:rsidRDefault="001B23B7" w:rsidP="00C71F45">
            <w:pPr>
              <w:rPr>
                <w:sz w:val="16"/>
                <w:szCs w:val="16"/>
              </w:rPr>
            </w:pPr>
            <w:r w:rsidRPr="00740CBE">
              <w:rPr>
                <w:sz w:val="16"/>
                <w:szCs w:val="16"/>
              </w:rPr>
              <w:t>(al 31 de diciembre de 2014)</w:t>
            </w:r>
          </w:p>
        </w:tc>
        <w:tc>
          <w:tcPr>
            <w:tcW w:w="888" w:type="pct"/>
            <w:shd w:val="clear" w:color="auto" w:fill="auto"/>
            <w:tcMar>
              <w:top w:w="110" w:type="dxa"/>
              <w:left w:w="58" w:type="dxa"/>
              <w:right w:w="58" w:type="dxa"/>
            </w:tcMar>
          </w:tcPr>
          <w:p w:rsidR="001B23B7" w:rsidRPr="00740CBE" w:rsidRDefault="001B23B7" w:rsidP="00A34E19">
            <w:pPr>
              <w:keepNext/>
              <w:keepLines/>
              <w:rPr>
                <w:sz w:val="16"/>
                <w:szCs w:val="16"/>
              </w:rPr>
            </w:pPr>
            <w:r w:rsidRPr="00740CBE">
              <w:rPr>
                <w:sz w:val="16"/>
                <w:szCs w:val="16"/>
              </w:rPr>
              <w:t xml:space="preserve">2016: </w:t>
            </w:r>
          </w:p>
          <w:p w:rsidR="001B23B7" w:rsidRPr="00740CBE" w:rsidRDefault="001B23B7" w:rsidP="00A34E19">
            <w:pPr>
              <w:keepNext/>
              <w:keepLines/>
              <w:rPr>
                <w:sz w:val="16"/>
                <w:szCs w:val="16"/>
              </w:rPr>
            </w:pPr>
            <w:r w:rsidRPr="00740CBE">
              <w:rPr>
                <w:sz w:val="16"/>
                <w:szCs w:val="16"/>
              </w:rPr>
              <w:t>5,68 millones de designaciones</w:t>
            </w:r>
            <w:r w:rsidRPr="00740CBE">
              <w:rPr>
                <w:sz w:val="16"/>
                <w:szCs w:val="16"/>
              </w:rPr>
              <w:br/>
            </w:r>
          </w:p>
          <w:p w:rsidR="001B23B7" w:rsidRPr="00740CBE" w:rsidRDefault="001B23B7" w:rsidP="00A34E19">
            <w:pPr>
              <w:keepNext/>
              <w:keepLines/>
              <w:rPr>
                <w:sz w:val="16"/>
                <w:szCs w:val="16"/>
              </w:rPr>
            </w:pPr>
            <w:r w:rsidRPr="00740CBE">
              <w:rPr>
                <w:sz w:val="16"/>
                <w:szCs w:val="16"/>
              </w:rPr>
              <w:t xml:space="preserve">2017: </w:t>
            </w:r>
          </w:p>
          <w:p w:rsidR="001B23B7" w:rsidRPr="00740CBE" w:rsidRDefault="001B23B7" w:rsidP="00A34E19">
            <w:pPr>
              <w:keepNext/>
              <w:keepLines/>
              <w:rPr>
                <w:sz w:val="16"/>
                <w:szCs w:val="16"/>
              </w:rPr>
            </w:pPr>
            <w:r w:rsidRPr="00740CBE">
              <w:rPr>
                <w:sz w:val="16"/>
                <w:szCs w:val="16"/>
              </w:rPr>
              <w:t>5,7 millones de designaciones</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rPr>
              <w:t xml:space="preserve">5,69 millones de designaciones </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00B050"/>
                <w:sz w:val="16"/>
                <w:szCs w:val="16"/>
                <w:lang w:val="es-ES_tradnl"/>
              </w:rPr>
              <w:t>Avanza</w:t>
            </w:r>
          </w:p>
        </w:tc>
      </w:tr>
      <w:tr w:rsidR="001B23B7" w:rsidRPr="00740CBE" w:rsidTr="00A34E19">
        <w:trPr>
          <w:gridAfter w:val="1"/>
          <w:wAfter w:w="15" w:type="pct"/>
          <w:trHeight w:val="273"/>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Índice de irregularidades (Artículos 12 y 13)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A75F7">
            <w:pPr>
              <w:pStyle w:val="ListParagraph"/>
              <w:numPr>
                <w:ilvl w:val="0"/>
                <w:numId w:val="25"/>
              </w:numPr>
              <w:ind w:left="115" w:hanging="115"/>
              <w:rPr>
                <w:b/>
                <w:color w:val="002060"/>
                <w:sz w:val="16"/>
                <w:szCs w:val="16"/>
              </w:rPr>
            </w:pPr>
            <w:r w:rsidRPr="0076648C">
              <w:rPr>
                <w:color w:val="002060"/>
                <w:sz w:val="16"/>
                <w:szCs w:val="16"/>
              </w:rPr>
              <w:t xml:space="preserve">2015: 39% o 19.216 solicitudes </w:t>
            </w:r>
            <w:r w:rsidRPr="0076648C">
              <w:rPr>
                <w:color w:val="002060"/>
                <w:sz w:val="16"/>
                <w:szCs w:val="16"/>
                <w:lang w:val="es-ES"/>
              </w:rPr>
              <w:t>irregulares</w:t>
            </w:r>
            <w:r w:rsidRPr="0076648C">
              <w:rPr>
                <w:color w:val="002060"/>
                <w:sz w:val="16"/>
                <w:szCs w:val="16"/>
              </w:rPr>
              <w:t xml:space="preserve">  </w:t>
            </w:r>
          </w:p>
          <w:p w:rsidR="001B23B7" w:rsidRPr="0076648C" w:rsidRDefault="001B23B7" w:rsidP="00AA75F7">
            <w:pPr>
              <w:pStyle w:val="ListParagraph"/>
              <w:numPr>
                <w:ilvl w:val="0"/>
                <w:numId w:val="25"/>
              </w:numPr>
              <w:ind w:left="120" w:hanging="120"/>
              <w:rPr>
                <w:color w:val="002060"/>
                <w:sz w:val="16"/>
                <w:szCs w:val="16"/>
              </w:rPr>
            </w:pPr>
            <w:r w:rsidRPr="0076648C">
              <w:rPr>
                <w:color w:val="002060"/>
                <w:sz w:val="16"/>
                <w:szCs w:val="16"/>
              </w:rPr>
              <w:t>2014: 34%</w:t>
            </w:r>
            <w:r w:rsidRPr="0076648C">
              <w:rPr>
                <w:rStyle w:val="FootnoteReference"/>
                <w:color w:val="002060"/>
                <w:szCs w:val="16"/>
              </w:rPr>
              <w:footnoteReference w:id="30"/>
            </w:r>
            <w:r w:rsidRPr="0076648C">
              <w:rPr>
                <w:color w:val="002060"/>
                <w:sz w:val="16"/>
                <w:szCs w:val="16"/>
              </w:rPr>
              <w:t xml:space="preserve"> o 16.281 solicitudes </w:t>
            </w:r>
            <w:r w:rsidRPr="0076648C">
              <w:rPr>
                <w:color w:val="002060"/>
                <w:sz w:val="16"/>
                <w:szCs w:val="16"/>
                <w:lang w:val="es-ES"/>
              </w:rPr>
              <w:t>irregulares</w:t>
            </w:r>
            <w:r w:rsidRPr="0076648C">
              <w:rPr>
                <w:color w:val="002060"/>
                <w:sz w:val="16"/>
                <w:szCs w:val="16"/>
              </w:rPr>
              <w:t xml:space="preserve"> </w:t>
            </w:r>
          </w:p>
          <w:p w:rsidR="001B23B7" w:rsidRPr="0076648C" w:rsidRDefault="001B23B7" w:rsidP="00A34E19">
            <w:pPr>
              <w:rPr>
                <w:color w:val="002060"/>
                <w:sz w:val="16"/>
                <w:szCs w:val="16"/>
              </w:rPr>
            </w:pPr>
          </w:p>
          <w:p w:rsidR="001B23B7" w:rsidRPr="0076648C" w:rsidRDefault="001B23B7" w:rsidP="00A34E19">
            <w:pPr>
              <w:rPr>
                <w:color w:val="002060"/>
                <w:sz w:val="16"/>
                <w:szCs w:val="16"/>
                <w:lang w:bidi="th-TH"/>
              </w:rPr>
            </w:pPr>
            <w:r w:rsidRPr="0076648C">
              <w:rPr>
                <w:color w:val="002060"/>
                <w:sz w:val="16"/>
                <w:szCs w:val="16"/>
              </w:rPr>
              <w:t xml:space="preserve">Términos válidos en MGS (en inglés): 76.300 </w:t>
            </w:r>
            <w:r w:rsidRPr="0076648C">
              <w:rPr>
                <w:color w:val="002060"/>
                <w:sz w:val="16"/>
                <w:szCs w:val="16"/>
                <w:lang w:bidi="th-TH"/>
              </w:rPr>
              <w:t>(al 31 de diciembre de 2015)</w:t>
            </w:r>
          </w:p>
          <w:p w:rsidR="001B23B7" w:rsidRPr="00740CBE" w:rsidRDefault="001B23B7" w:rsidP="00A34E19">
            <w:pPr>
              <w:rPr>
                <w:i/>
                <w:sz w:val="16"/>
                <w:szCs w:val="16"/>
                <w:lang w:bidi="th-TH"/>
              </w:rPr>
            </w:pPr>
          </w:p>
          <w:p w:rsidR="001B23B7" w:rsidRPr="00740CBE" w:rsidRDefault="001B23B7" w:rsidP="00A34E19">
            <w:pPr>
              <w:rPr>
                <w:i/>
                <w:sz w:val="16"/>
                <w:szCs w:val="16"/>
                <w:lang w:bidi="th-TH"/>
              </w:rPr>
            </w:pPr>
            <w:r w:rsidRPr="00740CBE">
              <w:rPr>
                <w:i/>
                <w:sz w:val="16"/>
                <w:szCs w:val="16"/>
                <w:lang w:bidi="th-TH"/>
              </w:rPr>
              <w:t>Referencia</w:t>
            </w:r>
            <w:r w:rsidRPr="00740CBE">
              <w:rPr>
                <w:i/>
                <w:sz w:val="16"/>
                <w:szCs w:val="16"/>
                <w:lang w:val="es-ES_tradnl" w:bidi="th-TH"/>
              </w:rPr>
              <w:t xml:space="preserve"> original en el presupuesto de 2016/17:</w:t>
            </w:r>
          </w:p>
          <w:p w:rsidR="001B23B7" w:rsidRPr="00740CBE" w:rsidRDefault="001B23B7" w:rsidP="00A34E19">
            <w:pPr>
              <w:rPr>
                <w:sz w:val="16"/>
                <w:szCs w:val="16"/>
                <w:lang w:val="es-ES_tradnl"/>
              </w:rPr>
            </w:pPr>
            <w:r w:rsidRPr="00740CBE">
              <w:rPr>
                <w:sz w:val="16"/>
                <w:szCs w:val="16"/>
                <w:lang w:val="es-ES_tradnl"/>
              </w:rPr>
              <w:t>Índice de irregularidades del 36%</w:t>
            </w:r>
            <w:r w:rsidRPr="00740CBE">
              <w:rPr>
                <w:sz w:val="16"/>
                <w:szCs w:val="16"/>
              </w:rPr>
              <w:t xml:space="preserve"> </w:t>
            </w:r>
            <w:r w:rsidRPr="00740CBE">
              <w:rPr>
                <w:sz w:val="16"/>
                <w:szCs w:val="16"/>
                <w:lang w:val="es-ES_tradnl"/>
              </w:rPr>
              <w:t xml:space="preserve">(al 31 de dic. de 2014) </w:t>
            </w:r>
          </w:p>
          <w:p w:rsidR="001B23B7" w:rsidRPr="00740CBE" w:rsidRDefault="001B23B7" w:rsidP="00A34E19">
            <w:pPr>
              <w:rPr>
                <w:sz w:val="16"/>
                <w:szCs w:val="16"/>
                <w:lang w:val="es-ES_tradnl"/>
              </w:rPr>
            </w:pPr>
          </w:p>
          <w:p w:rsidR="001B23B7" w:rsidRPr="00740CBE" w:rsidRDefault="001B23B7" w:rsidP="00A34E19">
            <w:pPr>
              <w:rPr>
                <w:sz w:val="16"/>
                <w:szCs w:val="16"/>
              </w:rPr>
            </w:pPr>
            <w:r w:rsidRPr="00740CBE">
              <w:rPr>
                <w:sz w:val="16"/>
                <w:szCs w:val="16"/>
                <w:lang w:val="es-ES_tradnl"/>
              </w:rPr>
              <w:t>Términos válidos en la base de datos sobre productos y servicios del Sistema de Madrid (MGS) (en inglés) 67.050 (mayo de 2015)</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lang w:val="es-ES_tradnl"/>
              </w:rPr>
              <w:t>Disminución</w:t>
            </w:r>
          </w:p>
          <w:p w:rsidR="001B23B7" w:rsidRPr="00740CBE" w:rsidRDefault="001B23B7" w:rsidP="00A34E19">
            <w:pPr>
              <w:rPr>
                <w:sz w:val="16"/>
                <w:szCs w:val="16"/>
              </w:rPr>
            </w:pPr>
          </w:p>
          <w:p w:rsidR="001B23B7" w:rsidRPr="00740CBE" w:rsidRDefault="001B23B7" w:rsidP="00A34E19">
            <w:pPr>
              <w:rPr>
                <w:sz w:val="16"/>
                <w:szCs w:val="16"/>
              </w:rPr>
            </w:pPr>
          </w:p>
          <w:p w:rsidR="001B23B7" w:rsidRPr="00740CBE" w:rsidRDefault="001B23B7" w:rsidP="00A34E19">
            <w:pPr>
              <w:rPr>
                <w:sz w:val="16"/>
                <w:szCs w:val="16"/>
              </w:rPr>
            </w:pPr>
          </w:p>
          <w:p w:rsidR="001B23B7" w:rsidRPr="00740CBE" w:rsidRDefault="001B23B7" w:rsidP="00A34E19">
            <w:pPr>
              <w:rPr>
                <w:sz w:val="16"/>
                <w:szCs w:val="16"/>
              </w:rPr>
            </w:pPr>
          </w:p>
          <w:p w:rsidR="001B23B7" w:rsidRPr="00740CBE" w:rsidRDefault="001B23B7" w:rsidP="00A34E19">
            <w:pPr>
              <w:rPr>
                <w:i/>
                <w:sz w:val="16"/>
                <w:szCs w:val="16"/>
              </w:rPr>
            </w:pPr>
            <w:r w:rsidRPr="00740CBE">
              <w:rPr>
                <w:i/>
                <w:sz w:val="16"/>
                <w:szCs w:val="16"/>
              </w:rPr>
              <w:br/>
            </w:r>
          </w:p>
          <w:p w:rsidR="001B23B7" w:rsidRPr="00F74742" w:rsidRDefault="001B23B7" w:rsidP="00A34E19">
            <w:pPr>
              <w:rPr>
                <w:color w:val="002060"/>
                <w:sz w:val="16"/>
                <w:szCs w:val="16"/>
              </w:rPr>
            </w:pPr>
            <w:r w:rsidRPr="00F74742">
              <w:rPr>
                <w:i/>
                <w:color w:val="002060"/>
                <w:sz w:val="16"/>
                <w:szCs w:val="16"/>
                <w:lang w:val="es-ES_tradnl"/>
              </w:rPr>
              <w:t>Objetivo actualizado:</w:t>
            </w:r>
            <w:r w:rsidRPr="00F74742">
              <w:rPr>
                <w:i/>
                <w:color w:val="002060"/>
                <w:sz w:val="16"/>
                <w:szCs w:val="16"/>
              </w:rPr>
              <w:t xml:space="preserve">  </w:t>
            </w:r>
          </w:p>
          <w:p w:rsidR="001B23B7" w:rsidRPr="00F74742" w:rsidRDefault="001B23B7" w:rsidP="00A34E19">
            <w:pPr>
              <w:keepNext/>
              <w:keepLines/>
              <w:rPr>
                <w:color w:val="002060"/>
                <w:sz w:val="16"/>
                <w:szCs w:val="16"/>
              </w:rPr>
            </w:pPr>
            <w:r w:rsidRPr="00F74742">
              <w:rPr>
                <w:color w:val="002060"/>
                <w:sz w:val="16"/>
                <w:szCs w:val="16"/>
              </w:rPr>
              <w:t xml:space="preserve">2016: 80.000 </w:t>
            </w:r>
          </w:p>
          <w:p w:rsidR="001B23B7" w:rsidRPr="00F74742" w:rsidRDefault="001B23B7" w:rsidP="00A34E19">
            <w:pPr>
              <w:keepNext/>
              <w:keepLines/>
              <w:rPr>
                <w:color w:val="002060"/>
                <w:sz w:val="16"/>
                <w:szCs w:val="16"/>
              </w:rPr>
            </w:pPr>
            <w:r w:rsidRPr="00F74742">
              <w:rPr>
                <w:color w:val="002060"/>
                <w:sz w:val="16"/>
                <w:szCs w:val="16"/>
              </w:rPr>
              <w:t xml:space="preserve">2017: 90.000 </w:t>
            </w:r>
          </w:p>
          <w:p w:rsidR="001B23B7" w:rsidRPr="00740CBE" w:rsidRDefault="001B23B7" w:rsidP="00A34E19">
            <w:pPr>
              <w:keepNext/>
              <w:keepLines/>
              <w:rPr>
                <w:sz w:val="16"/>
                <w:szCs w:val="16"/>
              </w:rPr>
            </w:pPr>
          </w:p>
          <w:p w:rsidR="001B23B7" w:rsidRPr="00740CBE" w:rsidRDefault="001B23B7" w:rsidP="00A34E19">
            <w:pPr>
              <w:rPr>
                <w:i/>
                <w:sz w:val="16"/>
                <w:szCs w:val="16"/>
                <w:lang w:bidi="th-TH"/>
              </w:rPr>
            </w:pPr>
            <w:r w:rsidRPr="00740CBE">
              <w:rPr>
                <w:i/>
                <w:sz w:val="16"/>
                <w:szCs w:val="16"/>
                <w:lang w:val="es-ES_tradnl" w:bidi="th-TH"/>
              </w:rPr>
              <w:t>Objetivo original en el presupuesto 2016/17:</w:t>
            </w:r>
          </w:p>
          <w:p w:rsidR="001B23B7" w:rsidRPr="00740CBE" w:rsidRDefault="001B23B7" w:rsidP="00A34E19">
            <w:pPr>
              <w:rPr>
                <w:sz w:val="16"/>
                <w:szCs w:val="16"/>
              </w:rPr>
            </w:pPr>
            <w:r w:rsidRPr="00740CBE">
              <w:rPr>
                <w:sz w:val="16"/>
                <w:szCs w:val="16"/>
              </w:rPr>
              <w:t>80.000</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lang w:val="es-ES_tradnl"/>
              </w:rPr>
              <w:t>Índice de irregularidades:  38%</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86.400 términos en inglés</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tc>
      </w:tr>
      <w:tr w:rsidR="001B23B7" w:rsidRPr="00740CBE" w:rsidTr="00A34E19">
        <w:trPr>
          <w:gridAfter w:val="1"/>
          <w:wAfter w:w="15" w:type="pct"/>
          <w:trHeight w:val="1964"/>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lastRenderedPageBreak/>
              <w:t>Mejoras en el funcionamiento del Sistema de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rPr>
            </w:pPr>
            <w:r w:rsidRPr="0076648C">
              <w:rPr>
                <w:color w:val="002060"/>
                <w:sz w:val="16"/>
                <w:szCs w:val="16"/>
                <w:lang w:val="es-ES_tradnl"/>
              </w:rPr>
              <w:t>Reglamento Común e Instrucciones Administrativas en vigor al 31 de diciembre de 2015</w:t>
            </w:r>
            <w:r w:rsidRPr="0076648C">
              <w:rPr>
                <w:rStyle w:val="FootnoteReference"/>
                <w:color w:val="002060"/>
              </w:rPr>
              <w:footnoteReference w:id="31"/>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A34E19">
            <w:pPr>
              <w:spacing w:after="240"/>
              <w:rPr>
                <w:sz w:val="16"/>
                <w:szCs w:val="16"/>
              </w:rPr>
            </w:pPr>
            <w:r w:rsidRPr="00740CBE">
              <w:rPr>
                <w:sz w:val="16"/>
                <w:szCs w:val="16"/>
                <w:lang w:val="es-ES_tradnl"/>
              </w:rPr>
              <w:t>Reglamento Común e Instrucciones Administrativas en vigor al 31 de diciembre de 2014</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lang w:val="es-ES_tradnl"/>
              </w:rPr>
              <w:t>Modificación del Reglamento y de las Instrucciones Administrativas</w:t>
            </w:r>
          </w:p>
        </w:tc>
        <w:tc>
          <w:tcPr>
            <w:tcW w:w="1142" w:type="pct"/>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lang w:val="es-ES_tradnl"/>
              </w:rPr>
              <w:t>Reglamento Común e Instrucciones Administrativas en vigor al 31 de diciembre de 2016</w:t>
            </w:r>
            <w:r w:rsidRPr="00740CBE">
              <w:rPr>
                <w:rStyle w:val="FootnoteReference"/>
              </w:rPr>
              <w:footnoteReference w:id="32"/>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Modificaciones adoptadas por la Asamblea de la Unión de Madrid en octubre de 2016 (Reglas 3, 12, 18</w:t>
            </w:r>
            <w:r w:rsidRPr="00740CBE">
              <w:rPr>
                <w:i/>
                <w:sz w:val="16"/>
                <w:szCs w:val="16"/>
              </w:rPr>
              <w:t>ter</w:t>
            </w:r>
            <w:r w:rsidRPr="00740CBE">
              <w:rPr>
                <w:sz w:val="16"/>
                <w:szCs w:val="16"/>
              </w:rPr>
              <w:t>, 22, 23</w:t>
            </w:r>
            <w:r w:rsidRPr="00740CBE">
              <w:rPr>
                <w:i/>
                <w:sz w:val="16"/>
                <w:szCs w:val="16"/>
              </w:rPr>
              <w:t>bis</w:t>
            </w:r>
            <w:r w:rsidRPr="00740CBE">
              <w:rPr>
                <w:sz w:val="16"/>
                <w:szCs w:val="16"/>
              </w:rPr>
              <w:t>, 25 a 27, 27</w:t>
            </w:r>
            <w:r w:rsidRPr="00740CBE">
              <w:rPr>
                <w:i/>
                <w:sz w:val="16"/>
                <w:szCs w:val="16"/>
              </w:rPr>
              <w:t>bis</w:t>
            </w:r>
            <w:r w:rsidRPr="00740CBE">
              <w:rPr>
                <w:sz w:val="16"/>
                <w:szCs w:val="16"/>
              </w:rPr>
              <w:t>, 27</w:t>
            </w:r>
            <w:r w:rsidRPr="00740CBE">
              <w:rPr>
                <w:i/>
                <w:sz w:val="16"/>
                <w:szCs w:val="16"/>
              </w:rPr>
              <w:t>ter</w:t>
            </w:r>
            <w:r w:rsidRPr="00740CBE">
              <w:rPr>
                <w:sz w:val="16"/>
                <w:szCs w:val="16"/>
              </w:rPr>
              <w:t>, 32, 40 y el baremo de tasas</w:t>
            </w:r>
            <w:r w:rsidRPr="00740CBE">
              <w:rPr>
                <w:rStyle w:val="FootnoteReference"/>
              </w:rPr>
              <w:footnoteReference w:id="33"/>
            </w:r>
            <w:r w:rsidRPr="00740CBE">
              <w:rPr>
                <w:sz w:val="16"/>
                <w:szCs w:val="16"/>
              </w:rPr>
              <w:t xml:space="preserve">  </w:t>
            </w:r>
          </w:p>
        </w:tc>
        <w:tc>
          <w:tcPr>
            <w:tcW w:w="661" w:type="pct"/>
            <w:gridSpan w:val="2"/>
            <w:shd w:val="clear" w:color="auto" w:fill="auto"/>
            <w:tcMar>
              <w:top w:w="110" w:type="dxa"/>
              <w:left w:w="58" w:type="dxa"/>
              <w:right w:w="58" w:type="dxa"/>
            </w:tcMar>
          </w:tcPr>
          <w:p w:rsidR="001B23B7" w:rsidRPr="00740CBE" w:rsidRDefault="001B23B7" w:rsidP="00A34E19">
            <w:pPr>
              <w:keepNext/>
              <w:keepLines/>
              <w:ind w:right="-293"/>
              <w:jc w:val="center"/>
              <w:rPr>
                <w:sz w:val="16"/>
                <w:szCs w:val="16"/>
              </w:rPr>
            </w:pPr>
            <w:r w:rsidRPr="00740CBE">
              <w:rPr>
                <w:b/>
                <w:color w:val="00B050"/>
                <w:sz w:val="16"/>
                <w:szCs w:val="16"/>
                <w:lang w:val="es-ES_tradnl"/>
              </w:rPr>
              <w:t>Avanza</w:t>
            </w:r>
          </w:p>
        </w:tc>
      </w:tr>
      <w:tr w:rsidR="001B23B7" w:rsidRPr="00ED3AD4" w:rsidTr="00A34E19">
        <w:trPr>
          <w:gridAfter w:val="1"/>
          <w:wAfter w:w="15" w:type="pct"/>
          <w:trHeight w:val="624"/>
        </w:trPr>
        <w:tc>
          <w:tcPr>
            <w:tcW w:w="4985" w:type="pct"/>
            <w:gridSpan w:val="6"/>
            <w:shd w:val="clear" w:color="auto" w:fill="C6D9F1" w:themeFill="text2" w:themeFillTint="33"/>
            <w:tcMar>
              <w:left w:w="58" w:type="dxa"/>
              <w:right w:w="58" w:type="dxa"/>
            </w:tcMar>
            <w:vAlign w:val="center"/>
          </w:tcPr>
          <w:p w:rsidR="001B23B7" w:rsidRPr="00740CBE" w:rsidRDefault="001B23B7" w:rsidP="00A34E19">
            <w:pPr>
              <w:keepNext/>
              <w:keepLines/>
              <w:tabs>
                <w:tab w:val="left" w:pos="1452"/>
              </w:tabs>
              <w:ind w:left="1701" w:right="-88" w:hanging="1701"/>
              <w:rPr>
                <w:b/>
                <w:bCs/>
                <w:sz w:val="16"/>
                <w:szCs w:val="16"/>
              </w:rPr>
            </w:pPr>
            <w:r w:rsidRPr="00740CBE">
              <w:rPr>
                <w:b/>
                <w:bCs/>
                <w:sz w:val="16"/>
                <w:szCs w:val="16"/>
              </w:rPr>
              <w:t>Resultado previsto:</w:t>
            </w:r>
            <w:r w:rsidRPr="00740CBE">
              <w:rPr>
                <w:b/>
                <w:bCs/>
                <w:sz w:val="16"/>
                <w:szCs w:val="16"/>
              </w:rPr>
              <w:tab/>
            </w:r>
            <w:r w:rsidRPr="00740CBE">
              <w:rPr>
                <w:bCs/>
                <w:sz w:val="16"/>
                <w:szCs w:val="16"/>
                <w:lang w:val="es-ES_tradnl"/>
              </w:rPr>
              <w:t>II.7  Mejora de la productividad y de la calidad de los servicios en las operaciones del Sistema de Madrid</w:t>
            </w:r>
          </w:p>
        </w:tc>
      </w:tr>
      <w:tr w:rsidR="001B23B7" w:rsidRPr="00740CBE" w:rsidTr="00A34E19">
        <w:trPr>
          <w:trHeight w:val="213"/>
        </w:trPr>
        <w:tc>
          <w:tcPr>
            <w:tcW w:w="962" w:type="pct"/>
            <w:shd w:val="clear" w:color="auto" w:fill="auto"/>
            <w:tcMar>
              <w:left w:w="58" w:type="dxa"/>
              <w:right w:w="58" w:type="dxa"/>
            </w:tcMar>
            <w:vAlign w:val="center"/>
          </w:tcPr>
          <w:p w:rsidR="001B23B7" w:rsidRPr="00740CBE" w:rsidRDefault="001B23B7" w:rsidP="00A34E19">
            <w:pPr>
              <w:rPr>
                <w:b/>
                <w:bCs/>
                <w:sz w:val="16"/>
                <w:szCs w:val="16"/>
              </w:rPr>
            </w:pPr>
            <w:r w:rsidRPr="00740CBE">
              <w:rPr>
                <w:b/>
                <w:bCs/>
                <w:sz w:val="16"/>
                <w:szCs w:val="16"/>
                <w:lang w:val="es-ES_tradnl"/>
              </w:rPr>
              <w:t>Indicadores de rendimiento</w:t>
            </w:r>
          </w:p>
        </w:tc>
        <w:tc>
          <w:tcPr>
            <w:tcW w:w="1331" w:type="pct"/>
            <w:shd w:val="clear" w:color="auto" w:fill="auto"/>
            <w:tcMar>
              <w:left w:w="58" w:type="dxa"/>
              <w:right w:w="58" w:type="dxa"/>
            </w:tcMar>
            <w:vAlign w:val="center"/>
          </w:tcPr>
          <w:p w:rsidR="001B23B7" w:rsidRPr="00740CBE" w:rsidRDefault="001B23B7" w:rsidP="00A34E19">
            <w:pPr>
              <w:rPr>
                <w:b/>
                <w:bCs/>
                <w:sz w:val="16"/>
                <w:szCs w:val="16"/>
              </w:rPr>
            </w:pPr>
            <w:r w:rsidRPr="00740CBE">
              <w:rPr>
                <w:b/>
                <w:bCs/>
                <w:sz w:val="16"/>
                <w:szCs w:val="16"/>
                <w:lang w:val="es-ES_tradnl"/>
              </w:rPr>
              <w:t>Referencias de base</w:t>
            </w:r>
          </w:p>
        </w:tc>
        <w:tc>
          <w:tcPr>
            <w:tcW w:w="888" w:type="pct"/>
            <w:shd w:val="clear" w:color="auto" w:fill="auto"/>
            <w:tcMar>
              <w:top w:w="110" w:type="dxa"/>
              <w:left w:w="58" w:type="dxa"/>
              <w:right w:w="58" w:type="dxa"/>
            </w:tcMar>
            <w:vAlign w:val="center"/>
          </w:tcPr>
          <w:p w:rsidR="001B23B7" w:rsidRPr="00740CBE" w:rsidRDefault="001B23B7" w:rsidP="00A34E19">
            <w:pPr>
              <w:rPr>
                <w:b/>
                <w:bCs/>
                <w:sz w:val="16"/>
                <w:szCs w:val="16"/>
              </w:rPr>
            </w:pPr>
            <w:r w:rsidRPr="00740CBE">
              <w:rPr>
                <w:b/>
                <w:bCs/>
                <w:sz w:val="16"/>
                <w:szCs w:val="16"/>
                <w:lang w:val="es-ES_tradnl"/>
              </w:rPr>
              <w:t>Objetivos</w:t>
            </w:r>
          </w:p>
        </w:tc>
        <w:tc>
          <w:tcPr>
            <w:tcW w:w="1157" w:type="pct"/>
            <w:gridSpan w:val="2"/>
            <w:shd w:val="clear" w:color="auto" w:fill="FFFFFF"/>
            <w:tcMar>
              <w:top w:w="110" w:type="dxa"/>
              <w:left w:w="58" w:type="dxa"/>
              <w:right w:w="58" w:type="dxa"/>
            </w:tcMar>
            <w:vAlign w:val="center"/>
          </w:tcPr>
          <w:p w:rsidR="001B23B7" w:rsidRPr="00740CBE" w:rsidRDefault="001B23B7" w:rsidP="00A34E19">
            <w:pPr>
              <w:rPr>
                <w:b/>
                <w:bCs/>
                <w:sz w:val="16"/>
                <w:szCs w:val="16"/>
              </w:rPr>
            </w:pPr>
            <w:r w:rsidRPr="00740CBE">
              <w:rPr>
                <w:b/>
                <w:bCs/>
                <w:sz w:val="16"/>
                <w:szCs w:val="16"/>
                <w:lang w:val="es-ES_tradnl"/>
              </w:rPr>
              <w:t>Datos sobre el rendimiento</w:t>
            </w:r>
          </w:p>
        </w:tc>
        <w:tc>
          <w:tcPr>
            <w:tcW w:w="661" w:type="pct"/>
            <w:gridSpan w:val="2"/>
            <w:shd w:val="clear" w:color="auto" w:fill="auto"/>
            <w:tcMar>
              <w:top w:w="110" w:type="dxa"/>
              <w:left w:w="58" w:type="dxa"/>
              <w:right w:w="58" w:type="dxa"/>
            </w:tcMar>
            <w:vAlign w:val="center"/>
          </w:tcPr>
          <w:p w:rsidR="001B23B7" w:rsidRPr="00740CBE" w:rsidRDefault="001B23B7" w:rsidP="00A34E19">
            <w:pPr>
              <w:keepNext/>
              <w:keepLines/>
              <w:jc w:val="center"/>
              <w:rPr>
                <w:b/>
                <w:bCs/>
                <w:sz w:val="16"/>
                <w:szCs w:val="16"/>
              </w:rPr>
            </w:pPr>
            <w:r w:rsidRPr="00740CBE">
              <w:rPr>
                <w:b/>
                <w:bCs/>
                <w:sz w:val="16"/>
                <w:szCs w:val="16"/>
                <w:lang w:val="es-ES_tradnl"/>
              </w:rPr>
              <w:t>Clave de colores</w:t>
            </w:r>
          </w:p>
        </w:tc>
      </w:tr>
      <w:tr w:rsidR="001B23B7" w:rsidRPr="00740CBE" w:rsidTr="00182B8E">
        <w:trPr>
          <w:trHeight w:val="1516"/>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Satisfacción del cliente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lang w:bidi="th-TH"/>
              </w:rPr>
            </w:pPr>
            <w:r w:rsidRPr="0076648C">
              <w:rPr>
                <w:color w:val="002060"/>
                <w:sz w:val="16"/>
                <w:szCs w:val="16"/>
                <w:lang w:bidi="th-TH"/>
              </w:rPr>
              <w:t xml:space="preserve">No </w:t>
            </w:r>
            <w:r>
              <w:rPr>
                <w:color w:val="002060"/>
                <w:sz w:val="16"/>
                <w:szCs w:val="16"/>
                <w:lang w:bidi="th-TH"/>
              </w:rPr>
              <w:t>hubo</w:t>
            </w:r>
            <w:r w:rsidRPr="0076648C">
              <w:rPr>
                <w:color w:val="002060"/>
                <w:sz w:val="16"/>
                <w:szCs w:val="16"/>
                <w:lang w:bidi="th-TH"/>
              </w:rPr>
              <w:t xml:space="preserve"> encuesta en 2015</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182B8E">
            <w:pPr>
              <w:rPr>
                <w:sz w:val="16"/>
                <w:szCs w:val="16"/>
              </w:rPr>
            </w:pPr>
            <w:r w:rsidRPr="00740CBE">
              <w:rPr>
                <w:sz w:val="16"/>
                <w:szCs w:val="16"/>
                <w:lang w:val="es-ES_tradnl"/>
              </w:rPr>
              <w:t>Índice de atención al cliente en 2014 (39)</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lang w:val="es-ES_tradnl"/>
              </w:rPr>
              <w:t>Mejora del índice</w:t>
            </w:r>
          </w:p>
        </w:tc>
        <w:tc>
          <w:tcPr>
            <w:tcW w:w="1157" w:type="pct"/>
            <w:gridSpan w:val="2"/>
            <w:shd w:val="clear" w:color="auto" w:fill="FFFFFF"/>
            <w:tcMar>
              <w:top w:w="110" w:type="dxa"/>
              <w:left w:w="58" w:type="dxa"/>
              <w:right w:w="58" w:type="dxa"/>
            </w:tcMar>
          </w:tcPr>
          <w:p w:rsidR="001B23B7" w:rsidRPr="00740CBE" w:rsidRDefault="001B23B7" w:rsidP="00A34E19">
            <w:pPr>
              <w:rPr>
                <w:sz w:val="16"/>
                <w:szCs w:val="16"/>
              </w:rPr>
            </w:pPr>
            <w:r w:rsidRPr="00740CBE">
              <w:rPr>
                <w:sz w:val="16"/>
                <w:szCs w:val="16"/>
                <w:lang w:bidi="th-TH"/>
              </w:rPr>
              <w:t xml:space="preserve">No </w:t>
            </w:r>
            <w:r>
              <w:rPr>
                <w:sz w:val="16"/>
                <w:szCs w:val="16"/>
                <w:lang w:bidi="th-TH"/>
              </w:rPr>
              <w:t>hubo</w:t>
            </w:r>
            <w:r w:rsidRPr="00740CBE">
              <w:rPr>
                <w:sz w:val="16"/>
                <w:szCs w:val="16"/>
                <w:lang w:bidi="th-TH"/>
              </w:rPr>
              <w:t xml:space="preserve"> encuesta en 20</w:t>
            </w:r>
            <w:r w:rsidRPr="00740CBE">
              <w:rPr>
                <w:sz w:val="16"/>
                <w:szCs w:val="16"/>
              </w:rPr>
              <w:t>16</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sz w:val="16"/>
                <w:szCs w:val="16"/>
              </w:rPr>
            </w:pPr>
            <w:r w:rsidRPr="00740CBE">
              <w:rPr>
                <w:b/>
                <w:color w:val="0070C0"/>
                <w:sz w:val="16"/>
                <w:szCs w:val="16"/>
                <w:lang w:val="es-ES_tradnl"/>
              </w:rPr>
              <w:t>No disponible para 2016</w:t>
            </w:r>
          </w:p>
        </w:tc>
      </w:tr>
      <w:tr w:rsidR="001B23B7" w:rsidRPr="00740CBE" w:rsidTr="00A34E19">
        <w:trPr>
          <w:trHeight w:val="2508"/>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Costo unitario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rPr>
                <w:color w:val="002060"/>
                <w:sz w:val="16"/>
                <w:szCs w:val="16"/>
              </w:rPr>
            </w:pPr>
            <w:r w:rsidRPr="0076648C">
              <w:rPr>
                <w:color w:val="002060"/>
                <w:sz w:val="16"/>
                <w:szCs w:val="16"/>
                <w:lang w:val="es-ES_tradnl"/>
              </w:rPr>
              <w:t>Costo de registro/renovación:</w:t>
            </w:r>
            <w:r w:rsidRPr="0076648C">
              <w:rPr>
                <w:color w:val="002060"/>
                <w:sz w:val="16"/>
                <w:szCs w:val="16"/>
              </w:rPr>
              <w:t xml:space="preserve"> </w:t>
            </w:r>
          </w:p>
          <w:p w:rsidR="001B23B7" w:rsidRPr="0076648C" w:rsidRDefault="001B23B7" w:rsidP="00A34E19">
            <w:pPr>
              <w:keepNext/>
              <w:keepLines/>
              <w:rPr>
                <w:color w:val="002060"/>
                <w:sz w:val="16"/>
                <w:szCs w:val="16"/>
              </w:rPr>
            </w:pPr>
            <w:r w:rsidRPr="0076648C">
              <w:rPr>
                <w:color w:val="002060"/>
                <w:sz w:val="16"/>
                <w:szCs w:val="16"/>
              </w:rPr>
              <w:t xml:space="preserve">743 CHF (2015) </w:t>
            </w:r>
          </w:p>
          <w:p w:rsidR="001B23B7" w:rsidRPr="0076648C" w:rsidRDefault="001B23B7" w:rsidP="00A34E19">
            <w:pPr>
              <w:keepNext/>
              <w:keepLines/>
              <w:rPr>
                <w:color w:val="002060"/>
                <w:sz w:val="16"/>
                <w:szCs w:val="16"/>
              </w:rPr>
            </w:pPr>
            <w:r w:rsidRPr="0076648C">
              <w:rPr>
                <w:color w:val="002060"/>
                <w:sz w:val="16"/>
                <w:szCs w:val="16"/>
              </w:rPr>
              <w:t>837 CHF (2014)</w:t>
            </w:r>
          </w:p>
          <w:p w:rsidR="001B23B7" w:rsidRPr="0076648C" w:rsidRDefault="001B23B7" w:rsidP="00A34E19">
            <w:pPr>
              <w:keepNext/>
              <w:keepLines/>
              <w:rPr>
                <w:color w:val="002060"/>
                <w:sz w:val="16"/>
                <w:szCs w:val="16"/>
              </w:rPr>
            </w:pPr>
          </w:p>
          <w:p w:rsidR="001B23B7" w:rsidRPr="0076648C" w:rsidRDefault="001B23B7" w:rsidP="00A34E19">
            <w:pPr>
              <w:keepNext/>
              <w:keepLines/>
              <w:rPr>
                <w:color w:val="002060"/>
                <w:sz w:val="16"/>
                <w:szCs w:val="16"/>
              </w:rPr>
            </w:pPr>
            <w:r w:rsidRPr="0076648C">
              <w:rPr>
                <w:color w:val="002060"/>
                <w:sz w:val="16"/>
                <w:szCs w:val="16"/>
              </w:rPr>
              <w:t>Costo unitario de la inscripción:</w:t>
            </w:r>
          </w:p>
          <w:p w:rsidR="001B23B7" w:rsidRPr="0076648C" w:rsidRDefault="001B23B7" w:rsidP="00A34E19">
            <w:pPr>
              <w:keepNext/>
              <w:keepLines/>
              <w:rPr>
                <w:color w:val="002060"/>
                <w:sz w:val="16"/>
                <w:szCs w:val="16"/>
              </w:rPr>
            </w:pPr>
            <w:r w:rsidRPr="0076648C">
              <w:rPr>
                <w:color w:val="002060"/>
                <w:sz w:val="16"/>
                <w:szCs w:val="16"/>
              </w:rPr>
              <w:t>323 CHF (2015)</w:t>
            </w:r>
          </w:p>
          <w:p w:rsidR="001B23B7" w:rsidRPr="0076648C" w:rsidRDefault="001B23B7" w:rsidP="00A34E19">
            <w:pPr>
              <w:keepNext/>
              <w:keepLines/>
              <w:rPr>
                <w:color w:val="002060"/>
                <w:sz w:val="16"/>
                <w:szCs w:val="16"/>
              </w:rPr>
            </w:pPr>
            <w:r w:rsidRPr="0076648C">
              <w:rPr>
                <w:color w:val="002060"/>
                <w:sz w:val="16"/>
                <w:szCs w:val="16"/>
              </w:rPr>
              <w:t>322 CHF (2014)</w:t>
            </w:r>
          </w:p>
          <w:p w:rsidR="001B23B7" w:rsidRPr="00740CBE" w:rsidRDefault="001B23B7" w:rsidP="00A34E19">
            <w:pPr>
              <w:tabs>
                <w:tab w:val="left" w:pos="133"/>
              </w:tabs>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A34E19">
            <w:pPr>
              <w:rPr>
                <w:sz w:val="16"/>
                <w:szCs w:val="16"/>
              </w:rPr>
            </w:pPr>
            <w:r w:rsidRPr="00740CBE">
              <w:rPr>
                <w:sz w:val="16"/>
                <w:szCs w:val="16"/>
                <w:lang w:val="es-ES_tradnl"/>
              </w:rPr>
              <w:t>Costo de registro/renovación:</w:t>
            </w:r>
            <w:r w:rsidRPr="00740CBE">
              <w:rPr>
                <w:sz w:val="16"/>
                <w:szCs w:val="16"/>
              </w:rPr>
              <w:t xml:space="preserve"> </w:t>
            </w:r>
          </w:p>
          <w:p w:rsidR="001B23B7" w:rsidRPr="00740CBE" w:rsidRDefault="001B23B7" w:rsidP="00182B8E">
            <w:pPr>
              <w:rPr>
                <w:sz w:val="16"/>
                <w:szCs w:val="16"/>
              </w:rPr>
            </w:pPr>
            <w:r w:rsidRPr="00740CBE">
              <w:rPr>
                <w:sz w:val="16"/>
                <w:szCs w:val="16"/>
              </w:rPr>
              <w:t>837 CHF</w:t>
            </w:r>
            <w:r w:rsidRPr="00740CBE">
              <w:rPr>
                <w:sz w:val="16"/>
                <w:szCs w:val="16"/>
              </w:rPr>
              <w:br/>
              <w:t>Costo unitario de la inscripción: 320 CHF</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lang w:val="es-ES_tradnl"/>
              </w:rPr>
              <w:t>Reducción en ambas categorías de costos unitarios</w:t>
            </w:r>
          </w:p>
        </w:tc>
        <w:tc>
          <w:tcPr>
            <w:tcW w:w="1157" w:type="pct"/>
            <w:gridSpan w:val="2"/>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rPr>
              <w:t>Costo de registro/renovación:  746 CHF</w:t>
            </w:r>
            <w:r w:rsidRPr="00740CBE">
              <w:rPr>
                <w:rStyle w:val="FootnoteReference"/>
              </w:rPr>
              <w:footnoteReference w:id="34"/>
            </w:r>
            <w:r w:rsidRPr="00740CBE">
              <w:rPr>
                <w:sz w:val="16"/>
                <w:szCs w:val="16"/>
              </w:rPr>
              <w:t xml:space="preserve"> </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Costo unitario de la inscripción:</w:t>
            </w:r>
            <w:r w:rsidRPr="00740CBE" w:rsidDel="007573C3">
              <w:rPr>
                <w:sz w:val="16"/>
                <w:szCs w:val="16"/>
              </w:rPr>
              <w:t xml:space="preserve"> </w:t>
            </w:r>
            <w:r w:rsidRPr="00740CBE">
              <w:rPr>
                <w:sz w:val="16"/>
                <w:szCs w:val="16"/>
              </w:rPr>
              <w:t xml:space="preserve"> 318 CHF</w:t>
            </w:r>
            <w:r w:rsidRPr="00740CBE">
              <w:rPr>
                <w:rStyle w:val="FootnoteReference"/>
              </w:rPr>
              <w:footnoteReference w:id="35"/>
            </w:r>
            <w:r w:rsidRPr="00740CBE">
              <w:rPr>
                <w:sz w:val="16"/>
                <w:szCs w:val="16"/>
              </w:rPr>
              <w:t xml:space="preserve">  </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3"/>
                <w:szCs w:val="13"/>
              </w:rPr>
            </w:pPr>
            <w:r w:rsidRPr="00800064">
              <w:rPr>
                <w:b/>
                <w:color w:val="808080"/>
                <w:sz w:val="16"/>
                <w:szCs w:val="16"/>
                <w:lang w:val="es-ES_tradnl"/>
              </w:rPr>
              <w:t>No</w:t>
            </w:r>
            <w:r w:rsidRPr="00740CBE">
              <w:rPr>
                <w:b/>
                <w:color w:val="808080"/>
                <w:sz w:val="13"/>
                <w:szCs w:val="13"/>
                <w:lang w:val="es-ES_tradnl"/>
              </w:rPr>
              <w:t xml:space="preserve"> </w:t>
            </w:r>
            <w:r w:rsidRPr="00800064">
              <w:rPr>
                <w:b/>
                <w:color w:val="808080"/>
                <w:sz w:val="16"/>
                <w:szCs w:val="16"/>
                <w:lang w:val="es-ES_tradnl"/>
              </w:rPr>
              <w:t>mensurable</w:t>
            </w:r>
          </w:p>
          <w:p w:rsidR="001B23B7"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800064" w:rsidRDefault="001B23B7" w:rsidP="00A34E19">
            <w:pPr>
              <w:keepNext/>
              <w:keepLines/>
              <w:jc w:val="center"/>
              <w:rPr>
                <w:b/>
                <w:sz w:val="16"/>
                <w:szCs w:val="16"/>
              </w:rPr>
            </w:pPr>
            <w:r w:rsidRPr="00800064">
              <w:rPr>
                <w:b/>
                <w:color w:val="808080"/>
                <w:sz w:val="16"/>
                <w:szCs w:val="16"/>
                <w:lang w:val="es-ES_tradnl"/>
              </w:rPr>
              <w:t>No mensurable</w:t>
            </w:r>
          </w:p>
          <w:p w:rsidR="001B23B7" w:rsidRPr="00740CBE" w:rsidRDefault="001B23B7" w:rsidP="00A34E19">
            <w:pPr>
              <w:keepNext/>
              <w:keepLines/>
              <w:rPr>
                <w:b/>
                <w:sz w:val="16"/>
                <w:szCs w:val="16"/>
              </w:rPr>
            </w:pPr>
          </w:p>
          <w:p w:rsidR="001B23B7" w:rsidRPr="00740CBE" w:rsidRDefault="001B23B7" w:rsidP="00A34E19">
            <w:pPr>
              <w:keepNext/>
              <w:keepLines/>
              <w:jc w:val="center"/>
              <w:rPr>
                <w:sz w:val="16"/>
                <w:szCs w:val="16"/>
              </w:rPr>
            </w:pPr>
          </w:p>
        </w:tc>
      </w:tr>
      <w:tr w:rsidR="001B23B7" w:rsidRPr="00740CBE" w:rsidTr="00A34E19">
        <w:trPr>
          <w:trHeight w:val="3501"/>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Puntualidad de las transacciones</w:t>
            </w:r>
          </w:p>
          <w:p w:rsidR="001B23B7" w:rsidRPr="00740CBE" w:rsidRDefault="001B23B7" w:rsidP="00A34E19">
            <w:pPr>
              <w:rPr>
                <w:sz w:val="16"/>
                <w:szCs w:val="16"/>
              </w:rPr>
            </w:pPr>
            <w:r w:rsidRPr="00740CBE">
              <w:rPr>
                <w:sz w:val="16"/>
                <w:szCs w:val="16"/>
                <w:lang w:val="es-ES_tradnl"/>
              </w:rPr>
              <w:t>(días)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A75F7">
            <w:pPr>
              <w:pStyle w:val="ListParagraph"/>
              <w:numPr>
                <w:ilvl w:val="0"/>
                <w:numId w:val="28"/>
              </w:numPr>
              <w:ind w:hanging="210"/>
              <w:contextualSpacing/>
              <w:rPr>
                <w:color w:val="002060"/>
                <w:sz w:val="16"/>
                <w:szCs w:val="16"/>
                <w:lang w:val="es-ES"/>
              </w:rPr>
            </w:pPr>
            <w:r w:rsidRPr="0076648C">
              <w:rPr>
                <w:color w:val="002060"/>
                <w:sz w:val="16"/>
                <w:szCs w:val="16"/>
                <w:lang w:val="es-ES"/>
              </w:rPr>
              <w:t>Solicitudes: 57</w:t>
            </w:r>
          </w:p>
          <w:p w:rsidR="001B23B7" w:rsidRPr="0076648C" w:rsidRDefault="001B23B7" w:rsidP="00AA75F7">
            <w:pPr>
              <w:pStyle w:val="ListParagraph"/>
              <w:numPr>
                <w:ilvl w:val="0"/>
                <w:numId w:val="28"/>
              </w:numPr>
              <w:ind w:hanging="210"/>
              <w:contextualSpacing/>
              <w:rPr>
                <w:color w:val="002060"/>
                <w:sz w:val="16"/>
                <w:szCs w:val="16"/>
                <w:lang w:val="es-ES"/>
              </w:rPr>
            </w:pPr>
            <w:r w:rsidRPr="0076648C">
              <w:rPr>
                <w:color w:val="002060"/>
                <w:sz w:val="16"/>
                <w:szCs w:val="16"/>
                <w:lang w:val="es-ES"/>
              </w:rPr>
              <w:t>Renovaciones: 56</w:t>
            </w:r>
          </w:p>
          <w:p w:rsidR="001B23B7" w:rsidRPr="0076648C" w:rsidRDefault="001B23B7" w:rsidP="00AA75F7">
            <w:pPr>
              <w:pStyle w:val="ListParagraph"/>
              <w:numPr>
                <w:ilvl w:val="0"/>
                <w:numId w:val="28"/>
              </w:numPr>
              <w:ind w:hanging="210"/>
              <w:contextualSpacing/>
              <w:rPr>
                <w:color w:val="002060"/>
                <w:sz w:val="16"/>
                <w:szCs w:val="16"/>
                <w:lang w:val="es-ES"/>
              </w:rPr>
            </w:pPr>
            <w:r w:rsidRPr="0076648C">
              <w:rPr>
                <w:color w:val="002060"/>
                <w:sz w:val="16"/>
                <w:szCs w:val="16"/>
                <w:lang w:val="es-ES"/>
              </w:rPr>
              <w:t xml:space="preserve">Designaciones posteriores: 32 </w:t>
            </w:r>
          </w:p>
          <w:p w:rsidR="001B23B7" w:rsidRPr="0076648C" w:rsidRDefault="001B23B7" w:rsidP="00AA75F7">
            <w:pPr>
              <w:pStyle w:val="ListParagraph"/>
              <w:numPr>
                <w:ilvl w:val="0"/>
                <w:numId w:val="28"/>
              </w:numPr>
              <w:ind w:hanging="210"/>
              <w:contextualSpacing/>
              <w:rPr>
                <w:color w:val="002060"/>
                <w:sz w:val="16"/>
                <w:szCs w:val="16"/>
                <w:lang w:val="es-ES"/>
              </w:rPr>
            </w:pPr>
            <w:r w:rsidRPr="0076648C">
              <w:rPr>
                <w:color w:val="002060"/>
                <w:sz w:val="16"/>
                <w:szCs w:val="16"/>
                <w:lang w:val="es-ES"/>
              </w:rPr>
              <w:t>Decisiones: 11</w:t>
            </w:r>
          </w:p>
          <w:p w:rsidR="001B23B7" w:rsidRPr="0076648C" w:rsidRDefault="001B23B7" w:rsidP="00AA75F7">
            <w:pPr>
              <w:pStyle w:val="ListParagraph"/>
              <w:numPr>
                <w:ilvl w:val="0"/>
                <w:numId w:val="28"/>
              </w:numPr>
              <w:ind w:hanging="210"/>
              <w:contextualSpacing/>
              <w:rPr>
                <w:color w:val="002060"/>
                <w:sz w:val="16"/>
                <w:szCs w:val="16"/>
                <w:lang w:val="es-ES"/>
              </w:rPr>
            </w:pPr>
            <w:r w:rsidRPr="0076648C">
              <w:rPr>
                <w:color w:val="002060"/>
                <w:sz w:val="16"/>
                <w:szCs w:val="16"/>
                <w:lang w:val="es-ES"/>
              </w:rPr>
              <w:t>Modificaciones: 56</w:t>
            </w:r>
          </w:p>
          <w:p w:rsidR="001B23B7" w:rsidRPr="0076648C" w:rsidRDefault="001B23B7" w:rsidP="00AA75F7">
            <w:pPr>
              <w:pStyle w:val="ListParagraph"/>
              <w:numPr>
                <w:ilvl w:val="0"/>
                <w:numId w:val="28"/>
              </w:numPr>
              <w:ind w:hanging="210"/>
              <w:contextualSpacing/>
              <w:rPr>
                <w:color w:val="002060"/>
                <w:sz w:val="16"/>
                <w:szCs w:val="16"/>
                <w:lang w:val="es-ES"/>
              </w:rPr>
            </w:pPr>
            <w:r w:rsidRPr="0076648C">
              <w:rPr>
                <w:color w:val="002060"/>
                <w:sz w:val="16"/>
                <w:szCs w:val="16"/>
                <w:lang w:val="es-ES"/>
              </w:rPr>
              <w:t>Correcciones:  12</w:t>
            </w:r>
            <w:r w:rsidR="009C5017">
              <w:rPr>
                <w:color w:val="002060"/>
                <w:sz w:val="16"/>
                <w:szCs w:val="16"/>
                <w:lang w:val="es-ES"/>
              </w:rPr>
              <w:t>3</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p>
          <w:p w:rsidR="001B23B7" w:rsidRPr="00740CBE" w:rsidRDefault="001B23B7" w:rsidP="00182B8E">
            <w:pPr>
              <w:rPr>
                <w:sz w:val="16"/>
                <w:szCs w:val="16"/>
              </w:rPr>
            </w:pPr>
            <w:r w:rsidRPr="00740CBE">
              <w:rPr>
                <w:sz w:val="16"/>
                <w:szCs w:val="16"/>
                <w:lang w:val="es-ES_tradnl"/>
              </w:rPr>
              <w:t xml:space="preserve">Solicitudes: 70  </w:t>
            </w:r>
            <w:r w:rsidRPr="00740CBE">
              <w:rPr>
                <w:sz w:val="16"/>
                <w:szCs w:val="16"/>
                <w:lang w:val="es-ES_tradnl"/>
              </w:rPr>
              <w:br/>
              <w:t xml:space="preserve">Renovaciones: 63  </w:t>
            </w:r>
            <w:r w:rsidRPr="00740CBE">
              <w:rPr>
                <w:sz w:val="16"/>
                <w:szCs w:val="16"/>
                <w:lang w:val="es-ES_tradnl"/>
              </w:rPr>
              <w:br/>
              <w:t xml:space="preserve">Designaciones posteriores: 56 Decisiones: 12 </w:t>
            </w:r>
            <w:r w:rsidRPr="00740CBE">
              <w:rPr>
                <w:sz w:val="16"/>
                <w:szCs w:val="16"/>
                <w:lang w:val="es-ES_tradnl"/>
              </w:rPr>
              <w:br/>
              <w:t>Modificaciones: 79 Correcciones: 232 (al 31 de dic. de 2014)</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lang w:val="es-ES_tradnl"/>
              </w:rPr>
              <w:t>Mejoras en todas las transacciones</w:t>
            </w:r>
          </w:p>
        </w:tc>
        <w:tc>
          <w:tcPr>
            <w:tcW w:w="1157" w:type="pct"/>
            <w:gridSpan w:val="2"/>
            <w:shd w:val="clear" w:color="auto" w:fill="FFFFFF"/>
            <w:tcMar>
              <w:top w:w="110" w:type="dxa"/>
              <w:left w:w="58" w:type="dxa"/>
              <w:right w:w="58" w:type="dxa"/>
            </w:tcMar>
          </w:tcPr>
          <w:p w:rsidR="001B23B7" w:rsidRPr="00740CBE" w:rsidRDefault="001B23B7" w:rsidP="00AA75F7">
            <w:pPr>
              <w:pStyle w:val="ListParagraph"/>
              <w:numPr>
                <w:ilvl w:val="0"/>
                <w:numId w:val="28"/>
              </w:numPr>
              <w:ind w:hanging="210"/>
              <w:contextualSpacing/>
              <w:rPr>
                <w:sz w:val="16"/>
                <w:szCs w:val="16"/>
                <w:lang w:val="es-ES"/>
              </w:rPr>
            </w:pPr>
            <w:r w:rsidRPr="00740CBE">
              <w:rPr>
                <w:sz w:val="16"/>
                <w:szCs w:val="16"/>
                <w:lang w:val="es-ES"/>
              </w:rPr>
              <w:t>Solicitudes:  64</w:t>
            </w:r>
          </w:p>
          <w:p w:rsidR="001B23B7" w:rsidRPr="00740CBE" w:rsidRDefault="001B23B7" w:rsidP="00AA75F7">
            <w:pPr>
              <w:pStyle w:val="ListParagraph"/>
              <w:numPr>
                <w:ilvl w:val="0"/>
                <w:numId w:val="28"/>
              </w:numPr>
              <w:ind w:hanging="210"/>
              <w:contextualSpacing/>
              <w:rPr>
                <w:sz w:val="16"/>
                <w:szCs w:val="16"/>
                <w:lang w:val="es-ES"/>
              </w:rPr>
            </w:pPr>
            <w:r w:rsidRPr="00740CBE">
              <w:rPr>
                <w:sz w:val="16"/>
                <w:szCs w:val="16"/>
                <w:lang w:val="es-ES"/>
              </w:rPr>
              <w:t>Renovaciones: 65</w:t>
            </w:r>
          </w:p>
          <w:p w:rsidR="001B23B7" w:rsidRPr="00740CBE" w:rsidRDefault="001B23B7" w:rsidP="00AA75F7">
            <w:pPr>
              <w:pStyle w:val="ListParagraph"/>
              <w:numPr>
                <w:ilvl w:val="0"/>
                <w:numId w:val="28"/>
              </w:numPr>
              <w:ind w:hanging="210"/>
              <w:contextualSpacing/>
              <w:rPr>
                <w:sz w:val="16"/>
                <w:szCs w:val="16"/>
                <w:lang w:val="es-ES"/>
              </w:rPr>
            </w:pPr>
            <w:r w:rsidRPr="00740CBE">
              <w:rPr>
                <w:sz w:val="16"/>
                <w:szCs w:val="16"/>
                <w:lang w:val="es-ES"/>
              </w:rPr>
              <w:t>Designaciones posteriores: 42</w:t>
            </w:r>
          </w:p>
          <w:p w:rsidR="001B23B7" w:rsidRPr="00740CBE" w:rsidRDefault="001B23B7" w:rsidP="00AA75F7">
            <w:pPr>
              <w:pStyle w:val="ListParagraph"/>
              <w:numPr>
                <w:ilvl w:val="0"/>
                <w:numId w:val="28"/>
              </w:numPr>
              <w:ind w:hanging="210"/>
              <w:contextualSpacing/>
              <w:rPr>
                <w:sz w:val="16"/>
                <w:szCs w:val="16"/>
                <w:lang w:val="es-ES"/>
              </w:rPr>
            </w:pPr>
            <w:r w:rsidRPr="00740CBE">
              <w:rPr>
                <w:sz w:val="16"/>
                <w:szCs w:val="16"/>
                <w:lang w:val="es-ES"/>
              </w:rPr>
              <w:t>Decisiones:  24</w:t>
            </w:r>
          </w:p>
          <w:p w:rsidR="001B23B7" w:rsidRPr="00740CBE" w:rsidRDefault="001B23B7" w:rsidP="00AA75F7">
            <w:pPr>
              <w:pStyle w:val="ListParagraph"/>
              <w:numPr>
                <w:ilvl w:val="0"/>
                <w:numId w:val="28"/>
              </w:numPr>
              <w:ind w:hanging="210"/>
              <w:contextualSpacing/>
              <w:rPr>
                <w:sz w:val="16"/>
                <w:szCs w:val="16"/>
                <w:lang w:val="es-ES"/>
              </w:rPr>
            </w:pPr>
            <w:r w:rsidRPr="00740CBE">
              <w:rPr>
                <w:sz w:val="16"/>
                <w:szCs w:val="16"/>
                <w:lang w:val="es-ES"/>
              </w:rPr>
              <w:t>Modificaciones:  62</w:t>
            </w:r>
          </w:p>
          <w:p w:rsidR="001B23B7" w:rsidRPr="00740CBE" w:rsidRDefault="001B23B7" w:rsidP="00AA75F7">
            <w:pPr>
              <w:pStyle w:val="ListParagraph"/>
              <w:numPr>
                <w:ilvl w:val="0"/>
                <w:numId w:val="28"/>
              </w:numPr>
              <w:ind w:hanging="210"/>
              <w:contextualSpacing/>
              <w:rPr>
                <w:sz w:val="16"/>
                <w:szCs w:val="16"/>
                <w:lang w:val="es-ES"/>
              </w:rPr>
            </w:pPr>
            <w:r w:rsidRPr="00740CBE">
              <w:rPr>
                <w:sz w:val="16"/>
                <w:szCs w:val="16"/>
                <w:lang w:val="es-ES"/>
              </w:rPr>
              <w:t>Correcciones:  140</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FF0000"/>
                <w:sz w:val="16"/>
                <w:szCs w:val="16"/>
                <w:lang w:val="es-ES_tradnl"/>
              </w:rPr>
              <w:t>No avanza</w:t>
            </w:r>
          </w:p>
          <w:p w:rsidR="001B23B7" w:rsidRPr="00740CBE" w:rsidRDefault="001B23B7" w:rsidP="00A34E19">
            <w:pPr>
              <w:keepNext/>
              <w:keepLines/>
              <w:jc w:val="center"/>
              <w:rPr>
                <w:sz w:val="16"/>
                <w:szCs w:val="16"/>
              </w:rPr>
            </w:pPr>
          </w:p>
          <w:p w:rsidR="001B23B7" w:rsidRPr="00740CBE" w:rsidRDefault="001B23B7" w:rsidP="00A34E19">
            <w:pPr>
              <w:keepNext/>
              <w:keepLines/>
              <w:jc w:val="center"/>
              <w:rPr>
                <w:b/>
                <w:sz w:val="16"/>
                <w:szCs w:val="16"/>
              </w:rPr>
            </w:pPr>
          </w:p>
        </w:tc>
      </w:tr>
      <w:tr w:rsidR="001B23B7" w:rsidRPr="00331A77" w:rsidTr="00A34E19">
        <w:trPr>
          <w:trHeight w:val="1020"/>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lastRenderedPageBreak/>
              <w:t>Calidad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Niza:  89%</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Examen de forma:  95%</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Decisiones:  99%</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Modificaciones:  95%</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Renovaciones:  92%</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Expedientes de clientes:  100%</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Atención al cliente:  79%</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Traducción:  EN: 100%</w:t>
            </w:r>
          </w:p>
          <w:p w:rsidR="001B23B7" w:rsidRPr="0076648C" w:rsidRDefault="001B23B7" w:rsidP="00A34E19">
            <w:pPr>
              <w:rPr>
                <w:color w:val="002060"/>
                <w:sz w:val="16"/>
                <w:szCs w:val="16"/>
              </w:rPr>
            </w:pPr>
            <w:r w:rsidRPr="0076648C">
              <w:rPr>
                <w:color w:val="002060"/>
                <w:sz w:val="16"/>
                <w:szCs w:val="16"/>
              </w:rPr>
              <w:t xml:space="preserve">                        FR: 98%</w:t>
            </w:r>
          </w:p>
          <w:p w:rsidR="001B23B7" w:rsidRPr="0076648C" w:rsidRDefault="001B23B7" w:rsidP="00A34E19">
            <w:pPr>
              <w:rPr>
                <w:color w:val="002060"/>
                <w:sz w:val="16"/>
                <w:szCs w:val="16"/>
              </w:rPr>
            </w:pPr>
            <w:r w:rsidRPr="0076648C">
              <w:rPr>
                <w:color w:val="002060"/>
                <w:sz w:val="16"/>
                <w:szCs w:val="16"/>
              </w:rPr>
              <w:t xml:space="preserve">                        ES: 96%</w:t>
            </w:r>
          </w:p>
          <w:p w:rsidR="001B23B7" w:rsidRDefault="001B23B7" w:rsidP="00A34E19">
            <w:pPr>
              <w:rPr>
                <w:i/>
                <w:sz w:val="16"/>
                <w:szCs w:val="16"/>
                <w:lang w:bidi="th-TH"/>
              </w:rPr>
            </w:pPr>
          </w:p>
          <w:p w:rsidR="001B23B7" w:rsidRDefault="001B23B7" w:rsidP="00A34E19">
            <w:pPr>
              <w:rPr>
                <w:i/>
                <w:sz w:val="16"/>
                <w:szCs w:val="16"/>
                <w:lang w:bidi="th-TH"/>
              </w:rPr>
            </w:pPr>
          </w:p>
          <w:p w:rsidR="001B23B7" w:rsidRDefault="001B23B7" w:rsidP="00A34E19">
            <w:pPr>
              <w:rPr>
                <w:i/>
                <w:sz w:val="16"/>
                <w:szCs w:val="16"/>
                <w:lang w:bidi="th-TH"/>
              </w:rPr>
            </w:pPr>
          </w:p>
          <w:p w:rsidR="001B23B7" w:rsidRDefault="001B23B7" w:rsidP="00A34E19">
            <w:pPr>
              <w:rPr>
                <w:i/>
                <w:sz w:val="16"/>
                <w:szCs w:val="16"/>
                <w:lang w:bidi="th-TH"/>
              </w:rPr>
            </w:pPr>
          </w:p>
          <w:p w:rsidR="001B23B7" w:rsidRPr="00740CBE" w:rsidRDefault="001B23B7" w:rsidP="00A34E19">
            <w:pPr>
              <w:rPr>
                <w:i/>
                <w:sz w:val="16"/>
                <w:szCs w:val="16"/>
                <w:lang w:bidi="th-TH"/>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3D604D" w:rsidRDefault="001B23B7" w:rsidP="00A34E19">
            <w:pPr>
              <w:spacing w:after="240"/>
              <w:rPr>
                <w:sz w:val="16"/>
                <w:szCs w:val="16"/>
                <w:lang w:bidi="th-TH"/>
              </w:rPr>
            </w:pPr>
            <w:r w:rsidRPr="003D604D">
              <w:rPr>
                <w:sz w:val="16"/>
                <w:szCs w:val="16"/>
                <w:lang w:val="es-ES_tradnl" w:bidi="th-TH"/>
              </w:rPr>
              <w:t>Por determinar</w:t>
            </w:r>
          </w:p>
        </w:tc>
        <w:tc>
          <w:tcPr>
            <w:tcW w:w="888" w:type="pct"/>
            <w:shd w:val="clear" w:color="auto" w:fill="auto"/>
            <w:tcMar>
              <w:top w:w="110" w:type="dxa"/>
              <w:left w:w="58" w:type="dxa"/>
              <w:right w:w="58" w:type="dxa"/>
            </w:tcMar>
          </w:tcPr>
          <w:p w:rsidR="001B23B7" w:rsidRPr="00F74742" w:rsidRDefault="001B23B7" w:rsidP="00A34E19">
            <w:pPr>
              <w:rPr>
                <w:i/>
                <w:color w:val="002060"/>
                <w:sz w:val="16"/>
                <w:szCs w:val="16"/>
              </w:rPr>
            </w:pPr>
            <w:r w:rsidRPr="00F74742">
              <w:rPr>
                <w:i/>
                <w:color w:val="002060"/>
                <w:sz w:val="16"/>
                <w:szCs w:val="16"/>
                <w:lang w:val="es-ES_tradnl"/>
              </w:rPr>
              <w:t xml:space="preserve">Objetivo definido: </w:t>
            </w:r>
          </w:p>
          <w:p w:rsidR="001B23B7" w:rsidRPr="00F74742" w:rsidRDefault="001B23B7" w:rsidP="00A34E19">
            <w:pPr>
              <w:rPr>
                <w:color w:val="002060"/>
                <w:sz w:val="16"/>
                <w:szCs w:val="16"/>
              </w:rPr>
            </w:pPr>
            <w:r w:rsidRPr="00F74742">
              <w:rPr>
                <w:color w:val="002060"/>
                <w:sz w:val="16"/>
                <w:szCs w:val="16"/>
              </w:rPr>
              <w:t>Nivel de calidad aceptable (</w:t>
            </w:r>
            <w:r>
              <w:rPr>
                <w:color w:val="002060"/>
                <w:sz w:val="16"/>
                <w:szCs w:val="16"/>
              </w:rPr>
              <w:t>NCA</w:t>
            </w:r>
            <w:r w:rsidRPr="00F74742">
              <w:rPr>
                <w:color w:val="002060"/>
                <w:sz w:val="16"/>
                <w:szCs w:val="16"/>
              </w:rPr>
              <w:t>) Niza:  90%</w:t>
            </w:r>
          </w:p>
          <w:p w:rsidR="001B23B7" w:rsidRPr="00F74742" w:rsidRDefault="001B23B7" w:rsidP="00A34E19">
            <w:pPr>
              <w:rPr>
                <w:color w:val="002060"/>
                <w:sz w:val="16"/>
                <w:szCs w:val="16"/>
              </w:rPr>
            </w:pPr>
            <w:r>
              <w:rPr>
                <w:color w:val="002060"/>
                <w:sz w:val="16"/>
                <w:szCs w:val="16"/>
              </w:rPr>
              <w:t>NCA</w:t>
            </w:r>
            <w:r w:rsidRPr="00F74742">
              <w:rPr>
                <w:color w:val="002060"/>
                <w:sz w:val="16"/>
                <w:szCs w:val="16"/>
              </w:rPr>
              <w:t xml:space="preserve"> Examen de forma: 95%</w:t>
            </w:r>
          </w:p>
          <w:p w:rsidR="001B23B7" w:rsidRPr="00F74742" w:rsidRDefault="001B23B7" w:rsidP="00A34E19">
            <w:pPr>
              <w:rPr>
                <w:color w:val="002060"/>
                <w:sz w:val="16"/>
                <w:szCs w:val="16"/>
              </w:rPr>
            </w:pPr>
            <w:r>
              <w:rPr>
                <w:color w:val="002060"/>
                <w:sz w:val="16"/>
                <w:szCs w:val="16"/>
              </w:rPr>
              <w:t>NCA</w:t>
            </w:r>
            <w:r w:rsidRPr="00F74742">
              <w:rPr>
                <w:color w:val="002060"/>
                <w:sz w:val="16"/>
                <w:szCs w:val="16"/>
              </w:rPr>
              <w:t xml:space="preserve"> Decisiones: 97%</w:t>
            </w:r>
          </w:p>
          <w:p w:rsidR="001B23B7" w:rsidRPr="00F74742" w:rsidRDefault="001B23B7" w:rsidP="00A34E19">
            <w:pPr>
              <w:rPr>
                <w:color w:val="002060"/>
                <w:sz w:val="16"/>
                <w:szCs w:val="16"/>
              </w:rPr>
            </w:pPr>
            <w:r>
              <w:rPr>
                <w:color w:val="002060"/>
                <w:sz w:val="16"/>
                <w:szCs w:val="16"/>
              </w:rPr>
              <w:t>NCA</w:t>
            </w:r>
            <w:r w:rsidRPr="00F74742">
              <w:rPr>
                <w:color w:val="002060"/>
                <w:sz w:val="16"/>
                <w:szCs w:val="16"/>
              </w:rPr>
              <w:t xml:space="preserve"> Modificaciones: 95%</w:t>
            </w:r>
          </w:p>
          <w:p w:rsidR="001B23B7" w:rsidRPr="00F74742" w:rsidRDefault="001B23B7" w:rsidP="00A34E19">
            <w:pPr>
              <w:rPr>
                <w:color w:val="002060"/>
                <w:sz w:val="16"/>
                <w:szCs w:val="16"/>
              </w:rPr>
            </w:pPr>
            <w:r>
              <w:rPr>
                <w:color w:val="002060"/>
                <w:sz w:val="16"/>
                <w:szCs w:val="16"/>
              </w:rPr>
              <w:t>NCA</w:t>
            </w:r>
            <w:r w:rsidRPr="00F74742">
              <w:rPr>
                <w:color w:val="002060"/>
                <w:sz w:val="16"/>
                <w:szCs w:val="16"/>
              </w:rPr>
              <w:t xml:space="preserve"> Renovaciones: 95%</w:t>
            </w:r>
          </w:p>
          <w:p w:rsidR="001B23B7" w:rsidRPr="00F74742" w:rsidRDefault="001B23B7" w:rsidP="00A34E19">
            <w:pPr>
              <w:rPr>
                <w:color w:val="002060"/>
                <w:sz w:val="16"/>
                <w:szCs w:val="16"/>
              </w:rPr>
            </w:pPr>
            <w:r>
              <w:rPr>
                <w:color w:val="002060"/>
                <w:sz w:val="16"/>
                <w:szCs w:val="16"/>
              </w:rPr>
              <w:t>NCA</w:t>
            </w:r>
            <w:r w:rsidRPr="00F74742">
              <w:rPr>
                <w:color w:val="002060"/>
                <w:sz w:val="16"/>
                <w:szCs w:val="16"/>
              </w:rPr>
              <w:t xml:space="preserve"> Expediente de clientes: 99%</w:t>
            </w:r>
          </w:p>
          <w:p w:rsidR="001B23B7" w:rsidRPr="00F74742" w:rsidRDefault="001B23B7" w:rsidP="00A34E19">
            <w:pPr>
              <w:rPr>
                <w:color w:val="002060"/>
                <w:sz w:val="16"/>
                <w:szCs w:val="16"/>
              </w:rPr>
            </w:pPr>
            <w:r>
              <w:rPr>
                <w:color w:val="002060"/>
                <w:sz w:val="16"/>
                <w:szCs w:val="16"/>
              </w:rPr>
              <w:t>NCA</w:t>
            </w:r>
            <w:r w:rsidRPr="00F74742">
              <w:rPr>
                <w:color w:val="002060"/>
                <w:sz w:val="16"/>
                <w:szCs w:val="16"/>
              </w:rPr>
              <w:t xml:space="preserve"> Atención al cliente: 90%</w:t>
            </w:r>
          </w:p>
          <w:p w:rsidR="001B23B7" w:rsidRPr="00F74742" w:rsidRDefault="001B23B7" w:rsidP="00A34E19">
            <w:pPr>
              <w:rPr>
                <w:color w:val="002060"/>
                <w:sz w:val="16"/>
                <w:szCs w:val="16"/>
              </w:rPr>
            </w:pPr>
            <w:r>
              <w:rPr>
                <w:color w:val="002060"/>
                <w:sz w:val="16"/>
                <w:szCs w:val="16"/>
              </w:rPr>
              <w:t>NCA</w:t>
            </w:r>
            <w:r w:rsidRPr="00F74742">
              <w:rPr>
                <w:color w:val="002060"/>
                <w:sz w:val="16"/>
                <w:szCs w:val="16"/>
              </w:rPr>
              <w:t xml:space="preserve"> Traducción: 95%</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Objetivo original en el presupuesto 2016/17:</w:t>
            </w:r>
            <w:r w:rsidRPr="00740CBE">
              <w:rPr>
                <w:i/>
                <w:sz w:val="16"/>
                <w:szCs w:val="16"/>
                <w:lang w:bidi="th-TH"/>
              </w:rPr>
              <w:t xml:space="preserve">  </w:t>
            </w:r>
          </w:p>
          <w:p w:rsidR="001B23B7" w:rsidRPr="003D604D" w:rsidRDefault="001B23B7" w:rsidP="00A34E19">
            <w:pPr>
              <w:spacing w:after="240"/>
              <w:rPr>
                <w:sz w:val="16"/>
                <w:szCs w:val="16"/>
                <w:lang w:bidi="th-TH"/>
              </w:rPr>
            </w:pPr>
            <w:r w:rsidRPr="003D604D">
              <w:rPr>
                <w:sz w:val="16"/>
                <w:szCs w:val="16"/>
                <w:lang w:val="es-ES_tradnl" w:bidi="th-TH"/>
              </w:rPr>
              <w:t>Por determinar</w:t>
            </w:r>
          </w:p>
        </w:tc>
        <w:tc>
          <w:tcPr>
            <w:tcW w:w="1157" w:type="pct"/>
            <w:gridSpan w:val="2"/>
            <w:shd w:val="clear" w:color="auto" w:fill="FFFFFF"/>
            <w:tcMar>
              <w:top w:w="110" w:type="dxa"/>
              <w:left w:w="58" w:type="dxa"/>
              <w:right w:w="58" w:type="dxa"/>
            </w:tcMar>
          </w:tcPr>
          <w:p w:rsidR="001B23B7" w:rsidRDefault="001B23B7" w:rsidP="00A34E19">
            <w:pPr>
              <w:keepNext/>
              <w:keepLines/>
              <w:spacing w:after="120"/>
              <w:rPr>
                <w:sz w:val="16"/>
                <w:szCs w:val="16"/>
              </w:rPr>
            </w:pPr>
          </w:p>
          <w:p w:rsidR="001B23B7" w:rsidRPr="00740CBE" w:rsidRDefault="001B23B7" w:rsidP="00A34E19">
            <w:pPr>
              <w:keepNext/>
              <w:keepLines/>
              <w:spacing w:after="120"/>
              <w:rPr>
                <w:sz w:val="16"/>
                <w:szCs w:val="16"/>
              </w:rPr>
            </w:pPr>
            <w:r w:rsidRPr="00740CBE">
              <w:rPr>
                <w:sz w:val="16"/>
                <w:szCs w:val="16"/>
              </w:rPr>
              <w:t>Niza:  91%</w:t>
            </w:r>
          </w:p>
          <w:p w:rsidR="001B23B7" w:rsidRPr="00740CBE" w:rsidRDefault="001B23B7" w:rsidP="00A34E19">
            <w:pPr>
              <w:keepNext/>
              <w:keepLines/>
              <w:ind w:right="-58"/>
              <w:rPr>
                <w:sz w:val="16"/>
                <w:szCs w:val="16"/>
              </w:rPr>
            </w:pPr>
            <w:r w:rsidRPr="00740CBE">
              <w:rPr>
                <w:sz w:val="16"/>
                <w:szCs w:val="16"/>
              </w:rPr>
              <w:t>Examen de forma: 94%</w:t>
            </w:r>
          </w:p>
          <w:p w:rsidR="001B23B7" w:rsidRPr="00740CBE" w:rsidRDefault="001B23B7" w:rsidP="00A34E19">
            <w:pPr>
              <w:keepNext/>
              <w:keepLines/>
              <w:ind w:right="-58"/>
              <w:rPr>
                <w:sz w:val="16"/>
                <w:szCs w:val="16"/>
              </w:rPr>
            </w:pPr>
          </w:p>
          <w:p w:rsidR="001B23B7" w:rsidRPr="00740CBE" w:rsidRDefault="001B23B7" w:rsidP="00A34E19">
            <w:pPr>
              <w:keepNext/>
              <w:keepLines/>
              <w:rPr>
                <w:sz w:val="16"/>
                <w:szCs w:val="16"/>
              </w:rPr>
            </w:pPr>
            <w:r w:rsidRPr="00740CBE">
              <w:rPr>
                <w:sz w:val="16"/>
                <w:szCs w:val="16"/>
              </w:rPr>
              <w:t>Decisiones: 96%</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Modificaciones: 95%</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Renovaciones:  96%</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Expedientes de clientes: 100%</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Atención al cliente: 83%</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Traducción:  EN 99%</w:t>
            </w:r>
          </w:p>
          <w:p w:rsidR="001B23B7" w:rsidRPr="00740CBE" w:rsidRDefault="001B23B7" w:rsidP="00A34E19">
            <w:pPr>
              <w:keepNext/>
              <w:keepLines/>
              <w:rPr>
                <w:sz w:val="16"/>
                <w:szCs w:val="16"/>
              </w:rPr>
            </w:pPr>
            <w:r w:rsidRPr="00740CBE">
              <w:rPr>
                <w:sz w:val="16"/>
                <w:szCs w:val="16"/>
              </w:rPr>
              <w:t xml:space="preserve">                     FR 99%</w:t>
            </w:r>
          </w:p>
          <w:p w:rsidR="001B23B7" w:rsidRPr="00740CBE" w:rsidRDefault="001B23B7" w:rsidP="00A34E19">
            <w:pPr>
              <w:keepNext/>
              <w:keepLines/>
              <w:rPr>
                <w:sz w:val="16"/>
                <w:szCs w:val="16"/>
              </w:rPr>
            </w:pPr>
            <w:r w:rsidRPr="00740CBE">
              <w:rPr>
                <w:sz w:val="16"/>
                <w:szCs w:val="16"/>
              </w:rPr>
              <w:t xml:space="preserve">                     ES 97%</w:t>
            </w:r>
          </w:p>
          <w:p w:rsidR="001B23B7" w:rsidRPr="00740CBE" w:rsidRDefault="001B23B7" w:rsidP="00A34E19">
            <w:pPr>
              <w:keepNext/>
              <w:keepLines/>
              <w:rPr>
                <w:sz w:val="16"/>
                <w:szCs w:val="16"/>
              </w:rPr>
            </w:pPr>
          </w:p>
        </w:tc>
        <w:tc>
          <w:tcPr>
            <w:tcW w:w="661" w:type="pct"/>
            <w:gridSpan w:val="2"/>
            <w:shd w:val="clear" w:color="auto" w:fill="auto"/>
            <w:tcMar>
              <w:top w:w="110" w:type="dxa"/>
              <w:left w:w="58" w:type="dxa"/>
              <w:right w:w="58" w:type="dxa"/>
            </w:tcMar>
          </w:tcPr>
          <w:p w:rsidR="001B23B7" w:rsidRDefault="001B23B7" w:rsidP="00A34E19">
            <w:pPr>
              <w:keepNext/>
              <w:keepLines/>
              <w:spacing w:after="120"/>
              <w:jc w:val="center"/>
              <w:rPr>
                <w:b/>
                <w:sz w:val="16"/>
                <w:szCs w:val="16"/>
                <w:lang w:val="es-ES_tradnl"/>
              </w:rPr>
            </w:pPr>
          </w:p>
          <w:p w:rsidR="001B23B7" w:rsidRPr="00740CBE" w:rsidRDefault="001B23B7" w:rsidP="00A34E19">
            <w:pPr>
              <w:keepNext/>
              <w:keepLines/>
              <w:spacing w:after="120"/>
              <w:jc w:val="center"/>
              <w:rPr>
                <w:b/>
                <w:sz w:val="16"/>
                <w:szCs w:val="16"/>
              </w:rPr>
            </w:pPr>
            <w:r w:rsidRPr="00740CBE">
              <w:rPr>
                <w:b/>
                <w:color w:val="00B050"/>
                <w:sz w:val="16"/>
                <w:szCs w:val="16"/>
                <w:lang w:val="es-ES_tradnl"/>
              </w:rPr>
              <w:t>Avanza</w:t>
            </w:r>
          </w:p>
          <w:p w:rsidR="001B23B7" w:rsidRPr="00740CBE" w:rsidRDefault="009C5017" w:rsidP="009C5017">
            <w:pPr>
              <w:keepNext/>
              <w:keepLines/>
              <w:spacing w:after="120"/>
              <w:jc w:val="center"/>
              <w:rPr>
                <w:b/>
                <w:sz w:val="16"/>
                <w:szCs w:val="16"/>
              </w:rPr>
            </w:pPr>
            <w:r w:rsidRPr="009C5017">
              <w:rPr>
                <w:b/>
                <w:color w:val="00B050"/>
                <w:sz w:val="16"/>
                <w:szCs w:val="16"/>
                <w:lang w:val="es-ES_tradnl"/>
              </w:rPr>
              <w:t>Avanza</w:t>
            </w:r>
            <w:r>
              <w:rPr>
                <w:b/>
                <w:sz w:val="16"/>
                <w:szCs w:val="16"/>
              </w:rPr>
              <w:br/>
            </w:r>
            <w:r>
              <w:rPr>
                <w:b/>
                <w:sz w:val="16"/>
                <w:szCs w:val="16"/>
              </w:rPr>
              <w:br/>
            </w:r>
            <w:r w:rsidRPr="009C5017">
              <w:rPr>
                <w:b/>
                <w:color w:val="00B050"/>
                <w:sz w:val="16"/>
                <w:szCs w:val="16"/>
                <w:lang w:val="es-ES_tradnl"/>
              </w:rPr>
              <w:t>Avanza</w:t>
            </w:r>
            <w:r>
              <w:rPr>
                <w:b/>
                <w:color w:val="FF0000"/>
                <w:sz w:val="16"/>
                <w:szCs w:val="16"/>
                <w:lang w:val="es-ES_tradnl"/>
              </w:rPr>
              <w:br/>
            </w:r>
            <w:r>
              <w:rPr>
                <w:b/>
                <w:color w:val="00B050"/>
                <w:sz w:val="16"/>
                <w:szCs w:val="16"/>
                <w:lang w:val="es-ES_tradnl"/>
              </w:rPr>
              <w:br/>
            </w:r>
            <w:r w:rsidR="001B23B7" w:rsidRPr="00740CBE">
              <w:rPr>
                <w:b/>
                <w:color w:val="00B050"/>
                <w:sz w:val="16"/>
                <w:szCs w:val="16"/>
                <w:lang w:val="es-ES_tradnl"/>
              </w:rPr>
              <w:t>Avanza</w:t>
            </w:r>
          </w:p>
          <w:p w:rsidR="001B23B7" w:rsidRPr="00740CBE" w:rsidRDefault="001B23B7" w:rsidP="00A34E19">
            <w:pPr>
              <w:keepNext/>
              <w:keepLines/>
              <w:jc w:val="center"/>
              <w:rPr>
                <w:b/>
                <w:sz w:val="16"/>
                <w:szCs w:val="16"/>
              </w:rPr>
            </w:pPr>
          </w:p>
          <w:p w:rsidR="001B23B7" w:rsidRPr="00331A77" w:rsidRDefault="001B23B7" w:rsidP="00A34E19">
            <w:pPr>
              <w:keepNext/>
              <w:keepLines/>
              <w:jc w:val="center"/>
              <w:rPr>
                <w:b/>
                <w:sz w:val="16"/>
                <w:szCs w:val="16"/>
              </w:rPr>
            </w:pPr>
            <w:r w:rsidRPr="00740CBE">
              <w:rPr>
                <w:b/>
                <w:color w:val="00B050"/>
                <w:sz w:val="16"/>
                <w:szCs w:val="16"/>
                <w:lang w:val="es-ES_tradnl"/>
              </w:rPr>
              <w:t>Avanza</w:t>
            </w:r>
          </w:p>
          <w:p w:rsidR="001B23B7" w:rsidRPr="00331A77" w:rsidRDefault="001B23B7" w:rsidP="00A34E19">
            <w:pPr>
              <w:keepNext/>
              <w:keepLines/>
              <w:jc w:val="center"/>
              <w:rPr>
                <w:b/>
                <w:sz w:val="16"/>
                <w:szCs w:val="16"/>
              </w:rPr>
            </w:pPr>
          </w:p>
          <w:p w:rsidR="001B23B7" w:rsidRPr="00331A77" w:rsidRDefault="001B23B7" w:rsidP="00A34E19">
            <w:pPr>
              <w:keepNext/>
              <w:keepLines/>
              <w:jc w:val="center"/>
              <w:rPr>
                <w:b/>
                <w:sz w:val="16"/>
                <w:szCs w:val="16"/>
              </w:rPr>
            </w:pPr>
            <w:r w:rsidRPr="00740CBE">
              <w:rPr>
                <w:b/>
                <w:color w:val="00B050"/>
                <w:sz w:val="16"/>
                <w:szCs w:val="16"/>
                <w:lang w:val="es-ES_tradnl"/>
              </w:rPr>
              <w:t>Avanza</w:t>
            </w:r>
          </w:p>
          <w:p w:rsidR="001B23B7" w:rsidRPr="00331A77" w:rsidRDefault="001B23B7" w:rsidP="00A34E19">
            <w:pPr>
              <w:keepNext/>
              <w:keepLines/>
              <w:jc w:val="center"/>
              <w:rPr>
                <w:b/>
                <w:sz w:val="16"/>
                <w:szCs w:val="16"/>
              </w:rPr>
            </w:pPr>
          </w:p>
          <w:p w:rsidR="001B23B7" w:rsidRPr="00331A77" w:rsidRDefault="001B23B7" w:rsidP="00A34E19">
            <w:pPr>
              <w:keepNext/>
              <w:keepLines/>
              <w:jc w:val="center"/>
              <w:rPr>
                <w:b/>
                <w:sz w:val="16"/>
                <w:szCs w:val="16"/>
              </w:rPr>
            </w:pPr>
            <w:r w:rsidRPr="00740CBE">
              <w:rPr>
                <w:b/>
                <w:color w:val="FF0000"/>
                <w:sz w:val="16"/>
                <w:szCs w:val="16"/>
                <w:lang w:val="es-ES_tradnl"/>
              </w:rPr>
              <w:t>No avanza</w:t>
            </w:r>
          </w:p>
          <w:p w:rsidR="001B23B7" w:rsidRPr="00331A77" w:rsidRDefault="001B23B7" w:rsidP="00A34E19">
            <w:pPr>
              <w:keepNext/>
              <w:keepLines/>
              <w:jc w:val="center"/>
              <w:rPr>
                <w:b/>
                <w:sz w:val="16"/>
                <w:szCs w:val="16"/>
              </w:rPr>
            </w:pPr>
          </w:p>
          <w:p w:rsidR="001B23B7" w:rsidRPr="00331A77" w:rsidRDefault="001B23B7" w:rsidP="00A34E19">
            <w:pPr>
              <w:keepNext/>
              <w:keepLines/>
              <w:jc w:val="center"/>
              <w:rPr>
                <w:b/>
                <w:sz w:val="16"/>
                <w:szCs w:val="16"/>
              </w:rPr>
            </w:pPr>
            <w:r w:rsidRPr="00740CBE">
              <w:rPr>
                <w:b/>
                <w:color w:val="00B050"/>
                <w:sz w:val="16"/>
                <w:szCs w:val="16"/>
                <w:lang w:val="es-ES_tradnl"/>
              </w:rPr>
              <w:t>Avanza</w:t>
            </w:r>
          </w:p>
          <w:p w:rsidR="001B23B7" w:rsidRPr="00331A77" w:rsidRDefault="001B23B7" w:rsidP="00A34E19">
            <w:pPr>
              <w:keepNext/>
              <w:keepLines/>
              <w:jc w:val="center"/>
              <w:rPr>
                <w:b/>
                <w:sz w:val="16"/>
                <w:szCs w:val="16"/>
              </w:rPr>
            </w:pPr>
          </w:p>
        </w:tc>
      </w:tr>
      <w:tr w:rsidR="001B23B7" w:rsidRPr="00740CBE" w:rsidTr="00A34E19">
        <w:trPr>
          <w:trHeight w:val="606"/>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Mejor funcionamiento del Registro de Madrid, incluidos los procesos y procedimientos electrónicos (Madrid)</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A75F7">
            <w:pPr>
              <w:pStyle w:val="ListParagraph"/>
              <w:numPr>
                <w:ilvl w:val="0"/>
                <w:numId w:val="26"/>
              </w:numPr>
              <w:ind w:hanging="120"/>
              <w:contextualSpacing/>
              <w:rPr>
                <w:color w:val="002060"/>
                <w:sz w:val="16"/>
                <w:szCs w:val="16"/>
              </w:rPr>
            </w:pPr>
            <w:r w:rsidRPr="0076648C">
              <w:rPr>
                <w:color w:val="002060"/>
                <w:sz w:val="16"/>
                <w:szCs w:val="16"/>
                <w:lang w:val="es-ES_tradnl"/>
              </w:rPr>
              <w:t>79% de documentos recibidos electrónicamente</w:t>
            </w:r>
          </w:p>
          <w:p w:rsidR="001B23B7" w:rsidRPr="0076648C" w:rsidRDefault="001B23B7" w:rsidP="00AA75F7">
            <w:pPr>
              <w:pStyle w:val="ListParagraph"/>
              <w:numPr>
                <w:ilvl w:val="0"/>
                <w:numId w:val="26"/>
              </w:numPr>
              <w:ind w:hanging="120"/>
              <w:contextualSpacing/>
              <w:rPr>
                <w:color w:val="002060"/>
                <w:sz w:val="16"/>
                <w:szCs w:val="16"/>
              </w:rPr>
            </w:pPr>
            <w:r w:rsidRPr="0076648C">
              <w:rPr>
                <w:color w:val="002060"/>
                <w:sz w:val="16"/>
                <w:szCs w:val="16"/>
                <w:lang w:val="es-ES_tradnl"/>
              </w:rPr>
              <w:t>325.000 notificaciones recibidas por correo-e</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_tradnl"/>
              </w:rPr>
              <w:t>2.752 clientes del Gestor de carteras del Sistema de Madrid (MPM)</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_tradnl"/>
              </w:rPr>
              <w:t>27 oficinas que comunican en XML</w:t>
            </w:r>
          </w:p>
          <w:p w:rsidR="001B23B7" w:rsidRPr="0076648C" w:rsidRDefault="001B23B7" w:rsidP="00AA75F7">
            <w:pPr>
              <w:pStyle w:val="ListParagraph"/>
              <w:numPr>
                <w:ilvl w:val="0"/>
                <w:numId w:val="26"/>
              </w:numPr>
              <w:ind w:hanging="120"/>
              <w:contextualSpacing/>
              <w:rPr>
                <w:color w:val="002060"/>
                <w:sz w:val="16"/>
                <w:szCs w:val="16"/>
              </w:rPr>
            </w:pPr>
            <w:r w:rsidRPr="0076648C">
              <w:rPr>
                <w:color w:val="002060"/>
                <w:sz w:val="16"/>
                <w:szCs w:val="16"/>
              </w:rPr>
              <w:t xml:space="preserve">1 </w:t>
            </w:r>
            <w:r w:rsidRPr="0076648C">
              <w:rPr>
                <w:color w:val="002060"/>
                <w:sz w:val="16"/>
                <w:szCs w:val="16"/>
                <w:lang w:val="es-ES"/>
              </w:rPr>
              <w:t>formulario</w:t>
            </w:r>
            <w:r w:rsidRPr="0076648C">
              <w:rPr>
                <w:color w:val="002060"/>
                <w:sz w:val="16"/>
                <w:szCs w:val="16"/>
              </w:rPr>
              <w:t xml:space="preserve"> web </w:t>
            </w:r>
            <w:r w:rsidRPr="0076648C">
              <w:rPr>
                <w:color w:val="002060"/>
                <w:sz w:val="16"/>
                <w:szCs w:val="16"/>
                <w:lang w:val="es-ES"/>
              </w:rPr>
              <w:t>inteligente</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690.000 documentos recibidos</w:t>
            </w:r>
          </w:p>
          <w:p w:rsidR="001B23B7" w:rsidRPr="0076648C" w:rsidRDefault="001B23B7" w:rsidP="00AA75F7">
            <w:pPr>
              <w:pStyle w:val="ListParagraph"/>
              <w:numPr>
                <w:ilvl w:val="0"/>
                <w:numId w:val="26"/>
              </w:numPr>
              <w:ind w:hanging="120"/>
              <w:contextualSpacing/>
              <w:rPr>
                <w:color w:val="002060"/>
                <w:sz w:val="16"/>
                <w:szCs w:val="16"/>
                <w:lang w:val="es-ES"/>
              </w:rPr>
            </w:pPr>
            <w:r w:rsidRPr="0076648C">
              <w:rPr>
                <w:color w:val="002060"/>
                <w:sz w:val="16"/>
                <w:szCs w:val="16"/>
                <w:lang w:val="es-ES"/>
              </w:rPr>
              <w:t>1.750.000 documentos enviados</w:t>
            </w:r>
          </w:p>
          <w:p w:rsidR="001B23B7" w:rsidRPr="00740CBE" w:rsidRDefault="001B23B7" w:rsidP="00A34E19">
            <w:pPr>
              <w:rPr>
                <w:i/>
                <w:sz w:val="16"/>
                <w:szCs w:val="16"/>
                <w:u w:val="single"/>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A34E19">
            <w:pPr>
              <w:rPr>
                <w:sz w:val="16"/>
                <w:szCs w:val="16"/>
                <w:lang w:val="es-ES_tradnl"/>
              </w:rPr>
            </w:pPr>
            <w:r w:rsidRPr="00740CBE">
              <w:rPr>
                <w:sz w:val="16"/>
                <w:szCs w:val="16"/>
                <w:lang w:val="es-ES_tradnl"/>
              </w:rPr>
              <w:t xml:space="preserve">70% de los documentos se recibe electrónicamente </w:t>
            </w:r>
          </w:p>
          <w:p w:rsidR="001B23B7" w:rsidRPr="00740CBE" w:rsidRDefault="001B23B7" w:rsidP="00A34E19">
            <w:pPr>
              <w:rPr>
                <w:sz w:val="16"/>
                <w:szCs w:val="16"/>
                <w:lang w:val="es-ES_tradnl"/>
              </w:rPr>
            </w:pPr>
            <w:r w:rsidRPr="00740CBE">
              <w:rPr>
                <w:sz w:val="16"/>
                <w:szCs w:val="16"/>
                <w:lang w:val="es-ES_tradnl"/>
              </w:rPr>
              <w:t>- 220.000 notificaciones por correo-e</w:t>
            </w:r>
          </w:p>
          <w:p w:rsidR="001B23B7" w:rsidRPr="00740CBE" w:rsidRDefault="001B23B7" w:rsidP="00A34E19">
            <w:pPr>
              <w:rPr>
                <w:sz w:val="16"/>
                <w:szCs w:val="16"/>
                <w:lang w:val="es-ES_tradnl"/>
              </w:rPr>
            </w:pPr>
            <w:r w:rsidRPr="00740CBE">
              <w:rPr>
                <w:sz w:val="16"/>
                <w:szCs w:val="16"/>
                <w:lang w:val="es-ES_tradnl"/>
              </w:rPr>
              <w:t>- 1.800 clientes del MPM</w:t>
            </w:r>
          </w:p>
          <w:p w:rsidR="001B23B7" w:rsidRPr="00740CBE" w:rsidRDefault="001B23B7" w:rsidP="00A34E19">
            <w:pPr>
              <w:rPr>
                <w:sz w:val="16"/>
                <w:szCs w:val="16"/>
                <w:lang w:val="es-ES_tradnl"/>
              </w:rPr>
            </w:pPr>
            <w:r w:rsidRPr="00740CBE">
              <w:rPr>
                <w:sz w:val="16"/>
                <w:szCs w:val="16"/>
                <w:lang w:val="es-ES_tradnl"/>
              </w:rPr>
              <w:t>- 17 oficinas que comunican en XML</w:t>
            </w:r>
          </w:p>
          <w:p w:rsidR="001B23B7" w:rsidRPr="00740CBE" w:rsidRDefault="001B23B7" w:rsidP="00A34E19">
            <w:pPr>
              <w:rPr>
                <w:sz w:val="16"/>
                <w:szCs w:val="16"/>
                <w:lang w:val="es-ES_tradnl"/>
              </w:rPr>
            </w:pPr>
            <w:r w:rsidRPr="00740CBE">
              <w:rPr>
                <w:sz w:val="16"/>
                <w:szCs w:val="16"/>
                <w:lang w:val="es-ES_tradnl"/>
              </w:rPr>
              <w:t xml:space="preserve">- 1 formulario web inteligente </w:t>
            </w:r>
            <w:r w:rsidRPr="00740CBE">
              <w:rPr>
                <w:sz w:val="16"/>
                <w:szCs w:val="16"/>
                <w:lang w:val="es-ES_tradnl"/>
              </w:rPr>
              <w:br/>
              <w:t>- 690.000 documentos recibidos</w:t>
            </w:r>
          </w:p>
          <w:p w:rsidR="001B23B7" w:rsidRPr="00740CBE" w:rsidRDefault="001B23B7" w:rsidP="00A34E19">
            <w:pPr>
              <w:rPr>
                <w:sz w:val="16"/>
                <w:szCs w:val="16"/>
              </w:rPr>
            </w:pPr>
            <w:r w:rsidRPr="00740CBE">
              <w:rPr>
                <w:sz w:val="16"/>
                <w:szCs w:val="16"/>
                <w:lang w:val="es-ES_tradnl"/>
              </w:rPr>
              <w:t>- 1.750.000 documentos enviados</w:t>
            </w:r>
          </w:p>
        </w:tc>
        <w:tc>
          <w:tcPr>
            <w:tcW w:w="888" w:type="pct"/>
            <w:shd w:val="clear" w:color="auto" w:fill="auto"/>
            <w:tcMar>
              <w:top w:w="110" w:type="dxa"/>
              <w:left w:w="58" w:type="dxa"/>
              <w:right w:w="58" w:type="dxa"/>
            </w:tcMar>
          </w:tcPr>
          <w:p w:rsidR="001B23B7" w:rsidRPr="00F74742" w:rsidRDefault="001B23B7" w:rsidP="00A34E19">
            <w:pPr>
              <w:rPr>
                <w:i/>
                <w:color w:val="002060"/>
                <w:sz w:val="16"/>
                <w:szCs w:val="16"/>
              </w:rPr>
            </w:pPr>
            <w:r w:rsidRPr="00F74742">
              <w:rPr>
                <w:i/>
                <w:color w:val="002060"/>
                <w:sz w:val="16"/>
                <w:szCs w:val="16"/>
                <w:lang w:val="es-ES_tradnl"/>
              </w:rPr>
              <w:t>Objetivo actualizado:</w:t>
            </w:r>
            <w:r w:rsidRPr="00F74742">
              <w:rPr>
                <w:i/>
                <w:color w:val="002060"/>
                <w:sz w:val="16"/>
                <w:szCs w:val="16"/>
              </w:rPr>
              <w:t xml:space="preserve">  </w:t>
            </w:r>
          </w:p>
          <w:p w:rsidR="001B23B7" w:rsidRPr="00F74742" w:rsidRDefault="001B23B7" w:rsidP="00AA75F7">
            <w:pPr>
              <w:pStyle w:val="ListParagraph"/>
              <w:keepNext/>
              <w:keepLines/>
              <w:numPr>
                <w:ilvl w:val="0"/>
                <w:numId w:val="23"/>
              </w:numPr>
              <w:ind w:left="140" w:hanging="140"/>
              <w:contextualSpacing/>
              <w:rPr>
                <w:color w:val="002060"/>
                <w:sz w:val="16"/>
                <w:szCs w:val="16"/>
                <w:lang w:val="es-ES"/>
              </w:rPr>
            </w:pPr>
            <w:r w:rsidRPr="00F74742">
              <w:rPr>
                <w:color w:val="002060"/>
                <w:sz w:val="16"/>
                <w:szCs w:val="16"/>
                <w:lang w:val="es-ES"/>
              </w:rPr>
              <w:t>&gt; 79% de los documentos recibidos electrónicamente (por año)</w:t>
            </w:r>
          </w:p>
          <w:p w:rsidR="001B23B7" w:rsidRPr="00F74742" w:rsidRDefault="001B23B7" w:rsidP="00AA75F7">
            <w:pPr>
              <w:pStyle w:val="ListParagraph"/>
              <w:keepNext/>
              <w:keepLines/>
              <w:numPr>
                <w:ilvl w:val="0"/>
                <w:numId w:val="23"/>
              </w:numPr>
              <w:ind w:left="140" w:hanging="140"/>
              <w:contextualSpacing/>
              <w:rPr>
                <w:color w:val="002060"/>
                <w:sz w:val="16"/>
                <w:szCs w:val="16"/>
                <w:lang w:val="es-ES"/>
              </w:rPr>
            </w:pPr>
            <w:r w:rsidRPr="00F74742">
              <w:rPr>
                <w:color w:val="002060"/>
                <w:sz w:val="16"/>
                <w:szCs w:val="16"/>
                <w:lang w:val="es-ES"/>
              </w:rPr>
              <w:t xml:space="preserve">&gt; </w:t>
            </w:r>
            <w:r w:rsidRPr="00F74742">
              <w:rPr>
                <w:color w:val="002060"/>
                <w:sz w:val="16"/>
                <w:szCs w:val="16"/>
                <w:lang w:val="es-ES_tradnl"/>
              </w:rPr>
              <w:t>325.000 notificaciones recibidas por correo-e</w:t>
            </w:r>
          </w:p>
          <w:p w:rsidR="001B23B7" w:rsidRPr="00F74742" w:rsidRDefault="001B23B7" w:rsidP="00AA75F7">
            <w:pPr>
              <w:pStyle w:val="ListParagraph"/>
              <w:keepNext/>
              <w:keepLines/>
              <w:numPr>
                <w:ilvl w:val="0"/>
                <w:numId w:val="23"/>
              </w:numPr>
              <w:ind w:left="140" w:hanging="140"/>
              <w:contextualSpacing/>
              <w:rPr>
                <w:color w:val="002060"/>
                <w:sz w:val="16"/>
                <w:szCs w:val="16"/>
                <w:lang w:val="es-ES"/>
              </w:rPr>
            </w:pPr>
            <w:r w:rsidRPr="00F74742">
              <w:rPr>
                <w:color w:val="002060"/>
                <w:sz w:val="16"/>
                <w:szCs w:val="16"/>
                <w:lang w:val="es-ES"/>
              </w:rPr>
              <w:t xml:space="preserve">&gt; </w:t>
            </w:r>
            <w:r w:rsidRPr="00F74742">
              <w:rPr>
                <w:color w:val="002060"/>
                <w:sz w:val="16"/>
                <w:szCs w:val="16"/>
                <w:lang w:val="es-ES_tradnl"/>
              </w:rPr>
              <w:t>2.752 clientes del MPM</w:t>
            </w:r>
          </w:p>
          <w:p w:rsidR="001B23B7" w:rsidRPr="00F74742" w:rsidRDefault="001B23B7" w:rsidP="00AA75F7">
            <w:pPr>
              <w:pStyle w:val="ListParagraph"/>
              <w:keepNext/>
              <w:keepLines/>
              <w:numPr>
                <w:ilvl w:val="0"/>
                <w:numId w:val="23"/>
              </w:numPr>
              <w:ind w:left="140" w:hanging="140"/>
              <w:contextualSpacing/>
              <w:rPr>
                <w:color w:val="002060"/>
                <w:sz w:val="16"/>
                <w:szCs w:val="16"/>
                <w:lang w:val="es-ES"/>
              </w:rPr>
            </w:pPr>
            <w:r w:rsidRPr="00F74742">
              <w:rPr>
                <w:color w:val="002060"/>
                <w:sz w:val="16"/>
                <w:szCs w:val="16"/>
                <w:lang w:val="es-ES"/>
              </w:rPr>
              <w:t xml:space="preserve">&gt; </w:t>
            </w:r>
            <w:r w:rsidRPr="00F74742">
              <w:rPr>
                <w:color w:val="002060"/>
                <w:sz w:val="16"/>
                <w:szCs w:val="16"/>
                <w:lang w:val="es-ES_tradnl"/>
              </w:rPr>
              <w:t>27 oficinas que comunican en XML</w:t>
            </w:r>
          </w:p>
          <w:p w:rsidR="001B23B7" w:rsidRPr="00F74742" w:rsidRDefault="001B23B7" w:rsidP="00AA75F7">
            <w:pPr>
              <w:pStyle w:val="ListParagraph"/>
              <w:keepNext/>
              <w:keepLines/>
              <w:numPr>
                <w:ilvl w:val="0"/>
                <w:numId w:val="23"/>
              </w:numPr>
              <w:ind w:left="140" w:hanging="140"/>
              <w:contextualSpacing/>
              <w:rPr>
                <w:color w:val="002060"/>
                <w:sz w:val="16"/>
                <w:szCs w:val="16"/>
                <w:lang w:val="es-ES"/>
              </w:rPr>
            </w:pPr>
            <w:r w:rsidRPr="00F74742">
              <w:rPr>
                <w:color w:val="002060"/>
                <w:sz w:val="16"/>
                <w:szCs w:val="16"/>
                <w:lang w:val="es-ES"/>
              </w:rPr>
              <w:t>6 formularios web inteligentes (por bienio)</w:t>
            </w:r>
          </w:p>
          <w:p w:rsidR="001B23B7" w:rsidRPr="00F74742" w:rsidRDefault="001B23B7" w:rsidP="00AA75F7">
            <w:pPr>
              <w:pStyle w:val="ListParagraph"/>
              <w:keepNext/>
              <w:keepLines/>
              <w:numPr>
                <w:ilvl w:val="0"/>
                <w:numId w:val="23"/>
              </w:numPr>
              <w:ind w:left="140" w:hanging="140"/>
              <w:contextualSpacing/>
              <w:rPr>
                <w:color w:val="002060"/>
                <w:sz w:val="16"/>
                <w:szCs w:val="16"/>
                <w:lang w:val="es-ES"/>
              </w:rPr>
            </w:pPr>
            <w:r w:rsidRPr="00F74742">
              <w:rPr>
                <w:color w:val="002060"/>
                <w:sz w:val="16"/>
                <w:szCs w:val="16"/>
                <w:lang w:val="es-ES"/>
              </w:rPr>
              <w:t>750.000 documentos recibidos (por año)</w:t>
            </w:r>
          </w:p>
          <w:p w:rsidR="001B23B7" w:rsidRPr="00F74742" w:rsidRDefault="001B23B7" w:rsidP="00AA75F7">
            <w:pPr>
              <w:pStyle w:val="ListParagraph"/>
              <w:keepNext/>
              <w:keepLines/>
              <w:numPr>
                <w:ilvl w:val="0"/>
                <w:numId w:val="23"/>
              </w:numPr>
              <w:ind w:left="140" w:hanging="140"/>
              <w:contextualSpacing/>
              <w:rPr>
                <w:color w:val="002060"/>
                <w:sz w:val="16"/>
                <w:szCs w:val="16"/>
                <w:lang w:val="es-ES"/>
              </w:rPr>
            </w:pPr>
            <w:r w:rsidRPr="00F74742">
              <w:rPr>
                <w:color w:val="002060"/>
                <w:sz w:val="16"/>
                <w:szCs w:val="16"/>
                <w:lang w:val="es-ES"/>
              </w:rPr>
              <w:t>2.000.000 de documentos enviados (por año)</w:t>
            </w:r>
          </w:p>
          <w:p w:rsidR="001B23B7" w:rsidRPr="00740CBE" w:rsidRDefault="001B23B7" w:rsidP="00A34E19">
            <w:pPr>
              <w:keepNext/>
              <w:keepLines/>
              <w:rPr>
                <w:sz w:val="16"/>
                <w:szCs w:val="16"/>
              </w:rPr>
            </w:pPr>
          </w:p>
          <w:p w:rsidR="001B23B7" w:rsidRPr="00740CBE" w:rsidRDefault="001B23B7" w:rsidP="00A34E19">
            <w:pPr>
              <w:rPr>
                <w:i/>
                <w:sz w:val="16"/>
                <w:szCs w:val="16"/>
                <w:lang w:bidi="th-TH"/>
              </w:rPr>
            </w:pPr>
            <w:r w:rsidRPr="00740CBE">
              <w:rPr>
                <w:i/>
                <w:sz w:val="16"/>
                <w:szCs w:val="16"/>
                <w:lang w:val="es-ES_tradnl" w:bidi="th-TH"/>
              </w:rPr>
              <w:t>Objetivo original en el presupuesto 2016/17:</w:t>
            </w:r>
          </w:p>
          <w:p w:rsidR="001B23B7" w:rsidRPr="00740CBE" w:rsidRDefault="001B23B7" w:rsidP="00AA75F7">
            <w:pPr>
              <w:pStyle w:val="ListParagraph"/>
              <w:numPr>
                <w:ilvl w:val="0"/>
                <w:numId w:val="24"/>
              </w:numPr>
              <w:ind w:left="104" w:hanging="104"/>
              <w:contextualSpacing/>
              <w:rPr>
                <w:sz w:val="16"/>
                <w:szCs w:val="16"/>
                <w:lang w:val="es-ES"/>
              </w:rPr>
            </w:pPr>
            <w:r w:rsidRPr="00740CBE">
              <w:rPr>
                <w:sz w:val="16"/>
                <w:szCs w:val="16"/>
                <w:lang w:val="es-ES_tradnl"/>
              </w:rPr>
              <w:t>75% de documentos recibidos electrónicamente</w:t>
            </w:r>
          </w:p>
          <w:p w:rsidR="001B23B7" w:rsidRPr="00740CBE" w:rsidRDefault="001B23B7" w:rsidP="00AA75F7">
            <w:pPr>
              <w:pStyle w:val="ListParagraph"/>
              <w:numPr>
                <w:ilvl w:val="0"/>
                <w:numId w:val="24"/>
              </w:numPr>
              <w:ind w:left="104" w:hanging="104"/>
              <w:contextualSpacing/>
              <w:rPr>
                <w:sz w:val="16"/>
                <w:szCs w:val="16"/>
              </w:rPr>
            </w:pPr>
            <w:r w:rsidRPr="00740CBE">
              <w:rPr>
                <w:sz w:val="16"/>
                <w:szCs w:val="16"/>
                <w:lang w:val="es-ES_tradnl"/>
              </w:rPr>
              <w:t>250.000 notificaciones recibidas por correo-e</w:t>
            </w:r>
          </w:p>
          <w:p w:rsidR="001B23B7" w:rsidRPr="00740CBE" w:rsidRDefault="001B23B7" w:rsidP="00AA75F7">
            <w:pPr>
              <w:pStyle w:val="ListParagraph"/>
              <w:numPr>
                <w:ilvl w:val="0"/>
                <w:numId w:val="24"/>
              </w:numPr>
              <w:ind w:left="104" w:hanging="104"/>
              <w:contextualSpacing/>
              <w:rPr>
                <w:sz w:val="16"/>
                <w:szCs w:val="16"/>
                <w:lang w:val="es-ES"/>
              </w:rPr>
            </w:pPr>
            <w:r w:rsidRPr="00740CBE">
              <w:rPr>
                <w:sz w:val="16"/>
                <w:szCs w:val="16"/>
                <w:lang w:val="es-ES_tradnl"/>
              </w:rPr>
              <w:t>2.000 clientes del MPM</w:t>
            </w:r>
          </w:p>
          <w:p w:rsidR="001B23B7" w:rsidRPr="00740CBE" w:rsidRDefault="001B23B7" w:rsidP="00AA75F7">
            <w:pPr>
              <w:pStyle w:val="ListParagraph"/>
              <w:numPr>
                <w:ilvl w:val="0"/>
                <w:numId w:val="24"/>
              </w:numPr>
              <w:ind w:left="104" w:hanging="104"/>
              <w:contextualSpacing/>
              <w:rPr>
                <w:sz w:val="16"/>
                <w:szCs w:val="16"/>
                <w:lang w:val="es-ES"/>
              </w:rPr>
            </w:pPr>
            <w:r w:rsidRPr="00740CBE">
              <w:rPr>
                <w:sz w:val="16"/>
                <w:szCs w:val="16"/>
                <w:lang w:val="es-ES_tradnl"/>
              </w:rPr>
              <w:t>20 oficinas que comunican en XML</w:t>
            </w:r>
          </w:p>
          <w:p w:rsidR="001B23B7" w:rsidRPr="00740CBE" w:rsidRDefault="001B23B7" w:rsidP="00AA75F7">
            <w:pPr>
              <w:pStyle w:val="ListParagraph"/>
              <w:numPr>
                <w:ilvl w:val="0"/>
                <w:numId w:val="24"/>
              </w:numPr>
              <w:ind w:left="104" w:hanging="104"/>
              <w:contextualSpacing/>
              <w:rPr>
                <w:sz w:val="16"/>
                <w:szCs w:val="16"/>
                <w:lang w:val="es-ES"/>
              </w:rPr>
            </w:pPr>
            <w:r w:rsidRPr="00740CBE">
              <w:rPr>
                <w:sz w:val="16"/>
                <w:szCs w:val="16"/>
                <w:lang w:val="es-ES"/>
              </w:rPr>
              <w:t>6 formularios web inteligentes</w:t>
            </w:r>
          </w:p>
          <w:p w:rsidR="001B23B7" w:rsidRPr="00740CBE" w:rsidRDefault="001B23B7" w:rsidP="00AA75F7">
            <w:pPr>
              <w:pStyle w:val="ListParagraph"/>
              <w:numPr>
                <w:ilvl w:val="0"/>
                <w:numId w:val="24"/>
              </w:numPr>
              <w:ind w:left="104" w:hanging="104"/>
              <w:contextualSpacing/>
              <w:rPr>
                <w:sz w:val="16"/>
                <w:szCs w:val="16"/>
              </w:rPr>
            </w:pPr>
            <w:r w:rsidRPr="00740CBE">
              <w:rPr>
                <w:sz w:val="16"/>
                <w:szCs w:val="16"/>
              </w:rPr>
              <w:t xml:space="preserve">750.000 </w:t>
            </w:r>
            <w:r w:rsidRPr="00740CBE">
              <w:rPr>
                <w:sz w:val="16"/>
                <w:szCs w:val="16"/>
                <w:lang w:val="es-ES"/>
              </w:rPr>
              <w:t>documentos</w:t>
            </w:r>
            <w:r w:rsidRPr="00740CBE">
              <w:rPr>
                <w:sz w:val="16"/>
                <w:szCs w:val="16"/>
              </w:rPr>
              <w:t xml:space="preserve"> </w:t>
            </w:r>
            <w:r w:rsidRPr="00740CBE">
              <w:rPr>
                <w:sz w:val="16"/>
                <w:szCs w:val="16"/>
                <w:lang w:val="es-ES"/>
              </w:rPr>
              <w:t>recibidos</w:t>
            </w:r>
          </w:p>
          <w:p w:rsidR="001B23B7" w:rsidRPr="00740CBE" w:rsidRDefault="001B23B7" w:rsidP="00AA75F7">
            <w:pPr>
              <w:pStyle w:val="ListParagraph"/>
              <w:numPr>
                <w:ilvl w:val="0"/>
                <w:numId w:val="24"/>
              </w:numPr>
              <w:spacing w:after="240"/>
              <w:ind w:left="104" w:hanging="104"/>
              <w:contextualSpacing/>
              <w:rPr>
                <w:sz w:val="16"/>
                <w:szCs w:val="16"/>
                <w:lang w:val="es-ES"/>
              </w:rPr>
            </w:pPr>
            <w:r w:rsidRPr="00740CBE">
              <w:rPr>
                <w:sz w:val="16"/>
                <w:szCs w:val="16"/>
                <w:lang w:val="es-ES"/>
              </w:rPr>
              <w:t>2.000.000 de documentos enviados</w:t>
            </w:r>
          </w:p>
        </w:tc>
        <w:tc>
          <w:tcPr>
            <w:tcW w:w="1157" w:type="pct"/>
            <w:gridSpan w:val="2"/>
            <w:shd w:val="clear" w:color="auto" w:fill="FFFFFF"/>
            <w:tcMar>
              <w:top w:w="110" w:type="dxa"/>
              <w:left w:w="58" w:type="dxa"/>
              <w:right w:w="58" w:type="dxa"/>
            </w:tcMar>
          </w:tcPr>
          <w:p w:rsidR="001B23B7" w:rsidRPr="00740CBE" w:rsidRDefault="001B23B7" w:rsidP="00A34E19">
            <w:pPr>
              <w:keepNext/>
              <w:keepLines/>
              <w:rPr>
                <w:sz w:val="16"/>
                <w:szCs w:val="16"/>
                <w:lang w:val="es-ES_tradnl"/>
              </w:rPr>
            </w:pPr>
          </w:p>
          <w:p w:rsidR="001B23B7" w:rsidRPr="00740CBE" w:rsidRDefault="001B23B7" w:rsidP="00A34E19">
            <w:pPr>
              <w:keepNext/>
              <w:keepLines/>
              <w:rPr>
                <w:sz w:val="16"/>
                <w:szCs w:val="16"/>
              </w:rPr>
            </w:pPr>
            <w:r w:rsidRPr="00740CBE">
              <w:rPr>
                <w:sz w:val="16"/>
                <w:szCs w:val="16"/>
                <w:lang w:val="es-ES_tradnl"/>
              </w:rPr>
              <w:t>81% de documentos recibidos electrónicamente</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lang w:val="es-ES_tradnl"/>
              </w:rPr>
              <w:t>376.000 notificaciones recibidas por correo-e</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lang w:val="es-ES_tradnl"/>
              </w:rPr>
              <w:t>3</w:t>
            </w:r>
            <w:r>
              <w:rPr>
                <w:sz w:val="16"/>
                <w:szCs w:val="16"/>
                <w:lang w:val="es-ES_tradnl"/>
              </w:rPr>
              <w:t>.</w:t>
            </w:r>
            <w:r w:rsidRPr="00740CBE">
              <w:rPr>
                <w:sz w:val="16"/>
                <w:szCs w:val="16"/>
                <w:lang w:val="es-ES_tradnl"/>
              </w:rPr>
              <w:t>912 clientes del MPM</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lang w:val="es-ES_tradnl"/>
              </w:rPr>
              <w:t>30 oficinas que envían solicitudes en XML</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2 formularios web inteligentes</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725.000 documentos recibidos</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1.575.000 documentos enviados (reducción debida al retraso en las decisiones)</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b/>
                <w:sz w:val="16"/>
                <w:szCs w:val="16"/>
              </w:rPr>
            </w:pPr>
            <w:r w:rsidRPr="00740CBE">
              <w:rPr>
                <w:b/>
                <w:color w:val="FF0000"/>
                <w:sz w:val="16"/>
                <w:szCs w:val="16"/>
                <w:lang w:val="es-ES_tradnl"/>
              </w:rPr>
              <w:t>No avanza</w:t>
            </w: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b/>
                <w:sz w:val="16"/>
                <w:szCs w:val="16"/>
              </w:rPr>
            </w:pPr>
          </w:p>
        </w:tc>
      </w:tr>
      <w:tr w:rsidR="001B23B7" w:rsidRPr="00740CBE" w:rsidTr="00A34E19">
        <w:trPr>
          <w:trHeight w:val="2438"/>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lastRenderedPageBreak/>
              <w:t>Prestación estable de servicios auxiliares de T.I. del Sistema de Madrid, que van perfeccionándose</w:t>
            </w:r>
          </w:p>
        </w:tc>
        <w:tc>
          <w:tcPr>
            <w:tcW w:w="1331" w:type="pct"/>
            <w:shd w:val="clear" w:color="auto" w:fill="auto"/>
            <w:tcMar>
              <w:left w:w="58" w:type="dxa"/>
              <w:right w:w="58" w:type="dxa"/>
            </w:tcMar>
          </w:tcPr>
          <w:p w:rsidR="001B23B7" w:rsidRPr="0076648C" w:rsidRDefault="001B23B7" w:rsidP="00A34E19">
            <w:pPr>
              <w:rPr>
                <w:i/>
                <w:color w:val="002060"/>
                <w:sz w:val="16"/>
                <w:szCs w:val="16"/>
              </w:rPr>
            </w:pPr>
            <w:r w:rsidRPr="0076648C">
              <w:rPr>
                <w:i/>
                <w:color w:val="002060"/>
                <w:sz w:val="16"/>
                <w:szCs w:val="16"/>
                <w:lang w:val="es-ES_tradnl"/>
              </w:rPr>
              <w:t>Referencia actualizada a fines de 2015:</w:t>
            </w:r>
            <w:r w:rsidRPr="0076648C">
              <w:rPr>
                <w:i/>
                <w:color w:val="002060"/>
                <w:sz w:val="16"/>
                <w:szCs w:val="16"/>
              </w:rPr>
              <w:t xml:space="preserve">  </w:t>
            </w:r>
          </w:p>
          <w:p w:rsidR="001B23B7" w:rsidRPr="0076648C" w:rsidRDefault="001B23B7" w:rsidP="00A34E19">
            <w:pPr>
              <w:pStyle w:val="ListParagraph"/>
              <w:tabs>
                <w:tab w:val="left" w:pos="709"/>
              </w:tabs>
              <w:ind w:left="0"/>
              <w:rPr>
                <w:color w:val="002060"/>
                <w:lang w:val="es-ES" w:eastAsia="ko-KR"/>
              </w:rPr>
            </w:pPr>
            <w:r w:rsidRPr="0076648C">
              <w:rPr>
                <w:color w:val="002060"/>
                <w:sz w:val="16"/>
                <w:szCs w:val="16"/>
                <w:lang w:val="es-ES"/>
              </w:rPr>
              <w:t>Prototipo del Monitor de Madrid presentado</w:t>
            </w:r>
          </w:p>
          <w:p w:rsidR="001B23B7" w:rsidRPr="00740CBE" w:rsidRDefault="001B23B7" w:rsidP="00A34E19">
            <w:pPr>
              <w:rPr>
                <w:sz w:val="16"/>
                <w:szCs w:val="16"/>
              </w:rPr>
            </w:pPr>
          </w:p>
          <w:p w:rsidR="001B23B7" w:rsidRPr="00740CBE" w:rsidRDefault="001B23B7" w:rsidP="00A34E19">
            <w:pPr>
              <w:rPr>
                <w:i/>
                <w:sz w:val="16"/>
                <w:szCs w:val="16"/>
                <w:lang w:bidi="th-TH"/>
              </w:rPr>
            </w:pPr>
            <w:r w:rsidRPr="00740CBE">
              <w:rPr>
                <w:i/>
                <w:sz w:val="16"/>
                <w:szCs w:val="16"/>
                <w:lang w:val="es-ES_tradnl" w:bidi="th-TH"/>
              </w:rPr>
              <w:t>Referencia original en el presupuesto de 2016/17:</w:t>
            </w:r>
            <w:r w:rsidRPr="00740CBE">
              <w:rPr>
                <w:i/>
                <w:sz w:val="16"/>
                <w:szCs w:val="16"/>
                <w:lang w:bidi="th-TH"/>
              </w:rPr>
              <w:t xml:space="preserve">  </w:t>
            </w:r>
          </w:p>
          <w:p w:rsidR="001B23B7" w:rsidRPr="00740CBE" w:rsidRDefault="001B23B7" w:rsidP="00A34E19">
            <w:pPr>
              <w:spacing w:after="240"/>
              <w:rPr>
                <w:sz w:val="16"/>
                <w:szCs w:val="16"/>
                <w:lang w:val="es-ES_tradnl"/>
              </w:rPr>
            </w:pPr>
            <w:r w:rsidRPr="00740CBE">
              <w:rPr>
                <w:sz w:val="16"/>
                <w:szCs w:val="16"/>
                <w:lang w:val="es-ES_tradnl"/>
              </w:rPr>
              <w:t>Sin incidentes de interrupción de</w:t>
            </w:r>
            <w:r>
              <w:rPr>
                <w:sz w:val="16"/>
                <w:szCs w:val="16"/>
                <w:lang w:val="es-ES_tradnl"/>
              </w:rPr>
              <w:t xml:space="preserve"> los</w:t>
            </w:r>
            <w:r w:rsidRPr="00740CBE">
              <w:rPr>
                <w:sz w:val="16"/>
                <w:szCs w:val="16"/>
                <w:lang w:val="es-ES_tradnl"/>
              </w:rPr>
              <w:t xml:space="preserve"> servicios (n.º de incidentes de TIC)</w:t>
            </w:r>
          </w:p>
          <w:p w:rsidR="001B23B7" w:rsidRPr="00740CBE" w:rsidRDefault="001B23B7" w:rsidP="002425AD">
            <w:pPr>
              <w:rPr>
                <w:sz w:val="16"/>
                <w:szCs w:val="16"/>
              </w:rPr>
            </w:pPr>
            <w:r w:rsidRPr="00740CBE">
              <w:rPr>
                <w:sz w:val="16"/>
                <w:szCs w:val="16"/>
                <w:lang w:val="es-ES_tradnl"/>
              </w:rPr>
              <w:t>Mejoras introducidas y aplicadas a tiempo</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lang w:val="es-ES_tradnl"/>
              </w:rPr>
              <w:t>Sin incidentes de interrupción de servicios (n.º de incidentes de TIC)</w:t>
            </w:r>
            <w:r w:rsidRPr="00740CBE">
              <w:rPr>
                <w:sz w:val="16"/>
                <w:szCs w:val="16"/>
                <w:lang w:val="es-ES_tradnl"/>
              </w:rPr>
              <w:br/>
            </w:r>
            <w:r w:rsidRPr="00740CBE">
              <w:rPr>
                <w:sz w:val="16"/>
                <w:szCs w:val="16"/>
                <w:lang w:val="es-ES_tradnl"/>
              </w:rPr>
              <w:br/>
              <w:t>Mejoras introducidas y aplicadas a tiempo</w:t>
            </w:r>
          </w:p>
        </w:tc>
        <w:tc>
          <w:tcPr>
            <w:tcW w:w="1157" w:type="pct"/>
            <w:gridSpan w:val="2"/>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rPr>
              <w:t>9 incidentes de TIC</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Mejoras específicas introducidas y aplicadas con arreglo a los plazos y a los requisitos previstos</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FF0000"/>
                <w:sz w:val="16"/>
                <w:szCs w:val="16"/>
                <w:lang w:val="es-ES_tradnl"/>
              </w:rPr>
              <w:t>No avanza</w:t>
            </w:r>
          </w:p>
          <w:p w:rsidR="001B23B7" w:rsidRPr="00740CBE" w:rsidRDefault="001B23B7" w:rsidP="00A34E19">
            <w:pPr>
              <w:keepNext/>
              <w:keepLines/>
              <w:jc w:val="center"/>
              <w:rPr>
                <w:sz w:val="16"/>
                <w:szCs w:val="16"/>
              </w:rPr>
            </w:pPr>
          </w:p>
          <w:p w:rsidR="001B23B7" w:rsidRPr="00740CBE" w:rsidRDefault="001B23B7" w:rsidP="00A34E19">
            <w:pPr>
              <w:keepNext/>
              <w:keepLines/>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sz w:val="16"/>
                <w:szCs w:val="16"/>
              </w:rPr>
            </w:pPr>
          </w:p>
        </w:tc>
      </w:tr>
      <w:tr w:rsidR="001B23B7" w:rsidRPr="00740CBE" w:rsidTr="00A34E19">
        <w:trPr>
          <w:trHeight w:val="1754"/>
        </w:trPr>
        <w:tc>
          <w:tcPr>
            <w:tcW w:w="962"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3 versiones de M-IRIS y 3 versiones de Madrid eFiling (IRPI) en funcionamiento</w:t>
            </w:r>
          </w:p>
        </w:tc>
        <w:tc>
          <w:tcPr>
            <w:tcW w:w="1331" w:type="pct"/>
            <w:shd w:val="clear" w:color="auto" w:fill="auto"/>
            <w:tcMar>
              <w:left w:w="58" w:type="dxa"/>
              <w:right w:w="58" w:type="dxa"/>
            </w:tcMar>
          </w:tcPr>
          <w:p w:rsidR="001B23B7" w:rsidRPr="00740CBE" w:rsidRDefault="001B23B7" w:rsidP="00A34E19">
            <w:pPr>
              <w:rPr>
                <w:sz w:val="16"/>
                <w:szCs w:val="16"/>
              </w:rPr>
            </w:pPr>
            <w:r w:rsidRPr="00740CBE">
              <w:rPr>
                <w:sz w:val="16"/>
                <w:szCs w:val="16"/>
                <w:lang w:val="es-ES_tradnl"/>
              </w:rPr>
              <w:t xml:space="preserve">M-IRIS en funcionamiento </w:t>
            </w:r>
            <w:r w:rsidRPr="00740CBE">
              <w:rPr>
                <w:sz w:val="16"/>
                <w:szCs w:val="16"/>
                <w:lang w:val="es-ES_tradnl"/>
              </w:rPr>
              <w:br/>
              <w:t>Madrid eFiling en funcionamiento</w:t>
            </w:r>
          </w:p>
        </w:tc>
        <w:tc>
          <w:tcPr>
            <w:tcW w:w="888" w:type="pct"/>
            <w:shd w:val="clear" w:color="auto" w:fill="auto"/>
            <w:tcMar>
              <w:top w:w="110" w:type="dxa"/>
              <w:left w:w="58" w:type="dxa"/>
              <w:right w:w="58" w:type="dxa"/>
            </w:tcMar>
          </w:tcPr>
          <w:p w:rsidR="001B23B7" w:rsidRPr="00740CBE" w:rsidRDefault="001B23B7" w:rsidP="00A34E19">
            <w:pPr>
              <w:rPr>
                <w:sz w:val="16"/>
                <w:szCs w:val="16"/>
              </w:rPr>
            </w:pPr>
            <w:r w:rsidRPr="00740CBE">
              <w:rPr>
                <w:sz w:val="16"/>
                <w:szCs w:val="16"/>
              </w:rPr>
              <w:t>3 nuevas versiones de M-IRIS</w:t>
            </w:r>
          </w:p>
          <w:p w:rsidR="001B23B7" w:rsidRPr="00740CBE" w:rsidRDefault="001B23B7" w:rsidP="00A34E19">
            <w:pPr>
              <w:rPr>
                <w:sz w:val="16"/>
                <w:szCs w:val="16"/>
              </w:rPr>
            </w:pPr>
          </w:p>
          <w:p w:rsidR="001B23B7" w:rsidRPr="00740CBE" w:rsidRDefault="001B23B7" w:rsidP="00A34E19">
            <w:pPr>
              <w:rPr>
                <w:sz w:val="16"/>
                <w:szCs w:val="16"/>
              </w:rPr>
            </w:pPr>
          </w:p>
          <w:p w:rsidR="001B23B7" w:rsidRDefault="001B23B7" w:rsidP="00A34E19">
            <w:pPr>
              <w:rPr>
                <w:sz w:val="16"/>
                <w:szCs w:val="16"/>
              </w:rPr>
            </w:pPr>
          </w:p>
          <w:p w:rsidR="001B23B7" w:rsidRPr="00740CBE" w:rsidRDefault="001B23B7" w:rsidP="00A34E19">
            <w:pPr>
              <w:rPr>
                <w:sz w:val="16"/>
                <w:szCs w:val="16"/>
              </w:rPr>
            </w:pPr>
          </w:p>
          <w:p w:rsidR="001B23B7" w:rsidRDefault="001B23B7" w:rsidP="00A34E19">
            <w:pPr>
              <w:rPr>
                <w:sz w:val="16"/>
                <w:szCs w:val="16"/>
              </w:rPr>
            </w:pPr>
            <w:r w:rsidRPr="00740CBE">
              <w:rPr>
                <w:sz w:val="16"/>
                <w:szCs w:val="16"/>
              </w:rPr>
              <w:t>3 nuevas versiones de D-IRIS</w:t>
            </w:r>
            <w:r w:rsidRPr="00740CBE">
              <w:rPr>
                <w:sz w:val="16"/>
                <w:szCs w:val="16"/>
              </w:rPr>
              <w:br/>
            </w:r>
            <w:r w:rsidRPr="00740CBE">
              <w:rPr>
                <w:sz w:val="16"/>
                <w:szCs w:val="16"/>
              </w:rPr>
              <w:br/>
            </w:r>
          </w:p>
          <w:p w:rsidR="001B23B7" w:rsidRDefault="001B23B7" w:rsidP="00A34E19">
            <w:pPr>
              <w:rPr>
                <w:sz w:val="16"/>
                <w:szCs w:val="16"/>
              </w:rPr>
            </w:pPr>
          </w:p>
          <w:p w:rsidR="001B23B7" w:rsidRPr="00740CBE" w:rsidRDefault="001B23B7" w:rsidP="00A34E19">
            <w:pPr>
              <w:rPr>
                <w:sz w:val="16"/>
                <w:szCs w:val="16"/>
              </w:rPr>
            </w:pPr>
          </w:p>
          <w:p w:rsidR="001B23B7" w:rsidRPr="00740CBE" w:rsidRDefault="001B23B7" w:rsidP="00A34E19">
            <w:pPr>
              <w:spacing w:after="240"/>
              <w:rPr>
                <w:sz w:val="16"/>
                <w:szCs w:val="16"/>
              </w:rPr>
            </w:pPr>
            <w:r w:rsidRPr="00740CBE">
              <w:rPr>
                <w:sz w:val="16"/>
                <w:szCs w:val="16"/>
              </w:rPr>
              <w:t>nuevas versiones de Madrid eFiling</w:t>
            </w:r>
          </w:p>
        </w:tc>
        <w:tc>
          <w:tcPr>
            <w:tcW w:w="1157" w:type="pct"/>
            <w:gridSpan w:val="2"/>
            <w:shd w:val="clear" w:color="auto" w:fill="FFFFFF"/>
            <w:tcMar>
              <w:top w:w="110" w:type="dxa"/>
              <w:left w:w="58" w:type="dxa"/>
              <w:right w:w="58" w:type="dxa"/>
            </w:tcMar>
          </w:tcPr>
          <w:p w:rsidR="001B23B7" w:rsidRPr="00740CBE" w:rsidRDefault="001B23B7" w:rsidP="00A34E19">
            <w:pPr>
              <w:keepNext/>
              <w:keepLines/>
              <w:rPr>
                <w:sz w:val="16"/>
                <w:szCs w:val="16"/>
              </w:rPr>
            </w:pPr>
            <w:r w:rsidRPr="00740CBE">
              <w:rPr>
                <w:sz w:val="16"/>
                <w:szCs w:val="16"/>
              </w:rPr>
              <w:t>Mejoras específicas introducidas en M-IRIS y aplicadas con arreglo a los plazos y a los requisitos previstos</w:t>
            </w:r>
          </w:p>
          <w:p w:rsidR="001B23B7" w:rsidRPr="00740CBE" w:rsidRDefault="001B23B7" w:rsidP="00A34E19">
            <w:pPr>
              <w:keepNext/>
              <w:keepLines/>
              <w:rPr>
                <w:sz w:val="16"/>
                <w:szCs w:val="16"/>
              </w:rPr>
            </w:pPr>
          </w:p>
          <w:p w:rsidR="001B23B7" w:rsidRPr="00740CBE" w:rsidRDefault="001B23B7" w:rsidP="00A34E19">
            <w:pPr>
              <w:keepNext/>
              <w:keepLines/>
              <w:rPr>
                <w:sz w:val="16"/>
                <w:szCs w:val="16"/>
              </w:rPr>
            </w:pPr>
            <w:r w:rsidRPr="00740CBE">
              <w:rPr>
                <w:sz w:val="16"/>
                <w:szCs w:val="16"/>
              </w:rPr>
              <w:t>La labor relativa a la plataforma informática del Sistema de La Haya se inició a fines de 2016 para sustituir el sistema D-IRIS</w:t>
            </w:r>
          </w:p>
          <w:p w:rsidR="001B23B7" w:rsidRPr="00740CBE" w:rsidRDefault="001B23B7" w:rsidP="00A34E19">
            <w:pPr>
              <w:keepNext/>
              <w:keepLines/>
              <w:rPr>
                <w:sz w:val="16"/>
                <w:szCs w:val="16"/>
              </w:rPr>
            </w:pPr>
          </w:p>
          <w:p w:rsidR="001B23B7" w:rsidRPr="00740CBE" w:rsidRDefault="001B23B7" w:rsidP="002425AD">
            <w:pPr>
              <w:rPr>
                <w:sz w:val="16"/>
                <w:szCs w:val="16"/>
              </w:rPr>
            </w:pPr>
            <w:r w:rsidRPr="00740CBE">
              <w:rPr>
                <w:sz w:val="16"/>
                <w:szCs w:val="16"/>
              </w:rPr>
              <w:t>Introducción en 2016 de una nueva versión de eFiling de amplio alcance</w:t>
            </w:r>
          </w:p>
        </w:tc>
        <w:tc>
          <w:tcPr>
            <w:tcW w:w="661" w:type="pct"/>
            <w:gridSpan w:val="2"/>
            <w:shd w:val="clear" w:color="auto" w:fill="auto"/>
            <w:tcMar>
              <w:top w:w="110" w:type="dxa"/>
              <w:left w:w="58" w:type="dxa"/>
              <w:right w:w="58" w:type="dxa"/>
            </w:tcMar>
          </w:tcPr>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jc w:val="center"/>
              <w:rPr>
                <w:sz w:val="16"/>
                <w:szCs w:val="16"/>
              </w:rPr>
            </w:pPr>
          </w:p>
          <w:p w:rsidR="001B23B7" w:rsidRPr="00740CBE" w:rsidRDefault="001B23B7" w:rsidP="00A34E19">
            <w:pPr>
              <w:keepNext/>
              <w:keepLines/>
              <w:ind w:right="-50"/>
              <w:jc w:val="center"/>
              <w:rPr>
                <w:b/>
                <w:sz w:val="13"/>
                <w:szCs w:val="13"/>
              </w:rPr>
            </w:pPr>
            <w:r w:rsidRPr="009C5017">
              <w:rPr>
                <w:b/>
                <w:sz w:val="16"/>
                <w:szCs w:val="16"/>
                <w:lang w:val="es-ES_tradnl"/>
              </w:rPr>
              <w:t>Discontinuado</w:t>
            </w:r>
          </w:p>
          <w:p w:rsidR="001B23B7" w:rsidRPr="00740CBE" w:rsidRDefault="001B23B7" w:rsidP="00A34E19">
            <w:pPr>
              <w:keepNext/>
              <w:keepLines/>
              <w:rPr>
                <w:b/>
                <w:sz w:val="16"/>
                <w:szCs w:val="16"/>
              </w:rPr>
            </w:pPr>
          </w:p>
          <w:p w:rsidR="001B23B7" w:rsidRPr="00740CBE" w:rsidRDefault="001B23B7" w:rsidP="00A34E19">
            <w:pPr>
              <w:keepNext/>
              <w:keepLines/>
              <w:jc w:val="center"/>
              <w:rPr>
                <w:b/>
                <w:sz w:val="16"/>
                <w:szCs w:val="16"/>
              </w:rPr>
            </w:pPr>
          </w:p>
          <w:p w:rsidR="001B23B7"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p>
          <w:p w:rsidR="001B23B7" w:rsidRPr="00740CBE" w:rsidRDefault="001B23B7" w:rsidP="00A34E19">
            <w:pPr>
              <w:keepNext/>
              <w:keepLines/>
              <w:jc w:val="center"/>
              <w:rPr>
                <w:b/>
                <w:sz w:val="16"/>
                <w:szCs w:val="16"/>
              </w:rPr>
            </w:pPr>
            <w:r w:rsidRPr="00740CBE">
              <w:rPr>
                <w:b/>
                <w:color w:val="00B050"/>
                <w:sz w:val="16"/>
                <w:szCs w:val="16"/>
                <w:lang w:val="es-ES_tradnl"/>
              </w:rPr>
              <w:t>Avanza</w:t>
            </w:r>
          </w:p>
          <w:p w:rsidR="001B23B7" w:rsidRPr="00740CBE" w:rsidRDefault="001B23B7" w:rsidP="00A34E19">
            <w:pPr>
              <w:keepNext/>
              <w:keepLines/>
              <w:jc w:val="center"/>
              <w:rPr>
                <w:sz w:val="16"/>
                <w:szCs w:val="16"/>
              </w:rPr>
            </w:pPr>
          </w:p>
        </w:tc>
      </w:tr>
    </w:tbl>
    <w:p w:rsidR="001B23B7" w:rsidRDefault="001B23B7" w:rsidP="00A34E19">
      <w:pPr>
        <w:rPr>
          <w:sz w:val="20"/>
        </w:rPr>
      </w:pPr>
    </w:p>
    <w:p w:rsidR="00182B8E" w:rsidRPr="00740CBE" w:rsidRDefault="00182B8E" w:rsidP="00A34E19">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1B23B7" w:rsidRPr="00ED3AD4" w:rsidTr="00A34E19">
        <w:trPr>
          <w:trHeight w:val="425"/>
          <w:jc w:val="center"/>
        </w:trPr>
        <w:tc>
          <w:tcPr>
            <w:tcW w:w="11419" w:type="dxa"/>
            <w:shd w:val="clear" w:color="auto" w:fill="C6D9F1" w:themeFill="text2" w:themeFillTint="33"/>
            <w:vAlign w:val="center"/>
          </w:tcPr>
          <w:p w:rsidR="001B23B7" w:rsidRPr="00740CBE" w:rsidRDefault="001B23B7" w:rsidP="002425AD">
            <w:pPr>
              <w:jc w:val="center"/>
              <w:rPr>
                <w:b/>
                <w:sz w:val="20"/>
              </w:rPr>
            </w:pPr>
            <w:r w:rsidRPr="00740CBE">
              <w:rPr>
                <w:b/>
                <w:sz w:val="20"/>
                <w:lang w:val="es-ES_tradnl"/>
              </w:rPr>
              <w:t>Utilización de los recursos del programa 6</w:t>
            </w:r>
          </w:p>
        </w:tc>
      </w:tr>
    </w:tbl>
    <w:p w:rsidR="001B23B7" w:rsidRPr="00740CBE" w:rsidRDefault="001B23B7" w:rsidP="002425AD">
      <w:pPr>
        <w:rPr>
          <w:sz w:val="20"/>
        </w:rPr>
      </w:pPr>
    </w:p>
    <w:p w:rsidR="001B23B7" w:rsidRPr="00740CBE" w:rsidRDefault="001B23B7" w:rsidP="002425AD">
      <w:pPr>
        <w:pStyle w:val="NormalWeb"/>
        <w:spacing w:before="0" w:beforeAutospacing="0" w:after="0" w:afterAutospacing="0"/>
        <w:jc w:val="center"/>
        <w:rPr>
          <w:lang w:val="es-ES"/>
        </w:rPr>
      </w:pPr>
      <w:r w:rsidRPr="00740CBE">
        <w:rPr>
          <w:lang w:val="es-ES_tradnl"/>
        </w:rPr>
        <w:t>Presupuesto y gastos reales (por resultado)</w:t>
      </w:r>
    </w:p>
    <w:p w:rsidR="001B23B7" w:rsidRPr="00740CBE" w:rsidRDefault="001B23B7" w:rsidP="002425AD">
      <w:pPr>
        <w:pStyle w:val="NormalWeb"/>
        <w:spacing w:before="0" w:beforeAutospacing="0" w:after="0" w:afterAutospacing="0"/>
        <w:jc w:val="center"/>
        <w:rPr>
          <w:i/>
          <w:iCs/>
          <w:sz w:val="16"/>
          <w:szCs w:val="16"/>
          <w:lang w:val="es-ES"/>
        </w:rPr>
      </w:pPr>
      <w:r w:rsidRPr="00740CBE">
        <w:rPr>
          <w:i/>
          <w:iCs/>
          <w:sz w:val="16"/>
          <w:szCs w:val="16"/>
          <w:lang w:val="es-ES_tradnl"/>
        </w:rPr>
        <w:t>(en miles de francos suizos)</w:t>
      </w:r>
    </w:p>
    <w:p w:rsidR="001B23B7" w:rsidRPr="00740CBE" w:rsidRDefault="001B23B7" w:rsidP="002425AD">
      <w:pPr>
        <w:pStyle w:val="NormalWeb"/>
        <w:spacing w:before="0" w:beforeAutospacing="0" w:after="0" w:afterAutospacing="0"/>
        <w:rPr>
          <w:i/>
          <w:iCs/>
          <w:sz w:val="20"/>
          <w:szCs w:val="20"/>
          <w:lang w:val="es-ES"/>
        </w:rPr>
      </w:pPr>
    </w:p>
    <w:tbl>
      <w:tblPr>
        <w:tblW w:w="8222" w:type="dxa"/>
        <w:jc w:val="center"/>
        <w:tblLayout w:type="fixed"/>
        <w:tblLook w:val="04A0" w:firstRow="1" w:lastRow="0" w:firstColumn="1" w:lastColumn="0" w:noHBand="0" w:noVBand="1"/>
      </w:tblPr>
      <w:tblGrid>
        <w:gridCol w:w="555"/>
        <w:gridCol w:w="4235"/>
        <w:gridCol w:w="1135"/>
        <w:gridCol w:w="1133"/>
        <w:gridCol w:w="1164"/>
      </w:tblGrid>
      <w:tr w:rsidR="001B23B7" w:rsidRPr="00740CBE" w:rsidTr="00A34E19">
        <w:trPr>
          <w:trHeight w:val="825"/>
          <w:jc w:val="center"/>
        </w:trPr>
        <w:tc>
          <w:tcPr>
            <w:tcW w:w="4777" w:type="dxa"/>
            <w:gridSpan w:val="2"/>
            <w:tcBorders>
              <w:top w:val="nil"/>
              <w:left w:val="nil"/>
              <w:bottom w:val="nil"/>
              <w:right w:val="nil"/>
            </w:tcBorders>
            <w:shd w:val="clear" w:color="000000" w:fill="C5D9F1"/>
            <w:noWrap/>
            <w:vAlign w:val="center"/>
            <w:hideMark/>
          </w:tcPr>
          <w:p w:rsidR="001B23B7" w:rsidRPr="00740CBE" w:rsidRDefault="001B23B7" w:rsidP="002425AD">
            <w:pPr>
              <w:jc w:val="center"/>
              <w:rPr>
                <w:b/>
                <w:bCs/>
                <w:sz w:val="16"/>
                <w:szCs w:val="16"/>
              </w:rPr>
            </w:pPr>
            <w:r w:rsidRPr="00740CBE">
              <w:rPr>
                <w:b/>
                <w:bCs/>
                <w:sz w:val="16"/>
                <w:szCs w:val="16"/>
                <w:lang w:val="es-ES_tradnl"/>
              </w:rPr>
              <w:t>Número del resultado previsto y descripción</w:t>
            </w:r>
            <w:r w:rsidRPr="00740CBE">
              <w:rPr>
                <w:b/>
                <w:bCs/>
                <w:sz w:val="16"/>
                <w:szCs w:val="16"/>
              </w:rPr>
              <w:t xml:space="preserve"> </w:t>
            </w:r>
          </w:p>
        </w:tc>
        <w:tc>
          <w:tcPr>
            <w:tcW w:w="1132" w:type="dxa"/>
            <w:tcBorders>
              <w:top w:val="nil"/>
              <w:left w:val="nil"/>
              <w:bottom w:val="nil"/>
              <w:right w:val="nil"/>
            </w:tcBorders>
            <w:shd w:val="clear" w:color="000000" w:fill="C5D9F1"/>
            <w:vAlign w:val="center"/>
            <w:hideMark/>
          </w:tcPr>
          <w:p w:rsidR="001B23B7" w:rsidRPr="00740CBE" w:rsidRDefault="001B23B7" w:rsidP="002425AD">
            <w:pPr>
              <w:ind w:left="-58"/>
              <w:jc w:val="center"/>
              <w:rPr>
                <w:b/>
                <w:bCs/>
                <w:sz w:val="16"/>
                <w:szCs w:val="16"/>
              </w:rPr>
            </w:pPr>
            <w:r w:rsidRPr="00740CBE">
              <w:rPr>
                <w:b/>
                <w:bCs/>
                <w:sz w:val="16"/>
                <w:szCs w:val="16"/>
              </w:rPr>
              <w:t xml:space="preserve"> </w:t>
            </w:r>
            <w:r w:rsidRPr="00740CBE">
              <w:rPr>
                <w:b/>
                <w:bCs/>
                <w:sz w:val="16"/>
                <w:szCs w:val="16"/>
                <w:lang w:val="es-ES_tradnl"/>
              </w:rPr>
              <w:t>Presupuesto aprobado de 2016/17</w:t>
            </w:r>
            <w:r w:rsidRPr="00740CBE">
              <w:rPr>
                <w:b/>
                <w:bCs/>
                <w:sz w:val="16"/>
                <w:szCs w:val="16"/>
              </w:rPr>
              <w:t xml:space="preserve"> </w:t>
            </w:r>
          </w:p>
        </w:tc>
        <w:tc>
          <w:tcPr>
            <w:tcW w:w="1130" w:type="dxa"/>
            <w:tcBorders>
              <w:top w:val="nil"/>
              <w:left w:val="nil"/>
              <w:bottom w:val="nil"/>
              <w:right w:val="nil"/>
            </w:tcBorders>
            <w:shd w:val="clear" w:color="000000" w:fill="C5D9F1"/>
            <w:vAlign w:val="center"/>
            <w:hideMark/>
          </w:tcPr>
          <w:p w:rsidR="001B23B7" w:rsidRPr="00740CBE" w:rsidRDefault="001B23B7" w:rsidP="002425AD">
            <w:pPr>
              <w:ind w:left="-102" w:right="-115"/>
              <w:jc w:val="center"/>
              <w:rPr>
                <w:b/>
                <w:bCs/>
                <w:sz w:val="16"/>
                <w:szCs w:val="16"/>
              </w:rPr>
            </w:pPr>
            <w:r w:rsidRPr="00740CBE">
              <w:rPr>
                <w:b/>
                <w:bCs/>
                <w:sz w:val="16"/>
                <w:szCs w:val="16"/>
              </w:rPr>
              <w:t xml:space="preserve"> </w:t>
            </w:r>
            <w:r w:rsidRPr="00740CBE">
              <w:rPr>
                <w:b/>
                <w:bCs/>
                <w:sz w:val="16"/>
                <w:szCs w:val="16"/>
                <w:lang w:val="es-ES_tradnl"/>
              </w:rPr>
              <w:t>Presupuesto de 2016/17 tras las transferencias</w:t>
            </w:r>
            <w:r w:rsidRPr="00740CBE">
              <w:rPr>
                <w:b/>
                <w:bCs/>
                <w:sz w:val="16"/>
                <w:szCs w:val="16"/>
              </w:rPr>
              <w:t xml:space="preserve"> </w:t>
            </w:r>
          </w:p>
        </w:tc>
        <w:tc>
          <w:tcPr>
            <w:tcW w:w="1161" w:type="dxa"/>
            <w:tcBorders>
              <w:top w:val="nil"/>
              <w:left w:val="nil"/>
              <w:bottom w:val="nil"/>
              <w:right w:val="nil"/>
            </w:tcBorders>
            <w:shd w:val="clear" w:color="000000" w:fill="C5D9F1"/>
            <w:vAlign w:val="center"/>
            <w:hideMark/>
          </w:tcPr>
          <w:p w:rsidR="001B23B7" w:rsidRPr="00740CBE" w:rsidRDefault="001B23B7" w:rsidP="002425AD">
            <w:pPr>
              <w:jc w:val="center"/>
              <w:rPr>
                <w:b/>
                <w:bCs/>
                <w:sz w:val="16"/>
                <w:szCs w:val="16"/>
              </w:rPr>
            </w:pPr>
            <w:r w:rsidRPr="00740CBE">
              <w:rPr>
                <w:b/>
                <w:bCs/>
                <w:sz w:val="16"/>
                <w:szCs w:val="16"/>
              </w:rPr>
              <w:t xml:space="preserve"> </w:t>
            </w:r>
            <w:r w:rsidRPr="00740CBE">
              <w:rPr>
                <w:b/>
                <w:bCs/>
                <w:sz w:val="16"/>
                <w:szCs w:val="16"/>
                <w:lang w:val="es-ES_tradnl"/>
              </w:rPr>
              <w:t>Gastos en 2016*</w:t>
            </w:r>
            <w:r w:rsidRPr="00740CBE">
              <w:rPr>
                <w:b/>
                <w:bCs/>
                <w:sz w:val="16"/>
                <w:szCs w:val="16"/>
              </w:rPr>
              <w:t xml:space="preserve"> </w:t>
            </w:r>
          </w:p>
        </w:tc>
      </w:tr>
      <w:tr w:rsidR="001B23B7" w:rsidRPr="00740CBE" w:rsidTr="00A34E19">
        <w:trPr>
          <w:trHeight w:val="450"/>
          <w:jc w:val="center"/>
        </w:trPr>
        <w:tc>
          <w:tcPr>
            <w:tcW w:w="553" w:type="dxa"/>
            <w:tcBorders>
              <w:top w:val="nil"/>
              <w:left w:val="nil"/>
              <w:bottom w:val="nil"/>
              <w:right w:val="nil"/>
            </w:tcBorders>
            <w:shd w:val="clear" w:color="auto" w:fill="auto"/>
            <w:noWrap/>
            <w:vAlign w:val="center"/>
            <w:hideMark/>
          </w:tcPr>
          <w:p w:rsidR="001B23B7" w:rsidRPr="00740CBE" w:rsidRDefault="001B23B7" w:rsidP="002425AD">
            <w:pPr>
              <w:rPr>
                <w:sz w:val="16"/>
                <w:szCs w:val="16"/>
              </w:rPr>
            </w:pPr>
            <w:r w:rsidRPr="00740CBE">
              <w:rPr>
                <w:sz w:val="16"/>
                <w:szCs w:val="16"/>
              </w:rPr>
              <w:t>II.6</w:t>
            </w:r>
          </w:p>
        </w:tc>
        <w:tc>
          <w:tcPr>
            <w:tcW w:w="4224" w:type="dxa"/>
            <w:tcBorders>
              <w:top w:val="nil"/>
              <w:left w:val="nil"/>
              <w:bottom w:val="nil"/>
              <w:right w:val="nil"/>
            </w:tcBorders>
            <w:shd w:val="clear" w:color="auto" w:fill="auto"/>
            <w:vAlign w:val="center"/>
            <w:hideMark/>
          </w:tcPr>
          <w:p w:rsidR="001B23B7" w:rsidRPr="00740CBE" w:rsidRDefault="001B23B7" w:rsidP="002425AD">
            <w:pPr>
              <w:rPr>
                <w:sz w:val="16"/>
                <w:szCs w:val="16"/>
              </w:rPr>
            </w:pPr>
            <w:r w:rsidRPr="00740CBE">
              <w:rPr>
                <w:sz w:val="16"/>
                <w:szCs w:val="16"/>
                <w:lang w:val="es-ES_tradnl"/>
              </w:rPr>
              <w:t>Mayor y más eficaz utilización del Sistema de Madrid, entre otros por los países en desarrollo y los PMA</w:t>
            </w:r>
          </w:p>
        </w:tc>
        <w:tc>
          <w:tcPr>
            <w:tcW w:w="1132"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15.755</w:t>
            </w:r>
          </w:p>
        </w:tc>
        <w:tc>
          <w:tcPr>
            <w:tcW w:w="1130"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16.326</w:t>
            </w:r>
          </w:p>
        </w:tc>
        <w:tc>
          <w:tcPr>
            <w:tcW w:w="1161"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7.664</w:t>
            </w:r>
          </w:p>
        </w:tc>
      </w:tr>
      <w:tr w:rsidR="001B23B7" w:rsidRPr="00740CBE" w:rsidTr="00A34E19">
        <w:trPr>
          <w:trHeight w:val="570"/>
          <w:jc w:val="center"/>
        </w:trPr>
        <w:tc>
          <w:tcPr>
            <w:tcW w:w="553" w:type="dxa"/>
            <w:tcBorders>
              <w:top w:val="nil"/>
              <w:left w:val="nil"/>
              <w:bottom w:val="nil"/>
              <w:right w:val="nil"/>
            </w:tcBorders>
            <w:shd w:val="clear" w:color="auto" w:fill="auto"/>
            <w:noWrap/>
            <w:vAlign w:val="center"/>
            <w:hideMark/>
          </w:tcPr>
          <w:p w:rsidR="001B23B7" w:rsidRPr="00740CBE" w:rsidRDefault="001B23B7" w:rsidP="002425AD">
            <w:pPr>
              <w:rPr>
                <w:sz w:val="16"/>
                <w:szCs w:val="16"/>
              </w:rPr>
            </w:pPr>
            <w:r w:rsidRPr="00740CBE">
              <w:rPr>
                <w:sz w:val="16"/>
                <w:szCs w:val="16"/>
              </w:rPr>
              <w:t>II.7</w:t>
            </w:r>
          </w:p>
        </w:tc>
        <w:tc>
          <w:tcPr>
            <w:tcW w:w="4224" w:type="dxa"/>
            <w:tcBorders>
              <w:top w:val="nil"/>
              <w:left w:val="nil"/>
              <w:bottom w:val="nil"/>
              <w:right w:val="nil"/>
            </w:tcBorders>
            <w:shd w:val="clear" w:color="auto" w:fill="auto"/>
            <w:vAlign w:val="center"/>
            <w:hideMark/>
          </w:tcPr>
          <w:p w:rsidR="001B23B7" w:rsidRPr="00740CBE" w:rsidRDefault="001B23B7" w:rsidP="002425AD">
            <w:pPr>
              <w:rPr>
                <w:sz w:val="16"/>
                <w:szCs w:val="16"/>
              </w:rPr>
            </w:pPr>
            <w:r w:rsidRPr="00740CBE">
              <w:rPr>
                <w:sz w:val="16"/>
                <w:szCs w:val="16"/>
                <w:lang w:val="es-ES_tradnl"/>
              </w:rPr>
              <w:t>Mejora de la productividad y de la calidad de los servicios en las operaciones del Sistema de Madrid</w:t>
            </w:r>
          </w:p>
        </w:tc>
        <w:tc>
          <w:tcPr>
            <w:tcW w:w="1132"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42.253</w:t>
            </w:r>
          </w:p>
        </w:tc>
        <w:tc>
          <w:tcPr>
            <w:tcW w:w="1130"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41.736</w:t>
            </w:r>
          </w:p>
        </w:tc>
        <w:tc>
          <w:tcPr>
            <w:tcW w:w="1161"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19.075</w:t>
            </w:r>
          </w:p>
        </w:tc>
      </w:tr>
      <w:tr w:rsidR="001B23B7" w:rsidRPr="00740CBE" w:rsidTr="00A34E19">
        <w:trPr>
          <w:trHeight w:val="570"/>
          <w:jc w:val="center"/>
        </w:trPr>
        <w:tc>
          <w:tcPr>
            <w:tcW w:w="553" w:type="dxa"/>
            <w:tcBorders>
              <w:top w:val="nil"/>
              <w:left w:val="nil"/>
              <w:bottom w:val="nil"/>
              <w:right w:val="nil"/>
            </w:tcBorders>
            <w:shd w:val="clear" w:color="auto" w:fill="auto"/>
            <w:noWrap/>
            <w:vAlign w:val="center"/>
            <w:hideMark/>
          </w:tcPr>
          <w:p w:rsidR="001B23B7" w:rsidRPr="00740CBE" w:rsidRDefault="001B23B7" w:rsidP="002425AD">
            <w:pPr>
              <w:rPr>
                <w:sz w:val="16"/>
                <w:szCs w:val="16"/>
              </w:rPr>
            </w:pPr>
            <w:r w:rsidRPr="00740CBE">
              <w:rPr>
                <w:sz w:val="16"/>
                <w:szCs w:val="16"/>
              </w:rPr>
              <w:t>II.11</w:t>
            </w:r>
          </w:p>
        </w:tc>
        <w:tc>
          <w:tcPr>
            <w:tcW w:w="4224" w:type="dxa"/>
            <w:tcBorders>
              <w:top w:val="nil"/>
              <w:left w:val="nil"/>
              <w:bottom w:val="nil"/>
              <w:right w:val="nil"/>
            </w:tcBorders>
            <w:shd w:val="clear" w:color="auto" w:fill="auto"/>
            <w:vAlign w:val="center"/>
            <w:hideMark/>
          </w:tcPr>
          <w:p w:rsidR="001B23B7" w:rsidRPr="00740CBE" w:rsidRDefault="001B23B7" w:rsidP="002425AD">
            <w:pPr>
              <w:rPr>
                <w:sz w:val="16"/>
                <w:szCs w:val="16"/>
              </w:rPr>
            </w:pPr>
            <w:r w:rsidRPr="00740CBE">
              <w:rPr>
                <w:sz w:val="16"/>
                <w:szCs w:val="16"/>
                <w:lang w:val="es-ES_tradnl"/>
              </w:rPr>
              <w:t>Mejora de la productividad y de la calidad de los servicios en las operaciones del Sistema de Lisboa</w:t>
            </w:r>
          </w:p>
        </w:tc>
        <w:tc>
          <w:tcPr>
            <w:tcW w:w="1132"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99</w:t>
            </w:r>
          </w:p>
        </w:tc>
        <w:tc>
          <w:tcPr>
            <w:tcW w:w="1130"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0</w:t>
            </w:r>
          </w:p>
        </w:tc>
        <w:tc>
          <w:tcPr>
            <w:tcW w:w="1161" w:type="dxa"/>
            <w:tcBorders>
              <w:top w:val="nil"/>
              <w:left w:val="nil"/>
              <w:bottom w:val="nil"/>
              <w:right w:val="nil"/>
            </w:tcBorders>
            <w:shd w:val="clear" w:color="auto" w:fill="auto"/>
            <w:noWrap/>
            <w:vAlign w:val="center"/>
            <w:hideMark/>
          </w:tcPr>
          <w:p w:rsidR="001B23B7" w:rsidRPr="00740CBE" w:rsidRDefault="001B23B7" w:rsidP="002425AD">
            <w:pPr>
              <w:jc w:val="center"/>
              <w:rPr>
                <w:sz w:val="16"/>
                <w:szCs w:val="16"/>
              </w:rPr>
            </w:pPr>
            <w:r w:rsidRPr="00740CBE">
              <w:rPr>
                <w:sz w:val="16"/>
                <w:szCs w:val="16"/>
              </w:rPr>
              <w:t>0</w:t>
            </w:r>
          </w:p>
        </w:tc>
      </w:tr>
      <w:tr w:rsidR="001B23B7" w:rsidRPr="00740CBE" w:rsidTr="00A34E19">
        <w:trPr>
          <w:trHeight w:val="225"/>
          <w:jc w:val="center"/>
        </w:trPr>
        <w:tc>
          <w:tcPr>
            <w:tcW w:w="553" w:type="dxa"/>
            <w:tcBorders>
              <w:top w:val="nil"/>
              <w:left w:val="nil"/>
              <w:bottom w:val="nil"/>
              <w:right w:val="nil"/>
            </w:tcBorders>
            <w:shd w:val="clear" w:color="000000" w:fill="C5D9F1"/>
            <w:noWrap/>
            <w:vAlign w:val="bottom"/>
            <w:hideMark/>
          </w:tcPr>
          <w:p w:rsidR="001B23B7" w:rsidRPr="00740CBE" w:rsidRDefault="001B23B7" w:rsidP="002425AD">
            <w:pPr>
              <w:rPr>
                <w:sz w:val="16"/>
                <w:szCs w:val="16"/>
              </w:rPr>
            </w:pPr>
            <w:r w:rsidRPr="00740CBE">
              <w:rPr>
                <w:sz w:val="16"/>
                <w:szCs w:val="16"/>
              </w:rPr>
              <w:t> </w:t>
            </w:r>
          </w:p>
        </w:tc>
        <w:tc>
          <w:tcPr>
            <w:tcW w:w="4224" w:type="dxa"/>
            <w:tcBorders>
              <w:top w:val="nil"/>
              <w:left w:val="nil"/>
              <w:bottom w:val="nil"/>
              <w:right w:val="nil"/>
            </w:tcBorders>
            <w:shd w:val="clear" w:color="000000" w:fill="C5D9F1"/>
            <w:noWrap/>
            <w:vAlign w:val="bottom"/>
            <w:hideMark/>
          </w:tcPr>
          <w:p w:rsidR="001B23B7" w:rsidRPr="00740CBE" w:rsidRDefault="001B23B7" w:rsidP="002425AD">
            <w:pPr>
              <w:jc w:val="right"/>
              <w:rPr>
                <w:b/>
                <w:bCs/>
                <w:sz w:val="16"/>
                <w:szCs w:val="16"/>
              </w:rPr>
            </w:pPr>
            <w:r w:rsidRPr="00740CBE">
              <w:rPr>
                <w:b/>
                <w:bCs/>
                <w:sz w:val="16"/>
                <w:szCs w:val="16"/>
                <w:lang w:val="es-ES_tradnl"/>
              </w:rPr>
              <w:t>Total</w:t>
            </w:r>
          </w:p>
        </w:tc>
        <w:tc>
          <w:tcPr>
            <w:tcW w:w="1132" w:type="dxa"/>
            <w:tcBorders>
              <w:top w:val="nil"/>
              <w:left w:val="nil"/>
              <w:bottom w:val="nil"/>
              <w:right w:val="nil"/>
            </w:tcBorders>
            <w:shd w:val="clear" w:color="000000" w:fill="C5D9F1"/>
            <w:noWrap/>
            <w:vAlign w:val="center"/>
            <w:hideMark/>
          </w:tcPr>
          <w:p w:rsidR="001B23B7" w:rsidRPr="00740CBE" w:rsidRDefault="001B23B7" w:rsidP="002425AD">
            <w:pPr>
              <w:jc w:val="center"/>
              <w:rPr>
                <w:sz w:val="16"/>
                <w:szCs w:val="16"/>
              </w:rPr>
            </w:pPr>
            <w:r w:rsidRPr="00740CBE">
              <w:rPr>
                <w:sz w:val="16"/>
                <w:szCs w:val="16"/>
              </w:rPr>
              <w:t>58.106</w:t>
            </w:r>
          </w:p>
        </w:tc>
        <w:tc>
          <w:tcPr>
            <w:tcW w:w="1130" w:type="dxa"/>
            <w:tcBorders>
              <w:top w:val="nil"/>
              <w:left w:val="nil"/>
              <w:bottom w:val="nil"/>
              <w:right w:val="nil"/>
            </w:tcBorders>
            <w:shd w:val="clear" w:color="000000" w:fill="C5D9F1"/>
            <w:noWrap/>
            <w:vAlign w:val="center"/>
            <w:hideMark/>
          </w:tcPr>
          <w:p w:rsidR="001B23B7" w:rsidRPr="00740CBE" w:rsidRDefault="001B23B7" w:rsidP="002425AD">
            <w:pPr>
              <w:jc w:val="center"/>
              <w:rPr>
                <w:sz w:val="16"/>
                <w:szCs w:val="16"/>
              </w:rPr>
            </w:pPr>
            <w:r w:rsidRPr="00740CBE">
              <w:rPr>
                <w:sz w:val="16"/>
                <w:szCs w:val="16"/>
              </w:rPr>
              <w:t>58.062</w:t>
            </w:r>
          </w:p>
        </w:tc>
        <w:tc>
          <w:tcPr>
            <w:tcW w:w="1161" w:type="dxa"/>
            <w:tcBorders>
              <w:top w:val="nil"/>
              <w:left w:val="nil"/>
              <w:bottom w:val="nil"/>
              <w:right w:val="nil"/>
            </w:tcBorders>
            <w:shd w:val="clear" w:color="000000" w:fill="C5D9F1"/>
            <w:noWrap/>
            <w:vAlign w:val="center"/>
            <w:hideMark/>
          </w:tcPr>
          <w:p w:rsidR="001B23B7" w:rsidRPr="00740CBE" w:rsidRDefault="001B23B7" w:rsidP="002425AD">
            <w:pPr>
              <w:jc w:val="center"/>
              <w:rPr>
                <w:sz w:val="16"/>
                <w:szCs w:val="16"/>
              </w:rPr>
            </w:pPr>
            <w:r w:rsidRPr="00740CBE">
              <w:rPr>
                <w:sz w:val="16"/>
                <w:szCs w:val="16"/>
              </w:rPr>
              <w:t>26.739</w:t>
            </w:r>
          </w:p>
        </w:tc>
      </w:tr>
      <w:tr w:rsidR="001B23B7" w:rsidRPr="00ED3AD4" w:rsidTr="00A34E19">
        <w:trPr>
          <w:trHeight w:val="330"/>
          <w:jc w:val="center"/>
        </w:trPr>
        <w:tc>
          <w:tcPr>
            <w:tcW w:w="7039" w:type="dxa"/>
            <w:gridSpan w:val="4"/>
            <w:tcBorders>
              <w:top w:val="nil"/>
              <w:left w:val="nil"/>
              <w:bottom w:val="nil"/>
              <w:right w:val="nil"/>
            </w:tcBorders>
            <w:shd w:val="clear" w:color="auto" w:fill="auto"/>
            <w:noWrap/>
            <w:vAlign w:val="center"/>
            <w:hideMark/>
          </w:tcPr>
          <w:p w:rsidR="001B23B7" w:rsidRPr="00740CBE" w:rsidRDefault="001B23B7" w:rsidP="002425AD">
            <w:pPr>
              <w:rPr>
                <w:i/>
                <w:iCs/>
                <w:sz w:val="16"/>
                <w:szCs w:val="16"/>
              </w:rPr>
            </w:pPr>
            <w:r w:rsidRPr="00740CBE">
              <w:rPr>
                <w:i/>
                <w:iCs/>
                <w:sz w:val="16"/>
                <w:szCs w:val="16"/>
                <w:lang w:val="es-ES_tradnl"/>
              </w:rPr>
              <w:t>*Las cifras de gastos en 2016 son preliminares, a reserva de verificación por el Auditor Externo.</w:t>
            </w:r>
          </w:p>
        </w:tc>
        <w:tc>
          <w:tcPr>
            <w:tcW w:w="1161" w:type="dxa"/>
            <w:tcBorders>
              <w:top w:val="nil"/>
              <w:left w:val="nil"/>
              <w:bottom w:val="nil"/>
              <w:right w:val="nil"/>
            </w:tcBorders>
            <w:shd w:val="clear" w:color="auto" w:fill="auto"/>
            <w:noWrap/>
            <w:vAlign w:val="center"/>
            <w:hideMark/>
          </w:tcPr>
          <w:p w:rsidR="001B23B7" w:rsidRPr="00740CBE" w:rsidRDefault="001B23B7" w:rsidP="002425AD">
            <w:pPr>
              <w:rPr>
                <w:sz w:val="16"/>
                <w:szCs w:val="16"/>
              </w:rPr>
            </w:pPr>
          </w:p>
        </w:tc>
      </w:tr>
    </w:tbl>
    <w:p w:rsidR="001B23B7" w:rsidRPr="00740CBE" w:rsidRDefault="001B23B7" w:rsidP="002425AD">
      <w:pPr>
        <w:pStyle w:val="NormalWeb"/>
        <w:spacing w:before="0" w:beforeAutospacing="0" w:after="0" w:afterAutospacing="0"/>
        <w:jc w:val="center"/>
        <w:rPr>
          <w:i/>
          <w:iCs/>
          <w:sz w:val="20"/>
          <w:szCs w:val="20"/>
          <w:lang w:val="es-ES"/>
        </w:rPr>
      </w:pPr>
    </w:p>
    <w:p w:rsidR="001B23B7" w:rsidRDefault="001B23B7" w:rsidP="002425AD">
      <w:pPr>
        <w:rPr>
          <w:sz w:val="18"/>
          <w:szCs w:val="18"/>
          <w:lang w:val="es-ES_tradnl"/>
        </w:rPr>
      </w:pPr>
    </w:p>
    <w:p w:rsidR="001B23B7" w:rsidRPr="00740CBE" w:rsidRDefault="001B23B7" w:rsidP="002425AD">
      <w:pPr>
        <w:pStyle w:val="NormalWeb"/>
        <w:spacing w:before="0" w:beforeAutospacing="0" w:after="0" w:afterAutospacing="0"/>
        <w:jc w:val="center"/>
        <w:rPr>
          <w:lang w:val="es-ES"/>
        </w:rPr>
      </w:pPr>
      <w:r w:rsidRPr="00740CBE">
        <w:rPr>
          <w:lang w:val="es-ES_tradnl"/>
        </w:rPr>
        <w:t>Presupuesto y gastos reales (de personal y no relativos a personal)</w:t>
      </w:r>
      <w:r w:rsidRPr="00740CBE">
        <w:rPr>
          <w:lang w:val="es-ES"/>
        </w:rPr>
        <w:t xml:space="preserve"> </w:t>
      </w:r>
    </w:p>
    <w:p w:rsidR="001B23B7" w:rsidRPr="00740CBE" w:rsidRDefault="001B23B7" w:rsidP="002425AD">
      <w:pPr>
        <w:pStyle w:val="NormalWeb"/>
        <w:spacing w:before="0" w:beforeAutospacing="0" w:after="0" w:afterAutospacing="0"/>
        <w:jc w:val="center"/>
        <w:rPr>
          <w:i/>
          <w:iCs/>
          <w:sz w:val="16"/>
          <w:szCs w:val="16"/>
          <w:lang w:val="es-ES"/>
        </w:rPr>
      </w:pPr>
      <w:r w:rsidRPr="00740CBE">
        <w:rPr>
          <w:i/>
          <w:iCs/>
          <w:sz w:val="16"/>
          <w:szCs w:val="16"/>
          <w:lang w:val="es-ES_tradnl"/>
        </w:rPr>
        <w:t>(en miles de francos suizos)</w:t>
      </w:r>
    </w:p>
    <w:p w:rsidR="001B23B7" w:rsidRPr="00740CBE" w:rsidRDefault="001B23B7" w:rsidP="002425AD">
      <w:pPr>
        <w:pStyle w:val="NormalWeb"/>
        <w:spacing w:before="0" w:beforeAutospacing="0" w:after="0" w:afterAutospacing="0"/>
        <w:jc w:val="center"/>
        <w:rPr>
          <w:i/>
          <w:iCs/>
          <w:sz w:val="20"/>
          <w:szCs w:val="20"/>
          <w:lang w:val="es-ES"/>
        </w:rPr>
      </w:pPr>
    </w:p>
    <w:tbl>
      <w:tblPr>
        <w:tblW w:w="8222" w:type="dxa"/>
        <w:jc w:val="center"/>
        <w:tblLayout w:type="fixed"/>
        <w:tblLook w:val="04A0" w:firstRow="1" w:lastRow="0" w:firstColumn="1" w:lastColumn="0" w:noHBand="0" w:noVBand="1"/>
      </w:tblPr>
      <w:tblGrid>
        <w:gridCol w:w="2470"/>
        <w:gridCol w:w="1438"/>
        <w:gridCol w:w="1438"/>
        <w:gridCol w:w="1438"/>
        <w:gridCol w:w="1438"/>
      </w:tblGrid>
      <w:tr w:rsidR="001B23B7" w:rsidRPr="00740CBE" w:rsidTr="00A34E19">
        <w:trPr>
          <w:trHeight w:val="720"/>
          <w:jc w:val="center"/>
        </w:trPr>
        <w:tc>
          <w:tcPr>
            <w:tcW w:w="2440" w:type="dxa"/>
            <w:tcBorders>
              <w:top w:val="nil"/>
              <w:left w:val="nil"/>
              <w:bottom w:val="nil"/>
              <w:right w:val="nil"/>
            </w:tcBorders>
            <w:shd w:val="clear" w:color="000000" w:fill="C5D9F1"/>
            <w:noWrap/>
            <w:vAlign w:val="center"/>
            <w:hideMark/>
          </w:tcPr>
          <w:p w:rsidR="001B23B7" w:rsidRPr="00740CBE" w:rsidRDefault="001B23B7" w:rsidP="002425AD">
            <w:pPr>
              <w:keepNext/>
              <w:keepLines/>
              <w:rPr>
                <w:sz w:val="16"/>
                <w:szCs w:val="16"/>
              </w:rPr>
            </w:pPr>
            <w:r w:rsidRPr="00740CBE">
              <w:rPr>
                <w:sz w:val="16"/>
                <w:szCs w:val="16"/>
              </w:rPr>
              <w:t> </w:t>
            </w:r>
          </w:p>
        </w:tc>
        <w:tc>
          <w:tcPr>
            <w:tcW w:w="1420" w:type="dxa"/>
            <w:tcBorders>
              <w:top w:val="nil"/>
              <w:left w:val="nil"/>
              <w:bottom w:val="nil"/>
              <w:right w:val="nil"/>
            </w:tcBorders>
            <w:shd w:val="clear" w:color="000000" w:fill="C5D9F1"/>
            <w:vAlign w:val="center"/>
            <w:hideMark/>
          </w:tcPr>
          <w:p w:rsidR="001B23B7" w:rsidRPr="00740CBE" w:rsidRDefault="001B23B7" w:rsidP="002425AD">
            <w:pPr>
              <w:keepNext/>
              <w:keepLines/>
              <w:jc w:val="center"/>
              <w:rPr>
                <w:b/>
                <w:bCs/>
                <w:sz w:val="16"/>
                <w:szCs w:val="16"/>
              </w:rPr>
            </w:pPr>
            <w:r w:rsidRPr="00740CBE">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1B23B7" w:rsidRPr="00740CBE" w:rsidRDefault="001B23B7" w:rsidP="002425AD">
            <w:pPr>
              <w:keepNext/>
              <w:keepLines/>
              <w:jc w:val="center"/>
              <w:rPr>
                <w:b/>
                <w:bCs/>
                <w:sz w:val="16"/>
                <w:szCs w:val="16"/>
              </w:rPr>
            </w:pPr>
            <w:r w:rsidRPr="00740CBE">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1B23B7" w:rsidRPr="00740CBE" w:rsidRDefault="001B23B7" w:rsidP="002425AD">
            <w:pPr>
              <w:keepNext/>
              <w:keepLines/>
              <w:jc w:val="center"/>
              <w:rPr>
                <w:b/>
                <w:bCs/>
                <w:sz w:val="16"/>
                <w:szCs w:val="16"/>
              </w:rPr>
            </w:pPr>
            <w:r w:rsidRPr="00740CBE">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1B23B7" w:rsidRPr="00740CBE" w:rsidRDefault="001B23B7" w:rsidP="002425AD">
            <w:pPr>
              <w:keepNext/>
              <w:keepLines/>
              <w:jc w:val="center"/>
              <w:rPr>
                <w:b/>
                <w:bCs/>
                <w:sz w:val="16"/>
                <w:szCs w:val="16"/>
              </w:rPr>
            </w:pPr>
            <w:r w:rsidRPr="00740CBE">
              <w:rPr>
                <w:b/>
                <w:bCs/>
                <w:sz w:val="16"/>
                <w:szCs w:val="16"/>
                <w:lang w:val="es-ES_tradnl"/>
              </w:rPr>
              <w:t>Índice de utilización (%)</w:t>
            </w:r>
          </w:p>
        </w:tc>
      </w:tr>
      <w:tr w:rsidR="001B23B7" w:rsidRPr="00740CBE" w:rsidTr="00A34E19">
        <w:trPr>
          <w:trHeight w:val="315"/>
          <w:jc w:val="center"/>
        </w:trPr>
        <w:tc>
          <w:tcPr>
            <w:tcW w:w="2440" w:type="dxa"/>
            <w:tcBorders>
              <w:top w:val="nil"/>
              <w:left w:val="nil"/>
              <w:bottom w:val="nil"/>
              <w:right w:val="nil"/>
            </w:tcBorders>
            <w:shd w:val="clear" w:color="auto" w:fill="auto"/>
            <w:noWrap/>
            <w:vAlign w:val="center"/>
            <w:hideMark/>
          </w:tcPr>
          <w:p w:rsidR="001B23B7" w:rsidRPr="00740CBE" w:rsidRDefault="001B23B7" w:rsidP="002425AD">
            <w:pPr>
              <w:keepNext/>
              <w:keepLines/>
              <w:rPr>
                <w:sz w:val="16"/>
                <w:szCs w:val="16"/>
              </w:rPr>
            </w:pPr>
            <w:r w:rsidRPr="00740CBE">
              <w:rPr>
                <w:sz w:val="16"/>
                <w:szCs w:val="16"/>
                <w:lang w:val="es-ES_tradnl"/>
              </w:rPr>
              <w:t>Recursos de personal</w:t>
            </w:r>
            <w:r w:rsidRPr="00740CBE">
              <w:rPr>
                <w:sz w:val="16"/>
                <w:szCs w:val="16"/>
              </w:rPr>
              <w:t xml:space="preserve">  </w:t>
            </w:r>
          </w:p>
        </w:tc>
        <w:tc>
          <w:tcPr>
            <w:tcW w:w="1420" w:type="dxa"/>
            <w:tcBorders>
              <w:top w:val="nil"/>
              <w:left w:val="nil"/>
              <w:bottom w:val="nil"/>
              <w:right w:val="nil"/>
            </w:tcBorders>
            <w:shd w:val="clear" w:color="auto" w:fill="auto"/>
            <w:vAlign w:val="center"/>
            <w:hideMark/>
          </w:tcPr>
          <w:p w:rsidR="001B23B7" w:rsidRPr="00740CBE" w:rsidRDefault="009C5017" w:rsidP="009C5017">
            <w:pPr>
              <w:keepNext/>
              <w:keepLines/>
              <w:jc w:val="center"/>
              <w:rPr>
                <w:sz w:val="16"/>
                <w:szCs w:val="16"/>
              </w:rPr>
            </w:pPr>
            <w:r>
              <w:rPr>
                <w:sz w:val="16"/>
                <w:szCs w:val="16"/>
              </w:rPr>
              <w:t>43.948</w:t>
            </w:r>
          </w:p>
        </w:tc>
        <w:tc>
          <w:tcPr>
            <w:tcW w:w="1420" w:type="dxa"/>
            <w:tcBorders>
              <w:top w:val="nil"/>
              <w:left w:val="nil"/>
              <w:bottom w:val="nil"/>
              <w:right w:val="nil"/>
            </w:tcBorders>
            <w:shd w:val="clear" w:color="auto" w:fill="auto"/>
            <w:vAlign w:val="center"/>
            <w:hideMark/>
          </w:tcPr>
          <w:p w:rsidR="001B23B7" w:rsidRPr="00740CBE" w:rsidRDefault="009C5017" w:rsidP="002425AD">
            <w:pPr>
              <w:keepNext/>
              <w:keepLines/>
              <w:jc w:val="center"/>
              <w:rPr>
                <w:sz w:val="16"/>
                <w:szCs w:val="16"/>
              </w:rPr>
            </w:pPr>
            <w:r>
              <w:rPr>
                <w:sz w:val="16"/>
                <w:szCs w:val="16"/>
              </w:rPr>
              <w:t>41.050</w:t>
            </w:r>
          </w:p>
        </w:tc>
        <w:tc>
          <w:tcPr>
            <w:tcW w:w="1420" w:type="dxa"/>
            <w:tcBorders>
              <w:top w:val="nil"/>
              <w:left w:val="nil"/>
              <w:bottom w:val="nil"/>
              <w:right w:val="nil"/>
            </w:tcBorders>
            <w:shd w:val="clear" w:color="auto" w:fill="auto"/>
            <w:vAlign w:val="center"/>
            <w:hideMark/>
          </w:tcPr>
          <w:p w:rsidR="001B23B7" w:rsidRPr="00740CBE" w:rsidRDefault="009C5017" w:rsidP="002425AD">
            <w:pPr>
              <w:keepNext/>
              <w:keepLines/>
              <w:jc w:val="center"/>
              <w:rPr>
                <w:sz w:val="16"/>
                <w:szCs w:val="16"/>
              </w:rPr>
            </w:pPr>
            <w:r>
              <w:rPr>
                <w:sz w:val="16"/>
                <w:szCs w:val="16"/>
              </w:rPr>
              <w:t>19.769</w:t>
            </w:r>
          </w:p>
        </w:tc>
        <w:tc>
          <w:tcPr>
            <w:tcW w:w="1420" w:type="dxa"/>
            <w:tcBorders>
              <w:top w:val="nil"/>
              <w:left w:val="nil"/>
              <w:bottom w:val="nil"/>
              <w:right w:val="nil"/>
            </w:tcBorders>
            <w:shd w:val="clear" w:color="auto" w:fill="auto"/>
            <w:vAlign w:val="center"/>
            <w:hideMark/>
          </w:tcPr>
          <w:p w:rsidR="001B23B7" w:rsidRPr="00740CBE" w:rsidRDefault="001B23B7" w:rsidP="009C5017">
            <w:pPr>
              <w:keepNext/>
              <w:keepLines/>
              <w:jc w:val="center"/>
              <w:rPr>
                <w:sz w:val="16"/>
                <w:szCs w:val="16"/>
              </w:rPr>
            </w:pPr>
            <w:r w:rsidRPr="00740CBE">
              <w:rPr>
                <w:sz w:val="16"/>
                <w:szCs w:val="16"/>
              </w:rPr>
              <w:t>4</w:t>
            </w:r>
            <w:r w:rsidR="009C5017">
              <w:rPr>
                <w:sz w:val="16"/>
                <w:szCs w:val="16"/>
              </w:rPr>
              <w:t>8</w:t>
            </w:r>
            <w:r w:rsidRPr="00740CBE">
              <w:rPr>
                <w:sz w:val="16"/>
                <w:szCs w:val="16"/>
              </w:rPr>
              <w:t>%</w:t>
            </w:r>
          </w:p>
        </w:tc>
      </w:tr>
      <w:tr w:rsidR="001B23B7" w:rsidRPr="00740CBE" w:rsidTr="00A34E19">
        <w:trPr>
          <w:trHeight w:val="315"/>
          <w:jc w:val="center"/>
        </w:trPr>
        <w:tc>
          <w:tcPr>
            <w:tcW w:w="2440" w:type="dxa"/>
            <w:tcBorders>
              <w:top w:val="nil"/>
              <w:left w:val="nil"/>
              <w:bottom w:val="nil"/>
              <w:right w:val="nil"/>
            </w:tcBorders>
            <w:shd w:val="clear" w:color="auto" w:fill="auto"/>
            <w:noWrap/>
            <w:vAlign w:val="center"/>
            <w:hideMark/>
          </w:tcPr>
          <w:p w:rsidR="001B23B7" w:rsidRPr="00740CBE" w:rsidRDefault="001B23B7" w:rsidP="002425AD">
            <w:pPr>
              <w:keepNext/>
              <w:keepLines/>
              <w:rPr>
                <w:sz w:val="16"/>
                <w:szCs w:val="16"/>
              </w:rPr>
            </w:pPr>
            <w:r w:rsidRPr="00740CBE">
              <w:rPr>
                <w:sz w:val="16"/>
                <w:szCs w:val="16"/>
                <w:lang w:val="es-ES_tradnl"/>
              </w:rPr>
              <w:t>Recursos no relativos a personal</w:t>
            </w:r>
            <w:r w:rsidRPr="00740CBE">
              <w:rPr>
                <w:sz w:val="16"/>
                <w:szCs w:val="16"/>
              </w:rPr>
              <w:t xml:space="preserve"> </w:t>
            </w:r>
          </w:p>
        </w:tc>
        <w:tc>
          <w:tcPr>
            <w:tcW w:w="1420" w:type="dxa"/>
            <w:tcBorders>
              <w:top w:val="nil"/>
              <w:left w:val="nil"/>
              <w:bottom w:val="nil"/>
              <w:right w:val="nil"/>
            </w:tcBorders>
            <w:shd w:val="clear" w:color="auto" w:fill="auto"/>
            <w:vAlign w:val="center"/>
            <w:hideMark/>
          </w:tcPr>
          <w:p w:rsidR="001B23B7" w:rsidRPr="00740CBE" w:rsidRDefault="009C5017" w:rsidP="002425AD">
            <w:pPr>
              <w:keepNext/>
              <w:keepLines/>
              <w:jc w:val="center"/>
              <w:rPr>
                <w:sz w:val="16"/>
                <w:szCs w:val="16"/>
              </w:rPr>
            </w:pPr>
            <w:r>
              <w:rPr>
                <w:sz w:val="16"/>
                <w:szCs w:val="16"/>
              </w:rPr>
              <w:t>14.159</w:t>
            </w:r>
          </w:p>
        </w:tc>
        <w:tc>
          <w:tcPr>
            <w:tcW w:w="1420" w:type="dxa"/>
            <w:tcBorders>
              <w:top w:val="nil"/>
              <w:left w:val="nil"/>
              <w:bottom w:val="nil"/>
              <w:right w:val="nil"/>
            </w:tcBorders>
            <w:shd w:val="clear" w:color="auto" w:fill="auto"/>
            <w:vAlign w:val="center"/>
            <w:hideMark/>
          </w:tcPr>
          <w:p w:rsidR="001B23B7" w:rsidRPr="00740CBE" w:rsidRDefault="009C5017" w:rsidP="002425AD">
            <w:pPr>
              <w:keepNext/>
              <w:keepLines/>
              <w:jc w:val="center"/>
              <w:rPr>
                <w:sz w:val="16"/>
                <w:szCs w:val="16"/>
              </w:rPr>
            </w:pPr>
            <w:r>
              <w:rPr>
                <w:sz w:val="16"/>
                <w:szCs w:val="16"/>
              </w:rPr>
              <w:t>17.012</w:t>
            </w:r>
          </w:p>
        </w:tc>
        <w:tc>
          <w:tcPr>
            <w:tcW w:w="1420" w:type="dxa"/>
            <w:tcBorders>
              <w:top w:val="nil"/>
              <w:left w:val="nil"/>
              <w:bottom w:val="nil"/>
              <w:right w:val="nil"/>
            </w:tcBorders>
            <w:shd w:val="clear" w:color="auto" w:fill="auto"/>
            <w:vAlign w:val="center"/>
            <w:hideMark/>
          </w:tcPr>
          <w:p w:rsidR="001B23B7" w:rsidRPr="00740CBE" w:rsidRDefault="009C5017" w:rsidP="009C5017">
            <w:pPr>
              <w:keepNext/>
              <w:keepLines/>
              <w:jc w:val="center"/>
              <w:rPr>
                <w:sz w:val="16"/>
                <w:szCs w:val="16"/>
              </w:rPr>
            </w:pPr>
            <w:r>
              <w:rPr>
                <w:sz w:val="16"/>
                <w:szCs w:val="16"/>
              </w:rPr>
              <w:t xml:space="preserve">  6.970</w:t>
            </w:r>
          </w:p>
        </w:tc>
        <w:tc>
          <w:tcPr>
            <w:tcW w:w="1420" w:type="dxa"/>
            <w:tcBorders>
              <w:top w:val="nil"/>
              <w:left w:val="nil"/>
              <w:bottom w:val="nil"/>
              <w:right w:val="nil"/>
            </w:tcBorders>
            <w:shd w:val="clear" w:color="auto" w:fill="auto"/>
            <w:vAlign w:val="center"/>
            <w:hideMark/>
          </w:tcPr>
          <w:p w:rsidR="001B23B7" w:rsidRPr="00740CBE" w:rsidRDefault="009C5017" w:rsidP="009C5017">
            <w:pPr>
              <w:keepNext/>
              <w:keepLines/>
              <w:jc w:val="center"/>
              <w:rPr>
                <w:sz w:val="16"/>
                <w:szCs w:val="16"/>
              </w:rPr>
            </w:pPr>
            <w:r>
              <w:rPr>
                <w:sz w:val="16"/>
                <w:szCs w:val="16"/>
              </w:rPr>
              <w:t>4</w:t>
            </w:r>
            <w:r w:rsidR="001B23B7" w:rsidRPr="00740CBE">
              <w:rPr>
                <w:sz w:val="16"/>
                <w:szCs w:val="16"/>
              </w:rPr>
              <w:t>1%</w:t>
            </w:r>
          </w:p>
        </w:tc>
      </w:tr>
      <w:tr w:rsidR="001B23B7" w:rsidRPr="00740CBE" w:rsidTr="00A34E19">
        <w:trPr>
          <w:trHeight w:val="225"/>
          <w:jc w:val="center"/>
        </w:trPr>
        <w:tc>
          <w:tcPr>
            <w:tcW w:w="2440" w:type="dxa"/>
            <w:tcBorders>
              <w:top w:val="nil"/>
              <w:left w:val="nil"/>
              <w:bottom w:val="nil"/>
              <w:right w:val="nil"/>
            </w:tcBorders>
            <w:shd w:val="clear" w:color="000000" w:fill="C5D9F1"/>
            <w:noWrap/>
            <w:vAlign w:val="center"/>
            <w:hideMark/>
          </w:tcPr>
          <w:p w:rsidR="001B23B7" w:rsidRPr="00740CBE" w:rsidRDefault="001B23B7" w:rsidP="002425AD">
            <w:pPr>
              <w:keepNext/>
              <w:keepLines/>
              <w:jc w:val="right"/>
              <w:rPr>
                <w:b/>
                <w:bCs/>
                <w:sz w:val="16"/>
                <w:szCs w:val="16"/>
              </w:rPr>
            </w:pPr>
            <w:r w:rsidRPr="00740CBE">
              <w:rPr>
                <w:b/>
                <w:bCs/>
                <w:sz w:val="16"/>
                <w:szCs w:val="16"/>
              </w:rPr>
              <w:t xml:space="preserve"> </w:t>
            </w:r>
            <w:r w:rsidRPr="00740CBE">
              <w:rPr>
                <w:b/>
                <w:bCs/>
                <w:sz w:val="16"/>
                <w:szCs w:val="16"/>
                <w:lang w:val="es-ES_tradnl"/>
              </w:rPr>
              <w:t>Total</w:t>
            </w:r>
            <w:r w:rsidRPr="00740CBE">
              <w:rPr>
                <w:b/>
                <w:bCs/>
                <w:sz w:val="16"/>
                <w:szCs w:val="16"/>
              </w:rPr>
              <w:t xml:space="preserve"> </w:t>
            </w:r>
          </w:p>
        </w:tc>
        <w:tc>
          <w:tcPr>
            <w:tcW w:w="1420" w:type="dxa"/>
            <w:tcBorders>
              <w:top w:val="nil"/>
              <w:left w:val="nil"/>
              <w:bottom w:val="nil"/>
              <w:right w:val="nil"/>
            </w:tcBorders>
            <w:shd w:val="clear" w:color="000000" w:fill="C5D9F1"/>
            <w:vAlign w:val="center"/>
            <w:hideMark/>
          </w:tcPr>
          <w:p w:rsidR="001B23B7" w:rsidRPr="00740CBE" w:rsidRDefault="009C5017" w:rsidP="002425AD">
            <w:pPr>
              <w:keepNext/>
              <w:keepLines/>
              <w:jc w:val="center"/>
              <w:rPr>
                <w:b/>
                <w:bCs/>
                <w:sz w:val="16"/>
                <w:szCs w:val="16"/>
              </w:rPr>
            </w:pPr>
            <w:r>
              <w:rPr>
                <w:b/>
                <w:bCs/>
                <w:sz w:val="16"/>
                <w:szCs w:val="16"/>
              </w:rPr>
              <w:t>58.106</w:t>
            </w:r>
            <w:r w:rsidR="001B23B7" w:rsidRPr="00740CBE">
              <w:rPr>
                <w:b/>
                <w:bCs/>
                <w:sz w:val="16"/>
                <w:szCs w:val="16"/>
              </w:rPr>
              <w:t xml:space="preserve"> </w:t>
            </w:r>
          </w:p>
        </w:tc>
        <w:tc>
          <w:tcPr>
            <w:tcW w:w="1420" w:type="dxa"/>
            <w:tcBorders>
              <w:top w:val="nil"/>
              <w:left w:val="nil"/>
              <w:bottom w:val="nil"/>
              <w:right w:val="nil"/>
            </w:tcBorders>
            <w:shd w:val="clear" w:color="000000" w:fill="C5D9F1"/>
            <w:vAlign w:val="center"/>
            <w:hideMark/>
          </w:tcPr>
          <w:p w:rsidR="001B23B7" w:rsidRPr="00740CBE" w:rsidRDefault="009C5017" w:rsidP="009C5017">
            <w:pPr>
              <w:keepNext/>
              <w:keepLines/>
              <w:jc w:val="center"/>
              <w:rPr>
                <w:b/>
                <w:bCs/>
                <w:sz w:val="16"/>
                <w:szCs w:val="16"/>
              </w:rPr>
            </w:pPr>
            <w:r>
              <w:rPr>
                <w:b/>
                <w:bCs/>
                <w:sz w:val="16"/>
                <w:szCs w:val="16"/>
              </w:rPr>
              <w:t>58.062</w:t>
            </w:r>
          </w:p>
        </w:tc>
        <w:tc>
          <w:tcPr>
            <w:tcW w:w="1420" w:type="dxa"/>
            <w:tcBorders>
              <w:top w:val="nil"/>
              <w:left w:val="nil"/>
              <w:bottom w:val="nil"/>
              <w:right w:val="nil"/>
            </w:tcBorders>
            <w:shd w:val="clear" w:color="000000" w:fill="C5D9F1"/>
            <w:vAlign w:val="center"/>
            <w:hideMark/>
          </w:tcPr>
          <w:p w:rsidR="001B23B7" w:rsidRPr="00740CBE" w:rsidRDefault="009C5017" w:rsidP="009C5017">
            <w:pPr>
              <w:keepNext/>
              <w:keepLines/>
              <w:jc w:val="center"/>
              <w:rPr>
                <w:b/>
                <w:bCs/>
                <w:sz w:val="16"/>
                <w:szCs w:val="16"/>
              </w:rPr>
            </w:pPr>
            <w:r>
              <w:rPr>
                <w:b/>
                <w:bCs/>
                <w:sz w:val="16"/>
                <w:szCs w:val="16"/>
              </w:rPr>
              <w:t>26.739</w:t>
            </w:r>
          </w:p>
        </w:tc>
        <w:tc>
          <w:tcPr>
            <w:tcW w:w="1420" w:type="dxa"/>
            <w:tcBorders>
              <w:top w:val="nil"/>
              <w:left w:val="nil"/>
              <w:bottom w:val="nil"/>
              <w:right w:val="nil"/>
            </w:tcBorders>
            <w:shd w:val="clear" w:color="000000" w:fill="C5D9F1"/>
            <w:vAlign w:val="center"/>
            <w:hideMark/>
          </w:tcPr>
          <w:p w:rsidR="001B23B7" w:rsidRPr="00740CBE" w:rsidRDefault="001B23B7" w:rsidP="009C5017">
            <w:pPr>
              <w:keepNext/>
              <w:keepLines/>
              <w:jc w:val="center"/>
              <w:rPr>
                <w:b/>
                <w:bCs/>
                <w:sz w:val="16"/>
                <w:szCs w:val="16"/>
              </w:rPr>
            </w:pPr>
            <w:r w:rsidRPr="00740CBE">
              <w:rPr>
                <w:b/>
                <w:bCs/>
                <w:sz w:val="16"/>
                <w:szCs w:val="16"/>
              </w:rPr>
              <w:t>4</w:t>
            </w:r>
            <w:r w:rsidR="009C5017">
              <w:rPr>
                <w:b/>
                <w:bCs/>
                <w:sz w:val="16"/>
                <w:szCs w:val="16"/>
              </w:rPr>
              <w:t>6</w:t>
            </w:r>
            <w:r w:rsidRPr="00740CBE">
              <w:rPr>
                <w:b/>
                <w:bCs/>
                <w:sz w:val="16"/>
                <w:szCs w:val="16"/>
              </w:rPr>
              <w:t>%</w:t>
            </w:r>
          </w:p>
        </w:tc>
      </w:tr>
      <w:tr w:rsidR="001B23B7" w:rsidRPr="00ED3AD4" w:rsidTr="00A34E19">
        <w:trPr>
          <w:trHeight w:val="300"/>
          <w:jc w:val="center"/>
        </w:trPr>
        <w:tc>
          <w:tcPr>
            <w:tcW w:w="8120" w:type="dxa"/>
            <w:gridSpan w:val="5"/>
            <w:tcBorders>
              <w:top w:val="nil"/>
              <w:left w:val="nil"/>
              <w:bottom w:val="nil"/>
              <w:right w:val="nil"/>
            </w:tcBorders>
            <w:shd w:val="clear" w:color="auto" w:fill="auto"/>
            <w:noWrap/>
            <w:vAlign w:val="center"/>
            <w:hideMark/>
          </w:tcPr>
          <w:p w:rsidR="001B23B7" w:rsidRPr="00740CBE" w:rsidRDefault="001B23B7" w:rsidP="002425AD">
            <w:pPr>
              <w:keepNext/>
              <w:keepLines/>
              <w:rPr>
                <w:i/>
                <w:iCs/>
                <w:sz w:val="16"/>
                <w:szCs w:val="16"/>
              </w:rPr>
            </w:pPr>
            <w:r w:rsidRPr="00740CBE">
              <w:rPr>
                <w:i/>
                <w:iCs/>
                <w:sz w:val="16"/>
                <w:szCs w:val="16"/>
              </w:rPr>
              <w:t xml:space="preserve"> </w:t>
            </w:r>
            <w:r w:rsidRPr="00740CBE">
              <w:rPr>
                <w:i/>
                <w:iCs/>
                <w:sz w:val="16"/>
                <w:szCs w:val="16"/>
                <w:lang w:val="es-ES_tradnl"/>
              </w:rPr>
              <w:t>*Las cifras de gastos en 2016 son preliminares, a reserva de verificación por el Auditor Externo</w:t>
            </w:r>
            <w:r w:rsidRPr="00740CBE">
              <w:rPr>
                <w:i/>
                <w:iCs/>
                <w:sz w:val="16"/>
                <w:szCs w:val="16"/>
              </w:rPr>
              <w:t>.</w:t>
            </w:r>
          </w:p>
        </w:tc>
      </w:tr>
    </w:tbl>
    <w:p w:rsidR="001B23B7" w:rsidRPr="00740CBE" w:rsidRDefault="001B23B7" w:rsidP="002425AD">
      <w:pPr>
        <w:pStyle w:val="NormalWeb"/>
        <w:keepNext/>
        <w:keepLines/>
        <w:spacing w:before="0" w:beforeAutospacing="0" w:after="0" w:afterAutospacing="0"/>
        <w:jc w:val="center"/>
        <w:rPr>
          <w:i/>
          <w:iCs/>
          <w:sz w:val="20"/>
          <w:szCs w:val="20"/>
          <w:lang w:val="es-ES"/>
        </w:rPr>
      </w:pPr>
    </w:p>
    <w:p w:rsidR="001B23B7" w:rsidRPr="00740CBE" w:rsidRDefault="001B23B7" w:rsidP="002425AD">
      <w:pPr>
        <w:keepNext/>
        <w:keepLines/>
        <w:ind w:left="567" w:right="282"/>
        <w:rPr>
          <w:i/>
          <w:sz w:val="16"/>
          <w:szCs w:val="16"/>
        </w:rPr>
      </w:pPr>
      <w:r w:rsidRPr="00740CBE">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1B23B7" w:rsidRPr="00740CBE" w:rsidRDefault="001B23B7" w:rsidP="00A34E19">
      <w:pPr>
        <w:rPr>
          <w:sz w:val="20"/>
        </w:rPr>
      </w:pPr>
    </w:p>
    <w:p w:rsidR="001B23B7" w:rsidRPr="00740CBE" w:rsidRDefault="001B23B7" w:rsidP="00A34E19">
      <w:pPr>
        <w:rPr>
          <w:sz w:val="20"/>
        </w:rPr>
      </w:pPr>
    </w:p>
    <w:p w:rsidR="001B23B7" w:rsidRPr="00740CBE" w:rsidRDefault="001B23B7" w:rsidP="00A34E19">
      <w:pPr>
        <w:keepNext/>
        <w:keepLines/>
        <w:jc w:val="both"/>
        <w:rPr>
          <w:sz w:val="20"/>
          <w:u w:val="single"/>
        </w:rPr>
      </w:pPr>
      <w:r w:rsidRPr="00740CBE">
        <w:rPr>
          <w:sz w:val="20"/>
          <w:lang w:val="es-ES_tradnl"/>
        </w:rPr>
        <w:t>A.</w:t>
      </w:r>
      <w:r w:rsidRPr="00740CBE">
        <w:rPr>
          <w:sz w:val="20"/>
          <w:lang w:val="es-ES_tradnl"/>
        </w:rPr>
        <w:tab/>
      </w:r>
      <w:r w:rsidRPr="00740CBE">
        <w:rPr>
          <w:sz w:val="20"/>
          <w:u w:val="single"/>
          <w:lang w:val="es-ES_tradnl"/>
        </w:rPr>
        <w:t>Presupuesto de 2016/17 tras las transferencias</w:t>
      </w:r>
    </w:p>
    <w:p w:rsidR="001B23B7" w:rsidRPr="00740CBE" w:rsidRDefault="001B23B7" w:rsidP="00A34E19">
      <w:pPr>
        <w:keepNext/>
        <w:keepLines/>
        <w:jc w:val="both"/>
        <w:rPr>
          <w:sz w:val="20"/>
        </w:rPr>
      </w:pPr>
    </w:p>
    <w:p w:rsidR="001B23B7" w:rsidRPr="00740CBE" w:rsidRDefault="001B23B7" w:rsidP="00AA75F7">
      <w:pPr>
        <w:pStyle w:val="ListParagraph"/>
        <w:keepNext/>
        <w:keepLines/>
        <w:numPr>
          <w:ilvl w:val="0"/>
          <w:numId w:val="27"/>
        </w:numPr>
        <w:ind w:left="0" w:firstLine="0"/>
        <w:contextualSpacing/>
        <w:jc w:val="both"/>
        <w:rPr>
          <w:lang w:val="es-ES"/>
        </w:rPr>
      </w:pPr>
      <w:r w:rsidRPr="00740CBE">
        <w:rPr>
          <w:lang w:val="es-ES"/>
        </w:rPr>
        <w:t xml:space="preserve">El presupuesto después de las transferencias </w:t>
      </w:r>
      <w:r w:rsidR="0048069B">
        <w:rPr>
          <w:lang w:val="es-ES"/>
        </w:rPr>
        <w:t>refleja</w:t>
      </w:r>
      <w:r w:rsidRPr="00740CBE">
        <w:rPr>
          <w:lang w:val="es-ES"/>
        </w:rPr>
        <w:t xml:space="preserve"> principalmente </w:t>
      </w:r>
      <w:r w:rsidR="0048069B">
        <w:rPr>
          <w:lang w:val="es-ES"/>
        </w:rPr>
        <w:t>la redistribución</w:t>
      </w:r>
      <w:r w:rsidRPr="00740CBE">
        <w:rPr>
          <w:lang w:val="es-ES"/>
        </w:rPr>
        <w:t xml:space="preserve"> de recursos de personal a recursos no relativos a personal a fin de poder disponer de manera más ágil y flexible de recursos para efectuar las operaciones del Sistema de Madrid en el marco de la iniciativa de reforma del Sistema, incluida la ampliación del programa de becas del Sistema de Madrid, como se refleja en el resultado previsto II.6 (Mayor y más eficaz utilización del Sistema de Madrid).</w:t>
      </w:r>
    </w:p>
    <w:p w:rsidR="001B23B7" w:rsidRPr="00740CBE" w:rsidRDefault="001B23B7" w:rsidP="00A34E19">
      <w:pPr>
        <w:jc w:val="both"/>
        <w:rPr>
          <w:sz w:val="20"/>
        </w:rPr>
      </w:pPr>
    </w:p>
    <w:p w:rsidR="001B23B7" w:rsidRPr="00740CBE" w:rsidRDefault="001B23B7" w:rsidP="00A34E19">
      <w:pPr>
        <w:jc w:val="both"/>
        <w:rPr>
          <w:sz w:val="20"/>
          <w:u w:val="single"/>
        </w:rPr>
      </w:pPr>
      <w:r w:rsidRPr="00740CBE">
        <w:rPr>
          <w:sz w:val="20"/>
          <w:lang w:val="es-ES_tradnl"/>
        </w:rPr>
        <w:t>B.</w:t>
      </w:r>
      <w:r w:rsidRPr="00740CBE">
        <w:rPr>
          <w:sz w:val="20"/>
          <w:lang w:val="es-ES_tradnl"/>
        </w:rPr>
        <w:tab/>
      </w:r>
      <w:r w:rsidRPr="00740CBE">
        <w:rPr>
          <w:sz w:val="20"/>
          <w:u w:val="single"/>
          <w:lang w:val="es-ES_tradnl"/>
        </w:rPr>
        <w:t>Utilización del presupuesto en 2016/17</w:t>
      </w:r>
    </w:p>
    <w:p w:rsidR="001B23B7" w:rsidRPr="00740CBE" w:rsidRDefault="001B23B7" w:rsidP="00A34E19">
      <w:pPr>
        <w:jc w:val="both"/>
        <w:rPr>
          <w:sz w:val="20"/>
        </w:rPr>
      </w:pPr>
    </w:p>
    <w:p w:rsidR="001B23B7" w:rsidRPr="00740CBE" w:rsidRDefault="001B23B7" w:rsidP="00AA75F7">
      <w:pPr>
        <w:pStyle w:val="ListParagraph"/>
        <w:numPr>
          <w:ilvl w:val="0"/>
          <w:numId w:val="27"/>
        </w:numPr>
        <w:ind w:left="0" w:firstLine="0"/>
        <w:contextualSpacing/>
        <w:jc w:val="both"/>
        <w:rPr>
          <w:lang w:val="es-ES"/>
        </w:rPr>
      </w:pPr>
      <w:r w:rsidRPr="00740CBE">
        <w:rPr>
          <w:lang w:val="es-ES_tradnl"/>
        </w:rPr>
        <w:t>La utilización del presupuesto se ha mantenido dentro de los límites establecidos (40-60%) durante el primer año del bienio.</w:t>
      </w:r>
    </w:p>
    <w:p w:rsidR="001B23B7" w:rsidRPr="00740CBE" w:rsidRDefault="001B23B7" w:rsidP="00A34E19">
      <w:pPr>
        <w:pStyle w:val="ListParagraph"/>
        <w:ind w:left="0"/>
        <w:jc w:val="both"/>
        <w:rPr>
          <w:lang w:val="es-ES"/>
        </w:rPr>
      </w:pPr>
    </w:p>
    <w:p w:rsidR="001B23B7" w:rsidRPr="00740CBE" w:rsidRDefault="001B23B7" w:rsidP="00A34E19">
      <w:pPr>
        <w:pStyle w:val="ListParagraph"/>
        <w:ind w:left="0"/>
        <w:jc w:val="both"/>
        <w:rPr>
          <w:lang w:val="es-ES"/>
        </w:rPr>
      </w:pPr>
    </w:p>
    <w:p w:rsidR="00595A41" w:rsidRPr="002F663B" w:rsidRDefault="00595A41">
      <w:pPr>
        <w:rPr>
          <w:rFonts w:eastAsia="Times New Roman"/>
          <w:sz w:val="20"/>
          <w:lang w:eastAsia="en-US"/>
        </w:rPr>
      </w:pPr>
      <w:r>
        <w:br w:type="page"/>
      </w:r>
    </w:p>
    <w:p w:rsidR="00CB26C6" w:rsidRPr="00F26597" w:rsidRDefault="00CB26C6" w:rsidP="00CB26C6">
      <w:pPr>
        <w:pStyle w:val="Heading3"/>
        <w:tabs>
          <w:tab w:val="left" w:pos="2835"/>
        </w:tabs>
        <w:rPr>
          <w:b/>
          <w:i/>
          <w:u w:val="none"/>
        </w:rPr>
      </w:pPr>
      <w:bookmarkStart w:id="34" w:name="_Toc482629450"/>
      <w:bookmarkStart w:id="35" w:name="_Toc482711247"/>
      <w:r w:rsidRPr="00F26597">
        <w:rPr>
          <w:b/>
          <w:i/>
          <w:u w:val="none"/>
        </w:rPr>
        <w:lastRenderedPageBreak/>
        <w:t>Programa 6, Anexo:</w:t>
      </w:r>
      <w:r w:rsidRPr="00F26597">
        <w:rPr>
          <w:b/>
          <w:i/>
          <w:u w:val="none"/>
        </w:rPr>
        <w:tab/>
        <w:t>Indicadores de las operaciones del Sistema de Madrid</w:t>
      </w:r>
      <w:bookmarkEnd w:id="34"/>
      <w:bookmarkEnd w:id="35"/>
    </w:p>
    <w:p w:rsidR="00CB26C6" w:rsidRPr="001B09FE" w:rsidRDefault="00CB26C6" w:rsidP="00CB26C6">
      <w:pPr>
        <w:rPr>
          <w:sz w:val="20"/>
        </w:rPr>
      </w:pPr>
    </w:p>
    <w:p w:rsidR="00CB26C6" w:rsidRPr="001B09FE" w:rsidRDefault="00CB26C6" w:rsidP="00CB26C6">
      <w:pPr>
        <w:rPr>
          <w:sz w:val="20"/>
        </w:rPr>
      </w:pPr>
    </w:p>
    <w:p w:rsidR="00CB26C6" w:rsidRPr="001B09FE" w:rsidRDefault="00CB26C6" w:rsidP="00CB26C6">
      <w:pPr>
        <w:rPr>
          <w:sz w:val="20"/>
          <w:lang w:bidi="th-TH"/>
        </w:rPr>
      </w:pPr>
      <w:r w:rsidRPr="001B09FE">
        <w:rPr>
          <w:sz w:val="20"/>
          <w:lang w:bidi="th-TH"/>
        </w:rPr>
        <w:t>INDICADORES DE RENDIMIENTO CON RESPECTO AL RESULTADO PREVISTO</w:t>
      </w:r>
    </w:p>
    <w:p w:rsidR="00CB26C6" w:rsidRPr="001B09FE" w:rsidRDefault="00CB26C6" w:rsidP="00CB26C6">
      <w:pPr>
        <w:tabs>
          <w:tab w:val="left" w:pos="1525"/>
          <w:tab w:val="right" w:pos="2835"/>
        </w:tabs>
        <w:spacing w:after="60"/>
        <w:rPr>
          <w:sz w:val="20"/>
        </w:rPr>
      </w:pPr>
      <w:r w:rsidRPr="001B09FE">
        <w:rPr>
          <w:sz w:val="20"/>
        </w:rPr>
        <w:t>“MEJORA DE LA PRODUCTIVIDAD Y DE LA CALIDAD DE LOS SERVICIOS EN LAS OPERACIONES DEL SISTEMA DE MADRID”</w:t>
      </w:r>
    </w:p>
    <w:p w:rsidR="00CB26C6" w:rsidRPr="001B09FE" w:rsidRDefault="00CB26C6" w:rsidP="00CB26C6">
      <w:pPr>
        <w:rPr>
          <w:b/>
          <w:sz w:val="20"/>
        </w:rPr>
      </w:pPr>
    </w:p>
    <w:p w:rsidR="00CB26C6" w:rsidRPr="001B09FE" w:rsidRDefault="00CB26C6" w:rsidP="00CB26C6">
      <w:pPr>
        <w:rPr>
          <w:b/>
          <w:sz w:val="20"/>
        </w:rPr>
      </w:pPr>
      <w:r w:rsidRPr="001B09FE">
        <w:rPr>
          <w:b/>
          <w:sz w:val="20"/>
        </w:rPr>
        <w:t>Generalidades</w:t>
      </w:r>
    </w:p>
    <w:p w:rsidR="00CB26C6" w:rsidRPr="001B09FE" w:rsidRDefault="00CB26C6" w:rsidP="00CB26C6">
      <w:pPr>
        <w:rPr>
          <w:b/>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En marzo de 2016, el antiguo sistema de T.I. (MAPS) utilizado para las operaciones del Sistema de Madrid fue sustituido por un nuevo sistema de T.I. (MIRIS).  Algunos de los indicadores siguientes, como el volumen de trabajo realizado, el tiempo de tramitación y algunos indicadores de calidad se vieron afectados por la inestabilidad inicial del sistema a raíz de la puesta en marcha de MIRIS.</w:t>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Al evaluar los indicadores de rendimiento para determinar el resultado previsto en el epígrafe “Mejora de la productividad y de la calidad de los servicios en las operaciones del Sistema de Madrid”, es necesario tener en cuenta los siguientes factores:</w:t>
      </w:r>
    </w:p>
    <w:p w:rsidR="00CB26C6" w:rsidRPr="001B09FE" w:rsidRDefault="00CB26C6" w:rsidP="00CB26C6">
      <w:pPr>
        <w:jc w:val="both"/>
        <w:rPr>
          <w:sz w:val="20"/>
        </w:rPr>
      </w:pP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El volumen de trabajo del Sistema de Madrid;</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La composición del volumen de trabajo;</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El número de miembros del personal asignados a ocuparse del volumen de trabajo;</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El grado de automatización;  y,</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El costo total de producción.</w:t>
      </w:r>
    </w:p>
    <w:p w:rsidR="00CB26C6" w:rsidRPr="001B09FE" w:rsidRDefault="00CB26C6" w:rsidP="00CB26C6">
      <w:pPr>
        <w:jc w:val="both"/>
        <w:rPr>
          <w:sz w:val="20"/>
        </w:rPr>
      </w:pPr>
    </w:p>
    <w:p w:rsidR="00CB26C6" w:rsidRPr="001B09FE" w:rsidRDefault="00CB26C6" w:rsidP="00AA75F7">
      <w:pPr>
        <w:pStyle w:val="ListParagraph"/>
        <w:numPr>
          <w:ilvl w:val="0"/>
          <w:numId w:val="30"/>
        </w:numPr>
        <w:ind w:left="567" w:hanging="567"/>
        <w:contextualSpacing/>
        <w:jc w:val="both"/>
        <w:rPr>
          <w:rFonts w:cs="Arial"/>
          <w:b/>
          <w:lang w:val="es-ES"/>
        </w:rPr>
      </w:pPr>
      <w:r w:rsidRPr="001B09FE">
        <w:rPr>
          <w:rFonts w:cs="Arial"/>
          <w:b/>
          <w:lang w:val="es-ES"/>
        </w:rPr>
        <w:t>Documentos recibidos</w:t>
      </w:r>
    </w:p>
    <w:p w:rsidR="00CB26C6" w:rsidRPr="00E26489" w:rsidRDefault="00CB26C6" w:rsidP="00CB26C6">
      <w:pPr>
        <w:jc w:val="both"/>
        <w:rPr>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La Oficina Internacional (IB) recibe seis categorías distintas de documentos, a saber, solicitudes internacionales, renovaciones, designaciones posteriores, modificaciones, decisiones y correcciones.  A continuación se presenta la evolución más reciente en el número de documentos recibidos por la IB en relación con cada una de esas categorías.  También se proporciona información complementaria sobre las solicitudes internacionales, como el promedio de clases y la extensión media de las solicitudes.  Por razones técnicas, algunos indicadores reflejan datos basados en documentos tramitados y no en documentos recibidos.  Es posible, por lo tanto, que los atrasos en la tramitación incidan en algunos indicadores.  Además, en 2016, la IB modificó su metodología para determinar la fecha de recepción de las solicitudes internacionales, empleando la fecha de presentación de la solicitud internacional en la Oficina de origen en lugar de la fecha de recepción de la solicitud internacional por la IB.</w:t>
      </w:r>
    </w:p>
    <w:p w:rsidR="00CB26C6" w:rsidRPr="001B09FE" w:rsidRDefault="00CB26C6" w:rsidP="00CB26C6">
      <w:pPr>
        <w:pStyle w:val="ListParagraph"/>
        <w:ind w:left="0"/>
        <w:jc w:val="both"/>
        <w:rPr>
          <w:rFonts w:cs="Arial"/>
          <w:lang w:val="es-ES"/>
        </w:rPr>
      </w:pPr>
    </w:p>
    <w:p w:rsidR="00CB26C6" w:rsidRPr="001B09FE" w:rsidRDefault="00CB26C6" w:rsidP="00CB26C6">
      <w:pPr>
        <w:rPr>
          <w:rFonts w:eastAsiaTheme="minorHAnsi"/>
          <w:sz w:val="20"/>
          <w:u w:val="single"/>
        </w:rPr>
      </w:pPr>
      <w:r w:rsidRPr="001B09FE">
        <w:rPr>
          <w:rFonts w:eastAsiaTheme="minorHAnsi"/>
          <w:sz w:val="20"/>
          <w:u w:val="single"/>
        </w:rPr>
        <w:t xml:space="preserve">Solicitudes internacionales </w:t>
      </w:r>
    </w:p>
    <w:p w:rsidR="00CB26C6" w:rsidRPr="001B09FE" w:rsidRDefault="00CB26C6" w:rsidP="00CB26C6">
      <w:pPr>
        <w:jc w:val="center"/>
        <w:rPr>
          <w:sz w:val="20"/>
        </w:rPr>
      </w:pPr>
      <w:r w:rsidRPr="001B09FE">
        <w:rPr>
          <w:noProof/>
          <w:sz w:val="20"/>
          <w:lang w:val="en-US" w:eastAsia="en-US"/>
        </w:rPr>
        <w:drawing>
          <wp:inline distT="0" distB="0" distL="0" distR="0" wp14:anchorId="4389E5F9" wp14:editId="1C4847E4">
            <wp:extent cx="5760000" cy="2456496"/>
            <wp:effectExtent l="0" t="0" r="0" b="1270"/>
            <wp:docPr id="113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60000" cy="2456496"/>
                    </a:xfrm>
                    <a:prstGeom prst="rect">
                      <a:avLst/>
                    </a:prstGeom>
                    <a:noFill/>
                    <a:ln>
                      <a:noFill/>
                    </a:ln>
                  </pic:spPr>
                </pic:pic>
              </a:graphicData>
            </a:graphic>
          </wp:inline>
        </w:drawing>
      </w:r>
    </w:p>
    <w:p w:rsidR="00CB26C6" w:rsidRPr="001B09FE" w:rsidRDefault="00CB26C6" w:rsidP="00CB26C6">
      <w:pPr>
        <w:pStyle w:val="ListParagraph"/>
        <w:tabs>
          <w:tab w:val="left" w:pos="993"/>
        </w:tabs>
        <w:ind w:left="567"/>
        <w:jc w:val="both"/>
        <w:rPr>
          <w:rFonts w:cs="Arial"/>
          <w:lang w:val="es-ES"/>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lastRenderedPageBreak/>
        <w:t>La IB recibió 52.550 solicitudes en 2016, lo que supuso un incremento del 7,2% con respecto a 2015.</w:t>
      </w:r>
      <w:r w:rsidRPr="001B09FE">
        <w:rPr>
          <w:rStyle w:val="FootnoteReference"/>
          <w:rFonts w:eastAsiaTheme="minorHAnsi"/>
          <w:sz w:val="20"/>
        </w:rPr>
        <w:footnoteReference w:id="36"/>
      </w:r>
    </w:p>
    <w:p w:rsidR="00CB26C6" w:rsidRPr="001B09FE" w:rsidRDefault="00CB26C6" w:rsidP="00CB26C6">
      <w:pPr>
        <w:ind w:left="1134"/>
        <w:jc w:val="both"/>
        <w:rPr>
          <w:rFonts w:eastAsiaTheme="minorHAnsi"/>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El número de solicitudes recibidas ha aumentado de forma constante desde 2010.</w:t>
      </w:r>
    </w:p>
    <w:p w:rsidR="00CB26C6" w:rsidRPr="001B09FE" w:rsidRDefault="00CB26C6" w:rsidP="00CB26C6">
      <w:pPr>
        <w:jc w:val="both"/>
        <w:rPr>
          <w:rFonts w:eastAsiaTheme="minorHAnsi"/>
          <w:sz w:val="20"/>
        </w:rPr>
      </w:pPr>
    </w:p>
    <w:p w:rsidR="00CB26C6" w:rsidRPr="001B09FE" w:rsidRDefault="00CB26C6" w:rsidP="00CB26C6">
      <w:pPr>
        <w:spacing w:line="276" w:lineRule="auto"/>
        <w:rPr>
          <w:rFonts w:eastAsiaTheme="minorHAnsi"/>
          <w:i/>
          <w:sz w:val="20"/>
        </w:rPr>
      </w:pPr>
      <w:r w:rsidRPr="001B09FE">
        <w:rPr>
          <w:rFonts w:eastAsiaTheme="minorHAnsi"/>
          <w:i/>
          <w:sz w:val="20"/>
        </w:rPr>
        <w:t>Distribución de las solicitudes por idioma de presentación</w:t>
      </w:r>
    </w:p>
    <w:p w:rsidR="00CB26C6" w:rsidRPr="001B09FE" w:rsidRDefault="00CB26C6" w:rsidP="00CB26C6">
      <w:pPr>
        <w:jc w:val="center"/>
        <w:rPr>
          <w:sz w:val="20"/>
        </w:rPr>
      </w:pPr>
      <w:r w:rsidRPr="001B09FE">
        <w:rPr>
          <w:noProof/>
          <w:sz w:val="20"/>
          <w:lang w:val="en-US" w:eastAsia="en-US"/>
        </w:rPr>
        <w:drawing>
          <wp:inline distT="0" distB="0" distL="0" distR="0" wp14:anchorId="1BFAC5C7" wp14:editId="7E8235DC">
            <wp:extent cx="5724000" cy="2906471"/>
            <wp:effectExtent l="0" t="0" r="0" b="8255"/>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24000" cy="2906471"/>
                    </a:xfrm>
                    <a:prstGeom prst="rect">
                      <a:avLst/>
                    </a:prstGeom>
                    <a:noFill/>
                    <a:ln>
                      <a:noFill/>
                    </a:ln>
                  </pic:spPr>
                </pic:pic>
              </a:graphicData>
            </a:graphic>
          </wp:inline>
        </w:drawing>
      </w:r>
    </w:p>
    <w:p w:rsidR="00CB26C6" w:rsidRPr="001B09FE" w:rsidRDefault="00CB26C6" w:rsidP="00CB26C6">
      <w:pPr>
        <w:jc w:val="center"/>
        <w:rPr>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2016, el 82% de todas las solicitudes se presentó en inglés.  Esa proporción ha aumentado 17 puntos porcentuales desde 2008, cuando las solicitudes en inglés representaban el 65% de todas las solicitudes presentadas.</w:t>
      </w:r>
    </w:p>
    <w:p w:rsidR="00CB26C6" w:rsidRPr="001B09FE" w:rsidRDefault="00CB26C6" w:rsidP="00CB26C6">
      <w:pPr>
        <w:jc w:val="both"/>
        <w:rPr>
          <w:sz w:val="20"/>
        </w:rPr>
      </w:pPr>
    </w:p>
    <w:p w:rsidR="00CB26C6" w:rsidRPr="001B09FE" w:rsidRDefault="00CB26C6" w:rsidP="00CB26C6">
      <w:pPr>
        <w:spacing w:line="276" w:lineRule="auto"/>
        <w:rPr>
          <w:rFonts w:eastAsiaTheme="minorHAnsi"/>
          <w:i/>
          <w:sz w:val="20"/>
        </w:rPr>
      </w:pPr>
      <w:r w:rsidRPr="001B09FE">
        <w:rPr>
          <w:rFonts w:eastAsiaTheme="minorHAnsi"/>
          <w:i/>
          <w:sz w:val="20"/>
        </w:rPr>
        <w:t>Promedio de designaciones por registro</w:t>
      </w:r>
    </w:p>
    <w:p w:rsidR="00CB26C6" w:rsidRPr="001B09FE" w:rsidRDefault="00CB26C6" w:rsidP="00CB26C6">
      <w:pPr>
        <w:jc w:val="center"/>
        <w:rPr>
          <w:sz w:val="20"/>
        </w:rPr>
      </w:pPr>
      <w:r w:rsidRPr="001B09FE">
        <w:rPr>
          <w:noProof/>
          <w:sz w:val="20"/>
          <w:lang w:val="en-US" w:eastAsia="en-US"/>
        </w:rPr>
        <w:drawing>
          <wp:inline distT="0" distB="0" distL="0" distR="0" wp14:anchorId="64593F91" wp14:editId="4EE88740">
            <wp:extent cx="5796000" cy="282047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796000" cy="2820479"/>
                    </a:xfrm>
                    <a:prstGeom prst="rect">
                      <a:avLst/>
                    </a:prstGeom>
                    <a:noFill/>
                    <a:ln>
                      <a:noFill/>
                    </a:ln>
                  </pic:spPr>
                </pic:pic>
              </a:graphicData>
            </a:graphic>
          </wp:inline>
        </w:drawing>
      </w:r>
    </w:p>
    <w:p w:rsidR="00CB26C6" w:rsidRPr="001B09FE" w:rsidRDefault="00CB26C6" w:rsidP="00CB26C6">
      <w:pPr>
        <w:jc w:val="center"/>
        <w:rPr>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Se inscribieron en promedio 6,7 designaciones en las solicitudes registradas en 2016.</w:t>
      </w:r>
      <w:r w:rsidRPr="001B09FE">
        <w:rPr>
          <w:rStyle w:val="FootnoteReference"/>
          <w:rFonts w:eastAsiaTheme="minorHAnsi"/>
          <w:sz w:val="20"/>
        </w:rPr>
        <w:footnoteReference w:id="37"/>
      </w:r>
    </w:p>
    <w:p w:rsidR="00CB26C6" w:rsidRPr="001B09FE" w:rsidRDefault="00CB26C6" w:rsidP="00CB26C6">
      <w:pPr>
        <w:tabs>
          <w:tab w:val="num" w:pos="1134"/>
        </w:tabs>
        <w:spacing w:after="120"/>
        <w:ind w:left="993" w:hanging="426"/>
        <w:jc w:val="both"/>
        <w:rPr>
          <w:sz w:val="20"/>
        </w:rPr>
      </w:pPr>
    </w:p>
    <w:p w:rsidR="00CB26C6" w:rsidRPr="001B09FE" w:rsidRDefault="00CB26C6" w:rsidP="00285E41">
      <w:pPr>
        <w:keepNext/>
        <w:spacing w:line="276" w:lineRule="auto"/>
        <w:rPr>
          <w:rFonts w:eastAsiaTheme="minorHAnsi"/>
          <w:i/>
          <w:sz w:val="20"/>
        </w:rPr>
      </w:pPr>
      <w:r w:rsidRPr="001B09FE">
        <w:rPr>
          <w:rFonts w:eastAsiaTheme="minorHAnsi"/>
          <w:i/>
          <w:sz w:val="20"/>
        </w:rPr>
        <w:lastRenderedPageBreak/>
        <w:t>Promedio de clases por registro</w:t>
      </w:r>
    </w:p>
    <w:p w:rsidR="00CB26C6" w:rsidRPr="001B09FE" w:rsidRDefault="00CB26C6" w:rsidP="00285E41">
      <w:pPr>
        <w:keepNext/>
        <w:jc w:val="center"/>
        <w:rPr>
          <w:sz w:val="20"/>
        </w:rPr>
      </w:pPr>
      <w:r w:rsidRPr="001B09FE">
        <w:rPr>
          <w:noProof/>
          <w:sz w:val="20"/>
          <w:lang w:val="en-US" w:eastAsia="en-US"/>
        </w:rPr>
        <w:drawing>
          <wp:inline distT="0" distB="0" distL="0" distR="0" wp14:anchorId="49997977" wp14:editId="1FD5B48E">
            <wp:extent cx="5724000" cy="27478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24000" cy="2747856"/>
                    </a:xfrm>
                    <a:prstGeom prst="rect">
                      <a:avLst/>
                    </a:prstGeom>
                    <a:noFill/>
                    <a:ln>
                      <a:noFill/>
                    </a:ln>
                  </pic:spPr>
                </pic:pic>
              </a:graphicData>
            </a:graphic>
          </wp:inline>
        </w:drawing>
      </w: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 xml:space="preserve">Por término medio, se especificaron 2,5 clases en las solicitudes registradas en 2016, al igual que en 2014 y 2015. </w:t>
      </w:r>
    </w:p>
    <w:p w:rsidR="00CB26C6" w:rsidRPr="001B09FE" w:rsidRDefault="00CB26C6" w:rsidP="00CB26C6">
      <w:pPr>
        <w:jc w:val="both"/>
        <w:rPr>
          <w:sz w:val="20"/>
        </w:rPr>
      </w:pPr>
    </w:p>
    <w:p w:rsidR="00CB26C6" w:rsidRPr="001B09FE" w:rsidRDefault="00CB26C6" w:rsidP="00CB26C6">
      <w:pPr>
        <w:spacing w:line="276" w:lineRule="auto"/>
        <w:rPr>
          <w:rFonts w:eastAsiaTheme="minorHAnsi"/>
          <w:i/>
          <w:sz w:val="20"/>
        </w:rPr>
      </w:pPr>
      <w:r w:rsidRPr="001B09FE">
        <w:rPr>
          <w:rFonts w:eastAsiaTheme="minorHAnsi"/>
          <w:i/>
          <w:sz w:val="20"/>
        </w:rPr>
        <w:t>Extensión media de las solicitudes</w:t>
      </w:r>
    </w:p>
    <w:p w:rsidR="00CB26C6" w:rsidRPr="001B09FE" w:rsidRDefault="00CB26C6" w:rsidP="00CB26C6">
      <w:pPr>
        <w:spacing w:line="276" w:lineRule="auto"/>
        <w:rPr>
          <w:rFonts w:eastAsiaTheme="minorHAnsi"/>
          <w:iCs/>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 xml:space="preserve">La extensión de una solicitud la determina el número total de palabras empleadas por los solicitantes para a) la descripción de la marca, b) la lista de productos y servicios, y c) cualquier limitación que las acompañe.  Para que la solicitud esté disponible en los tres idiomas del Sistema de Madrid, la IB traduce esos tres elementos al inglés, al francés o al español, dependiendo del idioma original de la solicitud. </w:t>
      </w:r>
    </w:p>
    <w:p w:rsidR="00CB26C6" w:rsidRPr="001B09FE" w:rsidRDefault="00CB26C6" w:rsidP="00CB26C6">
      <w:pPr>
        <w:jc w:val="center"/>
        <w:rPr>
          <w:sz w:val="20"/>
        </w:rPr>
      </w:pPr>
      <w:r w:rsidRPr="001B09FE">
        <w:rPr>
          <w:noProof/>
          <w:sz w:val="20"/>
          <w:lang w:val="en-US" w:eastAsia="en-US"/>
        </w:rPr>
        <w:drawing>
          <wp:inline distT="0" distB="0" distL="0" distR="0" wp14:anchorId="647C7BC2" wp14:editId="16A4A8F5">
            <wp:extent cx="5760000" cy="2928720"/>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60000" cy="2928720"/>
                    </a:xfrm>
                    <a:prstGeom prst="rect">
                      <a:avLst/>
                    </a:prstGeom>
                    <a:noFill/>
                    <a:ln>
                      <a:noFill/>
                    </a:ln>
                  </pic:spPr>
                </pic:pic>
              </a:graphicData>
            </a:graphic>
          </wp:inline>
        </w:drawing>
      </w: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Debido a la migración del sistema de T.I., en el momento de publicar el informe no se disponía de los datos correspondientes a 2016.</w:t>
      </w:r>
    </w:p>
    <w:p w:rsidR="00CB26C6" w:rsidRPr="001B09FE" w:rsidRDefault="00CB26C6" w:rsidP="00CB26C6">
      <w:pPr>
        <w:jc w:val="both"/>
        <w:rPr>
          <w:sz w:val="20"/>
        </w:rPr>
      </w:pPr>
    </w:p>
    <w:p w:rsidR="00CB26C6" w:rsidRPr="001B09FE" w:rsidRDefault="00CB26C6" w:rsidP="00CB26C6">
      <w:pPr>
        <w:keepNext/>
        <w:spacing w:line="276" w:lineRule="auto"/>
        <w:rPr>
          <w:rFonts w:eastAsiaTheme="minorHAnsi"/>
          <w:i/>
          <w:sz w:val="20"/>
        </w:rPr>
      </w:pPr>
      <w:r w:rsidRPr="001B09FE">
        <w:rPr>
          <w:rFonts w:eastAsiaTheme="minorHAnsi"/>
          <w:i/>
          <w:sz w:val="20"/>
        </w:rPr>
        <w:lastRenderedPageBreak/>
        <w:t xml:space="preserve">Distribución de las solicitudes regulares e irregulares </w:t>
      </w:r>
    </w:p>
    <w:p w:rsidR="00CB26C6" w:rsidRPr="001B09FE" w:rsidRDefault="00CB26C6" w:rsidP="00CB26C6">
      <w:pPr>
        <w:keepNext/>
        <w:spacing w:line="276" w:lineRule="auto"/>
        <w:rPr>
          <w:rFonts w:eastAsiaTheme="minorHAnsi"/>
          <w:i/>
          <w:sz w:val="20"/>
        </w:rPr>
      </w:pPr>
    </w:p>
    <w:p w:rsidR="00CB26C6" w:rsidRPr="001B09FE" w:rsidRDefault="00CB26C6" w:rsidP="00CB26C6">
      <w:pPr>
        <w:keepNext/>
        <w:jc w:val="center"/>
        <w:rPr>
          <w:sz w:val="20"/>
        </w:rPr>
      </w:pPr>
      <w:r w:rsidRPr="001B09FE">
        <w:rPr>
          <w:noProof/>
          <w:sz w:val="20"/>
          <w:lang w:val="en-US" w:eastAsia="en-US"/>
        </w:rPr>
        <w:drawing>
          <wp:inline distT="0" distB="0" distL="0" distR="0" wp14:anchorId="45F26C8F" wp14:editId="003B9494">
            <wp:extent cx="5724000" cy="3012544"/>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724000" cy="3012544"/>
                    </a:xfrm>
                    <a:prstGeom prst="rect">
                      <a:avLst/>
                    </a:prstGeom>
                    <a:noFill/>
                    <a:ln>
                      <a:noFill/>
                    </a:ln>
                  </pic:spPr>
                </pic:pic>
              </a:graphicData>
            </a:graphic>
          </wp:inline>
        </w:drawing>
      </w:r>
    </w:p>
    <w:p w:rsidR="00CB26C6" w:rsidRPr="001B09FE" w:rsidRDefault="00CB26C6" w:rsidP="00AA75F7">
      <w:pPr>
        <w:keepNext/>
        <w:numPr>
          <w:ilvl w:val="0"/>
          <w:numId w:val="29"/>
        </w:numPr>
        <w:tabs>
          <w:tab w:val="clear" w:pos="720"/>
          <w:tab w:val="num" w:pos="1134"/>
        </w:tabs>
        <w:ind w:left="1134" w:hanging="567"/>
        <w:jc w:val="both"/>
        <w:rPr>
          <w:rFonts w:eastAsiaTheme="minorHAnsi"/>
          <w:sz w:val="20"/>
        </w:rPr>
      </w:pPr>
      <w:r w:rsidRPr="001B09FE">
        <w:rPr>
          <w:rFonts w:eastAsiaTheme="minorHAnsi"/>
          <w:sz w:val="20"/>
        </w:rPr>
        <w:t xml:space="preserve">El porcentaje de solicitudes regulares permaneció relativamente estable en 2016 en comparación con 2015, y se produjo un aumento de </w:t>
      </w:r>
      <w:r w:rsidR="001733AD">
        <w:rPr>
          <w:rFonts w:eastAsiaTheme="minorHAnsi"/>
          <w:sz w:val="20"/>
        </w:rPr>
        <w:t>1</w:t>
      </w:r>
      <w:r w:rsidRPr="001B09FE">
        <w:rPr>
          <w:rFonts w:eastAsiaTheme="minorHAnsi"/>
          <w:sz w:val="20"/>
        </w:rPr>
        <w:t xml:space="preserve"> punto porcentual.</w:t>
      </w:r>
    </w:p>
    <w:p w:rsidR="00CB26C6" w:rsidRPr="001B09FE" w:rsidRDefault="00CB26C6" w:rsidP="00CB26C6">
      <w:pPr>
        <w:keepNext/>
        <w:jc w:val="both"/>
        <w:rPr>
          <w:sz w:val="20"/>
        </w:rPr>
      </w:pPr>
    </w:p>
    <w:p w:rsidR="00CB26C6" w:rsidRPr="001B09FE" w:rsidRDefault="00CB26C6" w:rsidP="00CB26C6">
      <w:pPr>
        <w:rPr>
          <w:rFonts w:eastAsiaTheme="minorHAnsi"/>
          <w:sz w:val="20"/>
          <w:u w:val="single"/>
        </w:rPr>
      </w:pPr>
      <w:r w:rsidRPr="001B09FE">
        <w:rPr>
          <w:rFonts w:eastAsiaTheme="minorHAnsi"/>
          <w:sz w:val="20"/>
          <w:u w:val="single"/>
        </w:rPr>
        <w:t xml:space="preserve">Renovaciones </w:t>
      </w:r>
    </w:p>
    <w:p w:rsidR="00CB26C6" w:rsidRPr="001B09FE" w:rsidRDefault="00CB26C6" w:rsidP="00CB26C6">
      <w:pPr>
        <w:rPr>
          <w:rFonts w:eastAsiaTheme="minorHAnsi"/>
          <w:sz w:val="20"/>
          <w:u w:val="single"/>
        </w:rPr>
      </w:pPr>
    </w:p>
    <w:p w:rsidR="00CB26C6" w:rsidRPr="001B09FE" w:rsidRDefault="00CB26C6" w:rsidP="00CB26C6">
      <w:pPr>
        <w:jc w:val="center"/>
        <w:rPr>
          <w:sz w:val="20"/>
        </w:rPr>
      </w:pPr>
      <w:r w:rsidRPr="001B09FE">
        <w:rPr>
          <w:noProof/>
          <w:sz w:val="20"/>
          <w:lang w:val="en-US" w:eastAsia="en-US"/>
        </w:rPr>
        <w:drawing>
          <wp:inline distT="0" distB="0" distL="0" distR="0" wp14:anchorId="08BF9117" wp14:editId="382DCFFC">
            <wp:extent cx="5724000" cy="2803957"/>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24000" cy="2803957"/>
                    </a:xfrm>
                    <a:prstGeom prst="rect">
                      <a:avLst/>
                    </a:prstGeom>
                    <a:noFill/>
                    <a:ln>
                      <a:noFill/>
                    </a:ln>
                  </pic:spPr>
                </pic:pic>
              </a:graphicData>
            </a:graphic>
          </wp:inline>
        </w:drawing>
      </w: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 xml:space="preserve">En 2016, la IB inscribió 30.103 renovaciones, un 6% más que en 2015.  </w:t>
      </w:r>
    </w:p>
    <w:p w:rsidR="00CB26C6" w:rsidRPr="001B09FE" w:rsidRDefault="00CB26C6" w:rsidP="00CB26C6">
      <w:pPr>
        <w:keepNext/>
        <w:keepLines/>
        <w:jc w:val="both"/>
        <w:rPr>
          <w:rFonts w:eastAsiaTheme="minorHAnsi"/>
          <w:sz w:val="20"/>
        </w:rPr>
      </w:pPr>
    </w:p>
    <w:p w:rsidR="00CB26C6" w:rsidRPr="001B09FE" w:rsidRDefault="00CB26C6" w:rsidP="00CB26C6">
      <w:pPr>
        <w:keepNext/>
        <w:keepLines/>
        <w:rPr>
          <w:rFonts w:eastAsiaTheme="minorHAnsi"/>
          <w:sz w:val="20"/>
          <w:u w:val="single"/>
        </w:rPr>
      </w:pPr>
      <w:r w:rsidRPr="001B09FE">
        <w:rPr>
          <w:rFonts w:eastAsiaTheme="minorHAnsi"/>
          <w:sz w:val="20"/>
          <w:u w:val="single"/>
        </w:rPr>
        <w:t>Designaciones posteriores</w:t>
      </w:r>
    </w:p>
    <w:p w:rsidR="00CB26C6" w:rsidRPr="001B09FE" w:rsidRDefault="00CB26C6" w:rsidP="00CB26C6">
      <w:pPr>
        <w:jc w:val="center"/>
        <w:rPr>
          <w:sz w:val="20"/>
        </w:rPr>
      </w:pPr>
      <w:r w:rsidRPr="001B09FE">
        <w:rPr>
          <w:noProof/>
          <w:sz w:val="20"/>
          <w:lang w:val="en-US" w:eastAsia="en-US"/>
        </w:rPr>
        <w:drawing>
          <wp:inline distT="0" distB="0" distL="0" distR="0" wp14:anchorId="5090DA57" wp14:editId="60152A6C">
            <wp:extent cx="5724000" cy="275187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724000" cy="2751878"/>
                    </a:xfrm>
                    <a:prstGeom prst="rect">
                      <a:avLst/>
                    </a:prstGeom>
                    <a:noFill/>
                    <a:ln>
                      <a:noFill/>
                    </a:ln>
                  </pic:spPr>
                </pic:pic>
              </a:graphicData>
            </a:graphic>
          </wp:inline>
        </w:drawing>
      </w:r>
    </w:p>
    <w:p w:rsidR="00CB26C6" w:rsidRPr="001B09FE" w:rsidRDefault="00CB26C6" w:rsidP="00CB26C6">
      <w:pPr>
        <w:jc w:val="both"/>
        <w:rPr>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 xml:space="preserve">En 2016, la IB recibió 18.398 designaciones posteriores, un 2,9% más que en 2015. </w:t>
      </w:r>
    </w:p>
    <w:p w:rsidR="00CB26C6" w:rsidRPr="001B09FE" w:rsidRDefault="00CB26C6" w:rsidP="00CB26C6">
      <w:pPr>
        <w:jc w:val="both"/>
        <w:rPr>
          <w:bCs/>
          <w:sz w:val="20"/>
        </w:rPr>
      </w:pPr>
    </w:p>
    <w:p w:rsidR="00CB26C6" w:rsidRPr="001B09FE" w:rsidRDefault="00CB26C6" w:rsidP="00CB26C6">
      <w:pPr>
        <w:rPr>
          <w:rFonts w:eastAsiaTheme="minorHAnsi"/>
          <w:sz w:val="20"/>
          <w:u w:val="single"/>
        </w:rPr>
      </w:pPr>
      <w:r w:rsidRPr="001B09FE">
        <w:rPr>
          <w:rFonts w:eastAsiaTheme="minorHAnsi"/>
          <w:sz w:val="20"/>
          <w:u w:val="single"/>
        </w:rPr>
        <w:t>Modificaciones</w:t>
      </w:r>
    </w:p>
    <w:p w:rsidR="00CB26C6" w:rsidRPr="001B09FE" w:rsidRDefault="00CB26C6" w:rsidP="00CB26C6">
      <w:pPr>
        <w:ind w:left="360"/>
        <w:jc w:val="center"/>
        <w:rPr>
          <w:sz w:val="20"/>
        </w:rPr>
      </w:pPr>
      <w:r w:rsidRPr="001B09FE">
        <w:rPr>
          <w:noProof/>
          <w:sz w:val="20"/>
          <w:lang w:val="en-US" w:eastAsia="en-US"/>
        </w:rPr>
        <w:drawing>
          <wp:inline distT="0" distB="0" distL="0" distR="0" wp14:anchorId="270963E0" wp14:editId="2E495EC5">
            <wp:extent cx="5544000" cy="2749901"/>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544000" cy="2749901"/>
                    </a:xfrm>
                    <a:prstGeom prst="rect">
                      <a:avLst/>
                    </a:prstGeom>
                    <a:noFill/>
                    <a:ln>
                      <a:noFill/>
                    </a:ln>
                  </pic:spPr>
                </pic:pic>
              </a:graphicData>
            </a:graphic>
          </wp:inline>
        </w:drawing>
      </w:r>
      <w:r w:rsidRPr="001B09FE">
        <w:rPr>
          <w:sz w:val="20"/>
        </w:rPr>
        <w:t xml:space="preserve"> </w:t>
      </w: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2016, la IB recibió 43.026 peticiones para realizar modificaciones, un 4% más que en 2015.</w:t>
      </w:r>
    </w:p>
    <w:p w:rsidR="00CB26C6" w:rsidRPr="001B09FE" w:rsidRDefault="00CB26C6" w:rsidP="00CB26C6">
      <w:pPr>
        <w:spacing w:after="120"/>
        <w:jc w:val="both"/>
        <w:rPr>
          <w:sz w:val="20"/>
        </w:rPr>
      </w:pPr>
    </w:p>
    <w:p w:rsidR="00CB26C6" w:rsidRPr="001B09FE" w:rsidRDefault="00CB26C6" w:rsidP="00CB26C6">
      <w:pPr>
        <w:keepNext/>
        <w:keepLines/>
        <w:rPr>
          <w:rFonts w:eastAsiaTheme="minorHAnsi"/>
          <w:sz w:val="20"/>
          <w:u w:val="single"/>
        </w:rPr>
      </w:pPr>
      <w:r w:rsidRPr="001B09FE">
        <w:rPr>
          <w:rFonts w:eastAsiaTheme="minorHAnsi"/>
          <w:sz w:val="20"/>
          <w:u w:val="single"/>
        </w:rPr>
        <w:lastRenderedPageBreak/>
        <w:t>Decisiones</w:t>
      </w:r>
    </w:p>
    <w:p w:rsidR="00CB26C6" w:rsidRPr="001B09FE" w:rsidRDefault="00CB26C6" w:rsidP="00CB26C6">
      <w:pPr>
        <w:jc w:val="center"/>
        <w:rPr>
          <w:sz w:val="20"/>
        </w:rPr>
      </w:pPr>
      <w:r w:rsidRPr="001B09FE">
        <w:rPr>
          <w:noProof/>
          <w:sz w:val="20"/>
          <w:lang w:val="en-US" w:eastAsia="en-US"/>
        </w:rPr>
        <w:drawing>
          <wp:inline distT="0" distB="0" distL="0" distR="0" wp14:anchorId="4FC56F9A" wp14:editId="64573E16">
            <wp:extent cx="5724000" cy="2918942"/>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4000" cy="2918942"/>
                    </a:xfrm>
                    <a:prstGeom prst="rect">
                      <a:avLst/>
                    </a:prstGeom>
                    <a:noFill/>
                    <a:ln>
                      <a:noFill/>
                    </a:ln>
                  </pic:spPr>
                </pic:pic>
              </a:graphicData>
            </a:graphic>
          </wp:inline>
        </w:drawing>
      </w:r>
    </w:p>
    <w:p w:rsidR="00CB26C6" w:rsidRPr="001B09FE" w:rsidRDefault="00CB26C6" w:rsidP="00CB26C6">
      <w:pPr>
        <w:jc w:val="center"/>
        <w:rPr>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2016, el número de decisiones tramitadas por la IB aumentó en un 10% en comparación con 2015, con un total de 486.295.  Entre 2010 y 2013, el número de decisiones tramitadas aumentó considerablemente.</w:t>
      </w:r>
    </w:p>
    <w:p w:rsidR="00CB26C6" w:rsidRPr="001B09FE" w:rsidRDefault="00CB26C6" w:rsidP="00CB26C6">
      <w:pPr>
        <w:jc w:val="both"/>
        <w:rPr>
          <w:rFonts w:eastAsiaTheme="minorHAnsi"/>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2016, el 72% de las decisiones se tramitaron automáticamente, proporción que ha aumentado constantemente desde 2011.</w:t>
      </w:r>
    </w:p>
    <w:p w:rsidR="00CB26C6" w:rsidRPr="001B09FE" w:rsidRDefault="00CB26C6" w:rsidP="00CB26C6">
      <w:pPr>
        <w:jc w:val="both"/>
        <w:rPr>
          <w:sz w:val="20"/>
        </w:rPr>
      </w:pPr>
    </w:p>
    <w:p w:rsidR="00CB26C6" w:rsidRPr="001B09FE" w:rsidRDefault="00CB26C6" w:rsidP="00CB26C6">
      <w:pPr>
        <w:rPr>
          <w:rFonts w:eastAsiaTheme="minorHAnsi"/>
          <w:sz w:val="20"/>
          <w:u w:val="single"/>
        </w:rPr>
      </w:pPr>
      <w:r w:rsidRPr="001B09FE">
        <w:rPr>
          <w:rFonts w:eastAsiaTheme="minorHAnsi"/>
          <w:sz w:val="20"/>
          <w:u w:val="single"/>
        </w:rPr>
        <w:t>Correcciones</w:t>
      </w:r>
    </w:p>
    <w:p w:rsidR="00CB26C6" w:rsidRPr="001B09FE" w:rsidRDefault="00CB26C6" w:rsidP="00CB26C6">
      <w:pPr>
        <w:rPr>
          <w:rFonts w:eastAsiaTheme="minorHAnsi"/>
          <w:sz w:val="20"/>
          <w:u w:val="single"/>
        </w:rPr>
      </w:pPr>
    </w:p>
    <w:p w:rsidR="00CB26C6" w:rsidRPr="001B09FE" w:rsidRDefault="00CB26C6" w:rsidP="00CB26C6">
      <w:pPr>
        <w:jc w:val="center"/>
        <w:rPr>
          <w:sz w:val="20"/>
        </w:rPr>
      </w:pPr>
      <w:r w:rsidRPr="001B09FE">
        <w:rPr>
          <w:noProof/>
          <w:sz w:val="20"/>
          <w:lang w:val="en-US" w:eastAsia="en-US"/>
        </w:rPr>
        <w:drawing>
          <wp:inline distT="0" distB="0" distL="0" distR="0" wp14:anchorId="01F5B55A" wp14:editId="4A3AEBA0">
            <wp:extent cx="5724000" cy="2652264"/>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24000" cy="2652264"/>
                    </a:xfrm>
                    <a:prstGeom prst="rect">
                      <a:avLst/>
                    </a:prstGeom>
                    <a:noFill/>
                    <a:ln>
                      <a:noFill/>
                    </a:ln>
                  </pic:spPr>
                </pic:pic>
              </a:graphicData>
            </a:graphic>
          </wp:inline>
        </w:drawing>
      </w:r>
    </w:p>
    <w:p w:rsidR="00CB26C6" w:rsidRPr="001B09FE" w:rsidRDefault="00CB26C6" w:rsidP="00CB26C6">
      <w:pPr>
        <w:jc w:val="center"/>
        <w:rPr>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2016, la IB recibió 5.860 peticiones de correcciones, lo que supuso una disminución del 4,4% en comparación con 2015.</w:t>
      </w:r>
    </w:p>
    <w:p w:rsidR="00CB26C6" w:rsidRPr="001B09FE" w:rsidRDefault="00CB26C6" w:rsidP="00CB26C6">
      <w:pPr>
        <w:spacing w:before="120" w:after="240"/>
        <w:contextualSpacing/>
        <w:rPr>
          <w:rFonts w:eastAsiaTheme="minorHAnsi"/>
          <w:sz w:val="20"/>
        </w:rPr>
      </w:pPr>
    </w:p>
    <w:p w:rsidR="00CB26C6" w:rsidRPr="001B09FE" w:rsidRDefault="00CB26C6" w:rsidP="00CB26C6">
      <w:pPr>
        <w:spacing w:before="120" w:after="240"/>
        <w:contextualSpacing/>
        <w:rPr>
          <w:rFonts w:eastAsiaTheme="minorHAnsi"/>
          <w:sz w:val="20"/>
        </w:rPr>
      </w:pPr>
    </w:p>
    <w:p w:rsidR="00CB26C6" w:rsidRPr="001B09FE" w:rsidRDefault="00CB26C6" w:rsidP="00AA75F7">
      <w:pPr>
        <w:numPr>
          <w:ilvl w:val="0"/>
          <w:numId w:val="30"/>
        </w:numPr>
        <w:tabs>
          <w:tab w:val="left" w:pos="567"/>
        </w:tabs>
        <w:spacing w:before="120" w:after="240"/>
        <w:ind w:left="0" w:firstLine="0"/>
        <w:rPr>
          <w:rFonts w:eastAsiaTheme="minorHAnsi"/>
          <w:b/>
          <w:sz w:val="20"/>
        </w:rPr>
      </w:pPr>
      <w:r w:rsidRPr="001B09FE">
        <w:rPr>
          <w:rFonts w:eastAsiaTheme="minorHAnsi"/>
          <w:b/>
          <w:sz w:val="20"/>
        </w:rPr>
        <w:t>Volumen total de trabajo realizado</w:t>
      </w: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El volumen total de trabajo realizado representa el número total ponderado de los documentos tramitados por la IB.  En el total se incluyen las seis categorías de documentos mencionados (a saber, solicitudes, renovaciones, designaciones posteriores, modificaciones, decisiones y correcciones).</w:t>
      </w:r>
    </w:p>
    <w:p w:rsidR="00CB26C6" w:rsidRPr="001B09FE" w:rsidRDefault="00CB26C6" w:rsidP="00CB26C6">
      <w:pPr>
        <w:jc w:val="both"/>
        <w:rPr>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lastRenderedPageBreak/>
        <w:t>Habida cuenta de que la cantidad de recursos necesarios para tramitar esos tipos de documentos es diferente, cada uno de ellos se pondera de forma distinta.  Con arreglo a la ponderación vigente, durante el tiempo empleado en la tramitación de una solicitud internacional, un examinador (en equivalente a tiempo completo) puede tramitar 1,6 renovaciones, 1,8 designaciones posteriores, 1,8 modificaciones o 10 decisiones. Igualmente, en el caso de los documentos tramitados automáticamente, se calcula que una persona de apoyo a los sistemas de T.I. (en equivalente a tiempo completo) tramita 17 documentos.</w:t>
      </w:r>
    </w:p>
    <w:p w:rsidR="00CB26C6" w:rsidRPr="001B09FE" w:rsidRDefault="00CB26C6" w:rsidP="00CB26C6">
      <w:pPr>
        <w:jc w:val="both"/>
        <w:rPr>
          <w:sz w:val="20"/>
        </w:rPr>
      </w:pPr>
    </w:p>
    <w:p w:rsidR="00CB26C6" w:rsidRPr="001B09FE" w:rsidRDefault="00CB26C6" w:rsidP="00CB26C6">
      <w:pPr>
        <w:jc w:val="center"/>
        <w:rPr>
          <w:noProof/>
          <w:sz w:val="20"/>
        </w:rPr>
      </w:pPr>
      <w:r w:rsidRPr="001B09FE">
        <w:rPr>
          <w:noProof/>
          <w:sz w:val="20"/>
          <w:lang w:val="en-US" w:eastAsia="en-US"/>
        </w:rPr>
        <w:drawing>
          <wp:inline distT="0" distB="0" distL="0" distR="0" wp14:anchorId="516E403A" wp14:editId="0DA2DF85">
            <wp:extent cx="5553638" cy="3091221"/>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561836" cy="3095784"/>
                    </a:xfrm>
                    <a:prstGeom prst="rect">
                      <a:avLst/>
                    </a:prstGeom>
                    <a:noFill/>
                    <a:ln>
                      <a:noFill/>
                    </a:ln>
                  </pic:spPr>
                </pic:pic>
              </a:graphicData>
            </a:graphic>
          </wp:inline>
        </w:drawing>
      </w:r>
    </w:p>
    <w:p w:rsidR="00CB26C6" w:rsidRPr="001B09FE" w:rsidRDefault="00CB26C6" w:rsidP="00CB26C6">
      <w:pPr>
        <w:jc w:val="center"/>
        <w:rPr>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2016 el volumen total de trabajo realizado aumentó un 8% en comparación con 2015.  Las solicitudes, decisiones y modificaciones representaron casi el 78% de la carga total de trabajo.</w:t>
      </w:r>
    </w:p>
    <w:p w:rsidR="00CB26C6" w:rsidRPr="001B09FE" w:rsidRDefault="00CB26C6" w:rsidP="00CB26C6">
      <w:pPr>
        <w:jc w:val="both"/>
        <w:rPr>
          <w:rFonts w:eastAsiaTheme="minorHAnsi"/>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el aumento global observado en 2016 se tienen en cuenta las disminuciones del número de designaciones posteriores, solicitudes y decisiones tramitadas, en las que hubo una reducción del 15%, 14% y 12%, respectivamente, en comparación con 2015.  Esto se debió principalmente a inestabilidad inicial del nuevo sistema de T.I. (MIRIS), que dio lugar a un aumento del volumen de documentos pendientes de tramitación.</w:t>
      </w:r>
    </w:p>
    <w:p w:rsidR="00CB26C6" w:rsidRPr="001B09FE" w:rsidRDefault="00CB26C6" w:rsidP="000621BB">
      <w:pPr>
        <w:rPr>
          <w:rFonts w:eastAsiaTheme="minorHAnsi"/>
          <w:sz w:val="20"/>
        </w:rPr>
      </w:pPr>
    </w:p>
    <w:p w:rsidR="00CB26C6" w:rsidRPr="001B09FE" w:rsidRDefault="00CB26C6" w:rsidP="000621BB">
      <w:pPr>
        <w:jc w:val="both"/>
        <w:rPr>
          <w:rFonts w:eastAsiaTheme="minorHAnsi"/>
          <w:sz w:val="20"/>
        </w:rPr>
      </w:pPr>
    </w:p>
    <w:p w:rsidR="00CB26C6" w:rsidRPr="001B09FE" w:rsidRDefault="00CB26C6" w:rsidP="00AA75F7">
      <w:pPr>
        <w:numPr>
          <w:ilvl w:val="0"/>
          <w:numId w:val="30"/>
        </w:numPr>
        <w:tabs>
          <w:tab w:val="left" w:pos="567"/>
        </w:tabs>
        <w:ind w:left="0" w:firstLine="0"/>
        <w:rPr>
          <w:rFonts w:eastAsiaTheme="minorHAnsi"/>
          <w:b/>
          <w:sz w:val="20"/>
        </w:rPr>
      </w:pPr>
      <w:r w:rsidRPr="001B09FE">
        <w:rPr>
          <w:rFonts w:eastAsiaTheme="minorHAnsi"/>
          <w:b/>
          <w:sz w:val="20"/>
        </w:rPr>
        <w:t xml:space="preserve">Medios de transmisión de los documentos recibidos </w:t>
      </w:r>
    </w:p>
    <w:p w:rsidR="00CB26C6" w:rsidRPr="001B09FE" w:rsidRDefault="00CB26C6" w:rsidP="00CB26C6">
      <w:pPr>
        <w:jc w:val="center"/>
        <w:rPr>
          <w:noProof/>
          <w:sz w:val="20"/>
        </w:rPr>
      </w:pPr>
      <w:r w:rsidRPr="001B09FE">
        <w:rPr>
          <w:noProof/>
          <w:sz w:val="20"/>
          <w:lang w:val="en-US" w:eastAsia="en-US"/>
        </w:rPr>
        <w:drawing>
          <wp:inline distT="0" distB="0" distL="0" distR="0" wp14:anchorId="3C659AC1" wp14:editId="20EEA2C0">
            <wp:extent cx="5724000" cy="2759228"/>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724000" cy="2759228"/>
                    </a:xfrm>
                    <a:prstGeom prst="rect">
                      <a:avLst/>
                    </a:prstGeom>
                    <a:noFill/>
                    <a:ln>
                      <a:noFill/>
                    </a:ln>
                  </pic:spPr>
                </pic:pic>
              </a:graphicData>
            </a:graphic>
          </wp:inline>
        </w:drawing>
      </w:r>
      <w:r w:rsidRPr="001B09FE">
        <w:rPr>
          <w:sz w:val="20"/>
        </w:rPr>
        <w:t xml:space="preserve"> </w:t>
      </w:r>
    </w:p>
    <w:p w:rsidR="00CB26C6" w:rsidRPr="001B09FE" w:rsidRDefault="00CB26C6" w:rsidP="00CB26C6">
      <w:pPr>
        <w:jc w:val="center"/>
        <w:rPr>
          <w:noProof/>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En 2016, el 87% de todos los documentos recibidos se transmitieron a la IB por vía electrónica, lo que representa un incremento de 8 puntos porcentuales con respecto a 2015.</w:t>
      </w:r>
    </w:p>
    <w:p w:rsidR="00CB26C6" w:rsidRPr="001B09FE" w:rsidRDefault="00CB26C6" w:rsidP="00CB26C6">
      <w:pPr>
        <w:jc w:val="both"/>
        <w:rPr>
          <w:rFonts w:eastAsiaTheme="minorHAnsi"/>
          <w:sz w:val="20"/>
        </w:rPr>
      </w:pPr>
    </w:p>
    <w:p w:rsidR="00CB26C6" w:rsidRPr="001B09FE" w:rsidRDefault="00CB26C6" w:rsidP="00AA75F7">
      <w:pPr>
        <w:numPr>
          <w:ilvl w:val="0"/>
          <w:numId w:val="29"/>
        </w:numPr>
        <w:tabs>
          <w:tab w:val="clear" w:pos="720"/>
          <w:tab w:val="num" w:pos="1134"/>
        </w:tabs>
        <w:ind w:left="1134" w:hanging="567"/>
        <w:jc w:val="both"/>
        <w:rPr>
          <w:rFonts w:eastAsiaTheme="minorHAnsi"/>
          <w:sz w:val="20"/>
        </w:rPr>
      </w:pPr>
      <w:r w:rsidRPr="001B09FE">
        <w:rPr>
          <w:rFonts w:eastAsiaTheme="minorHAnsi"/>
          <w:sz w:val="20"/>
        </w:rPr>
        <w:t>El porcentaje de documentos que se reciben por vía electrónica ha aumentado constantemente desde 2008, a excepción de 2014, año en que se produjo una disminución de 1 punto porcentual.</w:t>
      </w:r>
    </w:p>
    <w:p w:rsidR="00CB26C6" w:rsidRPr="001B09FE" w:rsidRDefault="00CB26C6" w:rsidP="00C62EEB">
      <w:pPr>
        <w:tabs>
          <w:tab w:val="num" w:pos="993"/>
        </w:tabs>
        <w:jc w:val="both"/>
        <w:rPr>
          <w:sz w:val="20"/>
        </w:rPr>
      </w:pPr>
    </w:p>
    <w:p w:rsidR="00CB26C6" w:rsidRPr="001B09FE" w:rsidRDefault="00CB26C6" w:rsidP="00C62EEB">
      <w:pPr>
        <w:tabs>
          <w:tab w:val="num" w:pos="993"/>
        </w:tabs>
        <w:jc w:val="both"/>
        <w:rPr>
          <w:sz w:val="20"/>
        </w:rPr>
      </w:pPr>
    </w:p>
    <w:p w:rsidR="00CB26C6" w:rsidRPr="001B09FE" w:rsidRDefault="00CB26C6" w:rsidP="00AA75F7">
      <w:pPr>
        <w:numPr>
          <w:ilvl w:val="0"/>
          <w:numId w:val="30"/>
        </w:numPr>
        <w:tabs>
          <w:tab w:val="left" w:pos="567"/>
        </w:tabs>
        <w:ind w:left="0" w:firstLine="0"/>
        <w:rPr>
          <w:rFonts w:eastAsiaTheme="minorHAnsi"/>
          <w:b/>
          <w:sz w:val="20"/>
        </w:rPr>
      </w:pPr>
      <w:r w:rsidRPr="001B09FE">
        <w:rPr>
          <w:rFonts w:eastAsiaTheme="minorHAnsi"/>
          <w:b/>
          <w:sz w:val="20"/>
        </w:rPr>
        <w:t>Tramitación</w:t>
      </w:r>
    </w:p>
    <w:p w:rsidR="00C62EEB" w:rsidRDefault="00C62EEB" w:rsidP="00CB26C6">
      <w:pPr>
        <w:rPr>
          <w:rFonts w:eastAsiaTheme="minorHAnsi"/>
          <w:sz w:val="20"/>
          <w:u w:val="single"/>
        </w:rPr>
      </w:pPr>
    </w:p>
    <w:p w:rsidR="00CB26C6" w:rsidRPr="001B09FE" w:rsidRDefault="00CB26C6" w:rsidP="00CB26C6">
      <w:pPr>
        <w:rPr>
          <w:rFonts w:eastAsiaTheme="minorHAnsi"/>
          <w:sz w:val="20"/>
          <w:u w:val="single"/>
        </w:rPr>
      </w:pPr>
      <w:r w:rsidRPr="001B09FE">
        <w:rPr>
          <w:rFonts w:eastAsiaTheme="minorHAnsi"/>
          <w:sz w:val="20"/>
          <w:u w:val="single"/>
        </w:rPr>
        <w:t>Costo total de producción</w:t>
      </w:r>
    </w:p>
    <w:p w:rsidR="00CB26C6" w:rsidRPr="001B09FE" w:rsidRDefault="00CB26C6" w:rsidP="00CB26C6">
      <w:pPr>
        <w:rPr>
          <w:rFonts w:eastAsiaTheme="minorHAnsi"/>
          <w:sz w:val="20"/>
          <w:u w:val="single"/>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 xml:space="preserve">El costo total de producción comprende los gastos relacionados exclusivamente con el Sistema de Madrid y los gastos correspondientes a las actividades de apoyo del Sistema. </w:t>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En lo que atañe a los datos anteriores a 2016, los gastos relacionados exclusivamente con el Sistema de Madrid representaron alrededor del 96% de los gastos del programa 6.  A partir de 2016, los gastos del Sistema de Madrid que guardan relación con el apoyo que se presta a los Sistemas de La Haya y de Lisboa quedan excluidos del cálculo.  Antes del bienio 2016/17, los gastos de traducción y de las mejoras de T.I. en relación con los Sistemas de La Haya y de Lisboa no podían diferenciarse de los gastos globales del programa 6.  Debido a esa precisión en el cálculo, los datos de 2016 no pueden compararse con los de años anteriores y, por lo tanto, se exponen en un gráfico distinto.</w:t>
      </w:r>
    </w:p>
    <w:p w:rsidR="00CB26C6" w:rsidRPr="001B09FE" w:rsidRDefault="00CB26C6" w:rsidP="00CB26C6">
      <w:pPr>
        <w:tabs>
          <w:tab w:val="left" w:pos="567"/>
        </w:tabs>
        <w:jc w:val="both"/>
        <w:rPr>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El gasto en actividades de apoyo del Sistema de Madrid incluye el gasto relacionado con los siguientes servicios generales:  servicios de conferencias y lingüísticos, construcción, gestión ejecutiva, finanzas y presupuesto, servicios generales de apoyo, gestión de los recursos humanos, supervisión interna, T.I., y seguridad y vigilancia.  Un pequeño porcentaje de esos gastos (el costo del hospedaje de los servidores en el Centro Internacional de Cálculos Electrónicos de las Naciones Unidas (CICE) y una parte del costo de la Sección de Ingresos en el Departamento de Finanzas) se atribuye directamente al Sistema de Madrid, mientras que el resto de los citados gastos atribuibles al Sistema de Madrid se calculan en función del número de empleados en nómina (esto incluye a los empleados con contratos de duración determinada, los empleados con contratos de duración temporal y los becarios).</w:t>
      </w:r>
    </w:p>
    <w:p w:rsidR="00CB26C6" w:rsidRPr="001B09FE" w:rsidRDefault="00CB26C6" w:rsidP="00CB26C6">
      <w:pPr>
        <w:rPr>
          <w:sz w:val="20"/>
        </w:rPr>
      </w:pPr>
    </w:p>
    <w:p w:rsidR="00CB26C6" w:rsidRPr="001B09FE" w:rsidRDefault="00CB26C6" w:rsidP="00CB26C6">
      <w:pPr>
        <w:rPr>
          <w:sz w:val="20"/>
        </w:rPr>
      </w:pPr>
      <w:r w:rsidRPr="009C4693">
        <w:rPr>
          <w:noProof/>
          <w:lang w:val="en-US" w:eastAsia="en-US"/>
        </w:rPr>
        <w:drawing>
          <wp:inline distT="0" distB="0" distL="0" distR="0" wp14:anchorId="7DE661E9" wp14:editId="0A471066">
            <wp:extent cx="5760085" cy="2971643"/>
            <wp:effectExtent l="0" t="0" r="0" b="0"/>
            <wp:docPr id="1297" name="Picture 1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760085" cy="2971643"/>
                    </a:xfrm>
                    <a:prstGeom prst="rect">
                      <a:avLst/>
                    </a:prstGeom>
                    <a:noFill/>
                    <a:ln>
                      <a:noFill/>
                    </a:ln>
                  </pic:spPr>
                </pic:pic>
              </a:graphicData>
            </a:graphic>
          </wp:inline>
        </w:drawing>
      </w:r>
    </w:p>
    <w:p w:rsidR="00CB26C6" w:rsidRPr="001B09FE" w:rsidRDefault="00CB26C6" w:rsidP="00AA75F7">
      <w:pPr>
        <w:numPr>
          <w:ilvl w:val="0"/>
          <w:numId w:val="31"/>
        </w:numPr>
        <w:ind w:left="1134" w:hanging="567"/>
        <w:jc w:val="both"/>
        <w:rPr>
          <w:rFonts w:eastAsiaTheme="minorHAnsi"/>
          <w:sz w:val="20"/>
        </w:rPr>
      </w:pPr>
      <w:r w:rsidRPr="001B09FE">
        <w:rPr>
          <w:rFonts w:eastAsiaTheme="minorHAnsi"/>
          <w:sz w:val="20"/>
        </w:rPr>
        <w:t>Se calcula que el costo total de producción fue de 41,8 millones de francos suizos en 2016.</w:t>
      </w:r>
    </w:p>
    <w:p w:rsidR="00CB26C6" w:rsidRPr="001B09FE" w:rsidRDefault="00CB26C6" w:rsidP="00CB26C6">
      <w:pPr>
        <w:jc w:val="both"/>
        <w:rPr>
          <w:rFonts w:eastAsiaTheme="minorHAnsi"/>
          <w:sz w:val="20"/>
        </w:rPr>
      </w:pPr>
    </w:p>
    <w:p w:rsidR="00CB26C6" w:rsidRPr="001B09FE" w:rsidRDefault="00CB26C6" w:rsidP="00AA75F7">
      <w:pPr>
        <w:numPr>
          <w:ilvl w:val="0"/>
          <w:numId w:val="31"/>
        </w:numPr>
        <w:ind w:left="1134" w:hanging="567"/>
        <w:jc w:val="both"/>
        <w:rPr>
          <w:rFonts w:eastAsiaTheme="minorHAnsi"/>
          <w:sz w:val="20"/>
        </w:rPr>
      </w:pPr>
      <w:r w:rsidRPr="001B09FE">
        <w:rPr>
          <w:rFonts w:eastAsiaTheme="minorHAnsi"/>
          <w:sz w:val="20"/>
        </w:rPr>
        <w:t xml:space="preserve">En 2016, los costos directos representaron el 61% de los costos totales. </w:t>
      </w:r>
    </w:p>
    <w:p w:rsidR="00CB26C6" w:rsidRPr="001B09FE" w:rsidRDefault="00CB26C6" w:rsidP="00CB26C6">
      <w:pPr>
        <w:rPr>
          <w:rFonts w:eastAsiaTheme="minorHAnsi"/>
          <w:sz w:val="20"/>
          <w:u w:val="single"/>
        </w:rPr>
      </w:pPr>
      <w:r w:rsidRPr="001B09FE">
        <w:rPr>
          <w:rFonts w:eastAsiaTheme="minorHAnsi"/>
          <w:sz w:val="20"/>
          <w:u w:val="single"/>
        </w:rPr>
        <w:lastRenderedPageBreak/>
        <w:t>Costo unitario</w:t>
      </w:r>
    </w:p>
    <w:p w:rsidR="00CB26C6" w:rsidRPr="001B09FE" w:rsidRDefault="00CB26C6" w:rsidP="00CB26C6">
      <w:pPr>
        <w:rPr>
          <w:rFonts w:eastAsiaTheme="minorHAnsi"/>
          <w:sz w:val="20"/>
          <w:u w:val="single"/>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La eficiencia de la IB en cuanto a la tramitación de transacciones puede medirse por el costo unitario, definido como el costo medio de producción de una unidad de producto.</w:t>
      </w:r>
    </w:p>
    <w:p w:rsidR="00CB26C6" w:rsidRPr="001B09FE" w:rsidRDefault="00CB26C6" w:rsidP="00CB26C6">
      <w:pPr>
        <w:contextualSpacing/>
        <w:jc w:val="both"/>
        <w:rPr>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Habida cuenta de que la IB crea registros a partir de nuevas solicitudes y mantiene los registros existentes, resulta pertinente contar con una unidad de producto que incluya un conjunto de transacciones.  Se presentan a continuación dos indicadores de costo unitario, utilizando dos unidades de producto diferentes.</w:t>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En el marco de las iniciativas de la IB para perfeccionar constantemente sus planteamientos de cálculo de los costos unitarios, se ha revisado la metodología en 2016 para reflejar de forma más precisa el costo de la tramitación del volumen de trabajo del Sistema de Madrid en la IB:</w:t>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AA75F7">
      <w:pPr>
        <w:numPr>
          <w:ilvl w:val="0"/>
          <w:numId w:val="31"/>
        </w:numPr>
        <w:ind w:left="1134" w:hanging="567"/>
        <w:jc w:val="both"/>
        <w:rPr>
          <w:rFonts w:eastAsiaTheme="minorHAnsi"/>
          <w:sz w:val="20"/>
        </w:rPr>
      </w:pPr>
      <w:r w:rsidRPr="001B09FE">
        <w:rPr>
          <w:rFonts w:eastAsiaTheme="minorHAnsi"/>
          <w:sz w:val="20"/>
        </w:rPr>
        <w:t>La metodología para calcular los costos directos e indirectos del Sistema de Madrid se ha armonizado con las metodologías para calcular los costos unitarios del PCT y del Sistema de La Haya.</w:t>
      </w:r>
    </w:p>
    <w:p w:rsidR="00CB26C6" w:rsidRPr="001B09FE" w:rsidRDefault="00CB26C6" w:rsidP="00CB26C6">
      <w:pPr>
        <w:jc w:val="both"/>
        <w:rPr>
          <w:rFonts w:eastAsiaTheme="minorHAnsi"/>
          <w:sz w:val="20"/>
        </w:rPr>
      </w:pPr>
    </w:p>
    <w:p w:rsidR="00CB26C6" w:rsidRPr="001B09FE" w:rsidRDefault="00CB26C6" w:rsidP="00AA75F7">
      <w:pPr>
        <w:numPr>
          <w:ilvl w:val="0"/>
          <w:numId w:val="31"/>
        </w:numPr>
        <w:ind w:left="1134" w:hanging="567"/>
        <w:jc w:val="both"/>
        <w:rPr>
          <w:rFonts w:eastAsiaTheme="minorHAnsi"/>
          <w:sz w:val="20"/>
        </w:rPr>
      </w:pPr>
      <w:r w:rsidRPr="001B09FE">
        <w:rPr>
          <w:rFonts w:eastAsiaTheme="minorHAnsi"/>
          <w:sz w:val="20"/>
        </w:rPr>
        <w:t>El sistema de ponderación mencionado en la sección II permite calibrar mejor el trabajo real necesario para tramitar las seis categorías de documentos, teniendo en cuenta que algunos de esos documentos implican una mayor carga de trabajo que otros.</w:t>
      </w:r>
      <w:r w:rsidRPr="001B09FE">
        <w:rPr>
          <w:rStyle w:val="FootnoteReference"/>
          <w:rFonts w:eastAsiaTheme="minorHAnsi"/>
          <w:sz w:val="20"/>
        </w:rPr>
        <w:footnoteReference w:id="38"/>
      </w:r>
    </w:p>
    <w:p w:rsidR="00CB26C6" w:rsidRPr="001B09FE" w:rsidRDefault="00CB26C6" w:rsidP="00CB26C6">
      <w:pPr>
        <w:jc w:val="both"/>
        <w:rPr>
          <w:rFonts w:eastAsiaTheme="minorHAnsi"/>
          <w:sz w:val="20"/>
        </w:rPr>
      </w:pPr>
    </w:p>
    <w:p w:rsidR="00CB26C6" w:rsidRPr="001B09FE" w:rsidRDefault="00CB26C6" w:rsidP="00AA75F7">
      <w:pPr>
        <w:numPr>
          <w:ilvl w:val="0"/>
          <w:numId w:val="31"/>
        </w:numPr>
        <w:ind w:left="1134" w:hanging="567"/>
        <w:jc w:val="both"/>
        <w:rPr>
          <w:rFonts w:eastAsiaTheme="minorHAnsi"/>
          <w:sz w:val="20"/>
        </w:rPr>
      </w:pPr>
      <w:r w:rsidRPr="001B09FE">
        <w:rPr>
          <w:rFonts w:eastAsiaTheme="minorHAnsi"/>
          <w:sz w:val="20"/>
        </w:rPr>
        <w:t>El costo unitario por registro internacional nuevo o renovado fue redefinido para abarcar solamente a nuevos registros internacionales y renovaciones.  Se decidió retirar las designaciones posteriores del cálculo del costo unitario con el fin de dar más relevancia a los productos esenciales del Sistema de Madrid, a saber, los registros internacionales y sus renovaciones.  Todas las demás transacciones del Sistema de Madrid  (designaciones posteriores, modificaciones, decisiones y correcciones) se pueden considerar secundarias a esas dos transacciones esenciales.  Además, es difícil justificar la inclusión de una de estas transacciones secundarias como componente del costo unitario, al tiempo que se excluyen los otros.</w:t>
      </w:r>
    </w:p>
    <w:p w:rsidR="00CB26C6" w:rsidRPr="001B09FE" w:rsidRDefault="00CB26C6" w:rsidP="00CB26C6">
      <w:pPr>
        <w:jc w:val="both"/>
        <w:rPr>
          <w:rFonts w:eastAsiaTheme="minorHAnsi"/>
          <w:sz w:val="20"/>
        </w:rPr>
      </w:pPr>
    </w:p>
    <w:p w:rsidR="00CB26C6" w:rsidRPr="001B09FE" w:rsidRDefault="00CB26C6" w:rsidP="00AA75F7">
      <w:pPr>
        <w:numPr>
          <w:ilvl w:val="0"/>
          <w:numId w:val="31"/>
        </w:numPr>
        <w:ind w:left="1134" w:hanging="567"/>
        <w:jc w:val="both"/>
        <w:rPr>
          <w:rFonts w:eastAsiaTheme="minorHAnsi"/>
          <w:sz w:val="20"/>
        </w:rPr>
      </w:pPr>
      <w:r w:rsidRPr="001B09FE">
        <w:rPr>
          <w:rFonts w:eastAsiaTheme="minorHAnsi"/>
          <w:sz w:val="20"/>
        </w:rPr>
        <w:t>El segundo tipo de costo unitario se basa estrictamente en el número de documentos inscritos en el Registro, independientemente de los diversos niveles de recursos necesarios para tramitarlos.</w:t>
      </w:r>
    </w:p>
    <w:p w:rsidR="00CB26C6" w:rsidRPr="001B09FE" w:rsidRDefault="00CB26C6" w:rsidP="00CB26C6">
      <w:pPr>
        <w:jc w:val="both"/>
        <w:rPr>
          <w:sz w:val="20"/>
        </w:rPr>
      </w:pPr>
    </w:p>
    <w:p w:rsidR="00CB26C6" w:rsidRPr="001B09FE" w:rsidRDefault="00CB26C6" w:rsidP="00CB26C6">
      <w:pPr>
        <w:spacing w:line="276" w:lineRule="auto"/>
        <w:rPr>
          <w:rFonts w:eastAsiaTheme="minorHAnsi"/>
          <w:i/>
          <w:sz w:val="20"/>
        </w:rPr>
      </w:pPr>
      <w:r w:rsidRPr="001B09FE">
        <w:rPr>
          <w:rFonts w:eastAsiaTheme="minorHAnsi"/>
          <w:i/>
          <w:sz w:val="20"/>
        </w:rPr>
        <w:t>Costo unitario por registro internacional nuevo o renovado</w:t>
      </w:r>
    </w:p>
    <w:p w:rsidR="00CB26C6" w:rsidRPr="001B09FE" w:rsidRDefault="00CB26C6" w:rsidP="00CB26C6">
      <w:pPr>
        <w:spacing w:line="276" w:lineRule="auto"/>
        <w:rPr>
          <w:rFonts w:eastAsiaTheme="minorHAnsi"/>
          <w:iCs/>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Los registros internacionales nuevos consisten en solicitudes que se registran en un año determinado y los registros internacionales renovados son los registros existentes que se renuevan en un año determinado.  En conjunto, estos dos tipos de transacciones constituyen la actividad central de la IB.</w:t>
      </w:r>
    </w:p>
    <w:p w:rsidR="00CB26C6" w:rsidRPr="001B09FE" w:rsidRDefault="00CB26C6" w:rsidP="00CB26C6">
      <w:pPr>
        <w:jc w:val="both"/>
        <w:rPr>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En vista de que la tramitación de estos dos tipos de transacciones no exige la misma cantidad de recursos, cada uno se pondera de forma diferente.  El costo unitario se calcula dividiendo el costo total de producción por el número de registros internacionales nuevos o renovados.</w:t>
      </w:r>
      <w:r w:rsidRPr="001B09FE">
        <w:rPr>
          <w:rStyle w:val="FootnoteReference"/>
          <w:rFonts w:cs="Arial"/>
        </w:rPr>
        <w:footnoteReference w:id="39"/>
      </w:r>
      <w:r w:rsidRPr="001B09FE">
        <w:rPr>
          <w:rFonts w:cs="Arial"/>
          <w:lang w:val="es-ES"/>
        </w:rPr>
        <w:t xml:space="preserve">  </w:t>
      </w:r>
    </w:p>
    <w:p w:rsidR="00CB26C6" w:rsidRDefault="00CB26C6" w:rsidP="00CB26C6">
      <w:pPr>
        <w:pStyle w:val="ListParagraph"/>
        <w:tabs>
          <w:tab w:val="left" w:pos="567"/>
        </w:tabs>
        <w:ind w:left="0"/>
        <w:jc w:val="both"/>
        <w:rPr>
          <w:rFonts w:cs="Arial"/>
          <w:lang w:val="es-ES"/>
        </w:rPr>
      </w:pPr>
    </w:p>
    <w:p w:rsidR="00CB26C6" w:rsidRDefault="00CB26C6" w:rsidP="00CB26C6">
      <w:pPr>
        <w:pStyle w:val="ListParagraph"/>
        <w:tabs>
          <w:tab w:val="left" w:pos="567"/>
        </w:tabs>
        <w:ind w:left="0"/>
        <w:jc w:val="both"/>
        <w:rPr>
          <w:rFonts w:cs="Arial"/>
          <w:lang w:val="es-ES"/>
        </w:rPr>
      </w:pPr>
      <w:r w:rsidRPr="009C4693">
        <w:rPr>
          <w:noProof/>
        </w:rPr>
        <w:lastRenderedPageBreak/>
        <w:drawing>
          <wp:inline distT="0" distB="0" distL="0" distR="0" wp14:anchorId="634CC9FB" wp14:editId="13ED937A">
            <wp:extent cx="5760085" cy="2871818"/>
            <wp:effectExtent l="0" t="0" r="0" b="0"/>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760085" cy="2871818"/>
                    </a:xfrm>
                    <a:prstGeom prst="rect">
                      <a:avLst/>
                    </a:prstGeom>
                    <a:noFill/>
                    <a:ln>
                      <a:noFill/>
                    </a:ln>
                  </pic:spPr>
                </pic:pic>
              </a:graphicData>
            </a:graphic>
          </wp:inline>
        </w:drawing>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185608">
      <w:pPr>
        <w:numPr>
          <w:ilvl w:val="0"/>
          <w:numId w:val="32"/>
        </w:numPr>
        <w:tabs>
          <w:tab w:val="num" w:pos="1134"/>
        </w:tabs>
        <w:ind w:left="1134" w:hanging="567"/>
        <w:jc w:val="both"/>
        <w:rPr>
          <w:rFonts w:eastAsiaTheme="minorHAnsi"/>
          <w:sz w:val="20"/>
        </w:rPr>
      </w:pPr>
      <w:r w:rsidRPr="001B09FE">
        <w:rPr>
          <w:rFonts w:eastAsiaTheme="minorHAnsi"/>
          <w:sz w:val="20"/>
        </w:rPr>
        <w:t>El costo medio de tramitación de un registro internacio</w:t>
      </w:r>
      <w:r w:rsidR="004708E7">
        <w:rPr>
          <w:rFonts w:eastAsiaTheme="minorHAnsi"/>
          <w:sz w:val="20"/>
        </w:rPr>
        <w:t>nal nuevo o renovado ascendió a </w:t>
      </w:r>
      <w:r w:rsidRPr="001B09FE">
        <w:rPr>
          <w:rFonts w:eastAsiaTheme="minorHAnsi"/>
          <w:sz w:val="20"/>
        </w:rPr>
        <w:t xml:space="preserve">746 francos suizos en 2016.  </w:t>
      </w:r>
    </w:p>
    <w:p w:rsidR="00CB26C6" w:rsidRPr="001B09FE" w:rsidRDefault="00CB26C6" w:rsidP="00CB26C6">
      <w:pPr>
        <w:rPr>
          <w:sz w:val="20"/>
        </w:rPr>
      </w:pPr>
    </w:p>
    <w:p w:rsidR="00CB26C6" w:rsidRPr="001B09FE" w:rsidRDefault="00CB26C6" w:rsidP="00CB26C6">
      <w:pPr>
        <w:spacing w:line="276" w:lineRule="auto"/>
        <w:rPr>
          <w:rFonts w:eastAsiaTheme="minorHAnsi"/>
          <w:i/>
          <w:sz w:val="20"/>
        </w:rPr>
      </w:pPr>
      <w:r w:rsidRPr="001B09FE">
        <w:rPr>
          <w:rFonts w:eastAsiaTheme="minorHAnsi"/>
          <w:i/>
          <w:sz w:val="20"/>
        </w:rPr>
        <w:t>Costo unitario por documento inscrito en el Registro</w:t>
      </w:r>
    </w:p>
    <w:p w:rsidR="00CB26C6" w:rsidRPr="001B09FE" w:rsidRDefault="00CB26C6" w:rsidP="00CB26C6">
      <w:pPr>
        <w:spacing w:line="276" w:lineRule="auto"/>
        <w:rPr>
          <w:rFonts w:eastAsiaTheme="minorHAnsi"/>
          <w:iCs/>
          <w:sz w:val="20"/>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Los documentos inscritos en el Registro corresponden al volumen total de trabajo (véase “Volumen total de trabajo realizado” más arriba).</w:t>
      </w:r>
    </w:p>
    <w:p w:rsidR="00CB26C6" w:rsidRPr="001B09FE" w:rsidRDefault="00CB26C6" w:rsidP="00CB26C6">
      <w:pPr>
        <w:tabs>
          <w:tab w:val="left" w:pos="567"/>
        </w:tabs>
        <w:contextualSpacing/>
        <w:jc w:val="both"/>
        <w:rPr>
          <w:sz w:val="20"/>
        </w:rPr>
      </w:pPr>
    </w:p>
    <w:p w:rsidR="00CB26C6" w:rsidRPr="001B09FE" w:rsidRDefault="00CB26C6" w:rsidP="00CB26C6">
      <w:pPr>
        <w:tabs>
          <w:tab w:val="left" w:pos="567"/>
        </w:tabs>
        <w:contextualSpacing/>
        <w:jc w:val="both"/>
        <w:rPr>
          <w:sz w:val="20"/>
        </w:rPr>
      </w:pPr>
      <w:r w:rsidRPr="009C4693">
        <w:rPr>
          <w:noProof/>
          <w:lang w:val="en-US" w:eastAsia="en-US"/>
        </w:rPr>
        <w:drawing>
          <wp:inline distT="0" distB="0" distL="0" distR="0" wp14:anchorId="1C3F7B60" wp14:editId="4A6CD35D">
            <wp:extent cx="5760085" cy="3064321"/>
            <wp:effectExtent l="0" t="0" r="0" b="0"/>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60085" cy="3064321"/>
                    </a:xfrm>
                    <a:prstGeom prst="rect">
                      <a:avLst/>
                    </a:prstGeom>
                    <a:noFill/>
                    <a:ln>
                      <a:noFill/>
                    </a:ln>
                  </pic:spPr>
                </pic:pic>
              </a:graphicData>
            </a:graphic>
          </wp:inline>
        </w:drawing>
      </w:r>
    </w:p>
    <w:p w:rsidR="00CB26C6" w:rsidRPr="001B09FE" w:rsidRDefault="00CB26C6" w:rsidP="00185608">
      <w:pPr>
        <w:numPr>
          <w:ilvl w:val="0"/>
          <w:numId w:val="32"/>
        </w:numPr>
        <w:tabs>
          <w:tab w:val="num" w:pos="1134"/>
        </w:tabs>
        <w:ind w:left="1134" w:hanging="567"/>
        <w:jc w:val="both"/>
        <w:rPr>
          <w:rFonts w:eastAsiaTheme="minorHAnsi"/>
          <w:sz w:val="20"/>
        </w:rPr>
      </w:pPr>
      <w:r w:rsidRPr="001B09FE">
        <w:rPr>
          <w:rFonts w:eastAsiaTheme="minorHAnsi"/>
          <w:sz w:val="20"/>
        </w:rPr>
        <w:t>El costo medio de inscripción de un documento fue de 318 francos suizos en 2016.</w:t>
      </w:r>
    </w:p>
    <w:p w:rsidR="00CB26C6" w:rsidRPr="001B09FE" w:rsidRDefault="00CB26C6" w:rsidP="00CB26C6">
      <w:pPr>
        <w:jc w:val="both"/>
        <w:rPr>
          <w:sz w:val="20"/>
        </w:rPr>
      </w:pPr>
    </w:p>
    <w:p w:rsidR="00CB26C6" w:rsidRPr="001B09FE" w:rsidRDefault="00CB26C6" w:rsidP="00CB26C6">
      <w:pPr>
        <w:jc w:val="both"/>
        <w:rPr>
          <w:sz w:val="20"/>
        </w:rPr>
      </w:pPr>
    </w:p>
    <w:p w:rsidR="00CB26C6" w:rsidRPr="001B09FE" w:rsidRDefault="00CB26C6" w:rsidP="00AA75F7">
      <w:pPr>
        <w:numPr>
          <w:ilvl w:val="0"/>
          <w:numId w:val="30"/>
        </w:numPr>
        <w:tabs>
          <w:tab w:val="left" w:pos="567"/>
        </w:tabs>
        <w:spacing w:before="120" w:after="240"/>
        <w:ind w:left="0" w:firstLine="0"/>
        <w:rPr>
          <w:rFonts w:eastAsiaTheme="minorHAnsi"/>
          <w:b/>
          <w:sz w:val="20"/>
        </w:rPr>
      </w:pPr>
      <w:r w:rsidRPr="001B09FE">
        <w:rPr>
          <w:rFonts w:eastAsiaTheme="minorHAnsi"/>
          <w:b/>
          <w:sz w:val="20"/>
        </w:rPr>
        <w:t>Productividad del examen</w:t>
      </w: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 xml:space="preserve">La productividad del examen se puede definir como el número de registros internacionales nuevos o renovados tramitados por los examinadores, dividido por el número de empleados que participaron en el examen.  Entre los empleados, se incluya a los becarios, los pasantes y los contratistas. </w:t>
      </w:r>
    </w:p>
    <w:p w:rsidR="00CB26C6" w:rsidRPr="001B09FE" w:rsidRDefault="00CB26C6" w:rsidP="00CB26C6">
      <w:pPr>
        <w:pStyle w:val="ListParagraph"/>
        <w:tabs>
          <w:tab w:val="left" w:pos="567"/>
        </w:tabs>
        <w:ind w:left="0"/>
        <w:jc w:val="both"/>
        <w:rPr>
          <w:rFonts w:cs="Arial"/>
          <w:lang w:val="es-ES"/>
        </w:rPr>
      </w:pPr>
      <w:r w:rsidRPr="001B09FE">
        <w:rPr>
          <w:rFonts w:cs="Arial"/>
          <w:noProof/>
        </w:rPr>
        <w:lastRenderedPageBreak/>
        <w:drawing>
          <wp:inline distT="0" distB="0" distL="0" distR="0" wp14:anchorId="4BF5672F" wp14:editId="20844C18">
            <wp:extent cx="5724000" cy="27650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724000" cy="2765075"/>
                    </a:xfrm>
                    <a:prstGeom prst="rect">
                      <a:avLst/>
                    </a:prstGeom>
                    <a:noFill/>
                    <a:ln>
                      <a:noFill/>
                    </a:ln>
                  </pic:spPr>
                </pic:pic>
              </a:graphicData>
            </a:graphic>
          </wp:inline>
        </w:drawing>
      </w:r>
      <w:r w:rsidRPr="001B09FE">
        <w:rPr>
          <w:rFonts w:cs="Arial"/>
          <w:lang w:val="es-ES"/>
        </w:rPr>
        <w:t xml:space="preserve"> </w:t>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185608">
      <w:pPr>
        <w:numPr>
          <w:ilvl w:val="0"/>
          <w:numId w:val="32"/>
        </w:numPr>
        <w:tabs>
          <w:tab w:val="num" w:pos="1134"/>
        </w:tabs>
        <w:ind w:left="1134" w:hanging="567"/>
        <w:jc w:val="both"/>
        <w:rPr>
          <w:rFonts w:eastAsiaTheme="minorHAnsi"/>
          <w:sz w:val="20"/>
        </w:rPr>
      </w:pPr>
      <w:r w:rsidRPr="001B09FE">
        <w:rPr>
          <w:rFonts w:eastAsiaTheme="minorHAnsi"/>
          <w:sz w:val="20"/>
        </w:rPr>
        <w:t>En 2016, la productividad del examen disminuyó en un 3% en comparación con 2015.  Los 1.011 registros internacionales nuevos y renovados por empleado en 2016 constituyeron la segunda cifra más elevada de registros tramitados durante el período 2008-2016.</w:t>
      </w:r>
    </w:p>
    <w:p w:rsidR="00CB26C6" w:rsidRPr="001B09FE" w:rsidRDefault="00CB26C6" w:rsidP="00CB26C6">
      <w:pPr>
        <w:tabs>
          <w:tab w:val="left" w:pos="2670"/>
        </w:tabs>
        <w:jc w:val="both"/>
        <w:rPr>
          <w:rFonts w:eastAsiaTheme="minorHAnsi"/>
          <w:sz w:val="20"/>
        </w:rPr>
      </w:pPr>
    </w:p>
    <w:p w:rsidR="00CB26C6" w:rsidRPr="001B09FE" w:rsidRDefault="00CB26C6" w:rsidP="00CB26C6">
      <w:pPr>
        <w:keepNext/>
        <w:keepLines/>
        <w:jc w:val="both"/>
        <w:rPr>
          <w:sz w:val="20"/>
        </w:rPr>
      </w:pPr>
    </w:p>
    <w:p w:rsidR="00CB26C6" w:rsidRPr="001B09FE" w:rsidRDefault="00CB26C6" w:rsidP="00AA75F7">
      <w:pPr>
        <w:keepNext/>
        <w:keepLines/>
        <w:numPr>
          <w:ilvl w:val="0"/>
          <w:numId w:val="30"/>
        </w:numPr>
        <w:tabs>
          <w:tab w:val="left" w:pos="567"/>
        </w:tabs>
        <w:ind w:left="0" w:firstLine="0"/>
        <w:rPr>
          <w:rFonts w:eastAsiaTheme="minorHAnsi"/>
          <w:b/>
          <w:sz w:val="20"/>
        </w:rPr>
      </w:pPr>
      <w:r w:rsidRPr="001B09FE">
        <w:rPr>
          <w:rFonts w:eastAsiaTheme="minorHAnsi"/>
          <w:b/>
          <w:sz w:val="20"/>
        </w:rPr>
        <w:t>Personal</w:t>
      </w:r>
    </w:p>
    <w:p w:rsidR="00CB26C6" w:rsidRPr="001B09FE" w:rsidRDefault="00CB26C6" w:rsidP="00CB26C6">
      <w:pPr>
        <w:jc w:val="center"/>
        <w:rPr>
          <w:sz w:val="20"/>
        </w:rPr>
      </w:pPr>
      <w:r w:rsidRPr="001B09FE">
        <w:rPr>
          <w:noProof/>
          <w:sz w:val="20"/>
          <w:lang w:val="en-US" w:eastAsia="en-US"/>
        </w:rPr>
        <w:drawing>
          <wp:inline distT="0" distB="0" distL="0" distR="0" wp14:anchorId="0E67FC47" wp14:editId="4645F52D">
            <wp:extent cx="5724000" cy="2812629"/>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724000" cy="2812629"/>
                    </a:xfrm>
                    <a:prstGeom prst="rect">
                      <a:avLst/>
                    </a:prstGeom>
                    <a:noFill/>
                    <a:ln>
                      <a:noFill/>
                    </a:ln>
                  </pic:spPr>
                </pic:pic>
              </a:graphicData>
            </a:graphic>
          </wp:inline>
        </w:drawing>
      </w:r>
      <w:r w:rsidRPr="001B09FE">
        <w:rPr>
          <w:sz w:val="20"/>
        </w:rPr>
        <w:t xml:space="preserve"> </w:t>
      </w:r>
    </w:p>
    <w:p w:rsidR="00CB26C6" w:rsidRPr="001B09FE" w:rsidRDefault="00CB26C6" w:rsidP="00CB26C6">
      <w:pPr>
        <w:rPr>
          <w:sz w:val="20"/>
        </w:rPr>
      </w:pPr>
      <w:r w:rsidRPr="001B09FE">
        <w:rPr>
          <w:sz w:val="20"/>
        </w:rPr>
        <w:t xml:space="preserve">Nota:  La posibilidad de diferenciar a los empleados del Registro de Lisboa fue factible únicamente al inicio del bienio 2014/15.  Para los años previos a 2014, los empleados del Sistema de Lisboa se incluyen en el número total de empleados del Sistema de Madrid.  Los trabajadores contratados a través de agencias que no trabajan en los locales de la OMPI no se incluyen en este indicador.  La metodología actual no abarca los trabajadores externos de la Unidad de Tratamiento de Documentos. </w:t>
      </w:r>
    </w:p>
    <w:p w:rsidR="00CB26C6" w:rsidRPr="001B09FE" w:rsidRDefault="00CB26C6" w:rsidP="00CB26C6">
      <w:pPr>
        <w:jc w:val="both"/>
        <w:rPr>
          <w:sz w:val="20"/>
        </w:rPr>
      </w:pPr>
    </w:p>
    <w:p w:rsidR="00CB26C6" w:rsidRPr="001B09FE" w:rsidRDefault="00CB26C6" w:rsidP="00185608">
      <w:pPr>
        <w:numPr>
          <w:ilvl w:val="0"/>
          <w:numId w:val="32"/>
        </w:numPr>
        <w:tabs>
          <w:tab w:val="num" w:pos="1134"/>
        </w:tabs>
        <w:ind w:left="1134" w:hanging="567"/>
        <w:jc w:val="both"/>
        <w:rPr>
          <w:rFonts w:eastAsiaTheme="minorHAnsi"/>
          <w:sz w:val="20"/>
        </w:rPr>
      </w:pPr>
      <w:r w:rsidRPr="001B09FE">
        <w:rPr>
          <w:rFonts w:eastAsiaTheme="minorHAnsi"/>
          <w:sz w:val="20"/>
        </w:rPr>
        <w:t>El número de empleados en nómina disminuyó de 110 en 2015 a 104 en 2016, mientras que el número de recursos flexibles aumentó de 16 en 2015 a 25 en 2016.</w:t>
      </w:r>
    </w:p>
    <w:p w:rsidR="00CB26C6" w:rsidRPr="001B09FE" w:rsidRDefault="00CB26C6" w:rsidP="00CB26C6">
      <w:pPr>
        <w:jc w:val="both"/>
        <w:rPr>
          <w:rFonts w:eastAsiaTheme="minorHAnsi"/>
          <w:sz w:val="20"/>
        </w:rPr>
      </w:pPr>
    </w:p>
    <w:p w:rsidR="00CB26C6" w:rsidRPr="001B09FE" w:rsidRDefault="00CB26C6" w:rsidP="00CB26C6">
      <w:pPr>
        <w:jc w:val="both"/>
        <w:rPr>
          <w:rFonts w:eastAsiaTheme="minorHAnsi"/>
          <w:sz w:val="20"/>
        </w:rPr>
      </w:pPr>
    </w:p>
    <w:p w:rsidR="00CB26C6" w:rsidRPr="001B09FE" w:rsidRDefault="00CB26C6" w:rsidP="00AA75F7">
      <w:pPr>
        <w:keepNext/>
        <w:numPr>
          <w:ilvl w:val="0"/>
          <w:numId w:val="30"/>
        </w:numPr>
        <w:tabs>
          <w:tab w:val="left" w:pos="567"/>
        </w:tabs>
        <w:spacing w:before="120" w:after="240"/>
        <w:ind w:left="0" w:firstLine="0"/>
        <w:rPr>
          <w:rFonts w:eastAsiaTheme="minorHAnsi"/>
          <w:b/>
          <w:sz w:val="20"/>
        </w:rPr>
      </w:pPr>
      <w:r w:rsidRPr="001B09FE">
        <w:rPr>
          <w:rFonts w:eastAsiaTheme="minorHAnsi"/>
          <w:b/>
          <w:sz w:val="20"/>
        </w:rPr>
        <w:lastRenderedPageBreak/>
        <w:t>Tiempo de tramitación</w:t>
      </w:r>
    </w:p>
    <w:p w:rsidR="00CB26C6" w:rsidRPr="001B09FE" w:rsidRDefault="00CB26C6" w:rsidP="00185608">
      <w:pPr>
        <w:pStyle w:val="ListParagraph"/>
        <w:keepNext/>
        <w:numPr>
          <w:ilvl w:val="0"/>
          <w:numId w:val="34"/>
        </w:numPr>
        <w:ind w:left="0" w:firstLine="0"/>
        <w:contextualSpacing/>
        <w:jc w:val="both"/>
        <w:rPr>
          <w:rFonts w:cs="Arial"/>
          <w:lang w:val="es-ES"/>
        </w:rPr>
      </w:pPr>
      <w:r w:rsidRPr="001B09FE">
        <w:rPr>
          <w:rFonts w:cs="Arial"/>
          <w:lang w:val="es-ES"/>
        </w:rPr>
        <w:t>A continuación se muestra el tiempo medio de tramitación de las seis transacciones que realiza la IB.  El tiempo de tramitación se calcula desde la fecha en que se recibe el documento hasta la fecha en que se inscribe.</w:t>
      </w:r>
    </w:p>
    <w:p w:rsidR="00CB26C6" w:rsidRPr="001B09FE" w:rsidRDefault="00CB26C6" w:rsidP="00CB26C6">
      <w:pPr>
        <w:pStyle w:val="ListParagraph"/>
        <w:tabs>
          <w:tab w:val="left" w:pos="567"/>
        </w:tabs>
        <w:ind w:left="0"/>
        <w:jc w:val="both"/>
        <w:rPr>
          <w:rFonts w:cs="Arial"/>
          <w:lang w:val="es-ES"/>
        </w:rPr>
      </w:pPr>
    </w:p>
    <w:p w:rsidR="00CB26C6" w:rsidRDefault="00CB26C6" w:rsidP="00CB26C6">
      <w:pPr>
        <w:jc w:val="both"/>
        <w:rPr>
          <w:sz w:val="20"/>
        </w:rPr>
      </w:pPr>
      <w:r w:rsidRPr="009C4693">
        <w:rPr>
          <w:noProof/>
          <w:lang w:val="en-US" w:eastAsia="en-US"/>
        </w:rPr>
        <w:drawing>
          <wp:inline distT="0" distB="0" distL="0" distR="0" wp14:anchorId="04DBA0D5" wp14:editId="78B5CAEA">
            <wp:extent cx="5760085" cy="2418697"/>
            <wp:effectExtent l="0" t="0" r="0" b="0"/>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760085" cy="2418697"/>
                    </a:xfrm>
                    <a:prstGeom prst="rect">
                      <a:avLst/>
                    </a:prstGeom>
                    <a:noFill/>
                    <a:ln>
                      <a:noFill/>
                    </a:ln>
                  </pic:spPr>
                </pic:pic>
              </a:graphicData>
            </a:graphic>
          </wp:inline>
        </w:drawing>
      </w:r>
    </w:p>
    <w:p w:rsidR="00CB26C6" w:rsidRDefault="00CB26C6" w:rsidP="00CB26C6">
      <w:pPr>
        <w:jc w:val="both"/>
        <w:rPr>
          <w:sz w:val="20"/>
        </w:rPr>
      </w:pPr>
    </w:p>
    <w:p w:rsidR="00CB26C6" w:rsidRDefault="00CB26C6" w:rsidP="00CB26C6">
      <w:pPr>
        <w:jc w:val="both"/>
        <w:rPr>
          <w:sz w:val="20"/>
        </w:rPr>
      </w:pPr>
      <w:r w:rsidRPr="009C4693">
        <w:rPr>
          <w:noProof/>
          <w:lang w:val="en-US" w:eastAsia="en-US"/>
        </w:rPr>
        <w:drawing>
          <wp:inline distT="0" distB="0" distL="0" distR="0" wp14:anchorId="71367468" wp14:editId="511CAE4B">
            <wp:extent cx="5760085" cy="2157791"/>
            <wp:effectExtent l="0" t="0" r="0" b="0"/>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760085" cy="2157791"/>
                    </a:xfrm>
                    <a:prstGeom prst="rect">
                      <a:avLst/>
                    </a:prstGeom>
                    <a:noFill/>
                    <a:ln>
                      <a:noFill/>
                    </a:ln>
                  </pic:spPr>
                </pic:pic>
              </a:graphicData>
            </a:graphic>
          </wp:inline>
        </w:drawing>
      </w:r>
    </w:p>
    <w:p w:rsidR="00CB26C6" w:rsidRDefault="00CB26C6" w:rsidP="00CB26C6">
      <w:pPr>
        <w:jc w:val="both"/>
        <w:rPr>
          <w:sz w:val="20"/>
        </w:rPr>
      </w:pPr>
    </w:p>
    <w:p w:rsidR="00CB26C6" w:rsidRDefault="00CB26C6" w:rsidP="00CB26C6">
      <w:pPr>
        <w:jc w:val="both"/>
        <w:rPr>
          <w:sz w:val="20"/>
        </w:rPr>
      </w:pPr>
      <w:r w:rsidRPr="009C4693">
        <w:rPr>
          <w:noProof/>
          <w:lang w:val="en-US" w:eastAsia="en-US"/>
        </w:rPr>
        <w:drawing>
          <wp:inline distT="0" distB="0" distL="0" distR="0" wp14:anchorId="54575E78" wp14:editId="36CFF8A9">
            <wp:extent cx="5760085" cy="2471103"/>
            <wp:effectExtent l="0" t="0" r="0" b="0"/>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60085" cy="2471103"/>
                    </a:xfrm>
                    <a:prstGeom prst="rect">
                      <a:avLst/>
                    </a:prstGeom>
                    <a:noFill/>
                    <a:ln>
                      <a:noFill/>
                    </a:ln>
                  </pic:spPr>
                </pic:pic>
              </a:graphicData>
            </a:graphic>
          </wp:inline>
        </w:drawing>
      </w:r>
    </w:p>
    <w:p w:rsidR="00CB26C6" w:rsidRPr="001B09FE" w:rsidRDefault="00CB26C6" w:rsidP="00CB26C6">
      <w:pPr>
        <w:jc w:val="both"/>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En comparación con 2015, el tiempo medio de tramitación en 2016 aumentó respecto de las seis transacciones de las que se ocupa la IB.  Las disminuciones más importantes en el tiempo medio de tramitación se observaron respecto de las correcciones, las decisiones y las designaciones posteriores.</w:t>
      </w:r>
    </w:p>
    <w:p w:rsidR="00CB26C6" w:rsidRPr="001B09FE" w:rsidRDefault="00CB26C6" w:rsidP="00A34E19">
      <w:pPr>
        <w:jc w:val="both"/>
        <w:rPr>
          <w:rFonts w:eastAsiaTheme="minorHAnsi"/>
          <w:sz w:val="20"/>
        </w:rPr>
      </w:pPr>
    </w:p>
    <w:p w:rsidR="00CB26C6" w:rsidRDefault="00CB26C6" w:rsidP="00AA75F7">
      <w:pPr>
        <w:numPr>
          <w:ilvl w:val="0"/>
          <w:numId w:val="30"/>
        </w:numPr>
        <w:tabs>
          <w:tab w:val="left" w:pos="567"/>
        </w:tabs>
        <w:ind w:left="0" w:firstLine="0"/>
        <w:rPr>
          <w:rFonts w:eastAsiaTheme="minorHAnsi"/>
          <w:b/>
          <w:sz w:val="20"/>
        </w:rPr>
      </w:pPr>
      <w:r w:rsidRPr="001B09FE">
        <w:rPr>
          <w:rFonts w:eastAsiaTheme="minorHAnsi"/>
          <w:b/>
          <w:sz w:val="20"/>
        </w:rPr>
        <w:t>Calidad del examen</w:t>
      </w:r>
    </w:p>
    <w:p w:rsidR="00A34E19" w:rsidRPr="00A34E19" w:rsidRDefault="00A34E19" w:rsidP="00A34E19">
      <w:pPr>
        <w:tabs>
          <w:tab w:val="left" w:pos="567"/>
        </w:tabs>
        <w:rPr>
          <w:rFonts w:eastAsia="Times New Roman"/>
          <w:sz w:val="20"/>
          <w:lang w:eastAsia="en-US"/>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Los indicadores principales sobre la calidad global del examen de solicitudes de registro de marca, elaborados por la IB y que se presentan a continuación, son el resultado del control de calidad realizado tras la aplicación del Marco de Gestión de la Calidad del Registro de Madrid en 2015, de conformidad con las directrices de la certificación ISO 9001:2015 e ISO 2859.</w:t>
      </w:r>
      <w:r w:rsidRPr="001B09FE">
        <w:rPr>
          <w:rStyle w:val="FootnoteReference"/>
          <w:rFonts w:cs="Arial"/>
        </w:rPr>
        <w:footnoteReference w:id="40"/>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Existen dos fuentes de información sobre la calidad de la labor de examen realizada por la IB:</w:t>
      </w:r>
    </w:p>
    <w:p w:rsidR="00CB26C6" w:rsidRPr="001B09FE" w:rsidRDefault="00CB26C6" w:rsidP="00CB26C6">
      <w:pPr>
        <w:rPr>
          <w:sz w:val="20"/>
        </w:rPr>
      </w:pPr>
    </w:p>
    <w:p w:rsidR="00CB26C6" w:rsidRPr="001B09FE" w:rsidRDefault="00CB26C6" w:rsidP="00185608">
      <w:pPr>
        <w:pStyle w:val="ListParagraph"/>
        <w:numPr>
          <w:ilvl w:val="1"/>
          <w:numId w:val="34"/>
        </w:numPr>
        <w:tabs>
          <w:tab w:val="left" w:pos="567"/>
        </w:tabs>
        <w:ind w:left="567" w:firstLine="0"/>
        <w:contextualSpacing/>
        <w:jc w:val="both"/>
        <w:rPr>
          <w:rFonts w:cs="Arial"/>
          <w:lang w:val="es-ES"/>
        </w:rPr>
      </w:pPr>
      <w:r w:rsidRPr="001B09FE">
        <w:rPr>
          <w:rFonts w:cs="Arial"/>
          <w:lang w:val="es-ES"/>
        </w:rPr>
        <w:t>Los resultados de la revisión interna de las muestras de las transacciones que conforman el examen;  y</w:t>
      </w:r>
    </w:p>
    <w:p w:rsidR="00CB26C6" w:rsidRPr="001B09FE" w:rsidRDefault="00CB26C6" w:rsidP="00CB26C6">
      <w:pPr>
        <w:pStyle w:val="ListParagraph"/>
        <w:tabs>
          <w:tab w:val="left" w:pos="567"/>
          <w:tab w:val="left" w:pos="1134"/>
        </w:tabs>
        <w:ind w:left="567"/>
        <w:jc w:val="both"/>
        <w:rPr>
          <w:rFonts w:cs="Arial"/>
          <w:lang w:val="es-ES"/>
        </w:rPr>
      </w:pPr>
    </w:p>
    <w:p w:rsidR="00CB26C6" w:rsidRPr="001B09FE" w:rsidRDefault="00CB26C6" w:rsidP="00185608">
      <w:pPr>
        <w:pStyle w:val="ListParagraph"/>
        <w:numPr>
          <w:ilvl w:val="1"/>
          <w:numId w:val="34"/>
        </w:numPr>
        <w:tabs>
          <w:tab w:val="left" w:pos="567"/>
        </w:tabs>
        <w:ind w:left="567" w:firstLine="0"/>
        <w:contextualSpacing/>
        <w:jc w:val="both"/>
        <w:rPr>
          <w:rFonts w:cs="Arial"/>
          <w:lang w:val="es-ES"/>
        </w:rPr>
      </w:pPr>
      <w:r w:rsidRPr="001B09FE">
        <w:rPr>
          <w:rFonts w:cs="Arial"/>
          <w:lang w:val="es-ES"/>
        </w:rPr>
        <w:t>Los errores cometidos por la IB, y confirmados como tales, tras la recepción de peticiones de corrección de conformidad con la Regla 28 del Reglamento Común.</w:t>
      </w:r>
    </w:p>
    <w:p w:rsidR="00CB26C6" w:rsidRPr="001B09FE" w:rsidRDefault="00CB26C6" w:rsidP="00CB26C6">
      <w:pPr>
        <w:rPr>
          <w:sz w:val="20"/>
        </w:rPr>
      </w:pPr>
    </w:p>
    <w:p w:rsidR="00CB26C6" w:rsidRPr="001B09FE" w:rsidRDefault="00CB26C6" w:rsidP="00CB26C6">
      <w:pPr>
        <w:spacing w:line="276" w:lineRule="auto"/>
        <w:rPr>
          <w:rFonts w:eastAsiaTheme="minorHAnsi"/>
          <w:i/>
          <w:sz w:val="20"/>
        </w:rPr>
      </w:pPr>
      <w:r w:rsidRPr="001B09FE">
        <w:rPr>
          <w:rFonts w:eastAsiaTheme="minorHAnsi"/>
          <w:i/>
          <w:sz w:val="20"/>
        </w:rPr>
        <w:t>Revisión de las muestras de las transacciones que conforman el examen</w:t>
      </w:r>
    </w:p>
    <w:p w:rsidR="00CB26C6" w:rsidRPr="001B09FE" w:rsidRDefault="00CB26C6" w:rsidP="00CB26C6">
      <w:pPr>
        <w:spacing w:line="276" w:lineRule="auto"/>
        <w:rPr>
          <w:rFonts w:eastAsiaTheme="minorHAnsi"/>
          <w:iCs/>
          <w:sz w:val="20"/>
        </w:rPr>
      </w:pPr>
    </w:p>
    <w:p w:rsidR="00CB26C6" w:rsidRPr="001B09FE" w:rsidRDefault="00CB26C6" w:rsidP="00AA75F7">
      <w:pPr>
        <w:pStyle w:val="ListParagraph"/>
        <w:numPr>
          <w:ilvl w:val="0"/>
          <w:numId w:val="34"/>
        </w:numPr>
        <w:tabs>
          <w:tab w:val="left" w:pos="0"/>
        </w:tabs>
        <w:ind w:left="0" w:firstLine="0"/>
        <w:contextualSpacing/>
        <w:jc w:val="both"/>
        <w:rPr>
          <w:rFonts w:cs="Arial"/>
          <w:lang w:val="es-ES"/>
        </w:rPr>
      </w:pPr>
      <w:r w:rsidRPr="001B09FE">
        <w:rPr>
          <w:rFonts w:cs="Arial"/>
          <w:lang w:val="es-ES"/>
        </w:rPr>
        <w:t xml:space="preserve">El control de calidad se llevó a cabo teniendo en cuenta el tamaño de las muestras siguientes en el contexto de las transacciones tramitadas manualmente en 2016.  </w:t>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1.444 solicitudes en relación con la Clasificación de Niza</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1.499 solicitudes de examen de forma (APEX)</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540 decisiones</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1.188 solicitudes de modificación</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310 solicitudes de renovación</w:t>
      </w:r>
    </w:p>
    <w:p w:rsidR="00CB26C6" w:rsidRPr="001B09FE" w:rsidRDefault="00CB26C6" w:rsidP="00CB26C6">
      <w:pPr>
        <w:pStyle w:val="ListParagraph"/>
        <w:tabs>
          <w:tab w:val="left" w:pos="567"/>
        </w:tabs>
        <w:ind w:left="0"/>
        <w:jc w:val="both"/>
        <w:rPr>
          <w:rFonts w:cs="Arial"/>
          <w:lang w:val="es-ES"/>
        </w:rPr>
      </w:pPr>
    </w:p>
    <w:p w:rsidR="00CB26C6" w:rsidRPr="001B09FE" w:rsidRDefault="00CB26C6" w:rsidP="00185608">
      <w:pPr>
        <w:pStyle w:val="ListParagraph"/>
        <w:numPr>
          <w:ilvl w:val="0"/>
          <w:numId w:val="34"/>
        </w:numPr>
        <w:ind w:left="0" w:firstLine="0"/>
        <w:contextualSpacing/>
        <w:jc w:val="both"/>
        <w:rPr>
          <w:rFonts w:cs="Arial"/>
          <w:lang w:val="es-ES"/>
        </w:rPr>
      </w:pPr>
      <w:r w:rsidRPr="001B09FE">
        <w:rPr>
          <w:rFonts w:cs="Arial"/>
          <w:lang w:val="es-ES"/>
        </w:rPr>
        <w:t>Se establece un nivel de calidad aceptable para cada transacción, siendo este el criterio fijado para calibrar la calidad del examen de las solicitudes de registro de marca.</w:t>
      </w:r>
    </w:p>
    <w:p w:rsidR="00CB26C6" w:rsidRPr="001B09FE" w:rsidRDefault="00CB26C6" w:rsidP="00CB26C6">
      <w:pPr>
        <w:pStyle w:val="ListParagraph"/>
        <w:tabs>
          <w:tab w:val="left" w:pos="567"/>
        </w:tabs>
        <w:jc w:val="both"/>
        <w:rPr>
          <w:rFonts w:cs="Arial"/>
          <w:lang w:val="es-ES"/>
        </w:rPr>
      </w:pPr>
    </w:p>
    <w:p w:rsidR="00CB26C6" w:rsidRPr="001B09FE" w:rsidRDefault="00CB26C6" w:rsidP="00CB26C6">
      <w:pPr>
        <w:tabs>
          <w:tab w:val="left" w:pos="567"/>
        </w:tabs>
        <w:ind w:left="360"/>
        <w:jc w:val="center"/>
        <w:rPr>
          <w:sz w:val="20"/>
        </w:rPr>
      </w:pPr>
      <w:r w:rsidRPr="001B09FE">
        <w:rPr>
          <w:noProof/>
          <w:sz w:val="20"/>
          <w:lang w:val="en-US" w:eastAsia="en-US"/>
        </w:rPr>
        <w:drawing>
          <wp:inline distT="0" distB="0" distL="0" distR="0" wp14:anchorId="638347C7" wp14:editId="3E659C12">
            <wp:extent cx="4905375" cy="2933700"/>
            <wp:effectExtent l="0" t="0" r="0" b="0"/>
            <wp:docPr id="1132" name="Chart 113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CB26C6" w:rsidRPr="001B09FE" w:rsidRDefault="00CB26C6" w:rsidP="00CB26C6">
      <w:pPr>
        <w:tabs>
          <w:tab w:val="left" w:pos="567"/>
        </w:tabs>
        <w:ind w:left="360"/>
        <w:jc w:val="both"/>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El nivel global de calidad obtenido en 2016 superó en un punto porcentual el nivel de calidad aceptable.</w:t>
      </w:r>
    </w:p>
    <w:p w:rsidR="00CB26C6" w:rsidRPr="001B09FE" w:rsidRDefault="00CB26C6" w:rsidP="00CB26C6">
      <w:pPr>
        <w:tabs>
          <w:tab w:val="left" w:pos="567"/>
        </w:tabs>
        <w:jc w:val="both"/>
        <w:rPr>
          <w:sz w:val="20"/>
        </w:rPr>
      </w:pPr>
    </w:p>
    <w:p w:rsidR="00CB26C6" w:rsidRPr="001B09FE" w:rsidRDefault="00CB26C6" w:rsidP="00CB26C6">
      <w:pPr>
        <w:tabs>
          <w:tab w:val="left" w:pos="567"/>
        </w:tabs>
        <w:ind w:left="360"/>
        <w:jc w:val="center"/>
        <w:rPr>
          <w:sz w:val="20"/>
        </w:rPr>
      </w:pPr>
      <w:r w:rsidRPr="001B09FE">
        <w:rPr>
          <w:noProof/>
          <w:sz w:val="20"/>
          <w:lang w:val="en-US" w:eastAsia="en-US"/>
        </w:rPr>
        <w:lastRenderedPageBreak/>
        <w:drawing>
          <wp:inline distT="0" distB="0" distL="0" distR="0" wp14:anchorId="5B214544" wp14:editId="266B1CAB">
            <wp:extent cx="4848225" cy="2752725"/>
            <wp:effectExtent l="0" t="0" r="0" b="0"/>
            <wp:docPr id="1133" name="Chart 113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r w:rsidRPr="001B09FE">
        <w:rPr>
          <w:noProof/>
          <w:sz w:val="20"/>
        </w:rPr>
        <w:t xml:space="preserve"> </w:t>
      </w:r>
    </w:p>
    <w:p w:rsidR="00CB26C6" w:rsidRPr="001B09FE" w:rsidRDefault="00CB26C6" w:rsidP="00046CA2">
      <w:pPr>
        <w:tabs>
          <w:tab w:val="left" w:pos="567"/>
        </w:tabs>
        <w:ind w:left="360"/>
        <w:jc w:val="both"/>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 xml:space="preserve">El nivel global de calidad obtenido se situó en un punto porcentual por debajo del nivel de calidad aceptable para 2016 debido principalmente a la incorrecta inscripción de los datos de solicitantes y mandatarios. </w:t>
      </w:r>
    </w:p>
    <w:p w:rsidR="00CB26C6" w:rsidRPr="001B09FE" w:rsidRDefault="00CB26C6" w:rsidP="00046CA2">
      <w:pPr>
        <w:tabs>
          <w:tab w:val="left" w:pos="567"/>
        </w:tabs>
        <w:jc w:val="both"/>
        <w:rPr>
          <w:sz w:val="20"/>
        </w:rPr>
      </w:pPr>
    </w:p>
    <w:p w:rsidR="00CB26C6" w:rsidRPr="001B09FE" w:rsidRDefault="00CB26C6" w:rsidP="00CB26C6">
      <w:pPr>
        <w:tabs>
          <w:tab w:val="left" w:pos="567"/>
        </w:tabs>
        <w:jc w:val="center"/>
        <w:rPr>
          <w:sz w:val="20"/>
        </w:rPr>
      </w:pPr>
      <w:r w:rsidRPr="001B09FE">
        <w:rPr>
          <w:noProof/>
          <w:sz w:val="20"/>
          <w:lang w:val="en-US" w:eastAsia="en-US"/>
        </w:rPr>
        <w:drawing>
          <wp:inline distT="0" distB="0" distL="0" distR="0" wp14:anchorId="7637933A" wp14:editId="4D18005F">
            <wp:extent cx="4371975" cy="2619375"/>
            <wp:effectExtent l="0" t="0" r="0" b="0"/>
            <wp:docPr id="1134" name="Chart 113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CB26C6" w:rsidRPr="001B09FE" w:rsidRDefault="00CB26C6" w:rsidP="00046CA2">
      <w:pPr>
        <w:tabs>
          <w:tab w:val="left" w:pos="567"/>
        </w:tabs>
        <w:jc w:val="both"/>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 xml:space="preserve">El nivel global de calidad obtenido en la tramitación de las decisiones se situó en 2016 en </w:t>
      </w:r>
      <w:r w:rsidR="001733AD">
        <w:rPr>
          <w:rFonts w:eastAsiaTheme="minorHAnsi"/>
          <w:sz w:val="20"/>
        </w:rPr>
        <w:t>1</w:t>
      </w:r>
      <w:r w:rsidRPr="001B09FE">
        <w:rPr>
          <w:rFonts w:eastAsiaTheme="minorHAnsi"/>
          <w:sz w:val="20"/>
        </w:rPr>
        <w:t xml:space="preserve"> punto porcentual por debajo del objetivo.</w:t>
      </w:r>
    </w:p>
    <w:p w:rsidR="00CB26C6" w:rsidRPr="001B09FE" w:rsidRDefault="00CB26C6" w:rsidP="00046CA2">
      <w:pPr>
        <w:tabs>
          <w:tab w:val="left" w:pos="567"/>
        </w:tabs>
        <w:jc w:val="both"/>
        <w:rPr>
          <w:sz w:val="20"/>
        </w:rPr>
      </w:pPr>
    </w:p>
    <w:p w:rsidR="00CB26C6" w:rsidRPr="001B09FE" w:rsidRDefault="00CB26C6" w:rsidP="00CB26C6">
      <w:pPr>
        <w:tabs>
          <w:tab w:val="left" w:pos="567"/>
        </w:tabs>
        <w:jc w:val="center"/>
        <w:rPr>
          <w:sz w:val="20"/>
        </w:rPr>
      </w:pPr>
      <w:r w:rsidRPr="001B09FE">
        <w:rPr>
          <w:noProof/>
          <w:sz w:val="20"/>
          <w:lang w:val="en-US" w:eastAsia="en-US"/>
        </w:rPr>
        <w:lastRenderedPageBreak/>
        <w:drawing>
          <wp:inline distT="0" distB="0" distL="0" distR="0" wp14:anchorId="2CD3105C" wp14:editId="382756B7">
            <wp:extent cx="4391025" cy="2628900"/>
            <wp:effectExtent l="0" t="0" r="0" b="0"/>
            <wp:docPr id="1135" name="Chart 1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r w:rsidRPr="001B09FE">
        <w:rPr>
          <w:noProof/>
          <w:sz w:val="20"/>
        </w:rPr>
        <w:t xml:space="preserve"> </w:t>
      </w:r>
    </w:p>
    <w:p w:rsidR="00CB26C6" w:rsidRPr="001B09FE" w:rsidRDefault="00CB26C6" w:rsidP="00CB26C6">
      <w:pPr>
        <w:tabs>
          <w:tab w:val="left" w:pos="567"/>
        </w:tabs>
        <w:jc w:val="center"/>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El nivel global de calidad obtenido coincidió con el que se había prefijado, es decir, el 95%.  Sin embargo, se observó el mismo problema que en el caso del examen de forma.</w:t>
      </w:r>
    </w:p>
    <w:p w:rsidR="00CB26C6" w:rsidRPr="001B09FE" w:rsidRDefault="00CB26C6" w:rsidP="00CB26C6">
      <w:pPr>
        <w:pStyle w:val="ListParagraph"/>
        <w:tabs>
          <w:tab w:val="left" w:pos="567"/>
        </w:tabs>
        <w:ind w:left="1080"/>
        <w:jc w:val="both"/>
        <w:rPr>
          <w:rFonts w:cs="Arial"/>
          <w:lang w:val="es-ES"/>
        </w:rPr>
      </w:pPr>
    </w:p>
    <w:p w:rsidR="00CB26C6" w:rsidRPr="001B09FE" w:rsidRDefault="00CB26C6" w:rsidP="00CB26C6">
      <w:pPr>
        <w:jc w:val="center"/>
        <w:rPr>
          <w:sz w:val="20"/>
        </w:rPr>
      </w:pPr>
      <w:r w:rsidRPr="001B09FE">
        <w:rPr>
          <w:noProof/>
          <w:sz w:val="20"/>
          <w:lang w:val="en-US" w:eastAsia="en-US"/>
        </w:rPr>
        <w:drawing>
          <wp:inline distT="0" distB="0" distL="0" distR="0" wp14:anchorId="58367449" wp14:editId="3C17EB23">
            <wp:extent cx="4419600" cy="2838450"/>
            <wp:effectExtent l="0" t="0" r="0" b="0"/>
            <wp:docPr id="1136" name="Chart 1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CB26C6" w:rsidRPr="001B09FE" w:rsidRDefault="00CB26C6" w:rsidP="00CB26C6">
      <w:pPr>
        <w:jc w:val="center"/>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 xml:space="preserve">El nivel global de calidad obtenido en la tramitación de renovaciones se situó en 2016 en </w:t>
      </w:r>
      <w:r w:rsidR="001733AD">
        <w:rPr>
          <w:rFonts w:eastAsiaTheme="minorHAnsi"/>
          <w:sz w:val="20"/>
        </w:rPr>
        <w:t>1</w:t>
      </w:r>
      <w:r w:rsidRPr="001B09FE">
        <w:rPr>
          <w:rFonts w:eastAsiaTheme="minorHAnsi"/>
          <w:sz w:val="20"/>
        </w:rPr>
        <w:t xml:space="preserve"> punto porcentual por encima del objetivo.</w:t>
      </w:r>
    </w:p>
    <w:p w:rsidR="00CB26C6" w:rsidRPr="001B09FE" w:rsidRDefault="00CB26C6" w:rsidP="00CB26C6">
      <w:pPr>
        <w:ind w:left="1134"/>
        <w:jc w:val="both"/>
        <w:rPr>
          <w:rFonts w:eastAsiaTheme="minorHAnsi"/>
          <w:sz w:val="20"/>
        </w:rPr>
      </w:pPr>
    </w:p>
    <w:p w:rsidR="00CB26C6" w:rsidRPr="001B09FE" w:rsidRDefault="00CB26C6" w:rsidP="00CB26C6">
      <w:pPr>
        <w:spacing w:line="276" w:lineRule="auto"/>
        <w:rPr>
          <w:rFonts w:eastAsiaTheme="minorHAnsi"/>
          <w:i/>
          <w:sz w:val="20"/>
        </w:rPr>
      </w:pPr>
      <w:r w:rsidRPr="001B09FE">
        <w:rPr>
          <w:rFonts w:eastAsiaTheme="minorHAnsi"/>
          <w:i/>
          <w:sz w:val="20"/>
        </w:rPr>
        <w:t>Errores cometidos por la IB</w:t>
      </w:r>
    </w:p>
    <w:p w:rsidR="00CB26C6" w:rsidRPr="001B09FE" w:rsidRDefault="00CB26C6" w:rsidP="00CB26C6">
      <w:pPr>
        <w:spacing w:line="276" w:lineRule="auto"/>
        <w:rPr>
          <w:rFonts w:eastAsiaTheme="minorHAnsi"/>
          <w:iCs/>
          <w:sz w:val="20"/>
        </w:rPr>
      </w:pPr>
    </w:p>
    <w:p w:rsidR="00CB26C6" w:rsidRPr="001B09FE" w:rsidRDefault="00CB26C6" w:rsidP="00AA75F7">
      <w:pPr>
        <w:pStyle w:val="ListParagraph"/>
        <w:numPr>
          <w:ilvl w:val="0"/>
          <w:numId w:val="34"/>
        </w:numPr>
        <w:tabs>
          <w:tab w:val="left" w:pos="0"/>
        </w:tabs>
        <w:ind w:left="0" w:firstLine="0"/>
        <w:contextualSpacing/>
        <w:jc w:val="both"/>
        <w:rPr>
          <w:rFonts w:cs="Arial"/>
          <w:lang w:val="es-ES"/>
        </w:rPr>
      </w:pPr>
      <w:r w:rsidRPr="001B09FE">
        <w:rPr>
          <w:rFonts w:cs="Arial"/>
          <w:lang w:val="es-ES"/>
        </w:rPr>
        <w:t>La distribución de errores que se expone en los gráficos que figuran a continuación se basa en el análisis de las muestras siguientes de transacciones de 2016</w:t>
      </w:r>
      <w:r>
        <w:rPr>
          <w:rFonts w:cs="Arial"/>
          <w:lang w:val="es-ES"/>
        </w:rPr>
        <w:t>.</w:t>
      </w:r>
      <w:r w:rsidRPr="001B09FE">
        <w:rPr>
          <w:rFonts w:cs="Arial"/>
          <w:vertAlign w:val="superscript"/>
          <w:lang w:val="es-ES"/>
        </w:rPr>
        <w:footnoteReference w:id="41"/>
      </w:r>
    </w:p>
    <w:p w:rsidR="00CB26C6" w:rsidRPr="001B09FE" w:rsidRDefault="00CB26C6" w:rsidP="00CB26C6">
      <w:pPr>
        <w:pStyle w:val="ListParagraph"/>
        <w:tabs>
          <w:tab w:val="left" w:pos="567"/>
        </w:tabs>
        <w:jc w:val="both"/>
        <w:rPr>
          <w:rFonts w:cs="Arial"/>
          <w:lang w:val="es-ES"/>
        </w:rPr>
      </w:pP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371 clasificaciones</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250 exámenes de forma (APEX)</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276 renovaciones</w:t>
      </w:r>
    </w:p>
    <w:p w:rsidR="00CB26C6" w:rsidRPr="001B09FE" w:rsidRDefault="00CB26C6" w:rsidP="00AA75F7">
      <w:pPr>
        <w:numPr>
          <w:ilvl w:val="0"/>
          <w:numId w:val="29"/>
        </w:numPr>
        <w:tabs>
          <w:tab w:val="clear" w:pos="720"/>
          <w:tab w:val="num" w:pos="1134"/>
        </w:tabs>
        <w:spacing w:after="120"/>
        <w:ind w:left="567" w:firstLine="0"/>
        <w:jc w:val="both"/>
        <w:rPr>
          <w:rFonts w:eastAsiaTheme="minorHAnsi"/>
          <w:sz w:val="20"/>
        </w:rPr>
      </w:pPr>
      <w:r w:rsidRPr="001B09FE">
        <w:rPr>
          <w:rFonts w:eastAsiaTheme="minorHAnsi"/>
          <w:sz w:val="20"/>
        </w:rPr>
        <w:t>293 modificaciones</w:t>
      </w:r>
    </w:p>
    <w:p w:rsidR="00CB26C6" w:rsidRPr="001B09FE" w:rsidRDefault="00CB26C6" w:rsidP="00CB26C6">
      <w:pPr>
        <w:pStyle w:val="ListParagraph"/>
        <w:jc w:val="center"/>
        <w:rPr>
          <w:rFonts w:cs="Arial"/>
          <w:lang w:val="es-ES"/>
        </w:rPr>
      </w:pPr>
      <w:r w:rsidRPr="001B09FE">
        <w:rPr>
          <w:rFonts w:cs="Arial"/>
          <w:noProof/>
        </w:rPr>
        <w:lastRenderedPageBreak/>
        <w:drawing>
          <wp:inline distT="0" distB="0" distL="0" distR="0" wp14:anchorId="7CA476A7" wp14:editId="4C68D5CF">
            <wp:extent cx="5472000" cy="3126564"/>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72000" cy="3126564"/>
                    </a:xfrm>
                    <a:prstGeom prst="rect">
                      <a:avLst/>
                    </a:prstGeom>
                    <a:noFill/>
                    <a:ln>
                      <a:noFill/>
                    </a:ln>
                  </pic:spPr>
                </pic:pic>
              </a:graphicData>
            </a:graphic>
          </wp:inline>
        </w:drawing>
      </w:r>
      <w:r w:rsidRPr="001B09FE">
        <w:rPr>
          <w:rFonts w:cs="Arial"/>
          <w:lang w:val="es-ES"/>
        </w:rPr>
        <w:t xml:space="preserve"> </w:t>
      </w:r>
    </w:p>
    <w:p w:rsidR="00CB26C6" w:rsidRPr="001B09FE" w:rsidRDefault="00CB26C6" w:rsidP="00CB26C6">
      <w:pPr>
        <w:jc w:val="center"/>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Las deficiencias del sistema de T.I. (MIRIS) supusieron el 45,3% de los errores de clasificación en 2016, lo que constituyó un aumento de 32,6 puntos porcentuales con respecto a 2015.</w:t>
      </w:r>
    </w:p>
    <w:p w:rsidR="00CB26C6" w:rsidRPr="001B09FE" w:rsidRDefault="00CB26C6" w:rsidP="00CB26C6">
      <w:pPr>
        <w:rPr>
          <w:sz w:val="20"/>
        </w:rPr>
      </w:pPr>
    </w:p>
    <w:p w:rsidR="00CB26C6" w:rsidRPr="001B09FE" w:rsidRDefault="00CB26C6" w:rsidP="00CB26C6">
      <w:pPr>
        <w:jc w:val="center"/>
        <w:rPr>
          <w:sz w:val="20"/>
        </w:rPr>
      </w:pPr>
      <w:r w:rsidRPr="001B09FE">
        <w:rPr>
          <w:noProof/>
          <w:sz w:val="20"/>
          <w:lang w:val="en-US" w:eastAsia="en-US"/>
        </w:rPr>
        <w:drawing>
          <wp:inline distT="0" distB="0" distL="0" distR="0" wp14:anchorId="6CDF4AAD" wp14:editId="4D40BEF1">
            <wp:extent cx="5760000" cy="3361828"/>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0000" cy="3361828"/>
                    </a:xfrm>
                    <a:prstGeom prst="rect">
                      <a:avLst/>
                    </a:prstGeom>
                    <a:noFill/>
                    <a:ln>
                      <a:noFill/>
                    </a:ln>
                  </pic:spPr>
                </pic:pic>
              </a:graphicData>
            </a:graphic>
          </wp:inline>
        </w:drawing>
      </w:r>
      <w:r w:rsidRPr="001B09FE">
        <w:rPr>
          <w:sz w:val="20"/>
        </w:rPr>
        <w:t xml:space="preserve"> </w:t>
      </w:r>
    </w:p>
    <w:p w:rsidR="00CB26C6" w:rsidRPr="001B09FE" w:rsidRDefault="00CB26C6" w:rsidP="00CB26C6">
      <w:pPr>
        <w:jc w:val="center"/>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En 2016, la mayoría de las correcciones realizadas en el examen de forma se debían a errores al transcribir datos del solicitante (38</w:t>
      </w:r>
      <w:r>
        <w:rPr>
          <w:rFonts w:eastAsiaTheme="minorHAnsi"/>
          <w:sz w:val="20"/>
        </w:rPr>
        <w:t>,4</w:t>
      </w:r>
      <w:r w:rsidRPr="001B09FE">
        <w:rPr>
          <w:rFonts w:eastAsiaTheme="minorHAnsi"/>
          <w:sz w:val="20"/>
        </w:rPr>
        <w:t>%) y a problemas en el sistema informático (10,8%).</w:t>
      </w:r>
    </w:p>
    <w:p w:rsidR="00CB26C6" w:rsidRPr="001B09FE" w:rsidRDefault="00CB26C6" w:rsidP="00CB26C6">
      <w:pPr>
        <w:pStyle w:val="ListParagraph"/>
        <w:rPr>
          <w:rFonts w:cs="Arial"/>
          <w:lang w:val="es-ES"/>
        </w:rPr>
      </w:pPr>
    </w:p>
    <w:p w:rsidR="00CB26C6" w:rsidRPr="001B09FE" w:rsidRDefault="00CB26C6" w:rsidP="00CB26C6">
      <w:pPr>
        <w:jc w:val="center"/>
        <w:rPr>
          <w:sz w:val="20"/>
        </w:rPr>
      </w:pPr>
      <w:r w:rsidRPr="001B09FE">
        <w:rPr>
          <w:noProof/>
          <w:sz w:val="20"/>
          <w:lang w:val="en-US" w:eastAsia="en-US"/>
        </w:rPr>
        <w:lastRenderedPageBreak/>
        <w:drawing>
          <wp:inline distT="0" distB="0" distL="0" distR="0" wp14:anchorId="47E9F333" wp14:editId="7523C896">
            <wp:extent cx="5385908" cy="3272144"/>
            <wp:effectExtent l="0" t="0" r="5715" b="508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390517" cy="3274944"/>
                    </a:xfrm>
                    <a:prstGeom prst="rect">
                      <a:avLst/>
                    </a:prstGeom>
                    <a:noFill/>
                    <a:ln>
                      <a:noFill/>
                    </a:ln>
                  </pic:spPr>
                </pic:pic>
              </a:graphicData>
            </a:graphic>
          </wp:inline>
        </w:drawing>
      </w:r>
      <w:r w:rsidRPr="001B09FE">
        <w:rPr>
          <w:sz w:val="20"/>
        </w:rPr>
        <w:t xml:space="preserve"> </w:t>
      </w:r>
    </w:p>
    <w:p w:rsidR="00CB26C6" w:rsidRPr="001B09FE" w:rsidRDefault="00CB26C6" w:rsidP="00CB26C6">
      <w:pPr>
        <w:jc w:val="center"/>
        <w:rPr>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En 2015, el análisis de los errores relacionados con las modificaciones se expuso por tipo de modificación en lugar de indicarse por tipo de error.  En 2016, se modificó este método para ponerlo en concordancia con el análisis de las demás transacciones.  No se dispone de los datos de 2015 por tipo de error.</w:t>
      </w:r>
    </w:p>
    <w:p w:rsidR="00CB26C6" w:rsidRPr="001B09FE" w:rsidRDefault="00CB26C6" w:rsidP="00CB26C6">
      <w:pPr>
        <w:ind w:left="1134"/>
        <w:jc w:val="both"/>
        <w:rPr>
          <w:rFonts w:eastAsiaTheme="minorHAnsi"/>
          <w:sz w:val="20"/>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En 2016, alrededor del 4</w:t>
      </w:r>
      <w:r>
        <w:rPr>
          <w:rFonts w:eastAsiaTheme="minorHAnsi"/>
          <w:sz w:val="20"/>
        </w:rPr>
        <w:t>2,2</w:t>
      </w:r>
      <w:r w:rsidRPr="001B09FE">
        <w:rPr>
          <w:rFonts w:eastAsiaTheme="minorHAnsi"/>
          <w:sz w:val="20"/>
        </w:rPr>
        <w:t>% de las correcciones en las modificaciones se debieron a errores en la introducción de datos de los titulares (38,4%) y mandatarios (3,8%).  El 16.4% de los errores estuvo relacionado con los productos y servicios.</w:t>
      </w:r>
    </w:p>
    <w:p w:rsidR="00CB26C6" w:rsidRPr="001B09FE" w:rsidRDefault="00CB26C6" w:rsidP="00CB26C6">
      <w:pPr>
        <w:jc w:val="center"/>
        <w:rPr>
          <w:sz w:val="20"/>
        </w:rPr>
      </w:pPr>
    </w:p>
    <w:p w:rsidR="00CB26C6" w:rsidRPr="001B09FE" w:rsidRDefault="00CB26C6" w:rsidP="00CB26C6">
      <w:pPr>
        <w:jc w:val="center"/>
        <w:rPr>
          <w:sz w:val="20"/>
        </w:rPr>
      </w:pPr>
      <w:r w:rsidRPr="001B09FE">
        <w:rPr>
          <w:noProof/>
          <w:sz w:val="20"/>
          <w:lang w:val="en-US" w:eastAsia="en-US"/>
        </w:rPr>
        <w:drawing>
          <wp:inline distT="0" distB="0" distL="0" distR="0" wp14:anchorId="78D31342" wp14:editId="5496B30D">
            <wp:extent cx="5437861" cy="317182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60692" cy="3185142"/>
                    </a:xfrm>
                    <a:prstGeom prst="rect">
                      <a:avLst/>
                    </a:prstGeom>
                    <a:noFill/>
                    <a:ln>
                      <a:noFill/>
                    </a:ln>
                  </pic:spPr>
                </pic:pic>
              </a:graphicData>
            </a:graphic>
          </wp:inline>
        </w:drawing>
      </w:r>
      <w:r w:rsidRPr="001B09FE">
        <w:rPr>
          <w:sz w:val="20"/>
        </w:rPr>
        <w:t xml:space="preserve"> </w:t>
      </w:r>
    </w:p>
    <w:p w:rsidR="00CB26C6" w:rsidRPr="00046CA2" w:rsidRDefault="00CB26C6" w:rsidP="00CB26C6">
      <w:pPr>
        <w:jc w:val="center"/>
        <w:rPr>
          <w:sz w:val="16"/>
          <w:szCs w:val="16"/>
        </w:rPr>
      </w:pPr>
    </w:p>
    <w:p w:rsidR="00CB26C6" w:rsidRPr="001B09FE" w:rsidRDefault="00CB26C6" w:rsidP="00185608">
      <w:pPr>
        <w:numPr>
          <w:ilvl w:val="0"/>
          <w:numId w:val="33"/>
        </w:numPr>
        <w:tabs>
          <w:tab w:val="num" w:pos="1134"/>
        </w:tabs>
        <w:ind w:left="1134" w:hanging="567"/>
        <w:jc w:val="both"/>
        <w:rPr>
          <w:rFonts w:eastAsiaTheme="minorHAnsi"/>
          <w:sz w:val="20"/>
        </w:rPr>
      </w:pPr>
      <w:r w:rsidRPr="001B09FE">
        <w:rPr>
          <w:rFonts w:eastAsiaTheme="minorHAnsi"/>
          <w:sz w:val="20"/>
        </w:rPr>
        <w:t>El aumento del porcentaje de errores debido a fallos de los sistemas de T.I. se debió principalmente a la puesta en marcha en 2016 del nuevo sistema de T.I.</w:t>
      </w:r>
    </w:p>
    <w:p w:rsidR="00CB26C6" w:rsidRPr="001B09FE" w:rsidRDefault="00CB26C6" w:rsidP="00CB26C6">
      <w:pPr>
        <w:pStyle w:val="ListParagraph"/>
        <w:rPr>
          <w:rFonts w:cs="Arial"/>
          <w:lang w:val="es-ES"/>
        </w:rPr>
      </w:pPr>
    </w:p>
    <w:p w:rsidR="00CB26C6" w:rsidRPr="001B09FE" w:rsidRDefault="00CB26C6" w:rsidP="00CB26C6">
      <w:pPr>
        <w:pStyle w:val="ListParagraph"/>
        <w:rPr>
          <w:rFonts w:cs="Arial"/>
          <w:lang w:val="es-ES"/>
        </w:rPr>
      </w:pPr>
    </w:p>
    <w:p w:rsidR="00046CA2" w:rsidRDefault="00CB26C6" w:rsidP="00046CA2">
      <w:pPr>
        <w:pStyle w:val="ListParagraph"/>
        <w:ind w:left="0" w:hanging="11"/>
        <w:jc w:val="right"/>
        <w:rPr>
          <w:rFonts w:cs="Arial"/>
          <w:lang w:val="es-ES"/>
        </w:rPr>
      </w:pPr>
      <w:r w:rsidRPr="001B09FE">
        <w:rPr>
          <w:rFonts w:cs="Arial"/>
          <w:lang w:val="es-ES"/>
        </w:rPr>
        <w:t>[Fin del Anexo]</w:t>
      </w:r>
    </w:p>
    <w:p w:rsidR="00046CA2" w:rsidRDefault="00046CA2">
      <w:pPr>
        <w:rPr>
          <w:rFonts w:eastAsia="Times New Roman"/>
          <w:sz w:val="20"/>
          <w:lang w:eastAsia="en-US"/>
        </w:rPr>
      </w:pPr>
      <w:r>
        <w:br w:type="page"/>
      </w:r>
    </w:p>
    <w:p w:rsidR="00E26770" w:rsidRPr="00E126D2" w:rsidRDefault="00E26770" w:rsidP="00230FAA">
      <w:pPr>
        <w:keepNext/>
        <w:tabs>
          <w:tab w:val="left" w:pos="2410"/>
          <w:tab w:val="right" w:pos="9072"/>
        </w:tabs>
        <w:outlineLvl w:val="1"/>
        <w:rPr>
          <w:b/>
          <w:bCs/>
          <w:iCs/>
          <w:szCs w:val="28"/>
        </w:rPr>
      </w:pPr>
      <w:bookmarkStart w:id="36" w:name="_Toc482711248"/>
      <w:r w:rsidRPr="00E126D2">
        <w:rPr>
          <w:b/>
          <w:bCs/>
          <w:iCs/>
          <w:szCs w:val="28"/>
        </w:rPr>
        <w:lastRenderedPageBreak/>
        <w:t>PROGRAMA 31</w:t>
      </w:r>
      <w:r w:rsidRPr="00E126D2">
        <w:rPr>
          <w:bCs/>
          <w:iCs/>
          <w:szCs w:val="28"/>
        </w:rPr>
        <w:tab/>
      </w:r>
      <w:r w:rsidRPr="00E126D2">
        <w:rPr>
          <w:b/>
          <w:bCs/>
          <w:iCs/>
          <w:szCs w:val="28"/>
        </w:rPr>
        <w:t>SISTEMA DE LA HAYA</w:t>
      </w:r>
      <w:bookmarkEnd w:id="36"/>
    </w:p>
    <w:p w:rsidR="00E26770" w:rsidRPr="00E126D2" w:rsidRDefault="00E26770" w:rsidP="00230FAA">
      <w:pPr>
        <w:rPr>
          <w:rFonts w:cs="Times New Roman"/>
          <w:sz w:val="20"/>
        </w:rPr>
      </w:pPr>
    </w:p>
    <w:p w:rsidR="00E26770" w:rsidRPr="00E126D2" w:rsidRDefault="00E26770" w:rsidP="00230FAA">
      <w:pPr>
        <w:tabs>
          <w:tab w:val="left" w:pos="2410"/>
        </w:tabs>
        <w:rPr>
          <w:rFonts w:cs="Times New Roman"/>
          <w:b/>
          <w:sz w:val="20"/>
          <w:szCs w:val="22"/>
        </w:rPr>
      </w:pPr>
      <w:r w:rsidRPr="00E126D2">
        <w:rPr>
          <w:rFonts w:cs="Times New Roman"/>
          <w:b/>
          <w:sz w:val="20"/>
          <w:szCs w:val="22"/>
        </w:rPr>
        <w:t>Directora de programa</w:t>
      </w:r>
      <w:r w:rsidRPr="00E126D2">
        <w:rPr>
          <w:rFonts w:cs="Times New Roman"/>
          <w:sz w:val="20"/>
          <w:szCs w:val="22"/>
        </w:rPr>
        <w:tab/>
      </w:r>
      <w:r w:rsidRPr="00E126D2">
        <w:rPr>
          <w:rFonts w:cs="Times New Roman"/>
          <w:b/>
          <w:sz w:val="20"/>
          <w:szCs w:val="22"/>
        </w:rPr>
        <w:t>Sra. B. Wang</w:t>
      </w:r>
    </w:p>
    <w:p w:rsidR="00E26770" w:rsidRPr="00E126D2" w:rsidRDefault="00E26770" w:rsidP="00230FAA">
      <w:pPr>
        <w:tabs>
          <w:tab w:val="left" w:pos="1985"/>
        </w:tabs>
        <w:jc w:val="center"/>
        <w:rPr>
          <w:rFonts w:cs="Times New Roman"/>
          <w:bCs/>
          <w:szCs w:val="22"/>
        </w:rPr>
      </w:pPr>
      <w:r w:rsidRPr="00E126D2">
        <w:rPr>
          <w:noProof/>
          <w:lang w:val="en-US" w:eastAsia="en-US"/>
        </w:rPr>
        <w:drawing>
          <wp:inline distT="0" distB="0" distL="0" distR="0" wp14:anchorId="345FDF1A" wp14:editId="5CFEB911">
            <wp:extent cx="4871767" cy="2505075"/>
            <wp:effectExtent l="0" t="0" r="508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4878016" cy="2508288"/>
                    </a:xfrm>
                    <a:prstGeom prst="rect">
                      <a:avLst/>
                    </a:prstGeom>
                    <a:noFill/>
                    <a:ln>
                      <a:noFill/>
                    </a:ln>
                  </pic:spPr>
                </pic:pic>
              </a:graphicData>
            </a:graphic>
          </wp:inline>
        </w:drawing>
      </w:r>
      <w:r w:rsidRPr="00E126D2">
        <w:t xml:space="preserve">  </w:t>
      </w:r>
    </w:p>
    <w:tbl>
      <w:tblPr>
        <w:tblW w:w="5014" w:type="pct"/>
        <w:tblInd w:w="58" w:type="dxa"/>
        <w:tblLayout w:type="fixed"/>
        <w:tblCellMar>
          <w:left w:w="115" w:type="dxa"/>
          <w:right w:w="115" w:type="dxa"/>
        </w:tblCellMar>
        <w:tblLook w:val="0000" w:firstRow="0" w:lastRow="0" w:firstColumn="0" w:lastColumn="0" w:noHBand="0" w:noVBand="0"/>
      </w:tblPr>
      <w:tblGrid>
        <w:gridCol w:w="1890"/>
        <w:gridCol w:w="2609"/>
        <w:gridCol w:w="1441"/>
        <w:gridCol w:w="2160"/>
        <w:gridCol w:w="1113"/>
      </w:tblGrid>
      <w:tr w:rsidR="00E26770" w:rsidRPr="00E126D2" w:rsidTr="00230FAA">
        <w:trPr>
          <w:trHeight w:val="565"/>
        </w:trPr>
        <w:tc>
          <w:tcPr>
            <w:tcW w:w="5000" w:type="pct"/>
            <w:gridSpan w:val="5"/>
            <w:shd w:val="clear" w:color="auto" w:fill="C6D9F1" w:themeFill="text2" w:themeFillTint="33"/>
            <w:tcMar>
              <w:left w:w="58" w:type="dxa"/>
              <w:right w:w="58" w:type="dxa"/>
            </w:tcMar>
            <w:vAlign w:val="center"/>
          </w:tcPr>
          <w:p w:rsidR="00E26770" w:rsidRPr="00E126D2" w:rsidRDefault="00E26770" w:rsidP="00230FAA">
            <w:pPr>
              <w:keepNext/>
              <w:keepLines/>
              <w:tabs>
                <w:tab w:val="left" w:pos="1452"/>
              </w:tabs>
              <w:ind w:left="1701" w:hanging="1701"/>
              <w:rPr>
                <w:bCs/>
                <w:sz w:val="16"/>
                <w:szCs w:val="16"/>
              </w:rPr>
            </w:pPr>
            <w:r w:rsidRPr="00E126D2">
              <w:rPr>
                <w:b/>
                <w:bCs/>
                <w:sz w:val="16"/>
                <w:szCs w:val="16"/>
              </w:rPr>
              <w:t>Resultado previsto:</w:t>
            </w:r>
            <w:r w:rsidRPr="00E126D2">
              <w:rPr>
                <w:b/>
                <w:bCs/>
                <w:sz w:val="16"/>
                <w:szCs w:val="16"/>
              </w:rPr>
              <w:tab/>
            </w:r>
            <w:r w:rsidRPr="00E126D2">
              <w:rPr>
                <w:bCs/>
                <w:sz w:val="16"/>
                <w:szCs w:val="16"/>
              </w:rPr>
              <w:t>II.4  Mayor y más eficaz utilización del Sistema de La Haya, entre otros por los países en desarrollo y los PMA</w:t>
            </w:r>
          </w:p>
        </w:tc>
      </w:tr>
      <w:tr w:rsidR="00E26770" w:rsidRPr="00E126D2" w:rsidTr="00230FAA">
        <w:tc>
          <w:tcPr>
            <w:tcW w:w="1026" w:type="pct"/>
            <w:shd w:val="clear" w:color="auto" w:fill="auto"/>
            <w:tcMar>
              <w:left w:w="58" w:type="dxa"/>
              <w:right w:w="58" w:type="dxa"/>
            </w:tcMar>
            <w:vAlign w:val="center"/>
          </w:tcPr>
          <w:p w:rsidR="00E26770" w:rsidRPr="00E126D2" w:rsidRDefault="00E26770" w:rsidP="00230FAA">
            <w:pPr>
              <w:ind w:right="-57"/>
              <w:rPr>
                <w:b/>
                <w:bCs/>
                <w:sz w:val="16"/>
                <w:szCs w:val="16"/>
              </w:rPr>
            </w:pPr>
            <w:r w:rsidRPr="00E126D2">
              <w:rPr>
                <w:b/>
                <w:bCs/>
                <w:sz w:val="16"/>
                <w:szCs w:val="16"/>
              </w:rPr>
              <w:t>Indicadores de rendimiento</w:t>
            </w:r>
          </w:p>
        </w:tc>
        <w:tc>
          <w:tcPr>
            <w:tcW w:w="1416" w:type="pct"/>
            <w:shd w:val="clear" w:color="auto" w:fill="auto"/>
            <w:tcMar>
              <w:left w:w="58" w:type="dxa"/>
              <w:right w:w="58" w:type="dxa"/>
            </w:tcMar>
            <w:vAlign w:val="center"/>
          </w:tcPr>
          <w:p w:rsidR="00E26770" w:rsidRPr="00E126D2" w:rsidRDefault="00E26770" w:rsidP="00230FAA">
            <w:pPr>
              <w:rPr>
                <w:b/>
                <w:bCs/>
                <w:sz w:val="16"/>
                <w:szCs w:val="16"/>
              </w:rPr>
            </w:pPr>
            <w:r w:rsidRPr="00E126D2">
              <w:rPr>
                <w:b/>
                <w:bCs/>
                <w:sz w:val="16"/>
                <w:szCs w:val="16"/>
              </w:rPr>
              <w:t>Referencias de base</w:t>
            </w:r>
          </w:p>
        </w:tc>
        <w:tc>
          <w:tcPr>
            <w:tcW w:w="782" w:type="pct"/>
            <w:shd w:val="clear" w:color="auto" w:fill="auto"/>
            <w:tcMar>
              <w:top w:w="110" w:type="dxa"/>
              <w:left w:w="58" w:type="dxa"/>
              <w:right w:w="58" w:type="dxa"/>
            </w:tcMar>
            <w:vAlign w:val="center"/>
          </w:tcPr>
          <w:p w:rsidR="00E26770" w:rsidRPr="00E126D2" w:rsidRDefault="00E26770" w:rsidP="00230FAA">
            <w:pPr>
              <w:tabs>
                <w:tab w:val="left" w:pos="290"/>
              </w:tabs>
              <w:rPr>
                <w:b/>
                <w:bCs/>
                <w:sz w:val="16"/>
                <w:szCs w:val="16"/>
              </w:rPr>
            </w:pPr>
            <w:r w:rsidRPr="00E126D2">
              <w:rPr>
                <w:b/>
                <w:bCs/>
                <w:sz w:val="16"/>
                <w:szCs w:val="16"/>
              </w:rPr>
              <w:t>Objetivos</w:t>
            </w:r>
          </w:p>
        </w:tc>
        <w:tc>
          <w:tcPr>
            <w:tcW w:w="1172" w:type="pct"/>
            <w:shd w:val="clear" w:color="auto" w:fill="FFFFFF"/>
            <w:tcMar>
              <w:top w:w="110" w:type="dxa"/>
              <w:left w:w="58" w:type="dxa"/>
              <w:right w:w="58" w:type="dxa"/>
            </w:tcMar>
            <w:vAlign w:val="center"/>
          </w:tcPr>
          <w:p w:rsidR="00E26770" w:rsidRPr="00E126D2" w:rsidRDefault="00E26770" w:rsidP="00230FAA">
            <w:pPr>
              <w:rPr>
                <w:b/>
                <w:bCs/>
                <w:sz w:val="16"/>
                <w:szCs w:val="16"/>
              </w:rPr>
            </w:pPr>
            <w:r w:rsidRPr="00E126D2">
              <w:rPr>
                <w:b/>
                <w:bCs/>
                <w:sz w:val="16"/>
                <w:szCs w:val="16"/>
              </w:rPr>
              <w:t>Datos sobre el rendimiento</w:t>
            </w:r>
          </w:p>
        </w:tc>
        <w:tc>
          <w:tcPr>
            <w:tcW w:w="604" w:type="pct"/>
            <w:shd w:val="clear" w:color="auto" w:fill="auto"/>
            <w:tcMar>
              <w:top w:w="110" w:type="dxa"/>
              <w:left w:w="58" w:type="dxa"/>
              <w:right w:w="58" w:type="dxa"/>
            </w:tcMar>
            <w:vAlign w:val="center"/>
          </w:tcPr>
          <w:p w:rsidR="00E26770" w:rsidRPr="00E126D2" w:rsidRDefault="00E26770" w:rsidP="00230FAA">
            <w:pPr>
              <w:keepNext/>
              <w:keepLines/>
              <w:jc w:val="center"/>
              <w:rPr>
                <w:b/>
                <w:bCs/>
                <w:sz w:val="16"/>
                <w:szCs w:val="16"/>
              </w:rPr>
            </w:pPr>
            <w:r w:rsidRPr="00E126D2">
              <w:rPr>
                <w:b/>
                <w:bCs/>
                <w:sz w:val="16"/>
                <w:szCs w:val="16"/>
              </w:rPr>
              <w:t>Clave de colores</w:t>
            </w:r>
          </w:p>
        </w:tc>
      </w:tr>
      <w:tr w:rsidR="00E26770" w:rsidRPr="00E126D2" w:rsidTr="00230FAA">
        <w:trPr>
          <w:trHeight w:val="1522"/>
        </w:trPr>
        <w:tc>
          <w:tcPr>
            <w:tcW w:w="102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Número de miembros del Acta de Ginebra (1999)</w:t>
            </w:r>
          </w:p>
        </w:tc>
        <w:tc>
          <w:tcPr>
            <w:tcW w:w="1416" w:type="pct"/>
            <w:shd w:val="clear" w:color="auto" w:fill="auto"/>
            <w:tcMar>
              <w:left w:w="58" w:type="dxa"/>
              <w:right w:w="58" w:type="dxa"/>
            </w:tcMar>
          </w:tcPr>
          <w:p w:rsidR="00E26770" w:rsidRPr="005A27B4" w:rsidRDefault="00E26770" w:rsidP="00230FAA">
            <w:pPr>
              <w:rPr>
                <w:i/>
                <w:color w:val="002060"/>
                <w:sz w:val="16"/>
                <w:szCs w:val="16"/>
              </w:rPr>
            </w:pPr>
            <w:r w:rsidRPr="005A27B4">
              <w:rPr>
                <w:i/>
                <w:color w:val="002060"/>
                <w:sz w:val="16"/>
                <w:szCs w:val="16"/>
              </w:rPr>
              <w:t xml:space="preserve">Referencia actualizada a fines de 2015:  </w:t>
            </w:r>
          </w:p>
          <w:p w:rsidR="00E26770" w:rsidRPr="005A27B4" w:rsidRDefault="00E26770" w:rsidP="00230FAA">
            <w:pPr>
              <w:rPr>
                <w:color w:val="002060"/>
                <w:sz w:val="16"/>
                <w:szCs w:val="16"/>
              </w:rPr>
            </w:pPr>
            <w:r w:rsidRPr="005A27B4">
              <w:rPr>
                <w:color w:val="002060"/>
                <w:sz w:val="16"/>
                <w:szCs w:val="16"/>
              </w:rPr>
              <w:t xml:space="preserve">50 Partes Contratantes </w:t>
            </w:r>
          </w:p>
          <w:p w:rsidR="00E26770" w:rsidRPr="00E126D2" w:rsidRDefault="00E26770" w:rsidP="00230FAA">
            <w:pPr>
              <w:rPr>
                <w:sz w:val="16"/>
                <w:szCs w:val="16"/>
              </w:rPr>
            </w:pPr>
          </w:p>
          <w:p w:rsidR="00E26770" w:rsidRPr="00E126D2" w:rsidRDefault="00E26770" w:rsidP="00230FAA">
            <w:pPr>
              <w:rPr>
                <w:i/>
                <w:sz w:val="16"/>
                <w:szCs w:val="16"/>
                <w:lang w:bidi="th-TH"/>
              </w:rPr>
            </w:pPr>
            <w:r w:rsidRPr="00E126D2">
              <w:rPr>
                <w:i/>
                <w:sz w:val="16"/>
                <w:szCs w:val="16"/>
                <w:lang w:bidi="th-TH"/>
              </w:rPr>
              <w:t xml:space="preserve">Referencia original en el presupuesto de 2016/17:  </w:t>
            </w:r>
          </w:p>
          <w:p w:rsidR="00E26770" w:rsidRPr="00E126D2" w:rsidRDefault="00E26770" w:rsidP="00230FAA">
            <w:pPr>
              <w:spacing w:after="240"/>
              <w:rPr>
                <w:sz w:val="16"/>
                <w:szCs w:val="16"/>
              </w:rPr>
            </w:pPr>
            <w:r w:rsidRPr="00E126D2">
              <w:rPr>
                <w:sz w:val="16"/>
                <w:szCs w:val="16"/>
              </w:rPr>
              <w:t>49 Partes Contratantes al 13 de febrero de 2015</w:t>
            </w:r>
          </w:p>
        </w:tc>
        <w:tc>
          <w:tcPr>
            <w:tcW w:w="782"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60 Partes Contratantes</w:t>
            </w:r>
          </w:p>
        </w:tc>
        <w:tc>
          <w:tcPr>
            <w:tcW w:w="1172" w:type="pct"/>
            <w:shd w:val="clear" w:color="auto" w:fill="FFFFFF"/>
            <w:tcMar>
              <w:top w:w="110" w:type="dxa"/>
              <w:left w:w="58" w:type="dxa"/>
              <w:right w:w="58" w:type="dxa"/>
            </w:tcMar>
          </w:tcPr>
          <w:p w:rsidR="00E26770" w:rsidRPr="00E126D2" w:rsidRDefault="00E26770" w:rsidP="00230FAA">
            <w:pPr>
              <w:rPr>
                <w:sz w:val="16"/>
                <w:szCs w:val="16"/>
              </w:rPr>
            </w:pPr>
            <w:r w:rsidRPr="00E126D2">
              <w:rPr>
                <w:sz w:val="16"/>
                <w:szCs w:val="16"/>
              </w:rPr>
              <w:t>52 Partes Contratantes</w:t>
            </w:r>
          </w:p>
        </w:tc>
        <w:tc>
          <w:tcPr>
            <w:tcW w:w="60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r w:rsidRPr="00E126D2">
              <w:rPr>
                <w:b/>
                <w:color w:val="FF0000"/>
                <w:sz w:val="16"/>
                <w:szCs w:val="16"/>
              </w:rPr>
              <w:t>No avanza</w:t>
            </w:r>
          </w:p>
        </w:tc>
      </w:tr>
      <w:tr w:rsidR="00E26770" w:rsidRPr="00E126D2" w:rsidTr="00230FAA">
        <w:trPr>
          <w:trHeight w:val="2649"/>
        </w:trPr>
        <w:tc>
          <w:tcPr>
            <w:tcW w:w="102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 de oficinas que proporcionan información sobre el Sistema de La Haya a sus usuarios</w:t>
            </w:r>
          </w:p>
        </w:tc>
        <w:tc>
          <w:tcPr>
            <w:tcW w:w="1416" w:type="pct"/>
            <w:shd w:val="clear" w:color="auto" w:fill="auto"/>
            <w:tcMar>
              <w:left w:w="58" w:type="dxa"/>
              <w:right w:w="58" w:type="dxa"/>
            </w:tcMar>
          </w:tcPr>
          <w:p w:rsidR="00E26770" w:rsidRPr="005A27B4" w:rsidRDefault="00E26770" w:rsidP="00230FAA">
            <w:pPr>
              <w:rPr>
                <w:i/>
                <w:color w:val="002060"/>
                <w:sz w:val="16"/>
                <w:szCs w:val="16"/>
              </w:rPr>
            </w:pPr>
            <w:r w:rsidRPr="005A27B4">
              <w:rPr>
                <w:i/>
                <w:color w:val="002060"/>
                <w:sz w:val="16"/>
                <w:szCs w:val="16"/>
              </w:rPr>
              <w:t xml:space="preserve">Referencia actualizada a fines de 2015:  </w:t>
            </w:r>
          </w:p>
          <w:p w:rsidR="00E26770" w:rsidRPr="005A27B4" w:rsidRDefault="00E26770" w:rsidP="00230FAA">
            <w:pPr>
              <w:rPr>
                <w:color w:val="002060"/>
                <w:sz w:val="16"/>
                <w:szCs w:val="16"/>
                <w:lang w:bidi="th-TH"/>
              </w:rPr>
            </w:pPr>
            <w:r w:rsidRPr="005A27B4">
              <w:rPr>
                <w:color w:val="002060"/>
                <w:sz w:val="16"/>
                <w:szCs w:val="16"/>
                <w:lang w:bidi="th-TH"/>
              </w:rPr>
              <w:t>47 Oficinas nacionales o regionales que suministran información sobre el Sistema de La Haya.  Diez oficinas no disponían de sitio web.</w:t>
            </w:r>
          </w:p>
          <w:p w:rsidR="00E26770" w:rsidRPr="00E126D2" w:rsidRDefault="00E26770" w:rsidP="00230FAA">
            <w:pPr>
              <w:rPr>
                <w:sz w:val="16"/>
                <w:szCs w:val="16"/>
              </w:rPr>
            </w:pPr>
          </w:p>
          <w:p w:rsidR="00E26770" w:rsidRPr="00E126D2" w:rsidRDefault="00E26770" w:rsidP="00230FAA">
            <w:pPr>
              <w:rPr>
                <w:sz w:val="16"/>
                <w:szCs w:val="16"/>
              </w:rPr>
            </w:pPr>
            <w:r w:rsidRPr="00E126D2">
              <w:rPr>
                <w:i/>
                <w:sz w:val="16"/>
                <w:szCs w:val="16"/>
                <w:lang w:bidi="th-TH"/>
              </w:rPr>
              <w:t xml:space="preserve">Referencia original en el presupuesto de 2016/17:   </w:t>
            </w:r>
            <w:r w:rsidRPr="00E126D2">
              <w:rPr>
                <w:sz w:val="16"/>
                <w:szCs w:val="16"/>
              </w:rPr>
              <w:t>38 oficinas nacionales o regionales proporcionaban información sobre el Sistema de La Haya.  Diez oficinas no disponen de sitio web (a fines de 2014).</w:t>
            </w:r>
          </w:p>
        </w:tc>
        <w:tc>
          <w:tcPr>
            <w:tcW w:w="782"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Mayor % de oficinas que proporcionan información sobre el Sistema de La Haya</w:t>
            </w:r>
          </w:p>
        </w:tc>
        <w:tc>
          <w:tcPr>
            <w:tcW w:w="1172" w:type="pct"/>
            <w:shd w:val="clear" w:color="auto" w:fill="FFFFFF"/>
            <w:tcMar>
              <w:top w:w="110" w:type="dxa"/>
              <w:left w:w="58" w:type="dxa"/>
              <w:right w:w="58" w:type="dxa"/>
            </w:tcMar>
          </w:tcPr>
          <w:p w:rsidR="00E26770" w:rsidRPr="00E126D2" w:rsidRDefault="00E26770" w:rsidP="00230FAA">
            <w:pPr>
              <w:keepNext/>
              <w:keepLines/>
              <w:rPr>
                <w:sz w:val="16"/>
                <w:szCs w:val="16"/>
              </w:rPr>
            </w:pPr>
            <w:r w:rsidRPr="00E126D2">
              <w:rPr>
                <w:sz w:val="16"/>
                <w:szCs w:val="16"/>
              </w:rPr>
              <w:t>A fines de 2016, 48 oficinas nacionales o regionales proporcionaban información sobre el Sistema de La Haya.  Diez oficinas no disponían de sitio web.</w:t>
            </w:r>
          </w:p>
        </w:tc>
        <w:tc>
          <w:tcPr>
            <w:tcW w:w="604" w:type="pct"/>
            <w:shd w:val="clear" w:color="auto" w:fill="auto"/>
            <w:tcMar>
              <w:top w:w="110" w:type="dxa"/>
              <w:left w:w="58" w:type="dxa"/>
              <w:right w:w="58" w:type="dxa"/>
            </w:tcMar>
          </w:tcPr>
          <w:p w:rsidR="00E26770" w:rsidRPr="00E126D2" w:rsidRDefault="00E26770" w:rsidP="00230FAA">
            <w:pPr>
              <w:keepNext/>
              <w:keepLines/>
              <w:jc w:val="center"/>
              <w:rPr>
                <w:sz w:val="16"/>
                <w:szCs w:val="16"/>
              </w:rPr>
            </w:pPr>
            <w:r w:rsidRPr="00E126D2">
              <w:rPr>
                <w:b/>
                <w:color w:val="00B050"/>
                <w:sz w:val="16"/>
                <w:szCs w:val="16"/>
              </w:rPr>
              <w:t>Avanza</w:t>
            </w:r>
          </w:p>
        </w:tc>
      </w:tr>
      <w:tr w:rsidR="00E26770" w:rsidRPr="00E126D2" w:rsidTr="00230FAA">
        <w:trPr>
          <w:trHeight w:val="840"/>
        </w:trPr>
        <w:tc>
          <w:tcPr>
            <w:tcW w:w="102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Solicitudes de registro y renovaciones en virtud del Sistema de La Haya</w:t>
            </w:r>
          </w:p>
        </w:tc>
        <w:tc>
          <w:tcPr>
            <w:tcW w:w="1416" w:type="pct"/>
            <w:shd w:val="clear" w:color="auto" w:fill="auto"/>
            <w:tcMar>
              <w:left w:w="58" w:type="dxa"/>
              <w:right w:w="58" w:type="dxa"/>
            </w:tcMar>
          </w:tcPr>
          <w:p w:rsidR="00E26770" w:rsidRPr="005A27B4" w:rsidRDefault="00E26770" w:rsidP="00230FAA">
            <w:pPr>
              <w:rPr>
                <w:i/>
                <w:color w:val="002060"/>
                <w:sz w:val="16"/>
                <w:szCs w:val="16"/>
              </w:rPr>
            </w:pPr>
            <w:r w:rsidRPr="005A27B4">
              <w:rPr>
                <w:i/>
                <w:color w:val="002060"/>
                <w:sz w:val="16"/>
                <w:szCs w:val="16"/>
              </w:rPr>
              <w:t xml:space="preserve">Referencia actualizada a fines de 2015:  </w:t>
            </w:r>
          </w:p>
          <w:p w:rsidR="00E26770" w:rsidRPr="005A27B4" w:rsidRDefault="00E26770" w:rsidP="00230FAA">
            <w:pPr>
              <w:rPr>
                <w:color w:val="002060"/>
                <w:sz w:val="16"/>
                <w:szCs w:val="16"/>
              </w:rPr>
            </w:pPr>
            <w:r w:rsidRPr="005A27B4">
              <w:rPr>
                <w:color w:val="002060"/>
                <w:sz w:val="16"/>
                <w:szCs w:val="16"/>
              </w:rPr>
              <w:t xml:space="preserve">Solicitudes: 4.111 </w:t>
            </w:r>
            <w:r w:rsidRPr="005A27B4">
              <w:rPr>
                <w:color w:val="002060"/>
                <w:sz w:val="16"/>
                <w:szCs w:val="16"/>
              </w:rPr>
              <w:br/>
              <w:t>Dibujos y modelos contenidos: 16.435</w:t>
            </w:r>
            <w:r w:rsidRPr="005A27B4">
              <w:rPr>
                <w:color w:val="002060"/>
                <w:sz w:val="16"/>
                <w:szCs w:val="16"/>
              </w:rPr>
              <w:br/>
              <w:t>Renovaciones: 3.194</w:t>
            </w:r>
          </w:p>
          <w:p w:rsidR="00E26770" w:rsidRPr="00E126D2" w:rsidRDefault="00E26770" w:rsidP="00230FAA">
            <w:pPr>
              <w:rPr>
                <w:sz w:val="16"/>
                <w:szCs w:val="16"/>
              </w:rPr>
            </w:pPr>
          </w:p>
          <w:p w:rsidR="00E26770" w:rsidRPr="00E126D2" w:rsidRDefault="00E26770" w:rsidP="00230FAA">
            <w:pPr>
              <w:rPr>
                <w:i/>
                <w:sz w:val="16"/>
                <w:szCs w:val="16"/>
                <w:lang w:bidi="th-TH"/>
              </w:rPr>
            </w:pPr>
            <w:r w:rsidRPr="00E126D2">
              <w:rPr>
                <w:i/>
                <w:sz w:val="16"/>
                <w:szCs w:val="16"/>
                <w:lang w:bidi="th-TH"/>
              </w:rPr>
              <w:t xml:space="preserve">Referencia original en el presupuesto de 2016/17:  </w:t>
            </w:r>
          </w:p>
          <w:p w:rsidR="00E26770" w:rsidRPr="00E126D2" w:rsidRDefault="00E26770" w:rsidP="00230FAA">
            <w:pPr>
              <w:rPr>
                <w:sz w:val="16"/>
                <w:szCs w:val="16"/>
              </w:rPr>
            </w:pPr>
            <w:r w:rsidRPr="00E126D2">
              <w:rPr>
                <w:sz w:val="16"/>
                <w:szCs w:val="16"/>
              </w:rPr>
              <w:t>Solicitudes: 2.924</w:t>
            </w:r>
          </w:p>
          <w:p w:rsidR="00E26770" w:rsidRPr="00E126D2" w:rsidRDefault="00E26770" w:rsidP="00230FAA">
            <w:pPr>
              <w:rPr>
                <w:sz w:val="16"/>
                <w:szCs w:val="16"/>
              </w:rPr>
            </w:pPr>
            <w:r w:rsidRPr="00E126D2">
              <w:rPr>
                <w:sz w:val="16"/>
                <w:szCs w:val="16"/>
              </w:rPr>
              <w:t>Dibujos y modelos contenidos: 14.441</w:t>
            </w:r>
          </w:p>
          <w:p w:rsidR="00E26770" w:rsidRPr="00E126D2" w:rsidRDefault="00E26770" w:rsidP="00230FAA">
            <w:pPr>
              <w:rPr>
                <w:sz w:val="16"/>
                <w:szCs w:val="16"/>
              </w:rPr>
            </w:pPr>
            <w:r w:rsidRPr="00E126D2">
              <w:rPr>
                <w:sz w:val="16"/>
                <w:szCs w:val="16"/>
              </w:rPr>
              <w:t>Renovaciones: 2.703 (2014)</w:t>
            </w:r>
          </w:p>
        </w:tc>
        <w:tc>
          <w:tcPr>
            <w:tcW w:w="782" w:type="pct"/>
            <w:shd w:val="clear" w:color="auto" w:fill="auto"/>
            <w:tcMar>
              <w:top w:w="110" w:type="dxa"/>
              <w:left w:w="58" w:type="dxa"/>
              <w:right w:w="58" w:type="dxa"/>
            </w:tcMar>
          </w:tcPr>
          <w:p w:rsidR="00E26770" w:rsidRPr="00E126D2" w:rsidRDefault="00E26770" w:rsidP="00230FAA">
            <w:pPr>
              <w:spacing w:after="240"/>
              <w:ind w:right="-56"/>
              <w:rPr>
                <w:sz w:val="16"/>
                <w:szCs w:val="16"/>
              </w:rPr>
            </w:pPr>
            <w:r w:rsidRPr="00E126D2">
              <w:rPr>
                <w:sz w:val="16"/>
                <w:szCs w:val="16"/>
                <w:u w:val="single"/>
              </w:rPr>
              <w:t>2016</w:t>
            </w:r>
            <w:r w:rsidRPr="00E126D2">
              <w:rPr>
                <w:sz w:val="16"/>
                <w:szCs w:val="16"/>
              </w:rPr>
              <w:t xml:space="preserve"> </w:t>
            </w:r>
            <w:r w:rsidRPr="00E126D2">
              <w:rPr>
                <w:sz w:val="16"/>
                <w:szCs w:val="16"/>
              </w:rPr>
              <w:br/>
              <w:t>Solicitudes: 4.940 Dibujos y modelos contenidos: 22.730</w:t>
            </w:r>
            <w:r w:rsidRPr="00E126D2">
              <w:rPr>
                <w:sz w:val="16"/>
                <w:szCs w:val="16"/>
              </w:rPr>
              <w:br/>
              <w:t>Renovaciones: 2.830</w:t>
            </w:r>
            <w:r w:rsidRPr="00E126D2">
              <w:rPr>
                <w:sz w:val="16"/>
                <w:szCs w:val="16"/>
              </w:rPr>
              <w:br/>
              <w:t>(-1,0%)</w:t>
            </w:r>
          </w:p>
          <w:p w:rsidR="00E26770" w:rsidRPr="00E126D2" w:rsidRDefault="00E26770" w:rsidP="00230FAA">
            <w:pPr>
              <w:spacing w:after="240"/>
              <w:ind w:right="-56"/>
              <w:rPr>
                <w:sz w:val="16"/>
                <w:szCs w:val="16"/>
              </w:rPr>
            </w:pPr>
            <w:r w:rsidRPr="00E126D2">
              <w:rPr>
                <w:sz w:val="16"/>
                <w:szCs w:val="16"/>
                <w:u w:val="single"/>
              </w:rPr>
              <w:t>2017</w:t>
            </w:r>
            <w:r w:rsidRPr="00E126D2">
              <w:rPr>
                <w:sz w:val="16"/>
                <w:szCs w:val="16"/>
              </w:rPr>
              <w:t xml:space="preserve"> </w:t>
            </w:r>
            <w:r w:rsidRPr="00E126D2">
              <w:rPr>
                <w:sz w:val="16"/>
                <w:szCs w:val="16"/>
              </w:rPr>
              <w:br/>
              <w:t>Solicitudes: 5.710</w:t>
            </w:r>
            <w:r w:rsidRPr="00E126D2">
              <w:rPr>
                <w:sz w:val="16"/>
                <w:szCs w:val="16"/>
              </w:rPr>
              <w:br/>
              <w:t>Dibujos y modelos contenidos: 26.140</w:t>
            </w:r>
            <w:r w:rsidRPr="00E126D2">
              <w:rPr>
                <w:sz w:val="16"/>
                <w:szCs w:val="16"/>
              </w:rPr>
              <w:br/>
              <w:t xml:space="preserve">Renovaciones: 2.940 </w:t>
            </w:r>
            <w:r w:rsidRPr="00E126D2">
              <w:rPr>
                <w:sz w:val="16"/>
                <w:szCs w:val="16"/>
              </w:rPr>
              <w:br/>
              <w:t>(+ 3,9%)</w:t>
            </w:r>
          </w:p>
        </w:tc>
        <w:tc>
          <w:tcPr>
            <w:tcW w:w="1172" w:type="pct"/>
            <w:shd w:val="clear" w:color="auto" w:fill="FFFFFF"/>
            <w:tcMar>
              <w:top w:w="110" w:type="dxa"/>
              <w:left w:w="58" w:type="dxa"/>
              <w:right w:w="58" w:type="dxa"/>
            </w:tcMar>
          </w:tcPr>
          <w:p w:rsidR="00E26770" w:rsidRPr="00E126D2" w:rsidRDefault="00E26770">
            <w:pPr>
              <w:keepNext/>
              <w:keepLines/>
              <w:rPr>
                <w:sz w:val="16"/>
                <w:szCs w:val="16"/>
              </w:rPr>
            </w:pPr>
            <w:r w:rsidRPr="00E126D2">
              <w:rPr>
                <w:sz w:val="16"/>
                <w:szCs w:val="16"/>
                <w:u w:val="single"/>
              </w:rPr>
              <w:t>2016</w:t>
            </w:r>
            <w:r w:rsidRPr="00E126D2">
              <w:rPr>
                <w:sz w:val="16"/>
                <w:szCs w:val="16"/>
              </w:rPr>
              <w:t>:</w:t>
            </w:r>
          </w:p>
          <w:p w:rsidR="00E26770" w:rsidRPr="00E126D2" w:rsidRDefault="00E26770">
            <w:pPr>
              <w:keepNext/>
              <w:keepLines/>
              <w:rPr>
                <w:sz w:val="16"/>
                <w:szCs w:val="16"/>
              </w:rPr>
            </w:pPr>
            <w:r w:rsidRPr="00E126D2">
              <w:rPr>
                <w:sz w:val="16"/>
                <w:szCs w:val="16"/>
              </w:rPr>
              <w:t>Solicitudes:  5.562</w:t>
            </w:r>
          </w:p>
          <w:p w:rsidR="00E26770" w:rsidRPr="00E126D2" w:rsidRDefault="00E26770">
            <w:pPr>
              <w:keepNext/>
              <w:keepLines/>
              <w:rPr>
                <w:sz w:val="16"/>
                <w:szCs w:val="16"/>
              </w:rPr>
            </w:pPr>
            <w:r w:rsidRPr="00E126D2">
              <w:rPr>
                <w:sz w:val="16"/>
                <w:szCs w:val="16"/>
              </w:rPr>
              <w:t>Dibujos y modelos contenidos  18.716</w:t>
            </w:r>
          </w:p>
          <w:p w:rsidR="00E26770" w:rsidRPr="00E126D2" w:rsidRDefault="00E26770" w:rsidP="00230FAA">
            <w:pPr>
              <w:keepNext/>
              <w:keepLines/>
              <w:rPr>
                <w:sz w:val="16"/>
                <w:szCs w:val="16"/>
              </w:rPr>
            </w:pPr>
            <w:r w:rsidRPr="00E126D2">
              <w:rPr>
                <w:sz w:val="16"/>
                <w:szCs w:val="16"/>
              </w:rPr>
              <w:t>Renovaciones: 3.150</w:t>
            </w:r>
          </w:p>
          <w:p w:rsidR="00E26770" w:rsidRPr="00E126D2" w:rsidRDefault="00E26770">
            <w:pPr>
              <w:keepNext/>
              <w:keepLines/>
              <w:rPr>
                <w:sz w:val="16"/>
                <w:szCs w:val="16"/>
              </w:rPr>
            </w:pPr>
            <w:r w:rsidRPr="00E126D2">
              <w:rPr>
                <w:sz w:val="16"/>
                <w:szCs w:val="16"/>
              </w:rPr>
              <w:t xml:space="preserve"> </w:t>
            </w:r>
          </w:p>
          <w:p w:rsidR="00E26770" w:rsidRPr="00E126D2" w:rsidRDefault="00E26770">
            <w:pPr>
              <w:keepNext/>
              <w:keepLines/>
              <w:rPr>
                <w:sz w:val="16"/>
                <w:szCs w:val="16"/>
              </w:rPr>
            </w:pPr>
          </w:p>
        </w:tc>
        <w:tc>
          <w:tcPr>
            <w:tcW w:w="60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p>
          <w:p w:rsidR="00E26770" w:rsidRPr="00E126D2" w:rsidRDefault="00E26770" w:rsidP="00230FAA">
            <w:pPr>
              <w:keepNext/>
              <w:keepLines/>
              <w:jc w:val="center"/>
              <w:rPr>
                <w:b/>
                <w:sz w:val="16"/>
                <w:szCs w:val="16"/>
              </w:rPr>
            </w:pPr>
            <w:r w:rsidRPr="00E126D2">
              <w:rPr>
                <w:b/>
                <w:color w:val="00B050"/>
                <w:sz w:val="16"/>
                <w:szCs w:val="16"/>
              </w:rPr>
              <w:t>Avanza</w:t>
            </w:r>
            <w:r w:rsidRPr="00E126D2">
              <w:rPr>
                <w:b/>
                <w:sz w:val="16"/>
                <w:szCs w:val="16"/>
              </w:rPr>
              <w:t xml:space="preserve">  </w:t>
            </w:r>
          </w:p>
          <w:p w:rsidR="00E26770" w:rsidRPr="00E126D2" w:rsidRDefault="00E26770" w:rsidP="00230FAA">
            <w:pPr>
              <w:keepNext/>
              <w:keepLines/>
              <w:jc w:val="center"/>
              <w:rPr>
                <w:b/>
                <w:sz w:val="16"/>
                <w:szCs w:val="16"/>
              </w:rPr>
            </w:pPr>
          </w:p>
          <w:p w:rsidR="00E26770" w:rsidRPr="00E126D2" w:rsidRDefault="00E26770" w:rsidP="00230FAA">
            <w:pPr>
              <w:keepNext/>
              <w:keepLines/>
              <w:jc w:val="center"/>
              <w:rPr>
                <w:b/>
                <w:sz w:val="16"/>
                <w:szCs w:val="16"/>
              </w:rPr>
            </w:pPr>
            <w:r w:rsidRPr="00E126D2">
              <w:rPr>
                <w:b/>
                <w:color w:val="FF0000"/>
                <w:sz w:val="16"/>
                <w:szCs w:val="16"/>
              </w:rPr>
              <w:t>No avanza</w:t>
            </w:r>
          </w:p>
          <w:p w:rsidR="00E26770" w:rsidRPr="00E126D2" w:rsidRDefault="00E26770" w:rsidP="00230FAA">
            <w:pPr>
              <w:keepNext/>
              <w:keepLines/>
              <w:jc w:val="center"/>
              <w:rPr>
                <w:b/>
                <w:sz w:val="16"/>
                <w:szCs w:val="16"/>
              </w:rPr>
            </w:pPr>
            <w:r w:rsidRPr="00E126D2">
              <w:rPr>
                <w:b/>
                <w:color w:val="00B050"/>
                <w:sz w:val="16"/>
                <w:szCs w:val="16"/>
              </w:rPr>
              <w:t>Avanza</w:t>
            </w:r>
          </w:p>
        </w:tc>
      </w:tr>
    </w:tbl>
    <w:p w:rsidR="00E26770" w:rsidRPr="00E126D2" w:rsidRDefault="00E26770"/>
    <w:tbl>
      <w:tblPr>
        <w:tblW w:w="4960" w:type="pct"/>
        <w:tblInd w:w="58" w:type="dxa"/>
        <w:tblLayout w:type="fixed"/>
        <w:tblCellMar>
          <w:left w:w="115" w:type="dxa"/>
          <w:right w:w="115" w:type="dxa"/>
        </w:tblCellMar>
        <w:tblLook w:val="0000" w:firstRow="0" w:lastRow="0" w:firstColumn="0" w:lastColumn="0" w:noHBand="0" w:noVBand="0"/>
      </w:tblPr>
      <w:tblGrid>
        <w:gridCol w:w="1889"/>
        <w:gridCol w:w="2608"/>
        <w:gridCol w:w="1440"/>
        <w:gridCol w:w="2038"/>
        <w:gridCol w:w="1139"/>
      </w:tblGrid>
      <w:tr w:rsidR="00E26770" w:rsidRPr="00E126D2" w:rsidTr="00230FAA">
        <w:trPr>
          <w:trHeight w:val="565"/>
        </w:trPr>
        <w:tc>
          <w:tcPr>
            <w:tcW w:w="5000" w:type="pct"/>
            <w:gridSpan w:val="5"/>
            <w:shd w:val="clear" w:color="auto" w:fill="C6D9F1" w:themeFill="text2" w:themeFillTint="33"/>
            <w:tcMar>
              <w:left w:w="58" w:type="dxa"/>
              <w:right w:w="58" w:type="dxa"/>
            </w:tcMar>
            <w:vAlign w:val="center"/>
          </w:tcPr>
          <w:p w:rsidR="00E26770" w:rsidRPr="00E126D2" w:rsidRDefault="00E26770" w:rsidP="00230FAA">
            <w:pPr>
              <w:keepNext/>
              <w:keepLines/>
              <w:tabs>
                <w:tab w:val="left" w:pos="1452"/>
              </w:tabs>
              <w:ind w:left="1701" w:right="-57" w:hanging="1701"/>
              <w:rPr>
                <w:bCs/>
                <w:sz w:val="16"/>
                <w:szCs w:val="16"/>
              </w:rPr>
            </w:pPr>
            <w:r w:rsidRPr="00E126D2">
              <w:rPr>
                <w:b/>
                <w:bCs/>
                <w:sz w:val="16"/>
                <w:szCs w:val="16"/>
              </w:rPr>
              <w:lastRenderedPageBreak/>
              <w:t>Resultado previsto:</w:t>
            </w:r>
            <w:r w:rsidRPr="00E126D2">
              <w:rPr>
                <w:b/>
                <w:bCs/>
                <w:sz w:val="16"/>
                <w:szCs w:val="16"/>
              </w:rPr>
              <w:tab/>
            </w:r>
            <w:r w:rsidRPr="00E126D2">
              <w:rPr>
                <w:bCs/>
                <w:sz w:val="16"/>
                <w:szCs w:val="16"/>
              </w:rPr>
              <w:t>II.5  Mejora de la productividad y de la calidad de los servicios en las operaciones del Sistema de La Haya</w:t>
            </w:r>
          </w:p>
        </w:tc>
      </w:tr>
      <w:tr w:rsidR="00E26770" w:rsidRPr="00E126D2" w:rsidTr="00230FAA">
        <w:tc>
          <w:tcPr>
            <w:tcW w:w="1036" w:type="pct"/>
            <w:shd w:val="clear" w:color="auto" w:fill="auto"/>
            <w:tcMar>
              <w:left w:w="58" w:type="dxa"/>
              <w:right w:w="58" w:type="dxa"/>
            </w:tcMar>
            <w:vAlign w:val="center"/>
          </w:tcPr>
          <w:p w:rsidR="00E26770" w:rsidRPr="00E126D2" w:rsidRDefault="00E26770" w:rsidP="00230FAA">
            <w:pPr>
              <w:ind w:right="-57"/>
              <w:rPr>
                <w:b/>
                <w:bCs/>
                <w:sz w:val="16"/>
                <w:szCs w:val="16"/>
              </w:rPr>
            </w:pPr>
            <w:r w:rsidRPr="00E126D2">
              <w:rPr>
                <w:b/>
                <w:bCs/>
                <w:sz w:val="16"/>
                <w:szCs w:val="16"/>
              </w:rPr>
              <w:t>Indicadores de rendimiento</w:t>
            </w:r>
          </w:p>
        </w:tc>
        <w:tc>
          <w:tcPr>
            <w:tcW w:w="1431" w:type="pct"/>
            <w:shd w:val="clear" w:color="auto" w:fill="auto"/>
            <w:tcMar>
              <w:left w:w="58" w:type="dxa"/>
              <w:right w:w="58" w:type="dxa"/>
            </w:tcMar>
            <w:vAlign w:val="center"/>
          </w:tcPr>
          <w:p w:rsidR="00E26770" w:rsidRPr="00E126D2" w:rsidRDefault="00E26770" w:rsidP="00230FAA">
            <w:pPr>
              <w:rPr>
                <w:b/>
                <w:bCs/>
                <w:sz w:val="16"/>
                <w:szCs w:val="16"/>
              </w:rPr>
            </w:pPr>
            <w:r w:rsidRPr="00E126D2">
              <w:rPr>
                <w:b/>
                <w:bCs/>
                <w:sz w:val="16"/>
                <w:szCs w:val="16"/>
              </w:rPr>
              <w:t>Referencia</w:t>
            </w:r>
            <w:r w:rsidR="00176F6A">
              <w:rPr>
                <w:b/>
                <w:bCs/>
                <w:sz w:val="16"/>
                <w:szCs w:val="16"/>
              </w:rPr>
              <w:t>s de base</w:t>
            </w:r>
          </w:p>
        </w:tc>
        <w:tc>
          <w:tcPr>
            <w:tcW w:w="790" w:type="pct"/>
            <w:shd w:val="clear" w:color="auto" w:fill="auto"/>
            <w:tcMar>
              <w:top w:w="110" w:type="dxa"/>
              <w:left w:w="58" w:type="dxa"/>
              <w:right w:w="58" w:type="dxa"/>
            </w:tcMar>
            <w:vAlign w:val="center"/>
          </w:tcPr>
          <w:p w:rsidR="00E26770" w:rsidRPr="00E126D2" w:rsidRDefault="00E26770" w:rsidP="00230FAA">
            <w:pPr>
              <w:rPr>
                <w:b/>
                <w:bCs/>
                <w:sz w:val="16"/>
                <w:szCs w:val="16"/>
              </w:rPr>
            </w:pPr>
            <w:r w:rsidRPr="00E126D2">
              <w:rPr>
                <w:b/>
                <w:bCs/>
                <w:sz w:val="16"/>
                <w:szCs w:val="16"/>
              </w:rPr>
              <w:t>Objetivos</w:t>
            </w:r>
          </w:p>
        </w:tc>
        <w:tc>
          <w:tcPr>
            <w:tcW w:w="1118" w:type="pct"/>
            <w:shd w:val="clear" w:color="auto" w:fill="FFFFFF"/>
            <w:tcMar>
              <w:top w:w="110" w:type="dxa"/>
              <w:left w:w="58" w:type="dxa"/>
              <w:right w:w="58" w:type="dxa"/>
            </w:tcMar>
            <w:vAlign w:val="center"/>
          </w:tcPr>
          <w:p w:rsidR="00E26770" w:rsidRPr="00E126D2" w:rsidRDefault="00E26770" w:rsidP="00230FAA">
            <w:pPr>
              <w:rPr>
                <w:b/>
                <w:bCs/>
                <w:sz w:val="16"/>
                <w:szCs w:val="16"/>
              </w:rPr>
            </w:pPr>
            <w:r w:rsidRPr="00E126D2">
              <w:rPr>
                <w:b/>
                <w:bCs/>
                <w:sz w:val="16"/>
                <w:szCs w:val="16"/>
              </w:rPr>
              <w:t>Datos sobre el rendimiento</w:t>
            </w:r>
          </w:p>
        </w:tc>
        <w:tc>
          <w:tcPr>
            <w:tcW w:w="624" w:type="pct"/>
            <w:shd w:val="clear" w:color="auto" w:fill="auto"/>
            <w:tcMar>
              <w:top w:w="110" w:type="dxa"/>
              <w:left w:w="58" w:type="dxa"/>
              <w:right w:w="58" w:type="dxa"/>
            </w:tcMar>
            <w:vAlign w:val="center"/>
          </w:tcPr>
          <w:p w:rsidR="00E26770" w:rsidRPr="00E126D2" w:rsidRDefault="00E26770" w:rsidP="00230FAA">
            <w:pPr>
              <w:keepNext/>
              <w:keepLines/>
              <w:jc w:val="center"/>
              <w:rPr>
                <w:b/>
                <w:bCs/>
                <w:sz w:val="16"/>
                <w:szCs w:val="16"/>
              </w:rPr>
            </w:pPr>
            <w:r w:rsidRPr="00E126D2">
              <w:rPr>
                <w:b/>
                <w:bCs/>
                <w:sz w:val="16"/>
                <w:szCs w:val="16"/>
              </w:rPr>
              <w:t>Clave de colores</w:t>
            </w:r>
          </w:p>
        </w:tc>
      </w:tr>
      <w:tr w:rsidR="00E26770" w:rsidRPr="00E126D2" w:rsidTr="00230FAA">
        <w:trPr>
          <w:trHeight w:val="3077"/>
        </w:trPr>
        <w:tc>
          <w:tcPr>
            <w:tcW w:w="103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Predominio del Acta de Ginebra (1999) en el Sistema de La Haya</w:t>
            </w:r>
          </w:p>
        </w:tc>
        <w:tc>
          <w:tcPr>
            <w:tcW w:w="1431" w:type="pct"/>
            <w:shd w:val="clear" w:color="auto" w:fill="auto"/>
            <w:tcMar>
              <w:left w:w="58" w:type="dxa"/>
              <w:right w:w="58" w:type="dxa"/>
            </w:tcMar>
          </w:tcPr>
          <w:p w:rsidR="00E26770" w:rsidRPr="005A27B4" w:rsidRDefault="00E26770" w:rsidP="00230FAA">
            <w:pPr>
              <w:rPr>
                <w:i/>
                <w:color w:val="002060"/>
                <w:sz w:val="16"/>
                <w:szCs w:val="16"/>
              </w:rPr>
            </w:pPr>
            <w:r w:rsidRPr="005A27B4">
              <w:rPr>
                <w:i/>
                <w:color w:val="002060"/>
                <w:sz w:val="16"/>
                <w:szCs w:val="16"/>
              </w:rPr>
              <w:t xml:space="preserve">Referencia actualizada a fines de 2015:  </w:t>
            </w:r>
          </w:p>
          <w:p w:rsidR="00E26770" w:rsidRPr="005A27B4" w:rsidRDefault="00E26770" w:rsidP="00230FAA">
            <w:pPr>
              <w:rPr>
                <w:color w:val="002060"/>
                <w:sz w:val="16"/>
                <w:szCs w:val="16"/>
                <w:lang w:bidi="th-TH"/>
              </w:rPr>
            </w:pPr>
            <w:r w:rsidRPr="005A27B4">
              <w:rPr>
                <w:color w:val="002060"/>
                <w:sz w:val="16"/>
                <w:szCs w:val="16"/>
                <w:lang w:bidi="th-TH"/>
              </w:rPr>
              <w:t>Se han recibido 11 comunica-ciones de consentimiento y todavía se necesitan dos más para el cese de la aplicación del Acta de 1934, y cuatro Partes Contratantes al margen de la UE y la OAPI continuaban obligadas por el Acta de 1960.</w:t>
            </w:r>
          </w:p>
          <w:p w:rsidR="00E26770" w:rsidRPr="00E126D2" w:rsidRDefault="00E26770" w:rsidP="00230FAA">
            <w:pPr>
              <w:rPr>
                <w:sz w:val="16"/>
                <w:szCs w:val="16"/>
              </w:rPr>
            </w:pPr>
          </w:p>
          <w:p w:rsidR="00E26770" w:rsidRPr="00E126D2" w:rsidRDefault="00E26770" w:rsidP="00230FAA">
            <w:pPr>
              <w:rPr>
                <w:i/>
                <w:sz w:val="16"/>
                <w:szCs w:val="16"/>
                <w:lang w:bidi="th-TH"/>
              </w:rPr>
            </w:pPr>
            <w:r w:rsidRPr="00E126D2">
              <w:rPr>
                <w:i/>
                <w:sz w:val="16"/>
                <w:szCs w:val="16"/>
                <w:lang w:bidi="th-TH"/>
              </w:rPr>
              <w:t xml:space="preserve">Referencia original en el presupuesto de 2016/17:  </w:t>
            </w:r>
          </w:p>
          <w:p w:rsidR="00E26770" w:rsidRPr="00E126D2" w:rsidRDefault="00E26770" w:rsidP="00230FAA">
            <w:pPr>
              <w:rPr>
                <w:sz w:val="16"/>
                <w:szCs w:val="16"/>
              </w:rPr>
            </w:pPr>
            <w:r w:rsidRPr="00E126D2">
              <w:rPr>
                <w:sz w:val="16"/>
                <w:szCs w:val="16"/>
              </w:rPr>
              <w:t>10 comunicaciones de consentimiento para cesar la aplicación del Acta de 1934 recibidas (todavía faltan 3).  4 Partes Contratantes obligadas únicamente por el Acta de 1960 (que no son miembros de una organización intergubernamental parte en el Acta de 1999).</w:t>
            </w:r>
          </w:p>
        </w:tc>
        <w:tc>
          <w:tcPr>
            <w:tcW w:w="790"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Recibidas todas las (13) comunica-ciones de consentimiento para cesar la aplicación.  Todas las Partes Contratantes quedan obligadas por el Acta de 1999 (o miembros de una organización intergubernamen-tal parte en el Acta de 1999).</w:t>
            </w:r>
          </w:p>
        </w:tc>
        <w:tc>
          <w:tcPr>
            <w:tcW w:w="1118" w:type="pct"/>
            <w:shd w:val="clear" w:color="auto" w:fill="FFFFFF"/>
            <w:tcMar>
              <w:top w:w="110" w:type="dxa"/>
              <w:left w:w="58" w:type="dxa"/>
              <w:right w:w="58" w:type="dxa"/>
            </w:tcMar>
          </w:tcPr>
          <w:p w:rsidR="00E26770" w:rsidRPr="00E126D2" w:rsidRDefault="00E26770" w:rsidP="00230FAA">
            <w:pPr>
              <w:rPr>
                <w:sz w:val="16"/>
                <w:szCs w:val="16"/>
              </w:rPr>
            </w:pPr>
            <w:r w:rsidRPr="00E126D2">
              <w:rPr>
                <w:sz w:val="16"/>
                <w:szCs w:val="16"/>
              </w:rPr>
              <w:t>La aplicación del Acta de 1934 cesó el 18 de octubre de 2016</w:t>
            </w:r>
          </w:p>
        </w:tc>
        <w:tc>
          <w:tcPr>
            <w:tcW w:w="62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r w:rsidRPr="00E126D2">
              <w:rPr>
                <w:b/>
                <w:color w:val="00B050"/>
                <w:sz w:val="16"/>
                <w:szCs w:val="16"/>
              </w:rPr>
              <w:t>Avanza</w:t>
            </w:r>
          </w:p>
        </w:tc>
      </w:tr>
      <w:tr w:rsidR="00E26770" w:rsidRPr="00E126D2" w:rsidTr="00230FAA">
        <w:trPr>
          <w:trHeight w:val="1424"/>
        </w:trPr>
        <w:tc>
          <w:tcPr>
            <w:tcW w:w="103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Procesos y procedimientos adaptados a la evolución geográfica y jurídica del sistema</w:t>
            </w:r>
          </w:p>
        </w:tc>
        <w:tc>
          <w:tcPr>
            <w:tcW w:w="1431" w:type="pct"/>
            <w:shd w:val="clear" w:color="auto" w:fill="auto"/>
            <w:tcMar>
              <w:left w:w="58" w:type="dxa"/>
              <w:right w:w="58" w:type="dxa"/>
            </w:tcMar>
          </w:tcPr>
          <w:p w:rsidR="00E26770" w:rsidRPr="00E126D2" w:rsidRDefault="00E26770" w:rsidP="00230FAA">
            <w:pPr>
              <w:rPr>
                <w:sz w:val="16"/>
                <w:szCs w:val="16"/>
              </w:rPr>
            </w:pPr>
            <w:r w:rsidRPr="00E126D2">
              <w:rPr>
                <w:sz w:val="16"/>
                <w:szCs w:val="16"/>
              </w:rPr>
              <w:t>Procesos y procedimientos adaptados</w:t>
            </w:r>
          </w:p>
        </w:tc>
        <w:tc>
          <w:tcPr>
            <w:tcW w:w="790"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Procesos y procedimientos adaptados</w:t>
            </w:r>
          </w:p>
        </w:tc>
        <w:tc>
          <w:tcPr>
            <w:tcW w:w="1118" w:type="pct"/>
            <w:shd w:val="clear" w:color="auto" w:fill="FFFFFF"/>
            <w:tcMar>
              <w:top w:w="110" w:type="dxa"/>
              <w:left w:w="58" w:type="dxa"/>
              <w:right w:w="58" w:type="dxa"/>
            </w:tcMar>
          </w:tcPr>
          <w:p w:rsidR="00E26770" w:rsidRPr="00E126D2" w:rsidRDefault="00E26770" w:rsidP="00230FAA">
            <w:pPr>
              <w:keepNext/>
              <w:keepLines/>
              <w:rPr>
                <w:sz w:val="16"/>
                <w:szCs w:val="16"/>
              </w:rPr>
            </w:pPr>
            <w:r w:rsidRPr="00E126D2">
              <w:rPr>
                <w:sz w:val="16"/>
                <w:szCs w:val="16"/>
              </w:rPr>
              <w:t>Las modificaciones del Reglamento Común en la forma en que fueron aprobadas por la Asamblea de la Unión de La Haya en 2016 entrarán en vigor en la fecha que decida la Oficina Internacional una vez que esté listo el entorno de T.I.</w:t>
            </w:r>
          </w:p>
          <w:p w:rsidR="00E26770" w:rsidRPr="00E126D2" w:rsidRDefault="00E26770" w:rsidP="00230FAA">
            <w:pPr>
              <w:keepNext/>
              <w:keepLines/>
              <w:rPr>
                <w:sz w:val="16"/>
                <w:szCs w:val="16"/>
              </w:rPr>
            </w:pPr>
          </w:p>
        </w:tc>
        <w:tc>
          <w:tcPr>
            <w:tcW w:w="62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r w:rsidRPr="00E126D2">
              <w:rPr>
                <w:b/>
                <w:color w:val="00B050"/>
                <w:sz w:val="16"/>
                <w:szCs w:val="16"/>
              </w:rPr>
              <w:t>Avanza</w:t>
            </w:r>
          </w:p>
        </w:tc>
      </w:tr>
      <w:tr w:rsidR="00E26770" w:rsidRPr="00E126D2" w:rsidTr="00230FAA">
        <w:trPr>
          <w:trHeight w:val="4296"/>
        </w:trPr>
        <w:tc>
          <w:tcPr>
            <w:tcW w:w="103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Avances en la mejora del marco jurídico</w:t>
            </w:r>
          </w:p>
        </w:tc>
        <w:tc>
          <w:tcPr>
            <w:tcW w:w="1431" w:type="pct"/>
            <w:shd w:val="clear" w:color="auto" w:fill="auto"/>
            <w:tcMar>
              <w:left w:w="58" w:type="dxa"/>
              <w:right w:w="58" w:type="dxa"/>
            </w:tcMar>
          </w:tcPr>
          <w:p w:rsidR="00E26770" w:rsidRPr="005A27B4" w:rsidRDefault="00E26770" w:rsidP="00230FAA">
            <w:pPr>
              <w:rPr>
                <w:i/>
                <w:color w:val="002060"/>
                <w:sz w:val="16"/>
                <w:szCs w:val="16"/>
              </w:rPr>
            </w:pPr>
            <w:r w:rsidRPr="005A27B4">
              <w:rPr>
                <w:i/>
                <w:color w:val="002060"/>
                <w:sz w:val="16"/>
                <w:szCs w:val="16"/>
              </w:rPr>
              <w:t xml:space="preserve">Referencia actualizada a fines de 2015:  </w:t>
            </w:r>
          </w:p>
          <w:p w:rsidR="00E26770" w:rsidRPr="005A27B4" w:rsidRDefault="00E26770" w:rsidP="00230FAA">
            <w:pPr>
              <w:rPr>
                <w:color w:val="002060"/>
                <w:sz w:val="16"/>
                <w:szCs w:val="16"/>
              </w:rPr>
            </w:pPr>
            <w:r w:rsidRPr="005A27B4">
              <w:rPr>
                <w:color w:val="002060"/>
                <w:sz w:val="16"/>
                <w:szCs w:val="16"/>
              </w:rPr>
              <w:t>Modificaciones del Reglamento Común, entre otras, la introducción de un “mecanismo de información”, que entraron en vigor el 1 de enero de 2015.  Modificaciones de las Instrucciones Administrativas, entre otras, suavizar en cierto grado algunos requisitos relativos a las reproducciones y las representaciones, que entraron en vigor el 1 de julio de 2014.</w:t>
            </w:r>
          </w:p>
          <w:p w:rsidR="00E26770" w:rsidRPr="00E126D2" w:rsidRDefault="00E26770" w:rsidP="00230FAA">
            <w:pPr>
              <w:rPr>
                <w:sz w:val="16"/>
                <w:szCs w:val="16"/>
              </w:rPr>
            </w:pPr>
          </w:p>
          <w:p w:rsidR="00E26770" w:rsidRPr="00E126D2" w:rsidRDefault="00E26770" w:rsidP="00230FAA">
            <w:pPr>
              <w:rPr>
                <w:i/>
                <w:sz w:val="16"/>
                <w:szCs w:val="16"/>
                <w:lang w:bidi="th-TH"/>
              </w:rPr>
            </w:pPr>
            <w:r w:rsidRPr="00E126D2">
              <w:rPr>
                <w:i/>
                <w:sz w:val="16"/>
                <w:szCs w:val="16"/>
                <w:lang w:bidi="th-TH"/>
              </w:rPr>
              <w:t xml:space="preserve">Referencia original en el presupuesto de 2016/17:  </w:t>
            </w:r>
          </w:p>
          <w:p w:rsidR="00E26770" w:rsidRPr="00E126D2" w:rsidRDefault="00E26770" w:rsidP="00230FAA">
            <w:pPr>
              <w:rPr>
                <w:sz w:val="16"/>
                <w:szCs w:val="16"/>
              </w:rPr>
            </w:pPr>
            <w:r w:rsidRPr="00E126D2">
              <w:rPr>
                <w:sz w:val="16"/>
                <w:szCs w:val="16"/>
              </w:rPr>
              <w:t>Modificaciones del Reglamento (en vigor desde el 1/1/2015) y de las Instrucciones Administrativas (en vigor desde el 1/7/2014) para adaptar el Sistema de La Haya a su expansión geográfica a nuevas y futuras Partes Contratantes con sistemas de examen.</w:t>
            </w:r>
          </w:p>
        </w:tc>
        <w:tc>
          <w:tcPr>
            <w:tcW w:w="790"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 xml:space="preserve">Actualización del marco jurídico para seguir el ritmo de la evolución en el  sector de los dibujos y modelos en todo el mundo. </w:t>
            </w:r>
          </w:p>
        </w:tc>
        <w:tc>
          <w:tcPr>
            <w:tcW w:w="1118" w:type="pct"/>
            <w:shd w:val="clear" w:color="auto" w:fill="FFFFFF"/>
            <w:tcMar>
              <w:top w:w="110" w:type="dxa"/>
              <w:left w:w="58" w:type="dxa"/>
              <w:right w:w="58" w:type="dxa"/>
            </w:tcMar>
          </w:tcPr>
          <w:p w:rsidR="00E26770" w:rsidRPr="00E126D2" w:rsidRDefault="00E26770" w:rsidP="00230FAA">
            <w:pPr>
              <w:keepNext/>
              <w:keepLines/>
              <w:rPr>
                <w:sz w:val="16"/>
                <w:szCs w:val="16"/>
              </w:rPr>
            </w:pPr>
            <w:r w:rsidRPr="00E126D2">
              <w:rPr>
                <w:sz w:val="16"/>
                <w:szCs w:val="16"/>
              </w:rPr>
              <w:t xml:space="preserve">Modificaciones del Reglamento Común (en vigor el 1 de enero de 2017).  La finalidad de las modificaciones de la Regla 5 es prever una salvaguardia en los casos de falla de las comunicaciones electrónicas, puesto que lo más probable es que la mayoría de las futuras comunicaciones con la Oficina Internacional se mantengan en formato electrónico. </w:t>
            </w:r>
          </w:p>
        </w:tc>
        <w:tc>
          <w:tcPr>
            <w:tcW w:w="62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r w:rsidRPr="00E126D2">
              <w:rPr>
                <w:b/>
                <w:color w:val="00B050"/>
                <w:sz w:val="16"/>
                <w:szCs w:val="16"/>
              </w:rPr>
              <w:t>Avanza</w:t>
            </w:r>
          </w:p>
        </w:tc>
      </w:tr>
      <w:tr w:rsidR="00E26770" w:rsidRPr="00E126D2" w:rsidTr="00230FAA">
        <w:trPr>
          <w:trHeight w:val="2298"/>
        </w:trPr>
        <w:tc>
          <w:tcPr>
            <w:tcW w:w="103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lastRenderedPageBreak/>
              <w:t>Mejora del funcionamiento del Registro de La Haya, incluidos los procesos y procedimientos electrónicos</w:t>
            </w:r>
          </w:p>
        </w:tc>
        <w:tc>
          <w:tcPr>
            <w:tcW w:w="1431" w:type="pct"/>
            <w:shd w:val="clear" w:color="auto" w:fill="auto"/>
            <w:tcMar>
              <w:left w:w="58" w:type="dxa"/>
              <w:right w:w="58" w:type="dxa"/>
            </w:tcMar>
          </w:tcPr>
          <w:p w:rsidR="00E26770" w:rsidRPr="005A27B4" w:rsidRDefault="00E26770" w:rsidP="00230FAA">
            <w:pPr>
              <w:rPr>
                <w:i/>
                <w:color w:val="002060"/>
                <w:sz w:val="16"/>
                <w:szCs w:val="16"/>
              </w:rPr>
            </w:pPr>
            <w:r w:rsidRPr="005A27B4">
              <w:rPr>
                <w:i/>
                <w:color w:val="002060"/>
                <w:sz w:val="16"/>
                <w:szCs w:val="16"/>
              </w:rPr>
              <w:t xml:space="preserve">Referencia actualizada a fines de 2015:  </w:t>
            </w:r>
          </w:p>
          <w:p w:rsidR="00E26770" w:rsidRPr="005A27B4" w:rsidRDefault="00E26770" w:rsidP="00230FAA">
            <w:pPr>
              <w:rPr>
                <w:color w:val="002060"/>
                <w:sz w:val="16"/>
                <w:szCs w:val="16"/>
              </w:rPr>
            </w:pPr>
            <w:r w:rsidRPr="005A27B4">
              <w:rPr>
                <w:color w:val="002060"/>
                <w:sz w:val="16"/>
                <w:szCs w:val="16"/>
              </w:rPr>
              <w:t>2 procesos automatizados adicionales en 2014/15 (declaración de concesión de protección de la OAMI en 2014 y recepción y tramitación por la KIPO de las solicitudes presentadas indirectamente) (en total 4 acumulados)</w:t>
            </w:r>
          </w:p>
          <w:p w:rsidR="00E26770" w:rsidRPr="00E126D2" w:rsidRDefault="00E26770" w:rsidP="00230FAA">
            <w:pPr>
              <w:rPr>
                <w:sz w:val="16"/>
                <w:szCs w:val="16"/>
              </w:rPr>
            </w:pPr>
          </w:p>
          <w:p w:rsidR="00E26770" w:rsidRPr="00E126D2" w:rsidRDefault="00E26770" w:rsidP="00230FAA">
            <w:pPr>
              <w:rPr>
                <w:i/>
                <w:sz w:val="16"/>
                <w:szCs w:val="16"/>
                <w:lang w:bidi="th-TH"/>
              </w:rPr>
            </w:pPr>
            <w:r w:rsidRPr="00E126D2">
              <w:rPr>
                <w:i/>
                <w:sz w:val="16"/>
                <w:szCs w:val="16"/>
                <w:lang w:bidi="th-TH"/>
              </w:rPr>
              <w:t xml:space="preserve">Referencia original en el presupuesto de 2016/17:  </w:t>
            </w:r>
          </w:p>
          <w:p w:rsidR="00E26770" w:rsidRPr="00E126D2" w:rsidRDefault="00E26770" w:rsidP="00230FAA">
            <w:pPr>
              <w:rPr>
                <w:sz w:val="16"/>
                <w:szCs w:val="16"/>
              </w:rPr>
            </w:pPr>
            <w:r w:rsidRPr="00E126D2">
              <w:rPr>
                <w:sz w:val="16"/>
                <w:szCs w:val="16"/>
              </w:rPr>
              <w:t>2 interfaces electrónicas del Sistema de la Haya</w:t>
            </w:r>
          </w:p>
        </w:tc>
        <w:tc>
          <w:tcPr>
            <w:tcW w:w="790"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6 interfaces electrónicas adicionales para el Sistema de la Haya</w:t>
            </w:r>
          </w:p>
        </w:tc>
        <w:tc>
          <w:tcPr>
            <w:tcW w:w="1118" w:type="pct"/>
            <w:shd w:val="clear" w:color="auto" w:fill="FFFFFF"/>
            <w:tcMar>
              <w:top w:w="110" w:type="dxa"/>
              <w:left w:w="58" w:type="dxa"/>
              <w:right w:w="58" w:type="dxa"/>
            </w:tcMar>
          </w:tcPr>
          <w:p w:rsidR="00E26770" w:rsidRPr="00E126D2" w:rsidRDefault="00E26770" w:rsidP="00230FAA">
            <w:pPr>
              <w:keepNext/>
              <w:keepLines/>
              <w:rPr>
                <w:sz w:val="16"/>
                <w:szCs w:val="16"/>
              </w:rPr>
            </w:pPr>
            <w:r w:rsidRPr="00E126D2">
              <w:rPr>
                <w:sz w:val="16"/>
                <w:szCs w:val="16"/>
              </w:rPr>
              <w:t>En 2016, automatización del tratamiento de las respuestas a irregularidades (enviadas mediante el sistema de presentación electrónica) (5 en total)</w:t>
            </w:r>
          </w:p>
        </w:tc>
        <w:tc>
          <w:tcPr>
            <w:tcW w:w="62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r w:rsidRPr="00E126D2">
              <w:rPr>
                <w:b/>
                <w:color w:val="FF0000"/>
                <w:sz w:val="16"/>
                <w:szCs w:val="16"/>
              </w:rPr>
              <w:t>No avanza</w:t>
            </w:r>
          </w:p>
        </w:tc>
      </w:tr>
      <w:tr w:rsidR="00E26770" w:rsidRPr="00E126D2" w:rsidTr="00230FAA">
        <w:trPr>
          <w:trHeight w:val="345"/>
        </w:trPr>
        <w:tc>
          <w:tcPr>
            <w:tcW w:w="103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Prestación estable de las funciones auxiliares de gestión de los servicios informáticos del Sistema de La Haya</w:t>
            </w:r>
          </w:p>
        </w:tc>
        <w:tc>
          <w:tcPr>
            <w:tcW w:w="1431" w:type="pct"/>
            <w:shd w:val="clear" w:color="auto" w:fill="auto"/>
            <w:tcMar>
              <w:left w:w="58" w:type="dxa"/>
              <w:right w:w="58" w:type="dxa"/>
            </w:tcMar>
          </w:tcPr>
          <w:p w:rsidR="00E26770" w:rsidRPr="00E126D2" w:rsidRDefault="00E26770" w:rsidP="00230FAA">
            <w:pPr>
              <w:rPr>
                <w:sz w:val="16"/>
                <w:szCs w:val="16"/>
              </w:rPr>
            </w:pPr>
            <w:r w:rsidRPr="00E126D2">
              <w:rPr>
                <w:sz w:val="16"/>
                <w:szCs w:val="16"/>
              </w:rPr>
              <w:t xml:space="preserve">Servicio sin interrupciones. Mejoras logradas y puestas en marcha a tiempo. </w:t>
            </w:r>
          </w:p>
        </w:tc>
        <w:tc>
          <w:tcPr>
            <w:tcW w:w="790"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 xml:space="preserve">Servicio sin interrupciones </w:t>
            </w:r>
          </w:p>
          <w:p w:rsidR="00E26770" w:rsidRPr="00E126D2" w:rsidRDefault="00E26770" w:rsidP="00230FAA">
            <w:pPr>
              <w:rPr>
                <w:sz w:val="16"/>
                <w:szCs w:val="16"/>
              </w:rPr>
            </w:pPr>
          </w:p>
          <w:p w:rsidR="00E26770" w:rsidRPr="00E126D2" w:rsidRDefault="00E26770" w:rsidP="00230FAA">
            <w:pPr>
              <w:rPr>
                <w:sz w:val="16"/>
                <w:szCs w:val="16"/>
              </w:rPr>
            </w:pPr>
            <w:r w:rsidRPr="00E126D2">
              <w:rPr>
                <w:sz w:val="16"/>
                <w:szCs w:val="16"/>
              </w:rPr>
              <w:t>Mejoras logradas y puestas en marcha a tiempo</w:t>
            </w:r>
          </w:p>
        </w:tc>
        <w:tc>
          <w:tcPr>
            <w:tcW w:w="1118" w:type="pct"/>
            <w:shd w:val="clear" w:color="auto" w:fill="FFFFFF"/>
            <w:tcMar>
              <w:top w:w="110" w:type="dxa"/>
              <w:left w:w="58" w:type="dxa"/>
              <w:right w:w="58" w:type="dxa"/>
            </w:tcMar>
          </w:tcPr>
          <w:p w:rsidR="00E26770" w:rsidRPr="00E126D2" w:rsidRDefault="00E26770" w:rsidP="00230FAA">
            <w:pPr>
              <w:keepNext/>
              <w:keepLines/>
              <w:rPr>
                <w:sz w:val="16"/>
                <w:szCs w:val="16"/>
              </w:rPr>
            </w:pPr>
            <w:r w:rsidRPr="00E126D2">
              <w:rPr>
                <w:sz w:val="16"/>
                <w:szCs w:val="16"/>
              </w:rPr>
              <w:t xml:space="preserve">En 2016 no se produjeron interrupciones de los servicios </w:t>
            </w:r>
          </w:p>
          <w:p w:rsidR="00E26770" w:rsidRPr="00E126D2" w:rsidRDefault="00E26770" w:rsidP="00230FAA">
            <w:pPr>
              <w:keepNext/>
              <w:keepLines/>
              <w:rPr>
                <w:sz w:val="16"/>
                <w:szCs w:val="16"/>
              </w:rPr>
            </w:pPr>
          </w:p>
          <w:p w:rsidR="00E26770" w:rsidRPr="00E126D2" w:rsidRDefault="00E26770" w:rsidP="00176F6A">
            <w:pPr>
              <w:keepNext/>
              <w:keepLines/>
              <w:rPr>
                <w:sz w:val="16"/>
                <w:szCs w:val="16"/>
              </w:rPr>
            </w:pPr>
            <w:r w:rsidRPr="00E126D2">
              <w:rPr>
                <w:sz w:val="16"/>
                <w:szCs w:val="16"/>
              </w:rPr>
              <w:t xml:space="preserve">Se introdujeron y pusieron en marcha mejoras específicas en los plazos previstos y </w:t>
            </w:r>
            <w:r w:rsidR="00176F6A">
              <w:rPr>
                <w:sz w:val="16"/>
                <w:szCs w:val="16"/>
              </w:rPr>
              <w:t>según</w:t>
            </w:r>
            <w:r w:rsidRPr="00E126D2">
              <w:rPr>
                <w:sz w:val="16"/>
                <w:szCs w:val="16"/>
              </w:rPr>
              <w:t xml:space="preserve"> los requisitos especificados</w:t>
            </w:r>
          </w:p>
        </w:tc>
        <w:tc>
          <w:tcPr>
            <w:tcW w:w="62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r w:rsidRPr="00E126D2">
              <w:rPr>
                <w:b/>
                <w:color w:val="00B050"/>
                <w:sz w:val="16"/>
                <w:szCs w:val="16"/>
              </w:rPr>
              <w:t>Avanza</w:t>
            </w:r>
          </w:p>
          <w:p w:rsidR="00E26770" w:rsidRPr="00E126D2" w:rsidRDefault="00E26770" w:rsidP="00230FAA">
            <w:pPr>
              <w:keepNext/>
              <w:keepLines/>
              <w:jc w:val="center"/>
              <w:rPr>
                <w:b/>
                <w:sz w:val="16"/>
                <w:szCs w:val="16"/>
              </w:rPr>
            </w:pPr>
          </w:p>
          <w:p w:rsidR="00E26770" w:rsidRPr="00E126D2" w:rsidRDefault="00E26770" w:rsidP="00230FAA">
            <w:pPr>
              <w:keepNext/>
              <w:keepLines/>
              <w:jc w:val="center"/>
              <w:rPr>
                <w:b/>
                <w:sz w:val="16"/>
                <w:szCs w:val="16"/>
              </w:rPr>
            </w:pPr>
          </w:p>
          <w:p w:rsidR="00E26770" w:rsidRPr="00E126D2" w:rsidRDefault="00E26770" w:rsidP="00230FAA">
            <w:pPr>
              <w:keepNext/>
              <w:keepLines/>
              <w:jc w:val="center"/>
              <w:rPr>
                <w:b/>
                <w:sz w:val="16"/>
                <w:szCs w:val="16"/>
              </w:rPr>
            </w:pPr>
            <w:r w:rsidRPr="00E126D2">
              <w:rPr>
                <w:b/>
                <w:color w:val="00B050"/>
                <w:sz w:val="16"/>
                <w:szCs w:val="16"/>
              </w:rPr>
              <w:t>Avanza</w:t>
            </w:r>
          </w:p>
        </w:tc>
      </w:tr>
      <w:tr w:rsidR="00E26770" w:rsidRPr="00E126D2" w:rsidTr="00230FAA">
        <w:trPr>
          <w:trHeight w:val="3802"/>
        </w:trPr>
        <w:tc>
          <w:tcPr>
            <w:tcW w:w="103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Flexibilidad de los datos inscritos en el Registro Internacional</w:t>
            </w:r>
          </w:p>
        </w:tc>
        <w:tc>
          <w:tcPr>
            <w:tcW w:w="1431" w:type="pct"/>
            <w:shd w:val="clear" w:color="auto" w:fill="auto"/>
            <w:tcMar>
              <w:left w:w="58" w:type="dxa"/>
              <w:right w:w="58" w:type="dxa"/>
            </w:tcMar>
          </w:tcPr>
          <w:p w:rsidR="00E26770" w:rsidRPr="005A27B4" w:rsidRDefault="00E26770" w:rsidP="00230FAA">
            <w:pPr>
              <w:rPr>
                <w:i/>
                <w:color w:val="002060"/>
                <w:sz w:val="16"/>
                <w:szCs w:val="16"/>
              </w:rPr>
            </w:pPr>
            <w:r w:rsidRPr="005A27B4">
              <w:rPr>
                <w:i/>
                <w:color w:val="002060"/>
                <w:sz w:val="16"/>
                <w:szCs w:val="16"/>
              </w:rPr>
              <w:t xml:space="preserve">Referencia actualizada a fines de 2015:  </w:t>
            </w:r>
          </w:p>
          <w:p w:rsidR="00E26770" w:rsidRPr="005A27B4" w:rsidRDefault="00E26770" w:rsidP="00230FAA">
            <w:pPr>
              <w:rPr>
                <w:color w:val="002060"/>
                <w:sz w:val="16"/>
                <w:szCs w:val="16"/>
              </w:rPr>
            </w:pPr>
            <w:r w:rsidRPr="005A27B4">
              <w:rPr>
                <w:color w:val="002060"/>
                <w:sz w:val="16"/>
                <w:szCs w:val="16"/>
              </w:rPr>
              <w:t>Se ha avanzado en relación con las decisiones relativas a los dibujos y modelos, pero la aplicación estaba prevista para cuando se haya transformado el sistema principal de T.I., hecho que no se produjo durante el bienio:  DIRIS.</w:t>
            </w:r>
          </w:p>
          <w:p w:rsidR="00E26770" w:rsidRPr="00E126D2" w:rsidRDefault="00E26770" w:rsidP="00230FAA">
            <w:pPr>
              <w:rPr>
                <w:sz w:val="16"/>
                <w:szCs w:val="16"/>
              </w:rPr>
            </w:pPr>
          </w:p>
          <w:p w:rsidR="00E26770" w:rsidRPr="00E126D2" w:rsidRDefault="00E26770" w:rsidP="00230FAA">
            <w:pPr>
              <w:rPr>
                <w:i/>
                <w:sz w:val="16"/>
                <w:szCs w:val="16"/>
                <w:lang w:bidi="th-TH"/>
              </w:rPr>
            </w:pPr>
            <w:r w:rsidRPr="00E126D2">
              <w:rPr>
                <w:i/>
                <w:sz w:val="16"/>
                <w:szCs w:val="16"/>
                <w:lang w:bidi="th-TH"/>
              </w:rPr>
              <w:t xml:space="preserve">Referencia original en el presupuesto de 2016/17:  </w:t>
            </w:r>
          </w:p>
          <w:p w:rsidR="00E26770" w:rsidRPr="00E126D2" w:rsidRDefault="00E26770" w:rsidP="00230FAA">
            <w:pPr>
              <w:rPr>
                <w:sz w:val="16"/>
                <w:szCs w:val="16"/>
              </w:rPr>
            </w:pPr>
            <w:r w:rsidRPr="00E126D2">
              <w:rPr>
                <w:sz w:val="16"/>
                <w:szCs w:val="16"/>
              </w:rPr>
              <w:t xml:space="preserve">De conformidad con las modificaciones introducidas en el marco jurídico del Sistema de La Haya, mayor flexibilidad respecto de los contenidos opcionales de las solicitudes internacionales que se indican e inscriben en el Registro Internacional. </w:t>
            </w:r>
          </w:p>
          <w:p w:rsidR="00E26770" w:rsidRPr="00E126D2" w:rsidRDefault="00E26770" w:rsidP="00230FAA">
            <w:pPr>
              <w:rPr>
                <w:sz w:val="16"/>
                <w:szCs w:val="16"/>
              </w:rPr>
            </w:pPr>
          </w:p>
          <w:p w:rsidR="00E26770" w:rsidRPr="00E126D2" w:rsidRDefault="00E26770" w:rsidP="00230FAA">
            <w:pPr>
              <w:rPr>
                <w:sz w:val="16"/>
                <w:szCs w:val="16"/>
              </w:rPr>
            </w:pPr>
            <w:r w:rsidRPr="00E126D2">
              <w:rPr>
                <w:sz w:val="16"/>
                <w:szCs w:val="16"/>
              </w:rPr>
              <w:t>Incapacidad de registrar información detallada sobre los dibujos y modelos.</w:t>
            </w:r>
          </w:p>
        </w:tc>
        <w:tc>
          <w:tcPr>
            <w:tcW w:w="790"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 xml:space="preserve">Flexibilidad de los datos inscritos en el Registro Internacional, y especificación posible de contenidos opcionales adicionales inscritos en el Registro Internacional. </w:t>
            </w:r>
          </w:p>
          <w:p w:rsidR="00E26770" w:rsidRPr="00E126D2" w:rsidRDefault="00E26770" w:rsidP="00230FAA">
            <w:pPr>
              <w:rPr>
                <w:sz w:val="16"/>
                <w:szCs w:val="16"/>
              </w:rPr>
            </w:pPr>
          </w:p>
          <w:p w:rsidR="00E26770" w:rsidRPr="00E126D2" w:rsidRDefault="00E26770" w:rsidP="00230FAA">
            <w:pPr>
              <w:rPr>
                <w:sz w:val="16"/>
                <w:szCs w:val="16"/>
              </w:rPr>
            </w:pPr>
            <w:r w:rsidRPr="00E126D2">
              <w:rPr>
                <w:sz w:val="16"/>
                <w:szCs w:val="16"/>
              </w:rPr>
              <w:t>Capacidad de inscribir información detallada sobre los dibujos y modelos.</w:t>
            </w:r>
          </w:p>
        </w:tc>
        <w:tc>
          <w:tcPr>
            <w:tcW w:w="1118" w:type="pct"/>
            <w:shd w:val="clear" w:color="auto" w:fill="FFFFFF"/>
            <w:tcMar>
              <w:top w:w="110" w:type="dxa"/>
              <w:left w:w="58" w:type="dxa"/>
              <w:right w:w="58" w:type="dxa"/>
            </w:tcMar>
          </w:tcPr>
          <w:p w:rsidR="00E26770" w:rsidRPr="00E126D2" w:rsidRDefault="00E26770" w:rsidP="00230FAA">
            <w:pPr>
              <w:keepNext/>
              <w:keepLines/>
              <w:rPr>
                <w:sz w:val="16"/>
                <w:szCs w:val="16"/>
              </w:rPr>
            </w:pPr>
            <w:r w:rsidRPr="00E126D2">
              <w:rPr>
                <w:sz w:val="16"/>
                <w:szCs w:val="16"/>
              </w:rPr>
              <w:t xml:space="preserve">Incapacidad de inscribir, recuperar y comunicar datos sobre dibujos y modelos y datos en caracteres no latinos </w:t>
            </w:r>
          </w:p>
        </w:tc>
        <w:tc>
          <w:tcPr>
            <w:tcW w:w="624" w:type="pct"/>
            <w:shd w:val="clear" w:color="auto" w:fill="auto"/>
            <w:tcMar>
              <w:top w:w="110" w:type="dxa"/>
              <w:left w:w="58" w:type="dxa"/>
              <w:right w:w="58" w:type="dxa"/>
            </w:tcMar>
          </w:tcPr>
          <w:p w:rsidR="00E26770" w:rsidRPr="00E126D2" w:rsidRDefault="00E26770" w:rsidP="00230FAA">
            <w:pPr>
              <w:keepNext/>
              <w:keepLines/>
              <w:jc w:val="center"/>
              <w:rPr>
                <w:b/>
                <w:sz w:val="16"/>
                <w:szCs w:val="16"/>
              </w:rPr>
            </w:pPr>
            <w:r w:rsidRPr="00E126D2">
              <w:rPr>
                <w:b/>
                <w:color w:val="FF0000"/>
                <w:sz w:val="16"/>
                <w:szCs w:val="16"/>
              </w:rPr>
              <w:t>No avanza</w:t>
            </w:r>
          </w:p>
        </w:tc>
      </w:tr>
      <w:tr w:rsidR="00E26770" w:rsidRPr="00E126D2" w:rsidTr="00230FAA">
        <w:trPr>
          <w:trHeight w:val="542"/>
        </w:trPr>
        <w:tc>
          <w:tcPr>
            <w:tcW w:w="1036" w:type="pct"/>
            <w:shd w:val="clear" w:color="auto" w:fill="auto"/>
            <w:tcMar>
              <w:left w:w="58" w:type="dxa"/>
              <w:right w:w="58" w:type="dxa"/>
            </w:tcMar>
          </w:tcPr>
          <w:p w:rsidR="00E26770" w:rsidRPr="00E126D2" w:rsidRDefault="00E26770" w:rsidP="00230FAA">
            <w:pPr>
              <w:ind w:right="-57"/>
              <w:rPr>
                <w:sz w:val="16"/>
                <w:szCs w:val="16"/>
              </w:rPr>
            </w:pPr>
            <w:r w:rsidRPr="00E126D2">
              <w:rPr>
                <w:sz w:val="16"/>
                <w:szCs w:val="16"/>
              </w:rPr>
              <w:t>3 versiones instaladas de DIRIS y 3 versiones instaladas del sistema de presentación electrónica de solicitudes en virtud del Sistema de La Haya</w:t>
            </w:r>
          </w:p>
        </w:tc>
        <w:tc>
          <w:tcPr>
            <w:tcW w:w="1431" w:type="pct"/>
            <w:shd w:val="clear" w:color="auto" w:fill="auto"/>
            <w:tcMar>
              <w:left w:w="58" w:type="dxa"/>
              <w:right w:w="58" w:type="dxa"/>
            </w:tcMar>
          </w:tcPr>
          <w:p w:rsidR="00E26770" w:rsidRPr="00E126D2" w:rsidRDefault="00E26770" w:rsidP="00230FAA">
            <w:pPr>
              <w:rPr>
                <w:sz w:val="16"/>
                <w:szCs w:val="16"/>
              </w:rPr>
            </w:pPr>
            <w:r w:rsidRPr="00E126D2">
              <w:rPr>
                <w:sz w:val="16"/>
                <w:szCs w:val="16"/>
              </w:rPr>
              <w:t>DIRIS no fue instalado; sistema de presentación electrónica HPM en producción; la base de datos actual no refleja el nivel de detalle esperado; el sistema de presentación electrónica no admite la respuesta electrónica de cartas de irregularidad.</w:t>
            </w:r>
          </w:p>
          <w:p w:rsidR="00E26770" w:rsidRPr="00E126D2" w:rsidRDefault="00E26770" w:rsidP="00230FAA">
            <w:pPr>
              <w:rPr>
                <w:sz w:val="16"/>
                <w:szCs w:val="16"/>
              </w:rPr>
            </w:pPr>
            <w:r w:rsidRPr="00E126D2">
              <w:rPr>
                <w:sz w:val="16"/>
                <w:szCs w:val="16"/>
              </w:rPr>
              <w:t xml:space="preserve"> </w:t>
            </w:r>
          </w:p>
        </w:tc>
        <w:tc>
          <w:tcPr>
            <w:tcW w:w="790" w:type="pct"/>
            <w:shd w:val="clear" w:color="auto" w:fill="auto"/>
            <w:tcMar>
              <w:top w:w="110" w:type="dxa"/>
              <w:left w:w="58" w:type="dxa"/>
              <w:right w:w="58" w:type="dxa"/>
            </w:tcMar>
          </w:tcPr>
          <w:p w:rsidR="00E26770" w:rsidRPr="00E126D2" w:rsidRDefault="00E26770" w:rsidP="00230FAA">
            <w:pPr>
              <w:rPr>
                <w:sz w:val="16"/>
                <w:szCs w:val="16"/>
              </w:rPr>
            </w:pPr>
            <w:r w:rsidRPr="00E126D2">
              <w:rPr>
                <w:sz w:val="16"/>
                <w:szCs w:val="16"/>
              </w:rPr>
              <w:t xml:space="preserve">Introducción de 3 nuevas versiones de DIRIS </w:t>
            </w:r>
          </w:p>
          <w:p w:rsidR="00E26770" w:rsidRPr="00E126D2" w:rsidRDefault="00E26770" w:rsidP="00230FAA">
            <w:pPr>
              <w:rPr>
                <w:sz w:val="16"/>
                <w:szCs w:val="16"/>
              </w:rPr>
            </w:pPr>
          </w:p>
          <w:p w:rsidR="00E26770" w:rsidRPr="00E126D2" w:rsidRDefault="00E26770" w:rsidP="00230FAA">
            <w:pPr>
              <w:rPr>
                <w:sz w:val="16"/>
                <w:szCs w:val="16"/>
              </w:rPr>
            </w:pPr>
          </w:p>
          <w:p w:rsidR="00E26770" w:rsidRPr="00E126D2" w:rsidRDefault="00E26770" w:rsidP="00176F6A">
            <w:pPr>
              <w:rPr>
                <w:sz w:val="16"/>
                <w:szCs w:val="16"/>
              </w:rPr>
            </w:pPr>
            <w:r w:rsidRPr="00E126D2">
              <w:rPr>
                <w:sz w:val="16"/>
                <w:szCs w:val="16"/>
              </w:rPr>
              <w:t>Introducción de 3 versiones actualizadas del sistema de presentación electrónica de solicitudes de La Haya; habilitación de la función de respuesta electrónica a cartas de irregularidad, y diseño revisado de una base lógica de datos</w:t>
            </w:r>
          </w:p>
        </w:tc>
        <w:tc>
          <w:tcPr>
            <w:tcW w:w="1118" w:type="pct"/>
            <w:shd w:val="clear" w:color="auto" w:fill="FFFFFF"/>
            <w:tcMar>
              <w:top w:w="110" w:type="dxa"/>
              <w:left w:w="58" w:type="dxa"/>
              <w:right w:w="58" w:type="dxa"/>
            </w:tcMar>
          </w:tcPr>
          <w:p w:rsidR="00E26770" w:rsidRPr="00E126D2" w:rsidRDefault="00E26770" w:rsidP="00230FAA">
            <w:pPr>
              <w:keepNext/>
              <w:keepLines/>
              <w:rPr>
                <w:sz w:val="16"/>
                <w:szCs w:val="16"/>
              </w:rPr>
            </w:pPr>
            <w:r w:rsidRPr="00E126D2">
              <w:rPr>
                <w:sz w:val="16"/>
                <w:szCs w:val="16"/>
              </w:rPr>
              <w:t>La labor empezó a fines de 2016 sobre la plataforma de T.I. del Sistema de La Haya, en sustitución de D-IRIS.</w:t>
            </w:r>
          </w:p>
          <w:p w:rsidR="00E26770" w:rsidRPr="00E126D2" w:rsidRDefault="00E26770" w:rsidP="00230FAA">
            <w:pPr>
              <w:keepNext/>
              <w:keepLines/>
              <w:rPr>
                <w:sz w:val="16"/>
                <w:szCs w:val="16"/>
              </w:rPr>
            </w:pPr>
          </w:p>
          <w:p w:rsidR="00E26770" w:rsidRPr="00E126D2" w:rsidRDefault="00E26770" w:rsidP="00230FAA">
            <w:pPr>
              <w:keepNext/>
              <w:keepLines/>
              <w:rPr>
                <w:sz w:val="16"/>
                <w:szCs w:val="16"/>
              </w:rPr>
            </w:pPr>
            <w:r w:rsidRPr="00E126D2">
              <w:rPr>
                <w:sz w:val="16"/>
                <w:szCs w:val="16"/>
              </w:rPr>
              <w:t>En 2016:</w:t>
            </w:r>
          </w:p>
          <w:p w:rsidR="00E26770" w:rsidRPr="00E126D2" w:rsidRDefault="00E26770" w:rsidP="00176F6A">
            <w:pPr>
              <w:pStyle w:val="ListParagraph"/>
              <w:keepNext/>
              <w:keepLines/>
              <w:numPr>
                <w:ilvl w:val="0"/>
                <w:numId w:val="35"/>
              </w:numPr>
              <w:ind w:left="164" w:hanging="164"/>
              <w:contextualSpacing/>
              <w:rPr>
                <w:sz w:val="16"/>
                <w:szCs w:val="16"/>
                <w:lang w:val="es-ES"/>
              </w:rPr>
            </w:pPr>
            <w:r w:rsidRPr="00E126D2">
              <w:rPr>
                <w:sz w:val="16"/>
                <w:szCs w:val="16"/>
                <w:lang w:val="es-ES"/>
              </w:rPr>
              <w:t>Habilitación de la función de respuesta electrónica a las cartas de irregularidad en el marco del sistema de presentación electrónica de solicitudes (abril de 2016);</w:t>
            </w:r>
          </w:p>
          <w:p w:rsidR="00E26770" w:rsidRPr="00E126D2" w:rsidRDefault="00E26770" w:rsidP="00176F6A">
            <w:pPr>
              <w:pStyle w:val="ListParagraph"/>
              <w:keepNext/>
              <w:keepLines/>
              <w:numPr>
                <w:ilvl w:val="0"/>
                <w:numId w:val="35"/>
              </w:numPr>
              <w:ind w:left="164" w:hanging="164"/>
              <w:contextualSpacing/>
              <w:rPr>
                <w:sz w:val="16"/>
                <w:szCs w:val="16"/>
                <w:lang w:val="es-ES"/>
              </w:rPr>
            </w:pPr>
            <w:r w:rsidRPr="00E126D2">
              <w:rPr>
                <w:sz w:val="16"/>
                <w:szCs w:val="16"/>
                <w:lang w:val="es-ES"/>
              </w:rPr>
              <w:t>Introducción de 5 versiones actualizadas del sistema de presentación electrónica de solicitudes de La Haya.</w:t>
            </w:r>
          </w:p>
        </w:tc>
        <w:tc>
          <w:tcPr>
            <w:tcW w:w="624" w:type="pct"/>
            <w:shd w:val="clear" w:color="auto" w:fill="auto"/>
            <w:tcMar>
              <w:top w:w="110" w:type="dxa"/>
              <w:left w:w="58" w:type="dxa"/>
              <w:right w:w="58" w:type="dxa"/>
            </w:tcMar>
          </w:tcPr>
          <w:p w:rsidR="00E26770" w:rsidRPr="00E126D2" w:rsidRDefault="00E26770" w:rsidP="00176F6A">
            <w:pPr>
              <w:keepNext/>
              <w:keepLines/>
              <w:ind w:left="-40" w:right="-71"/>
              <w:jc w:val="center"/>
              <w:rPr>
                <w:b/>
                <w:sz w:val="16"/>
                <w:szCs w:val="16"/>
              </w:rPr>
            </w:pPr>
            <w:r w:rsidRPr="00176F6A">
              <w:rPr>
                <w:b/>
                <w:sz w:val="16"/>
                <w:szCs w:val="16"/>
              </w:rPr>
              <w:t>Discontinuado</w:t>
            </w:r>
            <w:r w:rsidRPr="00E126D2">
              <w:rPr>
                <w:b/>
                <w:sz w:val="15"/>
                <w:szCs w:val="15"/>
              </w:rPr>
              <w:br/>
            </w:r>
          </w:p>
          <w:p w:rsidR="00E26770" w:rsidRPr="00E126D2" w:rsidRDefault="00E26770" w:rsidP="00230FAA">
            <w:pPr>
              <w:keepNext/>
              <w:keepLines/>
              <w:jc w:val="center"/>
              <w:rPr>
                <w:sz w:val="16"/>
                <w:szCs w:val="16"/>
              </w:rPr>
            </w:pPr>
          </w:p>
          <w:p w:rsidR="00E26770" w:rsidRPr="00E126D2" w:rsidRDefault="00E26770" w:rsidP="00230FAA">
            <w:pPr>
              <w:keepNext/>
              <w:keepLines/>
              <w:jc w:val="center"/>
              <w:rPr>
                <w:b/>
                <w:sz w:val="16"/>
                <w:szCs w:val="16"/>
              </w:rPr>
            </w:pPr>
          </w:p>
          <w:p w:rsidR="00E26770" w:rsidRPr="00E126D2" w:rsidRDefault="00E26770" w:rsidP="00230FAA">
            <w:pPr>
              <w:keepNext/>
              <w:keepLines/>
              <w:jc w:val="center"/>
              <w:rPr>
                <w:b/>
                <w:sz w:val="16"/>
                <w:szCs w:val="16"/>
              </w:rPr>
            </w:pPr>
            <w:r w:rsidRPr="00E126D2">
              <w:rPr>
                <w:b/>
                <w:color w:val="00B050"/>
                <w:sz w:val="16"/>
                <w:szCs w:val="16"/>
              </w:rPr>
              <w:t>Avanza</w:t>
            </w:r>
          </w:p>
        </w:tc>
      </w:tr>
    </w:tbl>
    <w:p w:rsidR="00E26770" w:rsidRPr="00E126D2" w:rsidRDefault="00E26770" w:rsidP="00230FAA">
      <w:pPr>
        <w:rPr>
          <w:sz w:val="18"/>
          <w:szCs w:val="18"/>
        </w:rPr>
      </w:pPr>
    </w:p>
    <w:p w:rsidR="00E26770" w:rsidRPr="00E126D2" w:rsidRDefault="00E26770" w:rsidP="00230FAA">
      <w:pPr>
        <w:rPr>
          <w:sz w:val="18"/>
          <w:szCs w:val="1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E26770" w:rsidRPr="00E126D2" w:rsidTr="00230FAA">
        <w:trPr>
          <w:trHeight w:val="423"/>
          <w:jc w:val="center"/>
        </w:trPr>
        <w:tc>
          <w:tcPr>
            <w:tcW w:w="9571" w:type="dxa"/>
            <w:shd w:val="clear" w:color="auto" w:fill="C6D9F1" w:themeFill="text2" w:themeFillTint="33"/>
            <w:vAlign w:val="center"/>
          </w:tcPr>
          <w:p w:rsidR="00E26770" w:rsidRPr="00E126D2" w:rsidRDefault="00E26770" w:rsidP="00230FAA">
            <w:pPr>
              <w:keepNext/>
              <w:keepLines/>
              <w:jc w:val="center"/>
              <w:rPr>
                <w:b/>
                <w:sz w:val="20"/>
              </w:rPr>
            </w:pPr>
            <w:r w:rsidRPr="00E126D2">
              <w:rPr>
                <w:b/>
                <w:sz w:val="20"/>
              </w:rPr>
              <w:lastRenderedPageBreak/>
              <w:t>Utilización de los recursos del programa 31</w:t>
            </w:r>
          </w:p>
        </w:tc>
      </w:tr>
    </w:tbl>
    <w:p w:rsidR="00E26770" w:rsidRPr="00E126D2" w:rsidRDefault="00E26770" w:rsidP="00230FAA">
      <w:pPr>
        <w:rPr>
          <w:sz w:val="18"/>
          <w:szCs w:val="16"/>
        </w:rPr>
      </w:pPr>
    </w:p>
    <w:p w:rsidR="00E26770" w:rsidRPr="00E126D2" w:rsidRDefault="00E26770" w:rsidP="00230FAA">
      <w:pPr>
        <w:pStyle w:val="NormalWeb"/>
        <w:keepNext/>
        <w:keepLines/>
        <w:spacing w:before="0" w:beforeAutospacing="0" w:after="0" w:afterAutospacing="0"/>
        <w:jc w:val="center"/>
        <w:rPr>
          <w:lang w:val="es-ES"/>
        </w:rPr>
      </w:pPr>
      <w:r w:rsidRPr="00E126D2">
        <w:rPr>
          <w:lang w:val="es-ES"/>
        </w:rPr>
        <w:t>Presupuesto y gastos reales (por resultado)</w:t>
      </w:r>
    </w:p>
    <w:p w:rsidR="00E26770" w:rsidRPr="00E126D2" w:rsidRDefault="00E26770" w:rsidP="00230FAA">
      <w:pPr>
        <w:pStyle w:val="NormalWeb"/>
        <w:keepNext/>
        <w:keepLines/>
        <w:spacing w:before="0" w:beforeAutospacing="0" w:after="0" w:afterAutospacing="0"/>
        <w:jc w:val="center"/>
        <w:rPr>
          <w:i/>
          <w:iCs/>
          <w:sz w:val="16"/>
          <w:szCs w:val="16"/>
          <w:lang w:val="es-ES"/>
        </w:rPr>
      </w:pPr>
      <w:r w:rsidRPr="00E126D2">
        <w:rPr>
          <w:i/>
          <w:iCs/>
          <w:sz w:val="16"/>
          <w:szCs w:val="16"/>
          <w:lang w:val="es-ES"/>
        </w:rPr>
        <w:t>(en miles de francos suizos)</w:t>
      </w:r>
    </w:p>
    <w:p w:rsidR="00E26770" w:rsidRPr="00E126D2" w:rsidRDefault="00E26770" w:rsidP="00230FAA">
      <w:pPr>
        <w:pStyle w:val="NormalWeb"/>
        <w:keepNext/>
        <w:keepLines/>
        <w:spacing w:before="0" w:beforeAutospacing="0" w:after="0" w:afterAutospacing="0"/>
        <w:jc w:val="center"/>
        <w:rPr>
          <w:i/>
          <w:iCs/>
          <w:lang w:val="es-ES"/>
        </w:rPr>
      </w:pPr>
    </w:p>
    <w:tbl>
      <w:tblPr>
        <w:tblW w:w="8293" w:type="dxa"/>
        <w:jc w:val="center"/>
        <w:tblInd w:w="74" w:type="dxa"/>
        <w:tblLook w:val="04A0" w:firstRow="1" w:lastRow="0" w:firstColumn="1" w:lastColumn="0" w:noHBand="0" w:noVBand="1"/>
      </w:tblPr>
      <w:tblGrid>
        <w:gridCol w:w="439"/>
        <w:gridCol w:w="4365"/>
        <w:gridCol w:w="1186"/>
        <w:gridCol w:w="1310"/>
        <w:gridCol w:w="1203"/>
      </w:tblGrid>
      <w:tr w:rsidR="00E26770" w:rsidRPr="00E126D2" w:rsidTr="00230FAA">
        <w:trPr>
          <w:trHeight w:val="825"/>
          <w:jc w:val="center"/>
        </w:trPr>
        <w:tc>
          <w:tcPr>
            <w:tcW w:w="4730" w:type="dxa"/>
            <w:gridSpan w:val="2"/>
            <w:tcBorders>
              <w:top w:val="nil"/>
              <w:left w:val="nil"/>
              <w:bottom w:val="nil"/>
              <w:right w:val="nil"/>
            </w:tcBorders>
            <w:shd w:val="clear" w:color="000000" w:fill="C5D9F1"/>
            <w:noWrap/>
            <w:vAlign w:val="center"/>
            <w:hideMark/>
          </w:tcPr>
          <w:p w:rsidR="00E26770" w:rsidRPr="00E126D2" w:rsidRDefault="00E26770" w:rsidP="00230FAA">
            <w:pPr>
              <w:jc w:val="center"/>
              <w:rPr>
                <w:b/>
                <w:bCs/>
                <w:sz w:val="16"/>
                <w:szCs w:val="16"/>
              </w:rPr>
            </w:pPr>
            <w:r w:rsidRPr="00E126D2">
              <w:rPr>
                <w:b/>
                <w:bCs/>
                <w:sz w:val="16"/>
                <w:szCs w:val="16"/>
              </w:rPr>
              <w:t xml:space="preserve">Número del resultado previsto y descripción </w:t>
            </w:r>
          </w:p>
        </w:tc>
        <w:tc>
          <w:tcPr>
            <w:tcW w:w="118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 xml:space="preserve"> Presupuesto aprobado de 2016/17 </w:t>
            </w:r>
          </w:p>
        </w:tc>
        <w:tc>
          <w:tcPr>
            <w:tcW w:w="118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 xml:space="preserve"> Presupuesto de 2016/17 tras las transferencias </w:t>
            </w:r>
          </w:p>
        </w:tc>
        <w:tc>
          <w:tcPr>
            <w:tcW w:w="1203"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 xml:space="preserve"> Gastos en 2016* </w:t>
            </w:r>
          </w:p>
        </w:tc>
      </w:tr>
      <w:tr w:rsidR="00E26770" w:rsidRPr="00E126D2" w:rsidTr="00230FAA">
        <w:trPr>
          <w:trHeight w:val="780"/>
          <w:jc w:val="center"/>
        </w:trPr>
        <w:tc>
          <w:tcPr>
            <w:tcW w:w="365" w:type="dxa"/>
            <w:tcBorders>
              <w:top w:val="nil"/>
              <w:left w:val="nil"/>
              <w:bottom w:val="nil"/>
              <w:right w:val="nil"/>
            </w:tcBorders>
            <w:shd w:val="clear" w:color="auto" w:fill="auto"/>
            <w:noWrap/>
            <w:vAlign w:val="center"/>
            <w:hideMark/>
          </w:tcPr>
          <w:p w:rsidR="00E26770" w:rsidRPr="00E126D2" w:rsidRDefault="00E26770" w:rsidP="00230FAA">
            <w:pPr>
              <w:rPr>
                <w:sz w:val="16"/>
                <w:szCs w:val="16"/>
              </w:rPr>
            </w:pPr>
            <w:r w:rsidRPr="00E126D2">
              <w:rPr>
                <w:sz w:val="16"/>
                <w:szCs w:val="16"/>
              </w:rPr>
              <w:t>II.4</w:t>
            </w:r>
          </w:p>
        </w:tc>
        <w:tc>
          <w:tcPr>
            <w:tcW w:w="4365" w:type="dxa"/>
            <w:tcBorders>
              <w:top w:val="nil"/>
              <w:left w:val="nil"/>
              <w:bottom w:val="nil"/>
              <w:right w:val="nil"/>
            </w:tcBorders>
            <w:shd w:val="clear" w:color="auto" w:fill="auto"/>
            <w:vAlign w:val="center"/>
            <w:hideMark/>
          </w:tcPr>
          <w:p w:rsidR="00E26770" w:rsidRPr="00E126D2" w:rsidRDefault="00E26770" w:rsidP="00230FAA">
            <w:pPr>
              <w:rPr>
                <w:sz w:val="16"/>
                <w:szCs w:val="16"/>
              </w:rPr>
            </w:pPr>
            <w:r w:rsidRPr="00E126D2">
              <w:rPr>
                <w:sz w:val="16"/>
                <w:szCs w:val="16"/>
              </w:rPr>
              <w:t>Mayor y más eficaz utilización del Sistema de La Haya, entre otros por los países en desarrollo y los PMA</w:t>
            </w:r>
          </w:p>
        </w:tc>
        <w:tc>
          <w:tcPr>
            <w:tcW w:w="1180" w:type="dxa"/>
            <w:tcBorders>
              <w:top w:val="nil"/>
              <w:left w:val="nil"/>
              <w:bottom w:val="nil"/>
              <w:right w:val="nil"/>
            </w:tcBorders>
            <w:shd w:val="clear" w:color="auto" w:fill="auto"/>
            <w:noWrap/>
            <w:vAlign w:val="center"/>
            <w:hideMark/>
          </w:tcPr>
          <w:p w:rsidR="00E26770" w:rsidRPr="00E126D2" w:rsidRDefault="00E26770" w:rsidP="00230FAA">
            <w:pPr>
              <w:jc w:val="center"/>
              <w:rPr>
                <w:sz w:val="16"/>
                <w:szCs w:val="16"/>
              </w:rPr>
            </w:pPr>
            <w:r w:rsidRPr="00E126D2">
              <w:rPr>
                <w:sz w:val="16"/>
                <w:szCs w:val="16"/>
              </w:rPr>
              <w:t>5.337</w:t>
            </w:r>
          </w:p>
        </w:tc>
        <w:tc>
          <w:tcPr>
            <w:tcW w:w="1180" w:type="dxa"/>
            <w:tcBorders>
              <w:top w:val="nil"/>
              <w:left w:val="nil"/>
              <w:bottom w:val="nil"/>
              <w:right w:val="nil"/>
            </w:tcBorders>
            <w:shd w:val="clear" w:color="auto" w:fill="auto"/>
            <w:noWrap/>
            <w:vAlign w:val="center"/>
            <w:hideMark/>
          </w:tcPr>
          <w:p w:rsidR="00E26770" w:rsidRPr="00E126D2" w:rsidRDefault="00E26770" w:rsidP="00230FAA">
            <w:pPr>
              <w:jc w:val="center"/>
              <w:rPr>
                <w:sz w:val="16"/>
                <w:szCs w:val="16"/>
              </w:rPr>
            </w:pPr>
            <w:r w:rsidRPr="00E126D2">
              <w:rPr>
                <w:sz w:val="16"/>
                <w:szCs w:val="16"/>
              </w:rPr>
              <w:t>5.865</w:t>
            </w:r>
          </w:p>
        </w:tc>
        <w:tc>
          <w:tcPr>
            <w:tcW w:w="1203" w:type="dxa"/>
            <w:tcBorders>
              <w:top w:val="nil"/>
              <w:left w:val="nil"/>
              <w:bottom w:val="nil"/>
              <w:right w:val="nil"/>
            </w:tcBorders>
            <w:shd w:val="clear" w:color="auto" w:fill="auto"/>
            <w:noWrap/>
            <w:vAlign w:val="center"/>
            <w:hideMark/>
          </w:tcPr>
          <w:p w:rsidR="00E26770" w:rsidRPr="00E126D2" w:rsidRDefault="00E26770" w:rsidP="00230FAA">
            <w:pPr>
              <w:jc w:val="center"/>
              <w:rPr>
                <w:sz w:val="16"/>
                <w:szCs w:val="16"/>
              </w:rPr>
            </w:pPr>
            <w:r w:rsidRPr="00E126D2">
              <w:rPr>
                <w:sz w:val="16"/>
                <w:szCs w:val="16"/>
              </w:rPr>
              <w:t>2.688</w:t>
            </w:r>
          </w:p>
        </w:tc>
      </w:tr>
      <w:tr w:rsidR="00E26770" w:rsidRPr="00E126D2" w:rsidTr="00230FAA">
        <w:trPr>
          <w:trHeight w:val="615"/>
          <w:jc w:val="center"/>
        </w:trPr>
        <w:tc>
          <w:tcPr>
            <w:tcW w:w="365" w:type="dxa"/>
            <w:tcBorders>
              <w:top w:val="nil"/>
              <w:left w:val="nil"/>
              <w:bottom w:val="nil"/>
              <w:right w:val="nil"/>
            </w:tcBorders>
            <w:shd w:val="clear" w:color="auto" w:fill="auto"/>
            <w:noWrap/>
            <w:vAlign w:val="center"/>
            <w:hideMark/>
          </w:tcPr>
          <w:p w:rsidR="00E26770" w:rsidRPr="00E126D2" w:rsidRDefault="00E26770" w:rsidP="00230FAA">
            <w:pPr>
              <w:rPr>
                <w:sz w:val="16"/>
                <w:szCs w:val="16"/>
              </w:rPr>
            </w:pPr>
            <w:r w:rsidRPr="00E126D2">
              <w:rPr>
                <w:sz w:val="16"/>
                <w:szCs w:val="16"/>
              </w:rPr>
              <w:t>II.5</w:t>
            </w:r>
          </w:p>
        </w:tc>
        <w:tc>
          <w:tcPr>
            <w:tcW w:w="4365" w:type="dxa"/>
            <w:tcBorders>
              <w:top w:val="nil"/>
              <w:left w:val="nil"/>
              <w:bottom w:val="nil"/>
              <w:right w:val="nil"/>
            </w:tcBorders>
            <w:shd w:val="clear" w:color="auto" w:fill="auto"/>
            <w:vAlign w:val="center"/>
            <w:hideMark/>
          </w:tcPr>
          <w:p w:rsidR="00E26770" w:rsidRPr="00E126D2" w:rsidRDefault="00E26770" w:rsidP="00230FAA">
            <w:pPr>
              <w:rPr>
                <w:sz w:val="16"/>
                <w:szCs w:val="16"/>
              </w:rPr>
            </w:pPr>
            <w:r w:rsidRPr="00E126D2">
              <w:rPr>
                <w:sz w:val="16"/>
                <w:szCs w:val="16"/>
              </w:rPr>
              <w:t>Mejora de la productividad y de la calidad de los servicios en las operaciones del Sistema de La Haya</w:t>
            </w:r>
          </w:p>
        </w:tc>
        <w:tc>
          <w:tcPr>
            <w:tcW w:w="1180" w:type="dxa"/>
            <w:tcBorders>
              <w:top w:val="nil"/>
              <w:left w:val="nil"/>
              <w:bottom w:val="nil"/>
              <w:right w:val="nil"/>
            </w:tcBorders>
            <w:shd w:val="clear" w:color="auto" w:fill="auto"/>
            <w:noWrap/>
            <w:vAlign w:val="center"/>
            <w:hideMark/>
          </w:tcPr>
          <w:p w:rsidR="00E26770" w:rsidRPr="00E126D2" w:rsidRDefault="00E26770" w:rsidP="00230FAA">
            <w:pPr>
              <w:jc w:val="center"/>
              <w:rPr>
                <w:sz w:val="16"/>
                <w:szCs w:val="16"/>
              </w:rPr>
            </w:pPr>
            <w:r w:rsidRPr="00E126D2">
              <w:rPr>
                <w:sz w:val="16"/>
                <w:szCs w:val="16"/>
              </w:rPr>
              <w:t>2.234</w:t>
            </w:r>
          </w:p>
        </w:tc>
        <w:tc>
          <w:tcPr>
            <w:tcW w:w="1180" w:type="dxa"/>
            <w:tcBorders>
              <w:top w:val="nil"/>
              <w:left w:val="nil"/>
              <w:bottom w:val="nil"/>
              <w:right w:val="nil"/>
            </w:tcBorders>
            <w:shd w:val="clear" w:color="auto" w:fill="auto"/>
            <w:noWrap/>
            <w:vAlign w:val="center"/>
            <w:hideMark/>
          </w:tcPr>
          <w:p w:rsidR="00E26770" w:rsidRPr="00E126D2" w:rsidRDefault="00E26770" w:rsidP="00230FAA">
            <w:pPr>
              <w:jc w:val="center"/>
              <w:rPr>
                <w:sz w:val="16"/>
                <w:szCs w:val="16"/>
              </w:rPr>
            </w:pPr>
            <w:r w:rsidRPr="00E126D2">
              <w:rPr>
                <w:sz w:val="16"/>
                <w:szCs w:val="16"/>
              </w:rPr>
              <w:t>3.506</w:t>
            </w:r>
          </w:p>
        </w:tc>
        <w:tc>
          <w:tcPr>
            <w:tcW w:w="1203" w:type="dxa"/>
            <w:tcBorders>
              <w:top w:val="nil"/>
              <w:left w:val="nil"/>
              <w:bottom w:val="nil"/>
              <w:right w:val="nil"/>
            </w:tcBorders>
            <w:shd w:val="clear" w:color="auto" w:fill="auto"/>
            <w:noWrap/>
            <w:vAlign w:val="center"/>
            <w:hideMark/>
          </w:tcPr>
          <w:p w:rsidR="00E26770" w:rsidRPr="00E126D2" w:rsidRDefault="00E26770" w:rsidP="00230FAA">
            <w:pPr>
              <w:jc w:val="center"/>
              <w:rPr>
                <w:sz w:val="16"/>
                <w:szCs w:val="16"/>
              </w:rPr>
            </w:pPr>
            <w:r w:rsidRPr="00E126D2">
              <w:rPr>
                <w:sz w:val="16"/>
                <w:szCs w:val="16"/>
              </w:rPr>
              <w:t>1.318</w:t>
            </w:r>
          </w:p>
        </w:tc>
      </w:tr>
      <w:tr w:rsidR="00E26770" w:rsidRPr="00E126D2" w:rsidTr="00230FAA">
        <w:trPr>
          <w:trHeight w:val="225"/>
          <w:jc w:val="center"/>
        </w:trPr>
        <w:tc>
          <w:tcPr>
            <w:tcW w:w="365" w:type="dxa"/>
            <w:tcBorders>
              <w:top w:val="nil"/>
              <w:left w:val="nil"/>
              <w:bottom w:val="nil"/>
              <w:right w:val="nil"/>
            </w:tcBorders>
            <w:shd w:val="clear" w:color="000000" w:fill="C5D9F1"/>
            <w:noWrap/>
            <w:vAlign w:val="bottom"/>
            <w:hideMark/>
          </w:tcPr>
          <w:p w:rsidR="00E26770" w:rsidRPr="00E126D2" w:rsidRDefault="00E26770" w:rsidP="00230FAA">
            <w:pPr>
              <w:rPr>
                <w:sz w:val="16"/>
                <w:szCs w:val="16"/>
              </w:rPr>
            </w:pPr>
            <w:r w:rsidRPr="00E126D2">
              <w:rPr>
                <w:sz w:val="16"/>
                <w:szCs w:val="16"/>
              </w:rPr>
              <w:t> </w:t>
            </w:r>
          </w:p>
        </w:tc>
        <w:tc>
          <w:tcPr>
            <w:tcW w:w="4365" w:type="dxa"/>
            <w:tcBorders>
              <w:top w:val="nil"/>
              <w:left w:val="nil"/>
              <w:bottom w:val="nil"/>
              <w:right w:val="nil"/>
            </w:tcBorders>
            <w:shd w:val="clear" w:color="000000" w:fill="C5D9F1"/>
            <w:noWrap/>
            <w:vAlign w:val="bottom"/>
            <w:hideMark/>
          </w:tcPr>
          <w:p w:rsidR="00E26770" w:rsidRPr="00E126D2" w:rsidRDefault="00E26770" w:rsidP="00230FAA">
            <w:pPr>
              <w:jc w:val="right"/>
              <w:rPr>
                <w:b/>
                <w:bCs/>
                <w:sz w:val="16"/>
                <w:szCs w:val="16"/>
              </w:rPr>
            </w:pPr>
            <w:r w:rsidRPr="00E126D2">
              <w:rPr>
                <w:b/>
                <w:bCs/>
                <w:sz w:val="16"/>
                <w:szCs w:val="16"/>
              </w:rPr>
              <w:t>Total</w:t>
            </w:r>
          </w:p>
        </w:tc>
        <w:tc>
          <w:tcPr>
            <w:tcW w:w="1180" w:type="dxa"/>
            <w:tcBorders>
              <w:top w:val="nil"/>
              <w:left w:val="nil"/>
              <w:bottom w:val="nil"/>
              <w:right w:val="nil"/>
            </w:tcBorders>
            <w:shd w:val="clear" w:color="000000" w:fill="C5D9F1"/>
            <w:noWrap/>
            <w:vAlign w:val="center"/>
            <w:hideMark/>
          </w:tcPr>
          <w:p w:rsidR="00E26770" w:rsidRPr="00E126D2" w:rsidRDefault="00E26770" w:rsidP="00230FAA">
            <w:pPr>
              <w:jc w:val="center"/>
              <w:rPr>
                <w:sz w:val="16"/>
                <w:szCs w:val="16"/>
              </w:rPr>
            </w:pPr>
            <w:r w:rsidRPr="00E126D2">
              <w:rPr>
                <w:sz w:val="16"/>
                <w:szCs w:val="16"/>
              </w:rPr>
              <w:t>7.572</w:t>
            </w:r>
          </w:p>
        </w:tc>
        <w:tc>
          <w:tcPr>
            <w:tcW w:w="1180" w:type="dxa"/>
            <w:tcBorders>
              <w:top w:val="nil"/>
              <w:left w:val="nil"/>
              <w:bottom w:val="nil"/>
              <w:right w:val="nil"/>
            </w:tcBorders>
            <w:shd w:val="clear" w:color="000000" w:fill="C5D9F1"/>
            <w:noWrap/>
            <w:vAlign w:val="center"/>
            <w:hideMark/>
          </w:tcPr>
          <w:p w:rsidR="00E26770" w:rsidRPr="00E126D2" w:rsidRDefault="00E26770" w:rsidP="00230FAA">
            <w:pPr>
              <w:jc w:val="center"/>
              <w:rPr>
                <w:sz w:val="16"/>
                <w:szCs w:val="16"/>
              </w:rPr>
            </w:pPr>
            <w:r w:rsidRPr="00E126D2">
              <w:rPr>
                <w:sz w:val="16"/>
                <w:szCs w:val="16"/>
              </w:rPr>
              <w:t>9.371</w:t>
            </w:r>
          </w:p>
        </w:tc>
        <w:tc>
          <w:tcPr>
            <w:tcW w:w="1203" w:type="dxa"/>
            <w:tcBorders>
              <w:top w:val="nil"/>
              <w:left w:val="nil"/>
              <w:bottom w:val="nil"/>
              <w:right w:val="nil"/>
            </w:tcBorders>
            <w:shd w:val="clear" w:color="000000" w:fill="C5D9F1"/>
            <w:noWrap/>
            <w:vAlign w:val="center"/>
            <w:hideMark/>
          </w:tcPr>
          <w:p w:rsidR="00E26770" w:rsidRPr="00E126D2" w:rsidRDefault="00E26770" w:rsidP="00230FAA">
            <w:pPr>
              <w:jc w:val="center"/>
              <w:rPr>
                <w:sz w:val="16"/>
                <w:szCs w:val="16"/>
              </w:rPr>
            </w:pPr>
            <w:r w:rsidRPr="00E126D2">
              <w:rPr>
                <w:sz w:val="16"/>
                <w:szCs w:val="16"/>
              </w:rPr>
              <w:t>4.006</w:t>
            </w:r>
          </w:p>
        </w:tc>
      </w:tr>
      <w:tr w:rsidR="00E26770" w:rsidRPr="00E126D2" w:rsidTr="00230FAA">
        <w:trPr>
          <w:trHeight w:val="330"/>
          <w:jc w:val="center"/>
        </w:trPr>
        <w:tc>
          <w:tcPr>
            <w:tcW w:w="7090" w:type="dxa"/>
            <w:gridSpan w:val="4"/>
            <w:tcBorders>
              <w:top w:val="nil"/>
              <w:left w:val="nil"/>
              <w:bottom w:val="nil"/>
              <w:right w:val="nil"/>
            </w:tcBorders>
            <w:shd w:val="clear" w:color="auto" w:fill="auto"/>
            <w:noWrap/>
            <w:vAlign w:val="center"/>
            <w:hideMark/>
          </w:tcPr>
          <w:p w:rsidR="00E26770" w:rsidRPr="00E126D2" w:rsidRDefault="00E26770" w:rsidP="00230FAA">
            <w:pPr>
              <w:rPr>
                <w:i/>
                <w:iCs/>
                <w:sz w:val="16"/>
                <w:szCs w:val="16"/>
              </w:rPr>
            </w:pPr>
            <w:r w:rsidRPr="00E126D2">
              <w:rPr>
                <w:i/>
                <w:iCs/>
                <w:sz w:val="16"/>
                <w:szCs w:val="16"/>
              </w:rPr>
              <w:t>*Las cifras de gastos en 2016 son preliminares, a reserva de verificación por el Auditor Externo.</w:t>
            </w:r>
          </w:p>
        </w:tc>
        <w:tc>
          <w:tcPr>
            <w:tcW w:w="1203" w:type="dxa"/>
            <w:tcBorders>
              <w:top w:val="nil"/>
              <w:left w:val="nil"/>
              <w:bottom w:val="nil"/>
              <w:right w:val="nil"/>
            </w:tcBorders>
            <w:shd w:val="clear" w:color="auto" w:fill="auto"/>
            <w:noWrap/>
            <w:vAlign w:val="center"/>
            <w:hideMark/>
          </w:tcPr>
          <w:p w:rsidR="00E26770" w:rsidRPr="00E126D2" w:rsidRDefault="00E26770" w:rsidP="00230FAA">
            <w:pPr>
              <w:rPr>
                <w:sz w:val="16"/>
                <w:szCs w:val="16"/>
              </w:rPr>
            </w:pPr>
          </w:p>
        </w:tc>
      </w:tr>
    </w:tbl>
    <w:p w:rsidR="00E26770" w:rsidRPr="00E126D2" w:rsidRDefault="00E26770" w:rsidP="00230FAA">
      <w:pPr>
        <w:pStyle w:val="NormalWeb"/>
        <w:keepNext/>
        <w:keepLines/>
        <w:spacing w:before="0" w:beforeAutospacing="0" w:after="0" w:afterAutospacing="0"/>
        <w:jc w:val="center"/>
        <w:rPr>
          <w:lang w:val="es-ES"/>
        </w:rPr>
      </w:pPr>
    </w:p>
    <w:p w:rsidR="00E26770" w:rsidRPr="00E126D2" w:rsidRDefault="00E26770" w:rsidP="00230FAA">
      <w:pPr>
        <w:pStyle w:val="NormalWeb"/>
        <w:keepNext/>
        <w:keepLines/>
        <w:spacing w:before="0" w:beforeAutospacing="0" w:after="0" w:afterAutospacing="0"/>
        <w:jc w:val="center"/>
        <w:rPr>
          <w:lang w:val="es-ES"/>
        </w:rPr>
      </w:pPr>
      <w:r w:rsidRPr="00E126D2">
        <w:rPr>
          <w:lang w:val="es-ES"/>
        </w:rPr>
        <w:t xml:space="preserve">Presupuesto y gastos reales (de personal y no relativos a personal) </w:t>
      </w:r>
    </w:p>
    <w:p w:rsidR="00E26770" w:rsidRPr="00E126D2" w:rsidRDefault="00E26770" w:rsidP="00230FAA">
      <w:pPr>
        <w:pStyle w:val="NormalWeb"/>
        <w:keepNext/>
        <w:keepLines/>
        <w:spacing w:before="0" w:beforeAutospacing="0" w:after="0" w:afterAutospacing="0"/>
        <w:jc w:val="center"/>
        <w:rPr>
          <w:i/>
          <w:iCs/>
          <w:sz w:val="16"/>
          <w:szCs w:val="16"/>
          <w:lang w:val="es-ES"/>
        </w:rPr>
      </w:pPr>
      <w:r w:rsidRPr="00E126D2">
        <w:rPr>
          <w:i/>
          <w:iCs/>
          <w:sz w:val="16"/>
          <w:szCs w:val="16"/>
          <w:lang w:val="es-ES"/>
        </w:rPr>
        <w:t>(en miles de francos suizos)</w:t>
      </w:r>
    </w:p>
    <w:p w:rsidR="00E26770" w:rsidRPr="00E126D2" w:rsidRDefault="00E26770" w:rsidP="00230FAA">
      <w:pPr>
        <w:pStyle w:val="NormalWeb"/>
        <w:keepNext/>
        <w:keepLines/>
        <w:spacing w:before="0" w:beforeAutospacing="0" w:after="0" w:afterAutospacing="0"/>
        <w:jc w:val="center"/>
        <w:rPr>
          <w:i/>
          <w:iCs/>
          <w:lang w:val="es-ES"/>
        </w:rPr>
      </w:pPr>
    </w:p>
    <w:tbl>
      <w:tblPr>
        <w:tblW w:w="8222" w:type="dxa"/>
        <w:jc w:val="center"/>
        <w:tblLook w:val="04A0" w:firstRow="1" w:lastRow="0" w:firstColumn="1" w:lastColumn="0" w:noHBand="0" w:noVBand="1"/>
      </w:tblPr>
      <w:tblGrid>
        <w:gridCol w:w="2470"/>
        <w:gridCol w:w="1438"/>
        <w:gridCol w:w="1438"/>
        <w:gridCol w:w="1438"/>
        <w:gridCol w:w="1438"/>
      </w:tblGrid>
      <w:tr w:rsidR="00E26770" w:rsidRPr="00E126D2" w:rsidTr="00230FAA">
        <w:trPr>
          <w:trHeight w:val="720"/>
          <w:jc w:val="center"/>
        </w:trPr>
        <w:tc>
          <w:tcPr>
            <w:tcW w:w="2440" w:type="dxa"/>
            <w:tcBorders>
              <w:top w:val="nil"/>
              <w:left w:val="nil"/>
              <w:bottom w:val="nil"/>
              <w:right w:val="nil"/>
            </w:tcBorders>
            <w:shd w:val="clear" w:color="000000" w:fill="C5D9F1"/>
            <w:noWrap/>
            <w:vAlign w:val="center"/>
            <w:hideMark/>
          </w:tcPr>
          <w:p w:rsidR="00E26770" w:rsidRPr="00E126D2" w:rsidRDefault="00E26770" w:rsidP="00230FAA">
            <w:pPr>
              <w:rPr>
                <w:sz w:val="16"/>
                <w:szCs w:val="16"/>
              </w:rPr>
            </w:pPr>
            <w:r w:rsidRPr="00E126D2">
              <w:rPr>
                <w:sz w:val="16"/>
                <w:szCs w:val="16"/>
              </w:rPr>
              <w:t> </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Gastos en 2016*</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Índice de utilización (%)</w:t>
            </w:r>
          </w:p>
        </w:tc>
      </w:tr>
      <w:tr w:rsidR="00E26770" w:rsidRPr="00E126D2" w:rsidTr="00230FAA">
        <w:trPr>
          <w:trHeight w:val="315"/>
          <w:jc w:val="center"/>
        </w:trPr>
        <w:tc>
          <w:tcPr>
            <w:tcW w:w="2440" w:type="dxa"/>
            <w:tcBorders>
              <w:top w:val="nil"/>
              <w:left w:val="nil"/>
              <w:bottom w:val="nil"/>
              <w:right w:val="nil"/>
            </w:tcBorders>
            <w:shd w:val="clear" w:color="auto" w:fill="auto"/>
            <w:noWrap/>
            <w:vAlign w:val="center"/>
            <w:hideMark/>
          </w:tcPr>
          <w:p w:rsidR="00E26770" w:rsidRPr="00E126D2" w:rsidRDefault="00E26770" w:rsidP="00230FAA">
            <w:pPr>
              <w:rPr>
                <w:sz w:val="16"/>
                <w:szCs w:val="16"/>
              </w:rPr>
            </w:pPr>
            <w:r w:rsidRPr="00E126D2">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 xml:space="preserve">6.226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 xml:space="preserve">7.524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 xml:space="preserve">3.428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46%</w:t>
            </w:r>
          </w:p>
        </w:tc>
      </w:tr>
      <w:tr w:rsidR="00E26770" w:rsidRPr="00E126D2" w:rsidTr="00230FAA">
        <w:trPr>
          <w:trHeight w:val="315"/>
          <w:jc w:val="center"/>
        </w:trPr>
        <w:tc>
          <w:tcPr>
            <w:tcW w:w="2440" w:type="dxa"/>
            <w:tcBorders>
              <w:top w:val="nil"/>
              <w:left w:val="nil"/>
              <w:bottom w:val="nil"/>
              <w:right w:val="nil"/>
            </w:tcBorders>
            <w:shd w:val="clear" w:color="auto" w:fill="auto"/>
            <w:noWrap/>
            <w:vAlign w:val="center"/>
            <w:hideMark/>
          </w:tcPr>
          <w:p w:rsidR="00E26770" w:rsidRPr="00E126D2" w:rsidRDefault="00E26770" w:rsidP="00230FAA">
            <w:pPr>
              <w:rPr>
                <w:sz w:val="16"/>
                <w:szCs w:val="16"/>
              </w:rPr>
            </w:pPr>
            <w:r w:rsidRPr="00E126D2">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 xml:space="preserve">1.346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 xml:space="preserve">1.847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 xml:space="preserve">578 </w:t>
            </w:r>
          </w:p>
        </w:tc>
        <w:tc>
          <w:tcPr>
            <w:tcW w:w="1420" w:type="dxa"/>
            <w:tcBorders>
              <w:top w:val="nil"/>
              <w:left w:val="nil"/>
              <w:bottom w:val="nil"/>
              <w:right w:val="nil"/>
            </w:tcBorders>
            <w:shd w:val="clear" w:color="auto" w:fill="auto"/>
            <w:vAlign w:val="center"/>
            <w:hideMark/>
          </w:tcPr>
          <w:p w:rsidR="00E26770" w:rsidRPr="00E126D2" w:rsidRDefault="00E26770" w:rsidP="00230FAA">
            <w:pPr>
              <w:jc w:val="center"/>
              <w:rPr>
                <w:sz w:val="16"/>
                <w:szCs w:val="16"/>
              </w:rPr>
            </w:pPr>
            <w:r w:rsidRPr="00E126D2">
              <w:rPr>
                <w:sz w:val="16"/>
                <w:szCs w:val="16"/>
              </w:rPr>
              <w:t>31%</w:t>
            </w:r>
          </w:p>
        </w:tc>
      </w:tr>
      <w:tr w:rsidR="00E26770" w:rsidRPr="00E126D2" w:rsidTr="00230FAA">
        <w:trPr>
          <w:trHeight w:val="225"/>
          <w:jc w:val="center"/>
        </w:trPr>
        <w:tc>
          <w:tcPr>
            <w:tcW w:w="2440" w:type="dxa"/>
            <w:tcBorders>
              <w:top w:val="nil"/>
              <w:left w:val="nil"/>
              <w:bottom w:val="nil"/>
              <w:right w:val="nil"/>
            </w:tcBorders>
            <w:shd w:val="clear" w:color="000000" w:fill="C5D9F1"/>
            <w:noWrap/>
            <w:vAlign w:val="center"/>
            <w:hideMark/>
          </w:tcPr>
          <w:p w:rsidR="00E26770" w:rsidRPr="00E126D2" w:rsidRDefault="00E26770" w:rsidP="00230FAA">
            <w:pPr>
              <w:jc w:val="right"/>
              <w:rPr>
                <w:b/>
                <w:bCs/>
                <w:sz w:val="16"/>
                <w:szCs w:val="16"/>
              </w:rPr>
            </w:pPr>
            <w:r w:rsidRPr="00E126D2">
              <w:rPr>
                <w:b/>
                <w:bCs/>
                <w:sz w:val="16"/>
                <w:szCs w:val="16"/>
              </w:rPr>
              <w:t xml:space="preserve"> Total </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 xml:space="preserve">7.572 </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 xml:space="preserve">9.371 </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 xml:space="preserve">4.006 </w:t>
            </w:r>
          </w:p>
        </w:tc>
        <w:tc>
          <w:tcPr>
            <w:tcW w:w="1420" w:type="dxa"/>
            <w:tcBorders>
              <w:top w:val="nil"/>
              <w:left w:val="nil"/>
              <w:bottom w:val="nil"/>
              <w:right w:val="nil"/>
            </w:tcBorders>
            <w:shd w:val="clear" w:color="000000" w:fill="C5D9F1"/>
            <w:vAlign w:val="center"/>
            <w:hideMark/>
          </w:tcPr>
          <w:p w:rsidR="00E26770" w:rsidRPr="00E126D2" w:rsidRDefault="00E26770" w:rsidP="00230FAA">
            <w:pPr>
              <w:jc w:val="center"/>
              <w:rPr>
                <w:b/>
                <w:bCs/>
                <w:sz w:val="16"/>
                <w:szCs w:val="16"/>
              </w:rPr>
            </w:pPr>
            <w:r w:rsidRPr="00E126D2">
              <w:rPr>
                <w:b/>
                <w:bCs/>
                <w:sz w:val="16"/>
                <w:szCs w:val="16"/>
              </w:rPr>
              <w:t>43%</w:t>
            </w:r>
          </w:p>
        </w:tc>
      </w:tr>
      <w:tr w:rsidR="00E26770" w:rsidRPr="00E126D2" w:rsidTr="00230FAA">
        <w:trPr>
          <w:trHeight w:val="300"/>
          <w:jc w:val="center"/>
        </w:trPr>
        <w:tc>
          <w:tcPr>
            <w:tcW w:w="8120" w:type="dxa"/>
            <w:gridSpan w:val="5"/>
            <w:tcBorders>
              <w:top w:val="nil"/>
              <w:left w:val="nil"/>
              <w:bottom w:val="nil"/>
              <w:right w:val="nil"/>
            </w:tcBorders>
            <w:shd w:val="clear" w:color="auto" w:fill="auto"/>
            <w:noWrap/>
            <w:vAlign w:val="center"/>
            <w:hideMark/>
          </w:tcPr>
          <w:p w:rsidR="00E26770" w:rsidRPr="00E126D2" w:rsidRDefault="00E26770" w:rsidP="00230FAA">
            <w:pPr>
              <w:rPr>
                <w:i/>
                <w:iCs/>
                <w:sz w:val="16"/>
                <w:szCs w:val="16"/>
              </w:rPr>
            </w:pPr>
            <w:r w:rsidRPr="00E126D2">
              <w:rPr>
                <w:i/>
                <w:iCs/>
                <w:sz w:val="16"/>
                <w:szCs w:val="16"/>
              </w:rPr>
              <w:t xml:space="preserve"> *Las cifras de gastos en 2016 son preliminares, a reserva de verificación por el Auditor Externo.</w:t>
            </w:r>
          </w:p>
        </w:tc>
      </w:tr>
    </w:tbl>
    <w:p w:rsidR="00E26770" w:rsidRPr="00E126D2" w:rsidRDefault="00E26770" w:rsidP="00230FAA">
      <w:pPr>
        <w:ind w:left="567" w:right="284"/>
        <w:rPr>
          <w:i/>
          <w:sz w:val="18"/>
          <w:szCs w:val="18"/>
        </w:rPr>
      </w:pPr>
    </w:p>
    <w:p w:rsidR="00E26770" w:rsidRPr="00E126D2" w:rsidRDefault="00E26770" w:rsidP="00230FAA">
      <w:pPr>
        <w:ind w:left="567" w:right="284"/>
        <w:rPr>
          <w:i/>
          <w:sz w:val="16"/>
          <w:szCs w:val="16"/>
        </w:rPr>
      </w:pPr>
      <w:r w:rsidRPr="00E126D2">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E26770" w:rsidRPr="00E126D2" w:rsidRDefault="00E26770" w:rsidP="00230FAA">
      <w:pPr>
        <w:jc w:val="both"/>
        <w:rPr>
          <w:sz w:val="20"/>
        </w:rPr>
      </w:pPr>
    </w:p>
    <w:p w:rsidR="00E26770" w:rsidRPr="00E126D2" w:rsidRDefault="00E26770" w:rsidP="00230FAA">
      <w:pPr>
        <w:jc w:val="both"/>
        <w:rPr>
          <w:sz w:val="20"/>
          <w:u w:val="single"/>
        </w:rPr>
      </w:pPr>
      <w:r w:rsidRPr="00E126D2">
        <w:rPr>
          <w:sz w:val="20"/>
        </w:rPr>
        <w:t>A.</w:t>
      </w:r>
      <w:r w:rsidRPr="00E126D2">
        <w:rPr>
          <w:sz w:val="20"/>
        </w:rPr>
        <w:tab/>
      </w:r>
      <w:r w:rsidRPr="00E126D2">
        <w:rPr>
          <w:sz w:val="20"/>
          <w:u w:val="single"/>
        </w:rPr>
        <w:t>Presupuesto de 2016/17 tras las transferencias</w:t>
      </w:r>
    </w:p>
    <w:p w:rsidR="00E26770" w:rsidRPr="00E126D2" w:rsidRDefault="00E26770" w:rsidP="00230FAA">
      <w:pPr>
        <w:jc w:val="both"/>
        <w:rPr>
          <w:sz w:val="20"/>
        </w:rPr>
      </w:pPr>
    </w:p>
    <w:p w:rsidR="00E26770" w:rsidRPr="00E126D2" w:rsidRDefault="00E26770" w:rsidP="00AA75F7">
      <w:pPr>
        <w:pStyle w:val="ListParagraph"/>
        <w:numPr>
          <w:ilvl w:val="0"/>
          <w:numId w:val="36"/>
        </w:numPr>
        <w:ind w:left="0" w:firstLine="0"/>
        <w:contextualSpacing/>
        <w:jc w:val="both"/>
        <w:rPr>
          <w:lang w:val="es-ES"/>
        </w:rPr>
      </w:pPr>
      <w:r w:rsidRPr="00E126D2">
        <w:rPr>
          <w:lang w:val="es-ES"/>
        </w:rPr>
        <w:t>El presupuesto tras las transferencias refleja un ajuste al alza debido principalmente a:  i) la transferencia de recursos no relativos a personal adicionales para ejecutar las fases iniciales del proyecto sobre la plataforma de T.I. del Sistema de La Haya; ii) el traslado provisional de un miembro del personal desde el programa “Soluciones operativas para las Oficinas de P.I.” (programa 15) para reforzar la ejecución del proyecto, como se refleja en el resultado previsto II.5 (Mejora de la productividad y de la calidad de los servicios en las operaciones del Sistema de La Haya);  y iii) el traslado de tres cargos temporales en apoyo al examen adicional de demandas tras las adhesiones del Japón y de los Estados Unidos de América y en previsión de la adhesión de la Federación de Rusia, como se refleja en el resultado previsto II.4 (Mayor y más eficaz utilización del Sistema de La Haya).</w:t>
      </w:r>
    </w:p>
    <w:p w:rsidR="00E26770" w:rsidRPr="00E126D2" w:rsidRDefault="00E26770" w:rsidP="00230FAA">
      <w:pPr>
        <w:jc w:val="both"/>
        <w:rPr>
          <w:sz w:val="20"/>
        </w:rPr>
      </w:pPr>
    </w:p>
    <w:p w:rsidR="00E26770" w:rsidRPr="00E126D2" w:rsidRDefault="00E26770" w:rsidP="00230FAA">
      <w:pPr>
        <w:jc w:val="both"/>
        <w:rPr>
          <w:sz w:val="20"/>
          <w:u w:val="single"/>
        </w:rPr>
      </w:pPr>
      <w:r w:rsidRPr="00E126D2">
        <w:rPr>
          <w:sz w:val="20"/>
        </w:rPr>
        <w:t>B.</w:t>
      </w:r>
      <w:r w:rsidRPr="00E126D2">
        <w:rPr>
          <w:sz w:val="20"/>
        </w:rPr>
        <w:tab/>
      </w:r>
      <w:r w:rsidRPr="00E126D2">
        <w:rPr>
          <w:sz w:val="20"/>
          <w:u w:val="single"/>
        </w:rPr>
        <w:t>Utilización del presupuesto en 2016/17</w:t>
      </w:r>
    </w:p>
    <w:p w:rsidR="00E26770" w:rsidRPr="00E126D2" w:rsidRDefault="00E26770" w:rsidP="00230FAA">
      <w:pPr>
        <w:jc w:val="both"/>
        <w:rPr>
          <w:sz w:val="20"/>
        </w:rPr>
      </w:pPr>
    </w:p>
    <w:p w:rsidR="00E26770" w:rsidRPr="00E126D2" w:rsidRDefault="00E26770" w:rsidP="00AA75F7">
      <w:pPr>
        <w:pStyle w:val="ListParagraph"/>
        <w:numPr>
          <w:ilvl w:val="0"/>
          <w:numId w:val="36"/>
        </w:numPr>
        <w:ind w:left="0" w:firstLine="0"/>
        <w:contextualSpacing/>
        <w:jc w:val="both"/>
        <w:rPr>
          <w:lang w:val="es-ES"/>
        </w:rPr>
      </w:pPr>
      <w:r w:rsidRPr="00E126D2">
        <w:rPr>
          <w:lang w:val="es-ES"/>
        </w:rPr>
        <w:t xml:space="preserve">La infrautilización de los recursos no relativos a personal </w:t>
      </w:r>
      <w:r w:rsidR="0048069B">
        <w:rPr>
          <w:lang w:val="es-ES"/>
        </w:rPr>
        <w:t>se debió</w:t>
      </w:r>
      <w:r w:rsidRPr="00E126D2">
        <w:rPr>
          <w:lang w:val="es-ES"/>
        </w:rPr>
        <w:t xml:space="preserve"> principalmente al aplazamiento de los trabajos de T.I. como consecuencia de la labor en curso de estabilización del sistema MIRIS.  </w:t>
      </w:r>
    </w:p>
    <w:p w:rsidR="00E26770" w:rsidRPr="00E126D2" w:rsidRDefault="00E26770" w:rsidP="00230FAA">
      <w:pPr>
        <w:rPr>
          <w:sz w:val="20"/>
        </w:rPr>
      </w:pPr>
    </w:p>
    <w:p w:rsidR="00E26770" w:rsidRPr="00E126D2" w:rsidRDefault="00E26770" w:rsidP="00230FAA">
      <w:pPr>
        <w:rPr>
          <w:sz w:val="20"/>
        </w:rPr>
      </w:pPr>
    </w:p>
    <w:p w:rsidR="00E26770" w:rsidRPr="00E126D2" w:rsidRDefault="00E26770" w:rsidP="00230FAA">
      <w:pPr>
        <w:rPr>
          <w:sz w:val="20"/>
        </w:rPr>
      </w:pPr>
    </w:p>
    <w:p w:rsidR="00B92E4D" w:rsidRDefault="00B92E4D">
      <w:pPr>
        <w:rPr>
          <w:rFonts w:eastAsia="Times New Roman"/>
          <w:sz w:val="20"/>
          <w:lang w:eastAsia="en-US"/>
        </w:rPr>
      </w:pPr>
      <w:r>
        <w:br w:type="page"/>
      </w:r>
    </w:p>
    <w:p w:rsidR="000D3D40" w:rsidRPr="00F26597" w:rsidRDefault="000D3D40" w:rsidP="000D3D40">
      <w:pPr>
        <w:pStyle w:val="Heading3"/>
        <w:tabs>
          <w:tab w:val="left" w:pos="2835"/>
        </w:tabs>
        <w:rPr>
          <w:b/>
          <w:i/>
          <w:u w:val="none"/>
        </w:rPr>
      </w:pPr>
      <w:bookmarkStart w:id="37" w:name="_Toc482629452"/>
      <w:bookmarkStart w:id="38" w:name="_Toc482711249"/>
      <w:r w:rsidRPr="00F26597">
        <w:rPr>
          <w:b/>
          <w:i/>
          <w:u w:val="none"/>
        </w:rPr>
        <w:lastRenderedPageBreak/>
        <w:t>Programa 31, Anexo:</w:t>
      </w:r>
      <w:r w:rsidRPr="00F26597">
        <w:rPr>
          <w:b/>
          <w:i/>
          <w:u w:val="none"/>
        </w:rPr>
        <w:tab/>
        <w:t>Indicadores de las operaciones del Sistema de La Haya</w:t>
      </w:r>
      <w:bookmarkEnd w:id="37"/>
      <w:bookmarkEnd w:id="38"/>
    </w:p>
    <w:p w:rsidR="000D3D40" w:rsidRPr="001B09FE" w:rsidRDefault="000D3D40" w:rsidP="000D3D40">
      <w:pPr>
        <w:rPr>
          <w:bCs/>
          <w:sz w:val="20"/>
        </w:rPr>
      </w:pPr>
    </w:p>
    <w:p w:rsidR="000D3D40" w:rsidRPr="001B09FE" w:rsidRDefault="000D3D40" w:rsidP="000D3D40">
      <w:pPr>
        <w:rPr>
          <w:bCs/>
          <w:sz w:val="20"/>
        </w:rPr>
      </w:pPr>
    </w:p>
    <w:p w:rsidR="000D3D40" w:rsidRPr="001B09FE" w:rsidRDefault="000D3D40" w:rsidP="000D3D40">
      <w:pPr>
        <w:rPr>
          <w:sz w:val="20"/>
        </w:rPr>
      </w:pPr>
      <w:r w:rsidRPr="001B09FE">
        <w:rPr>
          <w:sz w:val="20"/>
        </w:rPr>
        <w:t>INDICADORES DE RENDIMIENTO CON RESPECTO AL RESULTADO PREVISTO</w:t>
      </w:r>
    </w:p>
    <w:p w:rsidR="000D3D40" w:rsidRPr="001B09FE" w:rsidRDefault="000D3D40" w:rsidP="000D3D40">
      <w:pPr>
        <w:rPr>
          <w:sz w:val="20"/>
        </w:rPr>
      </w:pPr>
      <w:r w:rsidRPr="001B09FE">
        <w:rPr>
          <w:sz w:val="20"/>
        </w:rPr>
        <w:t>“MEJORA DE LA PRODUCTIVIDAD Y DE LA CALIDAD DE LOS SERVICIOS EN LAS OPERACIONES DEL SISTEMA DE LA HAYA”</w:t>
      </w:r>
    </w:p>
    <w:p w:rsidR="000D3D40" w:rsidRPr="001B09FE" w:rsidRDefault="000D3D40" w:rsidP="000D3D40">
      <w:pPr>
        <w:rPr>
          <w:sz w:val="20"/>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Como referencia de los indicadores de rendimiento en lo que respecta al resultado previsto “Mejora de la productividad y de la calidad de los servicios en las operaciones del Sistema de La Haya”, es necesario considerar la evolución de los siguientes factores:</w:t>
      </w:r>
    </w:p>
    <w:p w:rsidR="000D3D40" w:rsidRPr="001B09FE" w:rsidRDefault="000D3D40" w:rsidP="000D3D40">
      <w:pPr>
        <w:pStyle w:val="ListParagraph"/>
        <w:tabs>
          <w:tab w:val="left" w:pos="0"/>
          <w:tab w:val="left" w:pos="567"/>
        </w:tabs>
        <w:ind w:left="0"/>
        <w:jc w:val="both"/>
        <w:rPr>
          <w:rFonts w:cs="Arial"/>
          <w:lang w:val="es-ES"/>
        </w:rPr>
      </w:pPr>
    </w:p>
    <w:p w:rsidR="000D3D40" w:rsidRPr="001B09FE" w:rsidRDefault="000D3D40" w:rsidP="00AA75F7">
      <w:pPr>
        <w:numPr>
          <w:ilvl w:val="0"/>
          <w:numId w:val="29"/>
        </w:numPr>
        <w:tabs>
          <w:tab w:val="clear" w:pos="720"/>
          <w:tab w:val="num" w:pos="1134"/>
        </w:tabs>
        <w:spacing w:after="120"/>
        <w:ind w:left="567" w:firstLine="0"/>
        <w:jc w:val="both"/>
        <w:rPr>
          <w:sz w:val="20"/>
        </w:rPr>
      </w:pPr>
      <w:r w:rsidRPr="001B09FE">
        <w:rPr>
          <w:sz w:val="20"/>
        </w:rPr>
        <w:t>los volúmenes de trabajo del Sistema de La Haya;</w:t>
      </w:r>
    </w:p>
    <w:p w:rsidR="000D3D40" w:rsidRPr="001B09FE" w:rsidRDefault="000D3D40" w:rsidP="00AA75F7">
      <w:pPr>
        <w:numPr>
          <w:ilvl w:val="0"/>
          <w:numId w:val="29"/>
        </w:numPr>
        <w:tabs>
          <w:tab w:val="clear" w:pos="720"/>
          <w:tab w:val="num" w:pos="1134"/>
        </w:tabs>
        <w:spacing w:after="120"/>
        <w:ind w:left="567" w:firstLine="0"/>
        <w:jc w:val="both"/>
        <w:rPr>
          <w:sz w:val="20"/>
        </w:rPr>
      </w:pPr>
      <w:r w:rsidRPr="001B09FE">
        <w:rPr>
          <w:sz w:val="20"/>
        </w:rPr>
        <w:t>la composición de esos volúmenes;</w:t>
      </w:r>
    </w:p>
    <w:p w:rsidR="000D3D40" w:rsidRPr="001B09FE" w:rsidRDefault="000D3D40" w:rsidP="00AA75F7">
      <w:pPr>
        <w:numPr>
          <w:ilvl w:val="0"/>
          <w:numId w:val="29"/>
        </w:numPr>
        <w:tabs>
          <w:tab w:val="clear" w:pos="720"/>
          <w:tab w:val="num" w:pos="1134"/>
        </w:tabs>
        <w:spacing w:after="120"/>
        <w:ind w:left="567" w:firstLine="0"/>
        <w:jc w:val="both"/>
        <w:rPr>
          <w:sz w:val="20"/>
        </w:rPr>
      </w:pPr>
      <w:r w:rsidRPr="001B09FE">
        <w:rPr>
          <w:sz w:val="20"/>
        </w:rPr>
        <w:t>el grado de automatización;  y</w:t>
      </w:r>
    </w:p>
    <w:p w:rsidR="000D3D40" w:rsidRPr="001B09FE" w:rsidRDefault="000D3D40" w:rsidP="00AA75F7">
      <w:pPr>
        <w:numPr>
          <w:ilvl w:val="0"/>
          <w:numId w:val="29"/>
        </w:numPr>
        <w:tabs>
          <w:tab w:val="clear" w:pos="720"/>
          <w:tab w:val="num" w:pos="1134"/>
        </w:tabs>
        <w:ind w:left="567" w:firstLine="0"/>
        <w:jc w:val="both"/>
        <w:rPr>
          <w:sz w:val="20"/>
        </w:rPr>
      </w:pPr>
      <w:r w:rsidRPr="001B09FE">
        <w:rPr>
          <w:sz w:val="20"/>
        </w:rPr>
        <w:t>los recursos asignados para hacer frente al volumen de trabajo.</w:t>
      </w:r>
    </w:p>
    <w:p w:rsidR="000D3D40" w:rsidRPr="001B09FE" w:rsidRDefault="000D3D40" w:rsidP="000D3D40">
      <w:pPr>
        <w:jc w:val="both"/>
        <w:rPr>
          <w:sz w:val="20"/>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La Oficina Internacional (IB) recibe principalmente cuatro tipos de documentos, a saber, solicitudes internacionales, renovaciones, cambios y decisiones.  Se presentan, a continuación, las tendencias más recientes para cada uno de esos documentos.  También se proporciona información adicional sobre las solicitudes recibidas, como por ejemplo, el número medio de dibujos o modelos por solicitud.  Por motivos técnicos, el indicador relativo a las irregularidades notificadas presenta datos basados en documentos tramitados más que recibidos.</w:t>
      </w:r>
    </w:p>
    <w:p w:rsidR="000D3D40" w:rsidRPr="001B09FE" w:rsidRDefault="000D3D40" w:rsidP="000D3D40">
      <w:pPr>
        <w:pStyle w:val="ListParagraph"/>
        <w:tabs>
          <w:tab w:val="left" w:pos="0"/>
          <w:tab w:val="left" w:pos="567"/>
        </w:tabs>
        <w:ind w:left="0"/>
        <w:jc w:val="both"/>
        <w:rPr>
          <w:rFonts w:cs="Arial"/>
          <w:lang w:val="es-ES"/>
        </w:rPr>
      </w:pPr>
    </w:p>
    <w:p w:rsidR="000D3D40" w:rsidRPr="001B09FE" w:rsidRDefault="000D3D40" w:rsidP="000D3D40">
      <w:pPr>
        <w:tabs>
          <w:tab w:val="left" w:pos="567"/>
        </w:tabs>
        <w:spacing w:before="120" w:after="240"/>
        <w:rPr>
          <w:b/>
          <w:sz w:val="20"/>
        </w:rPr>
      </w:pPr>
      <w:r w:rsidRPr="001B09FE">
        <w:rPr>
          <w:b/>
          <w:sz w:val="20"/>
        </w:rPr>
        <w:t>I.</w:t>
      </w:r>
      <w:r w:rsidRPr="001B09FE">
        <w:rPr>
          <w:sz w:val="20"/>
        </w:rPr>
        <w:tab/>
      </w:r>
      <w:r w:rsidRPr="001B09FE">
        <w:rPr>
          <w:b/>
          <w:sz w:val="20"/>
        </w:rPr>
        <w:t>Documentos recibidos</w:t>
      </w:r>
    </w:p>
    <w:p w:rsidR="000D3D40" w:rsidRPr="001B09FE" w:rsidRDefault="000D3D40" w:rsidP="000D3D40">
      <w:pPr>
        <w:rPr>
          <w:sz w:val="20"/>
          <w:u w:val="single"/>
        </w:rPr>
      </w:pPr>
      <w:r w:rsidRPr="001B09FE">
        <w:rPr>
          <w:sz w:val="20"/>
          <w:u w:val="single"/>
        </w:rPr>
        <w:t>Solicitudes recibidas</w:t>
      </w:r>
    </w:p>
    <w:p w:rsidR="000D3D40" w:rsidRPr="001B09FE" w:rsidRDefault="000D3D40" w:rsidP="000D3D40">
      <w:pPr>
        <w:spacing w:before="120" w:after="240"/>
        <w:jc w:val="center"/>
        <w:rPr>
          <w:sz w:val="20"/>
        </w:rPr>
      </w:pPr>
      <w:r w:rsidRPr="001B09FE">
        <w:rPr>
          <w:noProof/>
          <w:sz w:val="20"/>
          <w:lang w:val="en-US" w:eastAsia="en-US"/>
        </w:rPr>
        <w:drawing>
          <wp:inline distT="0" distB="0" distL="0" distR="0" wp14:anchorId="330EAC19" wp14:editId="54ED1CA3">
            <wp:extent cx="4536502" cy="3024000"/>
            <wp:effectExtent l="0" t="0" r="0" b="5080"/>
            <wp:docPr id="946" name="Picture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536502" cy="3024000"/>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la IB recibió 5.562 solicitudes internacionales, l</w:t>
      </w:r>
      <w:r w:rsidR="002863C9">
        <w:rPr>
          <w:sz w:val="20"/>
        </w:rPr>
        <w:t>o que representa un aumento del </w:t>
      </w:r>
      <w:r w:rsidRPr="001B09FE">
        <w:rPr>
          <w:sz w:val="20"/>
        </w:rPr>
        <w:t>35% con respecto a 2015.  Además de las solicitudes procedentes de la Unión Europea (+186 solicitudes), también contribuyeron a ese aumento las procedentes de la República de Corea (+747 solicitudes), el Japón (+220 solicitudes) y los Estados Unidos de América (+211 solicitudes), países que se adhi</w:t>
      </w:r>
      <w:r w:rsidR="002863C9">
        <w:rPr>
          <w:sz w:val="20"/>
        </w:rPr>
        <w:t>rieron al Sistema de La Haya en </w:t>
      </w:r>
      <w:r w:rsidRPr="001B09FE">
        <w:rPr>
          <w:sz w:val="20"/>
        </w:rPr>
        <w:t xml:space="preserve">2014/15. </w:t>
      </w:r>
    </w:p>
    <w:p w:rsidR="000D3D40" w:rsidRPr="001B09FE" w:rsidRDefault="000D3D40" w:rsidP="000D3D40">
      <w:pPr>
        <w:ind w:left="1134"/>
        <w:jc w:val="both"/>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el 94% de las solicitudes se presentaron por medios electrónicos, es decir 13 puntos porcentuales más que en 2012.</w:t>
      </w:r>
    </w:p>
    <w:p w:rsidR="000D3D40" w:rsidRPr="001B09FE" w:rsidRDefault="000D3D40" w:rsidP="000D3D40">
      <w:pPr>
        <w:jc w:val="both"/>
        <w:rPr>
          <w:sz w:val="20"/>
        </w:rPr>
      </w:pPr>
    </w:p>
    <w:p w:rsidR="000D3D40" w:rsidRPr="001B09FE" w:rsidRDefault="000D3D40" w:rsidP="000D3D40">
      <w:pPr>
        <w:keepNext/>
        <w:keepLines/>
        <w:rPr>
          <w:i/>
          <w:sz w:val="20"/>
        </w:rPr>
      </w:pPr>
      <w:r w:rsidRPr="001B09FE">
        <w:rPr>
          <w:i/>
          <w:sz w:val="20"/>
        </w:rPr>
        <w:lastRenderedPageBreak/>
        <w:t>Número medio de designaciones por solicitud</w:t>
      </w:r>
    </w:p>
    <w:p w:rsidR="000D3D40" w:rsidRPr="001B09FE" w:rsidRDefault="000D3D40" w:rsidP="000D3D40">
      <w:pPr>
        <w:keepNext/>
        <w:keepLines/>
        <w:jc w:val="center"/>
        <w:rPr>
          <w:i/>
          <w:sz w:val="20"/>
        </w:rPr>
      </w:pPr>
      <w:r w:rsidRPr="001B09FE">
        <w:rPr>
          <w:noProof/>
          <w:sz w:val="20"/>
          <w:lang w:val="en-US" w:eastAsia="en-US"/>
        </w:rPr>
        <w:drawing>
          <wp:inline distT="0" distB="0" distL="0" distR="0" wp14:anchorId="27708616" wp14:editId="22D4D0E9">
            <wp:extent cx="4634497" cy="3096000"/>
            <wp:effectExtent l="0" t="0" r="0" b="9525"/>
            <wp:docPr id="947"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634497" cy="3096000"/>
                    </a:xfrm>
                    <a:prstGeom prst="rect">
                      <a:avLst/>
                    </a:prstGeom>
                    <a:noFill/>
                    <a:ln>
                      <a:noFill/>
                    </a:ln>
                  </pic:spPr>
                </pic:pic>
              </a:graphicData>
            </a:graphic>
          </wp:inline>
        </w:drawing>
      </w:r>
    </w:p>
    <w:p w:rsidR="000D3D40" w:rsidRPr="001B09FE" w:rsidRDefault="000D3D40" w:rsidP="000D3D40">
      <w:pPr>
        <w:keepNext/>
        <w:keepLines/>
        <w:tabs>
          <w:tab w:val="left" w:pos="1134"/>
        </w:tabs>
        <w:jc w:val="center"/>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cada solicitud contenía una media de 3,4 dibujos y modelos, lo que confirma una tendencia observada a la baja.</w:t>
      </w:r>
    </w:p>
    <w:p w:rsidR="000D3D40" w:rsidRPr="001B09FE" w:rsidRDefault="000D3D40" w:rsidP="000D3D40">
      <w:pPr>
        <w:ind w:left="1134"/>
        <w:jc w:val="both"/>
        <w:rPr>
          <w:sz w:val="20"/>
        </w:rPr>
      </w:pPr>
    </w:p>
    <w:p w:rsidR="000D3D40" w:rsidRPr="001B09FE" w:rsidRDefault="000D3D40" w:rsidP="000D3D40">
      <w:pPr>
        <w:keepNext/>
        <w:keepLines/>
        <w:rPr>
          <w:i/>
          <w:sz w:val="20"/>
        </w:rPr>
      </w:pPr>
      <w:r w:rsidRPr="001B09FE">
        <w:rPr>
          <w:i/>
          <w:sz w:val="20"/>
        </w:rPr>
        <w:t>Número medio de designaciones por solicitud</w:t>
      </w:r>
    </w:p>
    <w:p w:rsidR="000D3D40" w:rsidRPr="001B09FE" w:rsidRDefault="000D3D40" w:rsidP="000D3D40">
      <w:pPr>
        <w:pStyle w:val="ListParagraph"/>
        <w:keepNext/>
        <w:keepLines/>
        <w:ind w:left="0"/>
        <w:jc w:val="center"/>
        <w:rPr>
          <w:rFonts w:cs="Arial"/>
          <w:i/>
          <w:lang w:val="es-ES"/>
        </w:rPr>
      </w:pPr>
      <w:r w:rsidRPr="001B09FE">
        <w:rPr>
          <w:rFonts w:cs="Arial"/>
          <w:noProof/>
        </w:rPr>
        <w:drawing>
          <wp:inline distT="0" distB="0" distL="0" distR="0" wp14:anchorId="595F4918" wp14:editId="3783FE61">
            <wp:extent cx="4536501" cy="3024000"/>
            <wp:effectExtent l="0" t="0" r="0" b="5080"/>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536501" cy="3024000"/>
                    </a:xfrm>
                    <a:prstGeom prst="rect">
                      <a:avLst/>
                    </a:prstGeom>
                    <a:noFill/>
                    <a:ln>
                      <a:noFill/>
                    </a:ln>
                  </pic:spPr>
                </pic:pic>
              </a:graphicData>
            </a:graphic>
          </wp:inline>
        </w:drawing>
      </w:r>
    </w:p>
    <w:p w:rsidR="000D3D40" w:rsidRPr="001B09FE" w:rsidRDefault="000D3D40" w:rsidP="000D3D40">
      <w:pPr>
        <w:keepNext/>
        <w:keepLines/>
        <w:tabs>
          <w:tab w:val="left" w:pos="1134"/>
        </w:tabs>
        <w:jc w:val="center"/>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cada solicitud contenía una media de 3,8 designaciones.  Desde 2012, ha disminuido constantemente el promedio de designaciones por solicitud.</w:t>
      </w:r>
    </w:p>
    <w:p w:rsidR="000D3D40" w:rsidRPr="001B09FE" w:rsidRDefault="000D3D40" w:rsidP="000D3D40">
      <w:pPr>
        <w:ind w:left="1134"/>
        <w:jc w:val="both"/>
        <w:rPr>
          <w:sz w:val="20"/>
        </w:rPr>
      </w:pPr>
    </w:p>
    <w:p w:rsidR="000D3D40" w:rsidRPr="001B09FE" w:rsidRDefault="000D3D40" w:rsidP="000D3D40">
      <w:pPr>
        <w:keepNext/>
        <w:keepLines/>
        <w:rPr>
          <w:i/>
          <w:sz w:val="20"/>
        </w:rPr>
      </w:pPr>
      <w:r w:rsidRPr="001B09FE">
        <w:rPr>
          <w:i/>
          <w:sz w:val="20"/>
        </w:rPr>
        <w:lastRenderedPageBreak/>
        <w:t>Tendencia observada en las irregularidades en solicitudes</w:t>
      </w:r>
    </w:p>
    <w:p w:rsidR="000D3D40" w:rsidRPr="001B09FE" w:rsidRDefault="000D3D40" w:rsidP="000D3D40">
      <w:pPr>
        <w:keepNext/>
        <w:keepLines/>
        <w:rPr>
          <w:i/>
          <w:sz w:val="20"/>
        </w:rPr>
      </w:pPr>
    </w:p>
    <w:p w:rsidR="000D3D40" w:rsidRPr="001B09FE" w:rsidRDefault="000D3D40" w:rsidP="00AA75F7">
      <w:pPr>
        <w:pStyle w:val="ListParagraph"/>
        <w:keepNext/>
        <w:keepLines/>
        <w:numPr>
          <w:ilvl w:val="0"/>
          <w:numId w:val="37"/>
        </w:numPr>
        <w:tabs>
          <w:tab w:val="left" w:pos="0"/>
          <w:tab w:val="left" w:pos="567"/>
        </w:tabs>
        <w:ind w:left="0" w:firstLine="0"/>
        <w:contextualSpacing/>
        <w:jc w:val="both"/>
        <w:rPr>
          <w:rFonts w:cs="Arial"/>
          <w:lang w:val="es-ES"/>
        </w:rPr>
      </w:pPr>
      <w:r w:rsidRPr="001B09FE">
        <w:rPr>
          <w:rFonts w:cs="Arial"/>
          <w:lang w:val="es-ES"/>
        </w:rPr>
        <w:t>Las irregularidades notificadas se agrupan en las 10 categorías indicadas a continuación.</w:t>
      </w:r>
    </w:p>
    <w:p w:rsidR="000D3D40" w:rsidRPr="001B09FE" w:rsidRDefault="000D3D40" w:rsidP="000D3D40">
      <w:pPr>
        <w:keepNext/>
        <w:keepLines/>
        <w:spacing w:before="120" w:after="240"/>
        <w:jc w:val="center"/>
        <w:rPr>
          <w:sz w:val="20"/>
        </w:rPr>
      </w:pPr>
      <w:r w:rsidRPr="001B09FE">
        <w:rPr>
          <w:noProof/>
          <w:sz w:val="20"/>
          <w:lang w:val="en-US" w:eastAsia="en-US"/>
        </w:rPr>
        <w:drawing>
          <wp:inline distT="0" distB="0" distL="0" distR="0" wp14:anchorId="5DC28EDA" wp14:editId="0BEF2334">
            <wp:extent cx="4776697" cy="2844000"/>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776697" cy="2844000"/>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 xml:space="preserve">En 2016, la IB notificó 3.383 irregularidades halladas en solicitudes. </w:t>
      </w:r>
    </w:p>
    <w:p w:rsidR="000D3D40" w:rsidRPr="001B09FE" w:rsidRDefault="000D3D40" w:rsidP="000D3D40">
      <w:pPr>
        <w:ind w:left="1134"/>
        <w:jc w:val="both"/>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Las irregularidades relativas a indicaciones de productos, descripciones y la numeración de las reproducciones experimentaron el aumento relativo más acusado en 2016.</w:t>
      </w:r>
    </w:p>
    <w:p w:rsidR="000D3D40" w:rsidRPr="001B09FE" w:rsidRDefault="000D3D40" w:rsidP="000D3D40">
      <w:pPr>
        <w:ind w:left="1134"/>
        <w:jc w:val="both"/>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general, las irregularidades notificadas en 2016 aumentaron en un 64% en comparación con 2015</w:t>
      </w:r>
      <w:r>
        <w:rPr>
          <w:sz w:val="20"/>
        </w:rPr>
        <w:t>,</w:t>
      </w:r>
      <w:r w:rsidRPr="001B09FE">
        <w:rPr>
          <w:sz w:val="20"/>
          <w:vertAlign w:val="superscript"/>
        </w:rPr>
        <w:footnoteReference w:id="42"/>
      </w:r>
      <w:r w:rsidRPr="001B09FE">
        <w:rPr>
          <w:sz w:val="20"/>
        </w:rPr>
        <w:t xml:space="preserve"> un aumento que supera el crecimiento en cuanto al número de solicitudes.</w:t>
      </w:r>
    </w:p>
    <w:p w:rsidR="000D3D40" w:rsidRPr="001B09FE" w:rsidRDefault="000D3D40" w:rsidP="000D3D40">
      <w:pPr>
        <w:jc w:val="both"/>
        <w:rPr>
          <w:sz w:val="20"/>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A continuación se muestra la evolución de la proporción de solicitudes que contienen una o más irregularidades o son objeto de observaciones sustantivas.</w:t>
      </w:r>
      <w:r w:rsidRPr="001B09FE">
        <w:rPr>
          <w:rStyle w:val="FootnoteReference"/>
          <w:rFonts w:cs="Arial"/>
          <w:lang w:val="es-ES"/>
        </w:rPr>
        <w:footnoteReference w:id="43"/>
      </w:r>
      <w:r w:rsidRPr="001B09FE">
        <w:rPr>
          <w:rFonts w:cs="Arial"/>
          <w:lang w:val="es-ES"/>
        </w:rPr>
        <w:t xml:space="preserve"> </w:t>
      </w:r>
    </w:p>
    <w:p w:rsidR="000D3D40" w:rsidRPr="001B09FE" w:rsidRDefault="000D3D40" w:rsidP="000D3D40">
      <w:pPr>
        <w:spacing w:before="120"/>
        <w:jc w:val="center"/>
        <w:rPr>
          <w:sz w:val="20"/>
        </w:rPr>
      </w:pPr>
      <w:r w:rsidRPr="001B09FE">
        <w:rPr>
          <w:noProof/>
          <w:sz w:val="20"/>
          <w:lang w:val="en-US" w:eastAsia="en-US"/>
        </w:rPr>
        <w:drawing>
          <wp:inline distT="0" distB="0" distL="0" distR="0" wp14:anchorId="70264BD8" wp14:editId="08388207">
            <wp:extent cx="4572000" cy="2875652"/>
            <wp:effectExtent l="0" t="0" r="0" b="1270"/>
            <wp:docPr id="94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4572000" cy="2875652"/>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lastRenderedPageBreak/>
        <w:t xml:space="preserve">En 2016 el 49% de las solicitudes registradas contenía al menos una irregularidad o fueron objeto de una observación sustantiva.  Ello representa un aumento de </w:t>
      </w:r>
      <w:r>
        <w:rPr>
          <w:sz w:val="20"/>
        </w:rPr>
        <w:t>5</w:t>
      </w:r>
      <w:r w:rsidRPr="001B09FE">
        <w:rPr>
          <w:sz w:val="20"/>
        </w:rPr>
        <w:t xml:space="preserve"> puntos porcentuales en comparación con 2015.</w:t>
      </w:r>
    </w:p>
    <w:p w:rsidR="000D3D40" w:rsidRDefault="000D3D40" w:rsidP="000D3D40">
      <w:pPr>
        <w:jc w:val="both"/>
        <w:rPr>
          <w:sz w:val="20"/>
        </w:rPr>
      </w:pPr>
    </w:p>
    <w:p w:rsidR="000D3D40" w:rsidRPr="001B09FE" w:rsidRDefault="000D3D40" w:rsidP="000D3D40">
      <w:pPr>
        <w:jc w:val="both"/>
        <w:rPr>
          <w:sz w:val="20"/>
        </w:rPr>
      </w:pPr>
    </w:p>
    <w:p w:rsidR="000D3D40" w:rsidRPr="001B09FE" w:rsidRDefault="000D3D40" w:rsidP="000D3D40">
      <w:pPr>
        <w:rPr>
          <w:sz w:val="20"/>
          <w:u w:val="single"/>
        </w:rPr>
      </w:pPr>
      <w:r w:rsidRPr="001B09FE">
        <w:rPr>
          <w:sz w:val="20"/>
          <w:u w:val="single"/>
        </w:rPr>
        <w:t>Renovaciones</w:t>
      </w:r>
    </w:p>
    <w:p w:rsidR="000D3D40" w:rsidRPr="001B09FE" w:rsidRDefault="000D3D40" w:rsidP="000D3D40">
      <w:pPr>
        <w:spacing w:before="120"/>
        <w:jc w:val="center"/>
        <w:rPr>
          <w:sz w:val="20"/>
        </w:rPr>
      </w:pPr>
      <w:r w:rsidRPr="001B09FE">
        <w:rPr>
          <w:noProof/>
          <w:sz w:val="20"/>
          <w:lang w:val="en-US" w:eastAsia="en-US"/>
        </w:rPr>
        <w:drawing>
          <wp:inline distT="0" distB="0" distL="0" distR="0" wp14:anchorId="7AE0F0E0" wp14:editId="2285B345">
            <wp:extent cx="4711544" cy="31320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711544" cy="3132000"/>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el número de renovaciones disminuyó un 1,4% en relación con 2015, totalizando 3.150 renovaciones.</w:t>
      </w:r>
    </w:p>
    <w:p w:rsidR="000D3D40" w:rsidRPr="001B09FE" w:rsidRDefault="000D3D40" w:rsidP="000D3D40">
      <w:pPr>
        <w:ind w:left="1134"/>
        <w:jc w:val="both"/>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Desde 2012 la mayoría de las renovaciones ha sido tramitada electrónicamente, es decir, el 77% del total de renovaciones en 2016, lo que en comparación con el 73% registrado en 2015 representa un aumento de cuatro puntos porcentuales.</w:t>
      </w:r>
    </w:p>
    <w:p w:rsidR="000D3D40" w:rsidRDefault="000D3D40" w:rsidP="000D3D40">
      <w:pPr>
        <w:jc w:val="both"/>
        <w:rPr>
          <w:sz w:val="20"/>
        </w:rPr>
      </w:pPr>
    </w:p>
    <w:p w:rsidR="000D3D40" w:rsidRPr="001B09FE" w:rsidRDefault="000D3D40" w:rsidP="000D3D40">
      <w:pPr>
        <w:jc w:val="both"/>
        <w:rPr>
          <w:sz w:val="20"/>
        </w:rPr>
      </w:pPr>
    </w:p>
    <w:p w:rsidR="000D3D40" w:rsidRPr="001B09FE" w:rsidRDefault="000D3D40" w:rsidP="00125985">
      <w:pPr>
        <w:keepNext/>
        <w:rPr>
          <w:sz w:val="20"/>
          <w:u w:val="single"/>
        </w:rPr>
      </w:pPr>
      <w:r w:rsidRPr="001B09FE">
        <w:rPr>
          <w:sz w:val="20"/>
          <w:u w:val="single"/>
        </w:rPr>
        <w:t>Cambios</w:t>
      </w:r>
    </w:p>
    <w:p w:rsidR="000D3D40" w:rsidRPr="001B09FE" w:rsidRDefault="000D3D40" w:rsidP="00125985">
      <w:pPr>
        <w:keepNext/>
        <w:spacing w:before="120"/>
        <w:jc w:val="center"/>
        <w:rPr>
          <w:sz w:val="20"/>
        </w:rPr>
      </w:pPr>
      <w:r w:rsidRPr="001B09FE">
        <w:rPr>
          <w:noProof/>
          <w:sz w:val="20"/>
          <w:lang w:val="en-US" w:eastAsia="en-US"/>
        </w:rPr>
        <w:drawing>
          <wp:inline distT="0" distB="0" distL="0" distR="0" wp14:anchorId="7E3B1523" wp14:editId="3BA6CCF6">
            <wp:extent cx="4647338" cy="3096000"/>
            <wp:effectExtent l="0" t="0" r="1270" b="9525"/>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4647338" cy="3096000"/>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 xml:space="preserve">En 2016, los solicitantes pidieron que se inscribieran 1.020 cambios en registros internacionales, lo que equivale a un aumento del 0,2% con respecto a 2015. </w:t>
      </w:r>
    </w:p>
    <w:p w:rsidR="000D3D40" w:rsidRPr="001B09FE" w:rsidRDefault="000D3D40" w:rsidP="000D3D40">
      <w:pPr>
        <w:keepNext/>
        <w:keepLines/>
        <w:rPr>
          <w:sz w:val="20"/>
          <w:u w:val="single"/>
        </w:rPr>
      </w:pPr>
      <w:r w:rsidRPr="001B09FE">
        <w:rPr>
          <w:sz w:val="20"/>
          <w:u w:val="single"/>
        </w:rPr>
        <w:lastRenderedPageBreak/>
        <w:t>Decisiones</w:t>
      </w:r>
    </w:p>
    <w:p w:rsidR="000D3D40" w:rsidRPr="001B09FE" w:rsidRDefault="000D3D40" w:rsidP="000D3D40">
      <w:pPr>
        <w:keepNext/>
        <w:keepLines/>
        <w:rPr>
          <w:sz w:val="20"/>
          <w:u w:val="single"/>
        </w:rPr>
      </w:pPr>
    </w:p>
    <w:p w:rsidR="000D3D40" w:rsidRPr="001B09FE" w:rsidRDefault="000D3D40" w:rsidP="000D3D40">
      <w:pPr>
        <w:keepNext/>
        <w:keepLines/>
        <w:jc w:val="center"/>
        <w:rPr>
          <w:sz w:val="20"/>
        </w:rPr>
      </w:pPr>
      <w:r w:rsidRPr="001B09FE">
        <w:rPr>
          <w:noProof/>
          <w:sz w:val="20"/>
          <w:lang w:val="en-US" w:eastAsia="en-US"/>
        </w:rPr>
        <w:drawing>
          <wp:inline distT="0" distB="0" distL="0" distR="0" wp14:anchorId="0911CCC4" wp14:editId="0AE9350D">
            <wp:extent cx="4765700" cy="3168000"/>
            <wp:effectExtent l="0" t="0" r="0" b="0"/>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4765700" cy="3168000"/>
                    </a:xfrm>
                    <a:prstGeom prst="rect">
                      <a:avLst/>
                    </a:prstGeom>
                    <a:noFill/>
                    <a:ln>
                      <a:noFill/>
                    </a:ln>
                  </pic:spPr>
                </pic:pic>
              </a:graphicData>
            </a:graphic>
          </wp:inline>
        </w:drawing>
      </w:r>
    </w:p>
    <w:p w:rsidR="000D3D40" w:rsidRPr="001B09FE" w:rsidRDefault="000D3D40" w:rsidP="000D3D40">
      <w:pPr>
        <w:jc w:val="center"/>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El número de decisiones recibidas en 2016 aumentó en un 112% en comparación con 2015, hasta llegar a las 8.368 decisiones, lo que refleja la incidencia en las operaciones del Sistema de La Haya de la reciente ampliación del Sistema para dar cabida a jurisdicciones que practican el examen sustantivo.</w:t>
      </w:r>
    </w:p>
    <w:p w:rsidR="000D3D40" w:rsidRPr="001B09FE" w:rsidRDefault="000D3D40" w:rsidP="000D3D40">
      <w:pPr>
        <w:ind w:left="1134"/>
        <w:jc w:val="both"/>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El porcentaje de decisiones tramitadas automáticamente en 2016 (42%) fue el más bajo desde 2012.</w:t>
      </w:r>
    </w:p>
    <w:p w:rsidR="000D3D40" w:rsidRPr="008D0976" w:rsidRDefault="000D3D40" w:rsidP="000D3D40">
      <w:pPr>
        <w:spacing w:before="120" w:after="240"/>
        <w:rPr>
          <w:sz w:val="20"/>
        </w:rPr>
      </w:pPr>
    </w:p>
    <w:p w:rsidR="000D3D40" w:rsidRPr="001B09FE" w:rsidRDefault="000D3D40" w:rsidP="000D3D40">
      <w:pPr>
        <w:tabs>
          <w:tab w:val="left" w:pos="567"/>
        </w:tabs>
        <w:spacing w:before="120" w:after="240"/>
        <w:rPr>
          <w:b/>
          <w:sz w:val="20"/>
        </w:rPr>
      </w:pPr>
      <w:r w:rsidRPr="001B09FE">
        <w:rPr>
          <w:b/>
          <w:sz w:val="20"/>
        </w:rPr>
        <w:t>II.</w:t>
      </w:r>
      <w:r w:rsidRPr="001B09FE">
        <w:rPr>
          <w:sz w:val="20"/>
        </w:rPr>
        <w:tab/>
      </w:r>
      <w:r w:rsidRPr="001B09FE">
        <w:rPr>
          <w:b/>
          <w:sz w:val="20"/>
        </w:rPr>
        <w:t xml:space="preserve">Volumen total de trabajo </w:t>
      </w: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El volumen total de trabajo representa el número total ponderado de documentos recibidos en la IB.  Están incluidas las cuatro categorías de documentos (solicitudes, renovaciones, cambios y decisiones).</w:t>
      </w:r>
    </w:p>
    <w:p w:rsidR="000D3D40" w:rsidRPr="001B09FE" w:rsidRDefault="000D3D40" w:rsidP="000D3D40">
      <w:pPr>
        <w:pStyle w:val="ListParagraph"/>
        <w:tabs>
          <w:tab w:val="left" w:pos="0"/>
          <w:tab w:val="left" w:pos="567"/>
        </w:tabs>
        <w:ind w:left="0"/>
        <w:jc w:val="both"/>
        <w:rPr>
          <w:rFonts w:cs="Arial"/>
          <w:lang w:val="es-ES"/>
        </w:rPr>
      </w:pPr>
    </w:p>
    <w:p w:rsidR="000D3D40" w:rsidRPr="001B09FE" w:rsidRDefault="000D3D40" w:rsidP="00AA75F7">
      <w:pPr>
        <w:pStyle w:val="ListParagraph"/>
        <w:numPr>
          <w:ilvl w:val="0"/>
          <w:numId w:val="37"/>
        </w:numPr>
        <w:spacing w:after="240"/>
        <w:ind w:left="0" w:firstLine="0"/>
        <w:contextualSpacing/>
        <w:jc w:val="both"/>
        <w:rPr>
          <w:rFonts w:cs="Arial"/>
          <w:lang w:val="es-ES"/>
        </w:rPr>
      </w:pPr>
      <w:r w:rsidRPr="001B09FE">
        <w:rPr>
          <w:rFonts w:cs="Arial"/>
          <w:lang w:val="es-ES"/>
        </w:rPr>
        <w:t>Habida cuenta de que la cantidad de recursos necesarios para tramitar estos tipos de documentos es diferente, cada uno de ellos se pondera de forma distinta.   Conforme a la ponderación actual, en el tiempo necesario para tramitar una solicitud internacional un examinador puede tramitar ocho renovaciones, cuatro cambios o cuatro decisiones (un coeficiente de volumen de trabajo 1:8:4:4).  Desde el bienio 2014/15, el proceso general de examen de las solicitudes internacionales se ha vuelto más complejo, debido al incremento a su vez del grado de complejidad de otros documentos, en especial las decisiones de las oficinas.</w:t>
      </w:r>
      <w:r w:rsidRPr="001B09FE" w:rsidDel="004636C1">
        <w:rPr>
          <w:rFonts w:cs="Arial"/>
          <w:lang w:val="es-ES"/>
        </w:rPr>
        <w:t xml:space="preserve"> </w:t>
      </w:r>
      <w:r w:rsidRPr="001B09FE">
        <w:rPr>
          <w:rFonts w:cs="Arial"/>
          <w:lang w:val="es-ES"/>
        </w:rPr>
        <w:t xml:space="preserve"> Ello no ha afectado, sin embargo, el coeficiente de volumen de trabajo.</w:t>
      </w:r>
    </w:p>
    <w:p w:rsidR="000D3D40" w:rsidRPr="001B09FE" w:rsidRDefault="000D3D40" w:rsidP="000D3D40">
      <w:pPr>
        <w:pStyle w:val="ListParagraph"/>
        <w:spacing w:after="240"/>
        <w:ind w:left="0"/>
        <w:jc w:val="both"/>
        <w:rPr>
          <w:rFonts w:cs="Arial"/>
          <w:lang w:val="es-ES"/>
        </w:rPr>
      </w:pPr>
    </w:p>
    <w:p w:rsidR="000D3D40" w:rsidRPr="001B09FE" w:rsidRDefault="000D3D40" w:rsidP="000D3D40">
      <w:pPr>
        <w:spacing w:after="240"/>
        <w:jc w:val="center"/>
        <w:rPr>
          <w:sz w:val="20"/>
        </w:rPr>
      </w:pPr>
      <w:r w:rsidRPr="001B09FE">
        <w:rPr>
          <w:noProof/>
          <w:sz w:val="20"/>
          <w:lang w:val="en-US" w:eastAsia="en-US"/>
        </w:rPr>
        <w:lastRenderedPageBreak/>
        <w:drawing>
          <wp:inline distT="0" distB="0" distL="0" distR="0" wp14:anchorId="2FA4EFE4" wp14:editId="6593D232">
            <wp:extent cx="4690157" cy="2304000"/>
            <wp:effectExtent l="0" t="0" r="0" b="1270"/>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690157" cy="2304000"/>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el volumen total de trabajo aumentó un 46% en comparación con 2015.  Entre 2012 y 2016, el aumento del volumen de trabajo se debió principalmente al aumento del número de solicitudes recibidas aunque las decisiones son una parte cada vez más importante de ese volumen de trabajo.</w:t>
      </w:r>
    </w:p>
    <w:p w:rsidR="000D3D40" w:rsidRPr="001B09FE" w:rsidRDefault="000D3D40" w:rsidP="000D3D40">
      <w:pPr>
        <w:rPr>
          <w:sz w:val="20"/>
        </w:rPr>
      </w:pPr>
    </w:p>
    <w:p w:rsidR="000D3D40" w:rsidRPr="001B09FE" w:rsidRDefault="000D3D40" w:rsidP="000D3D40">
      <w:pPr>
        <w:tabs>
          <w:tab w:val="left" w:pos="567"/>
        </w:tabs>
        <w:spacing w:before="120" w:after="240"/>
        <w:rPr>
          <w:b/>
          <w:sz w:val="20"/>
        </w:rPr>
      </w:pPr>
      <w:r w:rsidRPr="001B09FE">
        <w:rPr>
          <w:b/>
          <w:sz w:val="20"/>
        </w:rPr>
        <w:t>III.</w:t>
      </w:r>
      <w:r w:rsidRPr="001B09FE">
        <w:rPr>
          <w:sz w:val="20"/>
        </w:rPr>
        <w:tab/>
      </w:r>
      <w:r w:rsidRPr="001B09FE">
        <w:rPr>
          <w:b/>
          <w:sz w:val="20"/>
        </w:rPr>
        <w:t>Costo de tramitación</w:t>
      </w:r>
    </w:p>
    <w:p w:rsidR="000D3D40" w:rsidRPr="001B09FE" w:rsidRDefault="000D3D40" w:rsidP="000D3D40">
      <w:pPr>
        <w:rPr>
          <w:sz w:val="20"/>
          <w:u w:val="single"/>
        </w:rPr>
      </w:pPr>
      <w:r w:rsidRPr="001B09FE">
        <w:rPr>
          <w:sz w:val="20"/>
          <w:u w:val="single"/>
        </w:rPr>
        <w:t>Costo total de producción</w:t>
      </w:r>
    </w:p>
    <w:p w:rsidR="000D3D40" w:rsidRPr="001B09FE" w:rsidRDefault="000D3D40" w:rsidP="000D3D40">
      <w:pPr>
        <w:rPr>
          <w:sz w:val="20"/>
          <w:u w:val="single"/>
        </w:rPr>
      </w:pPr>
    </w:p>
    <w:p w:rsidR="000D3D40" w:rsidRDefault="000D3D40" w:rsidP="00AA75F7">
      <w:pPr>
        <w:pStyle w:val="ListParagraph"/>
        <w:numPr>
          <w:ilvl w:val="0"/>
          <w:numId w:val="37"/>
        </w:numPr>
        <w:spacing w:after="240"/>
        <w:ind w:left="0" w:firstLine="0"/>
        <w:contextualSpacing/>
        <w:jc w:val="both"/>
        <w:rPr>
          <w:rFonts w:cs="Arial"/>
          <w:lang w:val="es-ES"/>
        </w:rPr>
      </w:pPr>
      <w:r w:rsidRPr="001B09FE">
        <w:rPr>
          <w:rFonts w:cs="Arial"/>
          <w:lang w:val="es-ES"/>
        </w:rPr>
        <w:t xml:space="preserve">El costo total de producción comprende el gasto relacionado exclusivamente con el Sistema de La Haya y el gasto en concepto de actividades de apoyo al Sistema. </w:t>
      </w:r>
    </w:p>
    <w:p w:rsidR="004B66D2" w:rsidRPr="001B09FE" w:rsidRDefault="004B66D2" w:rsidP="004B66D2">
      <w:pPr>
        <w:pStyle w:val="ListParagraph"/>
        <w:spacing w:after="240"/>
        <w:ind w:left="0"/>
        <w:contextualSpacing/>
        <w:jc w:val="both"/>
        <w:rPr>
          <w:rFonts w:cs="Arial"/>
          <w:lang w:val="es-ES"/>
        </w:rPr>
      </w:pPr>
    </w:p>
    <w:p w:rsidR="000D3D40" w:rsidRDefault="000D3D40" w:rsidP="00AA75F7">
      <w:pPr>
        <w:pStyle w:val="ListParagraph"/>
        <w:numPr>
          <w:ilvl w:val="0"/>
          <w:numId w:val="37"/>
        </w:numPr>
        <w:spacing w:after="240"/>
        <w:ind w:left="0" w:firstLine="0"/>
        <w:contextualSpacing/>
        <w:jc w:val="both"/>
        <w:rPr>
          <w:rFonts w:cs="Arial"/>
          <w:lang w:val="es-ES"/>
        </w:rPr>
      </w:pPr>
      <w:r w:rsidRPr="001B09FE">
        <w:rPr>
          <w:rFonts w:cs="Arial"/>
          <w:lang w:val="es-ES"/>
        </w:rPr>
        <w:t>En cuanto a los datos anteriores a 2016, en el gasto relacionado exclusivamente con el Sistema de La Haya se incluye el relativo al programa 31 (Sistema de La Haya) y aproximadamente el 8% del gasto de la Oficina de la Directora General Adjunta encargada del Sector de Marcas y Diseños (programa 6 – Sistema de Madrid).  Los gastos de 2016 del Sistema de Madrid que guardan relación con el apoyo al Sistema de La Haya – traducción y gastos de T.I. – están incluidos en el cálculo.  Antes del bienio 2016/17, los gastos de traducción y de las mejoras de T.I. en relación con los Sistemas de La Haya y de Lisboa no podían diferenciarse de los gastos globales del programa 6.  Debido a esa precisión en el cálculo, los datos de 2016 no pueden compararse con los de años anteriores.  Por ese motivo, los datos correspondientes al período 2012-15 y a 2016 se expo</w:t>
      </w:r>
      <w:r w:rsidR="003A7AA8">
        <w:rPr>
          <w:rFonts w:cs="Arial"/>
          <w:lang w:val="es-ES"/>
        </w:rPr>
        <w:t>nen en dos gráficos distintos.</w:t>
      </w:r>
    </w:p>
    <w:p w:rsidR="003A7AA8" w:rsidRPr="001B09FE" w:rsidRDefault="003A7AA8" w:rsidP="003A7AA8">
      <w:pPr>
        <w:pStyle w:val="ListParagraph"/>
        <w:spacing w:after="240"/>
        <w:ind w:left="0"/>
        <w:contextualSpacing/>
        <w:jc w:val="both"/>
        <w:rPr>
          <w:rFonts w:cs="Arial"/>
          <w:lang w:val="es-ES"/>
        </w:rPr>
      </w:pPr>
    </w:p>
    <w:p w:rsidR="000D3D40" w:rsidRPr="001B09FE" w:rsidRDefault="000D3D40" w:rsidP="00AA75F7">
      <w:pPr>
        <w:pStyle w:val="ListParagraph"/>
        <w:numPr>
          <w:ilvl w:val="0"/>
          <w:numId w:val="37"/>
        </w:numPr>
        <w:spacing w:after="240"/>
        <w:ind w:left="0" w:firstLine="0"/>
        <w:contextualSpacing/>
        <w:jc w:val="both"/>
        <w:rPr>
          <w:rFonts w:cs="Arial"/>
          <w:lang w:val="es-ES"/>
        </w:rPr>
      </w:pPr>
      <w:r w:rsidRPr="001B09FE">
        <w:rPr>
          <w:rFonts w:cs="Arial"/>
          <w:lang w:val="es-ES"/>
        </w:rPr>
        <w:t>El gasto en concepto de actividades de apoyo al Sistema de La Haya comprende el gasto derivado de los siguientes servicios generales:  servicio de conferencias y lingüísticos, construcción, gestión ejecutiva, finanzas y presupuesto, servicios generales de apoyo, gestión de los recursos humanos, supervisión interna, T.I. y seguridad y vigilancia.  Una pequeña parte de estos gastos (el costo del alojamiento del servidor en el Centro Internacional de Cálculo de las Naciones Unidas y el porcentaje del costo de la Sección de Ingresos dentro del Departamento de Finanzas) se atribuyen directamente al Sistema de La Haya, pero el resto de gastos que se pueden atribuir al Sistema se calculan en función del número de empleados en nómina (incluyendo el personal de plazo fijo, el personal temporal y los becarios).</w:t>
      </w:r>
    </w:p>
    <w:p w:rsidR="000D3D40" w:rsidRPr="001B09FE" w:rsidRDefault="000D3D40" w:rsidP="000D3D40">
      <w:pPr>
        <w:rPr>
          <w:sz w:val="20"/>
        </w:rPr>
      </w:pPr>
      <w:r w:rsidRPr="001B09FE">
        <w:rPr>
          <w:noProof/>
          <w:sz w:val="20"/>
          <w:lang w:val="en-US" w:eastAsia="en-US"/>
        </w:rPr>
        <w:lastRenderedPageBreak/>
        <w:drawing>
          <wp:inline distT="0" distB="0" distL="0" distR="0" wp14:anchorId="72F3B63B" wp14:editId="0AA2EF1F">
            <wp:extent cx="5953125" cy="2114992"/>
            <wp:effectExtent l="0" t="0" r="0" b="0"/>
            <wp:docPr id="953" name="Picture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955614" cy="2115876"/>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El gasto total relacionado con la tramitación en el Sistema de La Haya se estima en 8,86 millones de francos suizos en 2016.</w:t>
      </w:r>
    </w:p>
    <w:p w:rsidR="000D3D40" w:rsidRPr="001B09FE" w:rsidRDefault="000D3D40" w:rsidP="000D3D40">
      <w:pPr>
        <w:ind w:left="1134"/>
        <w:jc w:val="both"/>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 xml:space="preserve">En 2016 correspondió a los costos directos el 58% del gasto total. </w:t>
      </w:r>
    </w:p>
    <w:p w:rsidR="000D3D40" w:rsidRPr="001B09FE" w:rsidRDefault="000D3D40" w:rsidP="000D3D40">
      <w:pPr>
        <w:rPr>
          <w:sz w:val="20"/>
        </w:rPr>
      </w:pPr>
    </w:p>
    <w:p w:rsidR="000D3D40" w:rsidRPr="001B09FE" w:rsidRDefault="000D3D40" w:rsidP="000D3D40">
      <w:pPr>
        <w:rPr>
          <w:sz w:val="20"/>
          <w:u w:val="single"/>
        </w:rPr>
      </w:pPr>
      <w:r w:rsidRPr="001B09FE">
        <w:rPr>
          <w:sz w:val="20"/>
          <w:u w:val="single"/>
        </w:rPr>
        <w:t xml:space="preserve">Costo unitario </w:t>
      </w:r>
    </w:p>
    <w:p w:rsidR="000D3D40" w:rsidRPr="001B09FE" w:rsidRDefault="000D3D40" w:rsidP="000D3D40">
      <w:pPr>
        <w:rPr>
          <w:sz w:val="20"/>
          <w:u w:val="single"/>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La eficiencia de la IB en cuanto a la tramitación de transacciones puede medirse por el costo unitario, definido como el costo medio de producción de una unidad de producto.</w:t>
      </w:r>
    </w:p>
    <w:p w:rsidR="000D3D40" w:rsidRPr="001B09FE" w:rsidRDefault="000D3D40" w:rsidP="000D3D40">
      <w:pPr>
        <w:contextualSpacing/>
        <w:jc w:val="both"/>
        <w:rPr>
          <w:sz w:val="20"/>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Habida cuenta de que la IB crea registros a partir de nuevas solicitudes y mantiene los registros existentes, resulta pertinente contar con una unidad de producto que incluya un conjunto de transacciones.  Se presentan a continuación dos indicadores de costo unitario, utilizando dos unidades de producto diferentes.</w:t>
      </w:r>
    </w:p>
    <w:p w:rsidR="000D3D40" w:rsidRPr="001B09FE" w:rsidRDefault="000D3D40" w:rsidP="000D3D40">
      <w:pPr>
        <w:pStyle w:val="ListParagraph"/>
        <w:tabs>
          <w:tab w:val="left" w:pos="0"/>
          <w:tab w:val="left" w:pos="567"/>
        </w:tabs>
        <w:ind w:left="0"/>
        <w:jc w:val="both"/>
        <w:rPr>
          <w:rFonts w:cs="Arial"/>
          <w:lang w:val="es-ES"/>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En el marco de las iniciativas de la IB para mejorar constantemente la metodología para el cálculo de los costos unitarios, se revisó dicha metodología en el Presupuesto por Programas de 2016/2017, con el fin de reflejar de forma más precisa el costo de la tramitación del volumen de trabajo relativo al Sistema de La Haya en la IB.</w:t>
      </w:r>
      <w:r w:rsidRPr="001B09FE">
        <w:rPr>
          <w:rStyle w:val="FootnoteReference"/>
          <w:rFonts w:cs="Arial"/>
          <w:lang w:val="es-ES"/>
        </w:rPr>
        <w:footnoteReference w:id="44"/>
      </w:r>
      <w:r w:rsidRPr="001B09FE">
        <w:rPr>
          <w:rFonts w:cs="Arial"/>
          <w:lang w:val="es-ES"/>
        </w:rPr>
        <w:t xml:space="preserve"> </w:t>
      </w:r>
    </w:p>
    <w:p w:rsidR="000D3D40" w:rsidRPr="001B09FE" w:rsidRDefault="000D3D40" w:rsidP="000D3D40">
      <w:pPr>
        <w:pStyle w:val="ListParagraph"/>
        <w:tabs>
          <w:tab w:val="left" w:pos="0"/>
          <w:tab w:val="left" w:pos="567"/>
        </w:tabs>
        <w:ind w:left="0"/>
        <w:jc w:val="both"/>
        <w:rPr>
          <w:rFonts w:cs="Arial"/>
          <w:lang w:val="es-ES"/>
        </w:rPr>
      </w:pPr>
    </w:p>
    <w:p w:rsidR="000D3D40" w:rsidRPr="001B09FE" w:rsidRDefault="000D3D40" w:rsidP="000D3D40">
      <w:pPr>
        <w:keepNext/>
        <w:keepLines/>
        <w:rPr>
          <w:i/>
          <w:sz w:val="20"/>
        </w:rPr>
      </w:pPr>
      <w:r w:rsidRPr="001B09FE">
        <w:rPr>
          <w:i/>
          <w:sz w:val="20"/>
        </w:rPr>
        <w:t>Costo unitario por dibujo o modelo nuevo/renovado</w:t>
      </w:r>
    </w:p>
    <w:p w:rsidR="000D3D40" w:rsidRPr="001B09FE" w:rsidRDefault="000D3D40" w:rsidP="000D3D40">
      <w:pPr>
        <w:keepNext/>
        <w:keepLines/>
        <w:rPr>
          <w:i/>
          <w:sz w:val="20"/>
        </w:rPr>
      </w:pPr>
    </w:p>
    <w:p w:rsidR="000D3D40" w:rsidRPr="001B09FE" w:rsidRDefault="000D3D40" w:rsidP="00AA75F7">
      <w:pPr>
        <w:pStyle w:val="ListParagraph"/>
        <w:numPr>
          <w:ilvl w:val="0"/>
          <w:numId w:val="37"/>
        </w:numPr>
        <w:tabs>
          <w:tab w:val="left" w:pos="0"/>
          <w:tab w:val="left" w:pos="567"/>
          <w:tab w:val="left" w:pos="1134"/>
        </w:tabs>
        <w:ind w:left="0" w:firstLine="0"/>
        <w:contextualSpacing/>
        <w:jc w:val="both"/>
        <w:rPr>
          <w:rFonts w:cs="Arial"/>
          <w:lang w:val="es-ES"/>
        </w:rPr>
      </w:pPr>
      <w:r w:rsidRPr="001B09FE">
        <w:rPr>
          <w:rFonts w:cs="Arial"/>
          <w:lang w:val="es-ES"/>
        </w:rPr>
        <w:t>Por nuevos dibujos o modelos se entienden los dibujos y modelos contenidos en solicitudes internacionales que son registrados durante el mismo año. Por dibujos o modelos renovados se entienden los que ya figuran en registros internacionales y que son renovados dentro del mismo año.  Combinados, los dibujos o modelos contenidos en esos dos tipos de transacción reflejan las actividades principales de la IB en este contexto.</w:t>
      </w:r>
    </w:p>
    <w:p w:rsidR="000D3D40" w:rsidRPr="001B09FE" w:rsidRDefault="000D3D40" w:rsidP="000D3D40">
      <w:pPr>
        <w:jc w:val="both"/>
        <w:rPr>
          <w:sz w:val="20"/>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Habida cuenta de que son diferentes los recursos necesarios para tramitar los dibujos o modelos contenidos en esos dos tipos de documentos, cada uno de ellos se pondera de forma distinta.</w:t>
      </w:r>
      <w:r w:rsidRPr="001B09FE">
        <w:rPr>
          <w:rStyle w:val="FootnoteReference"/>
          <w:rFonts w:cs="Arial"/>
          <w:lang w:val="es-ES"/>
        </w:rPr>
        <w:footnoteReference w:id="45"/>
      </w:r>
      <w:r w:rsidRPr="001B09FE">
        <w:rPr>
          <w:rFonts w:cs="Arial"/>
          <w:lang w:val="es-ES"/>
        </w:rPr>
        <w:t xml:space="preserve">  El costo unitario se calcula dividiendo el costo total de producción por el número de dibujos o modelos nuevos/renovados.  </w:t>
      </w:r>
    </w:p>
    <w:p w:rsidR="000D3D40" w:rsidRPr="001B09FE" w:rsidRDefault="000D3D40" w:rsidP="000D3D40">
      <w:pPr>
        <w:pStyle w:val="ListParagraph"/>
        <w:ind w:left="0"/>
        <w:jc w:val="center"/>
        <w:rPr>
          <w:rFonts w:cs="Arial"/>
          <w:lang w:val="es-ES"/>
        </w:rPr>
      </w:pPr>
      <w:r w:rsidRPr="001B09FE">
        <w:rPr>
          <w:rFonts w:cs="Arial"/>
          <w:noProof/>
        </w:rPr>
        <w:lastRenderedPageBreak/>
        <w:drawing>
          <wp:inline distT="0" distB="0" distL="0" distR="0" wp14:anchorId="27BC2B24" wp14:editId="78CFC45D">
            <wp:extent cx="5724525" cy="2416094"/>
            <wp:effectExtent l="0" t="0" r="0" b="3810"/>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725764" cy="2416617"/>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Se calcula que el costo medio de tramitación de un dibujo o modelo nuevo/renovado asciende a 443 francos suizos en 2016.  Por los motivos mencionados anteriormente (véase el indicador del costo total de producción), los resultados correspondientes a 2016 no pueden compararse con los de años anteriores.</w:t>
      </w:r>
    </w:p>
    <w:p w:rsidR="000D3D40" w:rsidRPr="001B09FE" w:rsidRDefault="000D3D40" w:rsidP="000D3D40">
      <w:pPr>
        <w:jc w:val="center"/>
        <w:rPr>
          <w:sz w:val="20"/>
        </w:rPr>
      </w:pPr>
    </w:p>
    <w:p w:rsidR="000D3D40" w:rsidRPr="001B09FE" w:rsidRDefault="000D3D40" w:rsidP="000D3D40">
      <w:pPr>
        <w:keepNext/>
        <w:keepLines/>
        <w:rPr>
          <w:i/>
          <w:sz w:val="20"/>
        </w:rPr>
      </w:pPr>
      <w:r w:rsidRPr="001B09FE">
        <w:rPr>
          <w:i/>
          <w:sz w:val="20"/>
        </w:rPr>
        <w:t>Costo unitario por documento inscrito en el Registro</w:t>
      </w:r>
    </w:p>
    <w:p w:rsidR="000D3D40" w:rsidRPr="001B09FE" w:rsidRDefault="000D3D40" w:rsidP="000D3D40">
      <w:pPr>
        <w:keepNext/>
        <w:keepLines/>
        <w:rPr>
          <w:i/>
          <w:sz w:val="20"/>
        </w:rPr>
      </w:pPr>
    </w:p>
    <w:p w:rsidR="000D3D40" w:rsidRPr="001B09FE" w:rsidRDefault="000D3D40" w:rsidP="00AA75F7">
      <w:pPr>
        <w:pStyle w:val="ListParagraph"/>
        <w:numPr>
          <w:ilvl w:val="0"/>
          <w:numId w:val="37"/>
        </w:numPr>
        <w:tabs>
          <w:tab w:val="left" w:pos="0"/>
          <w:tab w:val="left" w:pos="567"/>
        </w:tabs>
        <w:ind w:left="0" w:firstLine="0"/>
        <w:contextualSpacing/>
        <w:jc w:val="both"/>
        <w:rPr>
          <w:rFonts w:cs="Arial"/>
          <w:lang w:val="es-ES"/>
        </w:rPr>
      </w:pPr>
      <w:r w:rsidRPr="001B09FE">
        <w:rPr>
          <w:rFonts w:cs="Arial"/>
          <w:lang w:val="es-ES"/>
        </w:rPr>
        <w:t xml:space="preserve">Los documentos inscritos en el Registro corresponden al volumen total de trabajo (véase “Volumen total de trabajo” más adelante). </w:t>
      </w:r>
    </w:p>
    <w:p w:rsidR="000D3D40" w:rsidRPr="001B09FE" w:rsidRDefault="000D3D40" w:rsidP="000D3D40">
      <w:pPr>
        <w:pStyle w:val="ListParagraph"/>
        <w:tabs>
          <w:tab w:val="left" w:pos="0"/>
          <w:tab w:val="left" w:pos="567"/>
        </w:tabs>
        <w:ind w:left="0"/>
        <w:jc w:val="both"/>
        <w:rPr>
          <w:rFonts w:cs="Arial"/>
          <w:lang w:val="es-ES"/>
        </w:rPr>
      </w:pPr>
    </w:p>
    <w:p w:rsidR="000D3D40" w:rsidRPr="001B09FE" w:rsidRDefault="000D3D40" w:rsidP="000D3D40">
      <w:pPr>
        <w:pStyle w:val="ListParagraph"/>
        <w:tabs>
          <w:tab w:val="left" w:pos="0"/>
          <w:tab w:val="left" w:pos="567"/>
        </w:tabs>
        <w:ind w:left="0"/>
        <w:jc w:val="both"/>
        <w:rPr>
          <w:rFonts w:cs="Arial"/>
          <w:lang w:val="es-ES"/>
        </w:rPr>
      </w:pPr>
      <w:r w:rsidRPr="001B09FE">
        <w:rPr>
          <w:rFonts w:cs="Arial"/>
          <w:noProof/>
        </w:rPr>
        <w:drawing>
          <wp:inline distT="0" distB="0" distL="0" distR="0" wp14:anchorId="55AD1E24" wp14:editId="6D6A3CBE">
            <wp:extent cx="5868670" cy="2237733"/>
            <wp:effectExtent l="0" t="0" r="0" b="0"/>
            <wp:docPr id="955"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868670" cy="2237733"/>
                    </a:xfrm>
                    <a:prstGeom prst="rect">
                      <a:avLst/>
                    </a:prstGeom>
                    <a:noFill/>
                    <a:ln>
                      <a:noFill/>
                    </a:ln>
                  </pic:spPr>
                </pic:pic>
              </a:graphicData>
            </a:graphic>
          </wp:inline>
        </w:drawing>
      </w:r>
    </w:p>
    <w:p w:rsidR="000D3D40" w:rsidRPr="001B09FE" w:rsidRDefault="000D3D40" w:rsidP="000D3D40">
      <w:pPr>
        <w:tabs>
          <w:tab w:val="left" w:pos="1134"/>
        </w:tabs>
        <w:jc w:val="center"/>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El costo medio de la inscripción de un documento en el Registro ascendió a 1.172 francos suizos en 2016.  Por los motivos mencionados anteriormente (véase el indicador del costo total de producción), los resultados correspondientes a 2016 no pueden compararse con los de años anteriores.</w:t>
      </w:r>
    </w:p>
    <w:p w:rsidR="000D3D40" w:rsidRPr="001B09FE" w:rsidRDefault="000D3D40" w:rsidP="000D3D40">
      <w:pPr>
        <w:keepNext/>
        <w:keepLines/>
        <w:tabs>
          <w:tab w:val="left" w:pos="567"/>
        </w:tabs>
        <w:spacing w:before="120" w:after="240"/>
        <w:rPr>
          <w:b/>
          <w:sz w:val="20"/>
        </w:rPr>
      </w:pPr>
      <w:r w:rsidRPr="001B09FE">
        <w:rPr>
          <w:b/>
          <w:sz w:val="20"/>
        </w:rPr>
        <w:lastRenderedPageBreak/>
        <w:t>IV.</w:t>
      </w:r>
      <w:r w:rsidRPr="001B09FE">
        <w:rPr>
          <w:sz w:val="20"/>
        </w:rPr>
        <w:tab/>
      </w:r>
      <w:r w:rsidRPr="001B09FE">
        <w:rPr>
          <w:b/>
          <w:sz w:val="20"/>
        </w:rPr>
        <w:t>Tiempo que insume la tramitación de las solicitudes internacionales</w:t>
      </w:r>
    </w:p>
    <w:p w:rsidR="000D3D40" w:rsidRPr="001B09FE" w:rsidRDefault="000D3D40" w:rsidP="00AA75F7">
      <w:pPr>
        <w:pStyle w:val="ListParagraph"/>
        <w:keepNext/>
        <w:keepLines/>
        <w:numPr>
          <w:ilvl w:val="0"/>
          <w:numId w:val="37"/>
        </w:numPr>
        <w:tabs>
          <w:tab w:val="left" w:pos="0"/>
          <w:tab w:val="left" w:pos="567"/>
        </w:tabs>
        <w:ind w:left="0" w:firstLine="0"/>
        <w:contextualSpacing/>
        <w:jc w:val="both"/>
        <w:rPr>
          <w:rFonts w:cs="Arial"/>
          <w:lang w:val="es-ES"/>
        </w:rPr>
      </w:pPr>
      <w:r w:rsidRPr="001B09FE">
        <w:rPr>
          <w:rFonts w:cs="Arial"/>
          <w:lang w:val="es-ES"/>
        </w:rPr>
        <w:t>Este indicador refleja el tiempo que la Oficina Internacional necesita para tramitar las solicitudes regulares.  Ese tiempo es el tiempo transcurrido entre la fecha de recepción de una solicitud y la fecha de su registro.</w:t>
      </w:r>
    </w:p>
    <w:p w:rsidR="000D3D40" w:rsidRPr="001B09FE" w:rsidRDefault="000D3D40" w:rsidP="000D3D40">
      <w:pPr>
        <w:spacing w:before="120" w:after="240"/>
        <w:jc w:val="center"/>
        <w:rPr>
          <w:sz w:val="20"/>
        </w:rPr>
      </w:pPr>
      <w:r w:rsidRPr="001B09FE">
        <w:rPr>
          <w:noProof/>
          <w:sz w:val="20"/>
          <w:lang w:val="en-US" w:eastAsia="en-US"/>
        </w:rPr>
        <w:drawing>
          <wp:inline distT="0" distB="0" distL="0" distR="0" wp14:anchorId="1FA933EB" wp14:editId="3939919E">
            <wp:extent cx="5083028" cy="2844568"/>
            <wp:effectExtent l="0" t="0" r="3810" b="0"/>
            <wp:docPr id="956"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105671" cy="2857240"/>
                    </a:xfrm>
                    <a:prstGeom prst="rect">
                      <a:avLst/>
                    </a:prstGeom>
                    <a:noFill/>
                    <a:ln>
                      <a:noFill/>
                    </a:ln>
                  </pic:spPr>
                </pic:pic>
              </a:graphicData>
            </a:graphic>
          </wp:inline>
        </w:drawing>
      </w: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el porcentaje de solicitudes regulares tramitadas en menos de una semana disminuyó hasta el 20% en comparación con el 45% de 2014, lo que refleja el aumento de la complejidad mencionada en la Sección II.</w:t>
      </w:r>
    </w:p>
    <w:p w:rsidR="000D3D40" w:rsidRPr="001B09FE" w:rsidRDefault="000D3D40" w:rsidP="000D3D40">
      <w:pPr>
        <w:ind w:left="1134"/>
        <w:jc w:val="both"/>
        <w:rPr>
          <w:sz w:val="20"/>
        </w:rPr>
      </w:pPr>
    </w:p>
    <w:p w:rsidR="000D3D40" w:rsidRPr="001B09FE" w:rsidRDefault="000D3D40" w:rsidP="00AA75F7">
      <w:pPr>
        <w:numPr>
          <w:ilvl w:val="0"/>
          <w:numId w:val="29"/>
        </w:numPr>
        <w:tabs>
          <w:tab w:val="clear" w:pos="720"/>
          <w:tab w:val="num" w:pos="1134"/>
        </w:tabs>
        <w:ind w:left="1134" w:hanging="567"/>
        <w:jc w:val="both"/>
        <w:rPr>
          <w:sz w:val="20"/>
        </w:rPr>
      </w:pPr>
      <w:r w:rsidRPr="001B09FE">
        <w:rPr>
          <w:sz w:val="20"/>
        </w:rPr>
        <w:t>En 2016, el 78% de las solicitudes se tramitó en un lapso de tres semanas a partir de su fecha de recepción en la Oficina Internacional.</w:t>
      </w:r>
    </w:p>
    <w:p w:rsidR="000D3D40" w:rsidRPr="001B09FE" w:rsidRDefault="000D3D40" w:rsidP="000D3D40">
      <w:pPr>
        <w:rPr>
          <w:sz w:val="20"/>
        </w:rPr>
      </w:pPr>
    </w:p>
    <w:p w:rsidR="000D3D40" w:rsidRPr="001B09FE" w:rsidRDefault="000D3D40" w:rsidP="000D3D40">
      <w:pPr>
        <w:rPr>
          <w:sz w:val="20"/>
        </w:rPr>
      </w:pPr>
    </w:p>
    <w:p w:rsidR="00046CA2" w:rsidRDefault="000D3D40" w:rsidP="00B21B25">
      <w:pPr>
        <w:pStyle w:val="ListParagraph"/>
        <w:ind w:left="0" w:hanging="11"/>
        <w:jc w:val="right"/>
        <w:rPr>
          <w:rFonts w:cs="Arial"/>
          <w:lang w:val="es-ES"/>
        </w:rPr>
      </w:pPr>
      <w:r w:rsidRPr="001B09FE">
        <w:rPr>
          <w:rFonts w:cs="Arial"/>
          <w:lang w:val="es-ES"/>
        </w:rPr>
        <w:t>[Fin del Anexo]</w:t>
      </w:r>
    </w:p>
    <w:p w:rsidR="0057046A" w:rsidRPr="002F663B" w:rsidRDefault="0057046A" w:rsidP="00046CA2">
      <w:pPr>
        <w:pStyle w:val="ListParagraph"/>
        <w:ind w:left="0" w:hanging="11"/>
        <w:rPr>
          <w:rFonts w:cs="Arial"/>
          <w:lang w:val="es-ES"/>
        </w:rPr>
      </w:pPr>
    </w:p>
    <w:p w:rsidR="0057046A" w:rsidRPr="002F663B" w:rsidRDefault="0057046A">
      <w:pPr>
        <w:rPr>
          <w:rFonts w:eastAsia="Times New Roman"/>
          <w:sz w:val="20"/>
          <w:lang w:eastAsia="en-US"/>
        </w:rPr>
      </w:pPr>
      <w:r>
        <w:br w:type="page"/>
      </w:r>
    </w:p>
    <w:p w:rsidR="00AA75F7" w:rsidRPr="005F7144" w:rsidRDefault="00AA75F7" w:rsidP="00230FAA">
      <w:pPr>
        <w:keepNext/>
        <w:tabs>
          <w:tab w:val="left" w:pos="2410"/>
          <w:tab w:val="right" w:pos="9072"/>
        </w:tabs>
        <w:outlineLvl w:val="1"/>
        <w:rPr>
          <w:b/>
          <w:bCs/>
          <w:iCs/>
          <w:szCs w:val="28"/>
        </w:rPr>
      </w:pPr>
      <w:bookmarkStart w:id="39" w:name="_Toc482711250"/>
      <w:r w:rsidRPr="005F7144">
        <w:rPr>
          <w:b/>
          <w:bCs/>
          <w:iCs/>
          <w:szCs w:val="28"/>
        </w:rPr>
        <w:lastRenderedPageBreak/>
        <w:t>PROGRAMA 32</w:t>
      </w:r>
      <w:r w:rsidRPr="005F7144">
        <w:rPr>
          <w:b/>
          <w:bCs/>
          <w:iCs/>
          <w:szCs w:val="28"/>
        </w:rPr>
        <w:tab/>
        <w:t>SISTEMA DE LISBOA</w:t>
      </w:r>
      <w:bookmarkEnd w:id="39"/>
    </w:p>
    <w:p w:rsidR="00AA75F7" w:rsidRPr="005F7144" w:rsidRDefault="00AA75F7" w:rsidP="00230FAA">
      <w:pPr>
        <w:rPr>
          <w:rFonts w:cs="Times New Roman"/>
          <w:sz w:val="20"/>
          <w:szCs w:val="24"/>
        </w:rPr>
      </w:pPr>
    </w:p>
    <w:p w:rsidR="00AA75F7" w:rsidRPr="005F7144" w:rsidRDefault="00AA75F7" w:rsidP="00230FAA">
      <w:pPr>
        <w:tabs>
          <w:tab w:val="left" w:pos="2410"/>
        </w:tabs>
        <w:rPr>
          <w:rFonts w:cs="Times New Roman"/>
          <w:sz w:val="20"/>
          <w:szCs w:val="24"/>
        </w:rPr>
      </w:pPr>
      <w:r w:rsidRPr="005F7144">
        <w:rPr>
          <w:rFonts w:cs="Times New Roman"/>
          <w:b/>
          <w:sz w:val="20"/>
          <w:szCs w:val="24"/>
        </w:rPr>
        <w:t>Directora de programa</w:t>
      </w:r>
      <w:r w:rsidRPr="005F7144">
        <w:rPr>
          <w:rFonts w:cs="Times New Roman"/>
          <w:sz w:val="20"/>
          <w:szCs w:val="24"/>
        </w:rPr>
        <w:tab/>
      </w:r>
      <w:r w:rsidRPr="005F7144">
        <w:rPr>
          <w:rFonts w:cs="Times New Roman"/>
          <w:b/>
          <w:sz w:val="20"/>
          <w:szCs w:val="24"/>
        </w:rPr>
        <w:t>Sra. B. Wang</w:t>
      </w:r>
    </w:p>
    <w:p w:rsidR="00AA75F7" w:rsidRPr="005F7144" w:rsidRDefault="00AA75F7" w:rsidP="00230FAA">
      <w:pPr>
        <w:jc w:val="center"/>
        <w:rPr>
          <w:rFonts w:cs="Times New Roman"/>
          <w:sz w:val="20"/>
          <w:szCs w:val="24"/>
        </w:rPr>
      </w:pPr>
      <w:r w:rsidRPr="00772BE9">
        <w:rPr>
          <w:noProof/>
          <w:lang w:val="en-US" w:eastAsia="en-US"/>
        </w:rPr>
        <w:drawing>
          <wp:inline distT="0" distB="0" distL="0" distR="0" wp14:anchorId="70942CAB" wp14:editId="7F8286E4">
            <wp:extent cx="4562928" cy="2448164"/>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4582616" cy="2458727"/>
                    </a:xfrm>
                    <a:prstGeom prst="rect">
                      <a:avLst/>
                    </a:prstGeom>
                    <a:noFill/>
                    <a:ln>
                      <a:noFill/>
                    </a:ln>
                  </pic:spPr>
                </pic:pic>
              </a:graphicData>
            </a:graphic>
          </wp:inline>
        </w:drawing>
      </w:r>
      <w:r w:rsidRPr="005F7144">
        <w:t xml:space="preserve">  </w:t>
      </w:r>
    </w:p>
    <w:tbl>
      <w:tblPr>
        <w:tblW w:w="5027" w:type="pct"/>
        <w:tblInd w:w="58" w:type="dxa"/>
        <w:tblLayout w:type="fixed"/>
        <w:tblCellMar>
          <w:left w:w="115" w:type="dxa"/>
          <w:right w:w="115" w:type="dxa"/>
        </w:tblCellMar>
        <w:tblLook w:val="0000" w:firstRow="0" w:lastRow="0" w:firstColumn="0" w:lastColumn="0" w:noHBand="0" w:noVBand="0"/>
      </w:tblPr>
      <w:tblGrid>
        <w:gridCol w:w="2071"/>
        <w:gridCol w:w="2446"/>
        <w:gridCol w:w="1334"/>
        <w:gridCol w:w="2442"/>
        <w:gridCol w:w="944"/>
      </w:tblGrid>
      <w:tr w:rsidR="00AA75F7" w:rsidRPr="005F7144" w:rsidTr="00230FAA">
        <w:trPr>
          <w:trHeight w:val="565"/>
        </w:trPr>
        <w:tc>
          <w:tcPr>
            <w:tcW w:w="5000" w:type="pct"/>
            <w:gridSpan w:val="5"/>
            <w:shd w:val="clear" w:color="auto" w:fill="C6D9F1" w:themeFill="text2" w:themeFillTint="33"/>
            <w:tcMar>
              <w:left w:w="58" w:type="dxa"/>
              <w:right w:w="58" w:type="dxa"/>
            </w:tcMar>
            <w:vAlign w:val="center"/>
          </w:tcPr>
          <w:p w:rsidR="00AA75F7" w:rsidRPr="005F7144" w:rsidRDefault="00AA75F7" w:rsidP="00230FAA">
            <w:pPr>
              <w:tabs>
                <w:tab w:val="left" w:pos="1452"/>
              </w:tabs>
              <w:ind w:left="1701" w:hanging="1701"/>
              <w:rPr>
                <w:b/>
                <w:bCs/>
                <w:sz w:val="16"/>
                <w:szCs w:val="16"/>
              </w:rPr>
            </w:pPr>
            <w:r w:rsidRPr="005F7144">
              <w:rPr>
                <w:b/>
                <w:bCs/>
                <w:sz w:val="16"/>
                <w:szCs w:val="16"/>
              </w:rPr>
              <w:t>Resultado previsto:</w:t>
            </w:r>
            <w:r w:rsidRPr="005F7144">
              <w:rPr>
                <w:b/>
                <w:bCs/>
                <w:sz w:val="16"/>
                <w:szCs w:val="16"/>
              </w:rPr>
              <w:tab/>
              <w:t>I</w:t>
            </w:r>
            <w:r w:rsidRPr="005F7144">
              <w:rPr>
                <w:bCs/>
                <w:sz w:val="16"/>
                <w:szCs w:val="16"/>
              </w:rPr>
              <w:t>I.10  Mayor y más eficaz utilización del Sistema de Lisboa, entre otros por los países en desarrollo y los PMA</w:t>
            </w:r>
          </w:p>
        </w:tc>
      </w:tr>
      <w:tr w:rsidR="00AA75F7" w:rsidRPr="005F7144" w:rsidTr="00230FAA">
        <w:tc>
          <w:tcPr>
            <w:tcW w:w="1121" w:type="pct"/>
            <w:shd w:val="clear" w:color="auto" w:fill="auto"/>
            <w:tcMar>
              <w:left w:w="58" w:type="dxa"/>
              <w:right w:w="58" w:type="dxa"/>
            </w:tcMar>
            <w:vAlign w:val="center"/>
          </w:tcPr>
          <w:p w:rsidR="00AA75F7" w:rsidRPr="005F7144" w:rsidRDefault="00AA75F7" w:rsidP="00230FAA">
            <w:pPr>
              <w:rPr>
                <w:b/>
                <w:bCs/>
                <w:sz w:val="16"/>
                <w:szCs w:val="16"/>
              </w:rPr>
            </w:pPr>
            <w:r w:rsidRPr="005F7144">
              <w:rPr>
                <w:b/>
                <w:bCs/>
                <w:sz w:val="16"/>
                <w:szCs w:val="16"/>
              </w:rPr>
              <w:t>Indicadores de rendimiento</w:t>
            </w:r>
          </w:p>
        </w:tc>
        <w:tc>
          <w:tcPr>
            <w:tcW w:w="1324" w:type="pct"/>
            <w:shd w:val="clear" w:color="auto" w:fill="auto"/>
            <w:tcMar>
              <w:left w:w="58" w:type="dxa"/>
              <w:right w:w="58" w:type="dxa"/>
            </w:tcMar>
            <w:vAlign w:val="center"/>
          </w:tcPr>
          <w:p w:rsidR="00AA75F7" w:rsidRPr="005F7144" w:rsidRDefault="00AA75F7" w:rsidP="00230FAA">
            <w:pPr>
              <w:rPr>
                <w:b/>
                <w:bCs/>
                <w:sz w:val="16"/>
                <w:szCs w:val="16"/>
              </w:rPr>
            </w:pPr>
            <w:r w:rsidRPr="005F7144">
              <w:rPr>
                <w:b/>
                <w:bCs/>
                <w:sz w:val="16"/>
                <w:szCs w:val="16"/>
              </w:rPr>
              <w:t>Referencias de base</w:t>
            </w:r>
          </w:p>
        </w:tc>
        <w:tc>
          <w:tcPr>
            <w:tcW w:w="722" w:type="pct"/>
            <w:shd w:val="clear" w:color="auto" w:fill="auto"/>
            <w:tcMar>
              <w:top w:w="110" w:type="dxa"/>
              <w:left w:w="58" w:type="dxa"/>
              <w:right w:w="58" w:type="dxa"/>
            </w:tcMar>
            <w:vAlign w:val="center"/>
          </w:tcPr>
          <w:p w:rsidR="00AA75F7" w:rsidRPr="005F7144" w:rsidRDefault="00AA75F7" w:rsidP="00230FAA">
            <w:pPr>
              <w:tabs>
                <w:tab w:val="left" w:pos="290"/>
              </w:tabs>
              <w:rPr>
                <w:b/>
                <w:bCs/>
                <w:sz w:val="16"/>
                <w:szCs w:val="16"/>
              </w:rPr>
            </w:pPr>
            <w:r w:rsidRPr="005F7144">
              <w:rPr>
                <w:b/>
                <w:bCs/>
                <w:sz w:val="16"/>
                <w:szCs w:val="16"/>
              </w:rPr>
              <w:t>Objetivos</w:t>
            </w:r>
          </w:p>
        </w:tc>
        <w:tc>
          <w:tcPr>
            <w:tcW w:w="1322" w:type="pct"/>
            <w:shd w:val="clear" w:color="auto" w:fill="FFFFFF"/>
            <w:tcMar>
              <w:top w:w="110" w:type="dxa"/>
              <w:left w:w="58" w:type="dxa"/>
              <w:right w:w="58" w:type="dxa"/>
            </w:tcMar>
            <w:vAlign w:val="center"/>
          </w:tcPr>
          <w:p w:rsidR="00AA75F7" w:rsidRPr="005F7144" w:rsidRDefault="00AA75F7" w:rsidP="00230FAA">
            <w:pPr>
              <w:rPr>
                <w:b/>
                <w:bCs/>
                <w:sz w:val="16"/>
                <w:szCs w:val="16"/>
              </w:rPr>
            </w:pPr>
            <w:r w:rsidRPr="005F7144">
              <w:rPr>
                <w:b/>
                <w:bCs/>
                <w:sz w:val="16"/>
                <w:szCs w:val="16"/>
              </w:rPr>
              <w:t>Datos sobre el rendimiento</w:t>
            </w:r>
          </w:p>
        </w:tc>
        <w:tc>
          <w:tcPr>
            <w:tcW w:w="512" w:type="pct"/>
            <w:shd w:val="clear" w:color="auto" w:fill="auto"/>
            <w:tcMar>
              <w:top w:w="110" w:type="dxa"/>
              <w:left w:w="58" w:type="dxa"/>
              <w:right w:w="58" w:type="dxa"/>
            </w:tcMar>
            <w:vAlign w:val="center"/>
          </w:tcPr>
          <w:p w:rsidR="00AA75F7" w:rsidRPr="005F7144" w:rsidRDefault="00AA75F7" w:rsidP="00230FAA">
            <w:pPr>
              <w:jc w:val="center"/>
              <w:rPr>
                <w:b/>
                <w:bCs/>
                <w:sz w:val="16"/>
                <w:szCs w:val="16"/>
              </w:rPr>
            </w:pPr>
            <w:r w:rsidRPr="005F7144">
              <w:rPr>
                <w:b/>
                <w:bCs/>
                <w:sz w:val="16"/>
                <w:szCs w:val="16"/>
              </w:rPr>
              <w:t>Clave de colores</w:t>
            </w:r>
          </w:p>
        </w:tc>
      </w:tr>
      <w:tr w:rsidR="00AA75F7" w:rsidRPr="005F7144" w:rsidTr="00230FAA">
        <w:trPr>
          <w:trHeight w:val="1493"/>
        </w:trPr>
        <w:tc>
          <w:tcPr>
            <w:tcW w:w="1121" w:type="pct"/>
            <w:shd w:val="clear" w:color="auto" w:fill="auto"/>
            <w:tcMar>
              <w:left w:w="58" w:type="dxa"/>
              <w:right w:w="58" w:type="dxa"/>
            </w:tcMar>
          </w:tcPr>
          <w:p w:rsidR="00AA75F7" w:rsidRPr="005F7144" w:rsidRDefault="00AA75F7" w:rsidP="00230FAA">
            <w:pPr>
              <w:rPr>
                <w:sz w:val="16"/>
                <w:szCs w:val="16"/>
              </w:rPr>
            </w:pPr>
            <w:r w:rsidRPr="005F7144">
              <w:rPr>
                <w:sz w:val="16"/>
                <w:szCs w:val="16"/>
              </w:rPr>
              <w:t>Expansión del alcance geográfico del Sistema de Lisboa</w:t>
            </w:r>
          </w:p>
        </w:tc>
        <w:tc>
          <w:tcPr>
            <w:tcW w:w="1324" w:type="pct"/>
            <w:shd w:val="clear" w:color="auto" w:fill="auto"/>
            <w:tcMar>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Referencia actualizada a fines de 2015:  </w:t>
            </w:r>
          </w:p>
          <w:p w:rsidR="00AA75F7" w:rsidRPr="00781D02" w:rsidRDefault="00AA75F7" w:rsidP="00230FAA">
            <w:pPr>
              <w:rPr>
                <w:color w:val="002060"/>
                <w:sz w:val="16"/>
                <w:szCs w:val="16"/>
              </w:rPr>
            </w:pPr>
            <w:r w:rsidRPr="00781D02">
              <w:rPr>
                <w:color w:val="002060"/>
                <w:sz w:val="16"/>
                <w:szCs w:val="16"/>
              </w:rPr>
              <w:t>No hubo nuevas Partes Contratantes (0)</w:t>
            </w:r>
          </w:p>
          <w:p w:rsidR="00AA75F7" w:rsidRPr="005F7144" w:rsidRDefault="00AA75F7" w:rsidP="00230FAA">
            <w:pPr>
              <w:rPr>
                <w:sz w:val="16"/>
                <w:szCs w:val="16"/>
              </w:rPr>
            </w:pPr>
          </w:p>
          <w:p w:rsidR="00AA75F7" w:rsidRPr="005F7144" w:rsidRDefault="00AA75F7" w:rsidP="00230FAA">
            <w:pPr>
              <w:rPr>
                <w:i/>
                <w:sz w:val="16"/>
                <w:szCs w:val="16"/>
                <w:lang w:bidi="th-TH"/>
              </w:rPr>
            </w:pPr>
            <w:r w:rsidRPr="005F7144">
              <w:rPr>
                <w:i/>
                <w:sz w:val="16"/>
                <w:szCs w:val="16"/>
                <w:lang w:bidi="th-TH"/>
              </w:rPr>
              <w:t xml:space="preserve">Referencia original en el presupuesto de 2016/17:  </w:t>
            </w:r>
          </w:p>
          <w:p w:rsidR="00AA75F7" w:rsidRPr="005F7144" w:rsidRDefault="00AA75F7" w:rsidP="00230FAA">
            <w:pPr>
              <w:spacing w:after="240"/>
              <w:rPr>
                <w:sz w:val="16"/>
                <w:szCs w:val="16"/>
              </w:rPr>
            </w:pPr>
            <w:r w:rsidRPr="005F7144">
              <w:rPr>
                <w:sz w:val="16"/>
                <w:szCs w:val="16"/>
              </w:rPr>
              <w:t>N.º de Partes Contratantes del Acta de Ginebra a fines de 2015</w:t>
            </w:r>
          </w:p>
        </w:tc>
        <w:tc>
          <w:tcPr>
            <w:tcW w:w="722" w:type="pct"/>
            <w:shd w:val="clear" w:color="auto" w:fill="auto"/>
            <w:tcMar>
              <w:top w:w="110" w:type="dxa"/>
              <w:left w:w="58" w:type="dxa"/>
              <w:right w:w="58" w:type="dxa"/>
            </w:tcMar>
          </w:tcPr>
          <w:p w:rsidR="00AA75F7" w:rsidRPr="005F7144" w:rsidRDefault="00AA75F7" w:rsidP="00230FAA">
            <w:pPr>
              <w:rPr>
                <w:sz w:val="16"/>
                <w:szCs w:val="16"/>
              </w:rPr>
            </w:pPr>
            <w:r w:rsidRPr="005F7144">
              <w:rPr>
                <w:sz w:val="16"/>
                <w:szCs w:val="16"/>
              </w:rPr>
              <w:t>Hasta 5 Partes Contratantes del Acta de Ginebra para fines de 2017</w:t>
            </w:r>
          </w:p>
        </w:tc>
        <w:tc>
          <w:tcPr>
            <w:tcW w:w="1322" w:type="pct"/>
            <w:shd w:val="clear" w:color="auto" w:fill="FFFFFF"/>
            <w:tcMar>
              <w:top w:w="110" w:type="dxa"/>
              <w:left w:w="58" w:type="dxa"/>
              <w:right w:w="58" w:type="dxa"/>
            </w:tcMar>
          </w:tcPr>
          <w:p w:rsidR="00AA75F7" w:rsidRPr="005F7144" w:rsidRDefault="00AA75F7" w:rsidP="00230FAA">
            <w:pPr>
              <w:rPr>
                <w:sz w:val="16"/>
                <w:szCs w:val="16"/>
              </w:rPr>
            </w:pPr>
            <w:r w:rsidRPr="005F7144">
              <w:rPr>
                <w:sz w:val="16"/>
                <w:szCs w:val="16"/>
              </w:rPr>
              <w:t>No hubo nuevas Partes Contratantes</w:t>
            </w:r>
          </w:p>
        </w:tc>
        <w:tc>
          <w:tcPr>
            <w:tcW w:w="512" w:type="pct"/>
            <w:shd w:val="clear" w:color="auto" w:fill="auto"/>
            <w:tcMar>
              <w:top w:w="110" w:type="dxa"/>
              <w:left w:w="58" w:type="dxa"/>
              <w:right w:w="58" w:type="dxa"/>
            </w:tcMar>
          </w:tcPr>
          <w:p w:rsidR="00AA75F7" w:rsidRPr="005F7144" w:rsidRDefault="00AA75F7" w:rsidP="00230FAA">
            <w:pPr>
              <w:jc w:val="center"/>
              <w:rPr>
                <w:b/>
                <w:sz w:val="16"/>
                <w:szCs w:val="16"/>
              </w:rPr>
            </w:pPr>
            <w:r w:rsidRPr="005F7144">
              <w:rPr>
                <w:b/>
                <w:color w:val="FF0000"/>
                <w:sz w:val="16"/>
                <w:szCs w:val="16"/>
              </w:rPr>
              <w:t>No avanza</w:t>
            </w:r>
          </w:p>
        </w:tc>
      </w:tr>
      <w:tr w:rsidR="00AA75F7" w:rsidRPr="005F7144" w:rsidTr="00230FAA">
        <w:trPr>
          <w:trHeight w:val="1195"/>
        </w:trPr>
        <w:tc>
          <w:tcPr>
            <w:tcW w:w="1121" w:type="pct"/>
            <w:shd w:val="clear" w:color="auto" w:fill="auto"/>
            <w:tcMar>
              <w:left w:w="58" w:type="dxa"/>
              <w:right w:w="58" w:type="dxa"/>
            </w:tcMar>
          </w:tcPr>
          <w:p w:rsidR="00AA75F7" w:rsidRPr="005F7144" w:rsidRDefault="00AA75F7" w:rsidP="00230FAA">
            <w:pPr>
              <w:rPr>
                <w:sz w:val="16"/>
                <w:szCs w:val="16"/>
              </w:rPr>
            </w:pPr>
            <w:r w:rsidRPr="005F7144">
              <w:rPr>
                <w:sz w:val="16"/>
                <w:szCs w:val="16"/>
              </w:rPr>
              <w:t xml:space="preserve">% de participantes en las actividades del Sistema de Lisboa que están satisfechos y manifiestan haber mejorado sus conocimientos tras haber participado en las actividades </w:t>
            </w:r>
          </w:p>
        </w:tc>
        <w:tc>
          <w:tcPr>
            <w:tcW w:w="1324" w:type="pct"/>
            <w:shd w:val="clear" w:color="auto" w:fill="auto"/>
            <w:tcMar>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Referencia actualizada a fines de 2015:  </w:t>
            </w:r>
          </w:p>
          <w:p w:rsidR="00AA75F7" w:rsidRPr="00781D02" w:rsidRDefault="00AA75F7" w:rsidP="00230FAA">
            <w:pPr>
              <w:rPr>
                <w:color w:val="002060"/>
                <w:sz w:val="16"/>
                <w:szCs w:val="16"/>
              </w:rPr>
            </w:pPr>
            <w:r w:rsidRPr="00781D02">
              <w:rPr>
                <w:color w:val="002060"/>
                <w:sz w:val="16"/>
                <w:szCs w:val="16"/>
              </w:rPr>
              <w:t>7 eventos de información y promoción especialmente dedicados al Sistema de Lisboa, incluida su revisión, prevista en todas las regiones, con un 84% de participantes satisfechos</w:t>
            </w:r>
          </w:p>
          <w:p w:rsidR="00AA75F7" w:rsidRPr="005F7144" w:rsidRDefault="00AA75F7" w:rsidP="00230FAA">
            <w:pPr>
              <w:rPr>
                <w:sz w:val="16"/>
                <w:szCs w:val="16"/>
              </w:rPr>
            </w:pPr>
          </w:p>
          <w:p w:rsidR="00AA75F7" w:rsidRPr="005F7144" w:rsidRDefault="00AA75F7" w:rsidP="00230FAA">
            <w:pPr>
              <w:rPr>
                <w:i/>
                <w:sz w:val="16"/>
                <w:szCs w:val="16"/>
                <w:lang w:bidi="th-TH"/>
              </w:rPr>
            </w:pPr>
            <w:r w:rsidRPr="005F7144">
              <w:rPr>
                <w:i/>
                <w:sz w:val="16"/>
                <w:szCs w:val="16"/>
                <w:lang w:bidi="th-TH"/>
              </w:rPr>
              <w:t xml:space="preserve">Referencia original en el presupuesto de 2016/17:  </w:t>
            </w:r>
          </w:p>
          <w:p w:rsidR="00AA75F7" w:rsidRPr="005F7144" w:rsidRDefault="00AA75F7" w:rsidP="00230FAA">
            <w:pPr>
              <w:spacing w:after="240"/>
              <w:rPr>
                <w:sz w:val="16"/>
                <w:szCs w:val="16"/>
              </w:rPr>
            </w:pPr>
            <w:r w:rsidRPr="005F7144">
              <w:rPr>
                <w:sz w:val="16"/>
                <w:szCs w:val="16"/>
              </w:rPr>
              <w:t>84% de participantes satisfechos (2014) en 5 eventos</w:t>
            </w:r>
          </w:p>
        </w:tc>
        <w:tc>
          <w:tcPr>
            <w:tcW w:w="722" w:type="pct"/>
            <w:shd w:val="clear" w:color="auto" w:fill="auto"/>
            <w:tcMar>
              <w:top w:w="110" w:type="dxa"/>
              <w:left w:w="58" w:type="dxa"/>
              <w:right w:w="58" w:type="dxa"/>
            </w:tcMar>
          </w:tcPr>
          <w:p w:rsidR="00AA75F7" w:rsidRPr="005F7144" w:rsidRDefault="00AA75F7" w:rsidP="00230FAA">
            <w:pPr>
              <w:rPr>
                <w:sz w:val="16"/>
                <w:szCs w:val="16"/>
              </w:rPr>
            </w:pPr>
            <w:r w:rsidRPr="005F7144">
              <w:rPr>
                <w:sz w:val="16"/>
                <w:szCs w:val="16"/>
              </w:rPr>
              <w:t>85% de los participantes satisfechos</w:t>
            </w:r>
          </w:p>
        </w:tc>
        <w:tc>
          <w:tcPr>
            <w:tcW w:w="1322" w:type="pct"/>
            <w:shd w:val="clear" w:color="auto" w:fill="FFFFFF"/>
            <w:tcMar>
              <w:top w:w="110" w:type="dxa"/>
              <w:left w:w="58" w:type="dxa"/>
              <w:right w:w="58" w:type="dxa"/>
            </w:tcMar>
          </w:tcPr>
          <w:p w:rsidR="00AA75F7" w:rsidRPr="005F7144" w:rsidRDefault="00AA75F7" w:rsidP="00230FAA">
            <w:pPr>
              <w:rPr>
                <w:sz w:val="16"/>
                <w:szCs w:val="16"/>
              </w:rPr>
            </w:pPr>
            <w:r w:rsidRPr="005F7144">
              <w:rPr>
                <w:sz w:val="16"/>
                <w:szCs w:val="16"/>
              </w:rPr>
              <w:t>12 actividades dedicadas específicamente al Sistema de Lisboa, incluidas las últimas novedades, con un 86% de participantes satisfechos (encuesta efectuada en una de las actividades)</w:t>
            </w:r>
          </w:p>
        </w:tc>
        <w:tc>
          <w:tcPr>
            <w:tcW w:w="512" w:type="pct"/>
            <w:shd w:val="clear" w:color="auto" w:fill="auto"/>
            <w:tcMar>
              <w:top w:w="110" w:type="dxa"/>
              <w:left w:w="58" w:type="dxa"/>
              <w:right w:w="58" w:type="dxa"/>
            </w:tcMar>
          </w:tcPr>
          <w:p w:rsidR="00AA75F7" w:rsidRPr="005F7144" w:rsidRDefault="00AA75F7" w:rsidP="00230FAA">
            <w:pPr>
              <w:jc w:val="center"/>
              <w:rPr>
                <w:b/>
                <w:sz w:val="16"/>
                <w:szCs w:val="16"/>
              </w:rPr>
            </w:pPr>
            <w:r w:rsidRPr="005F7144">
              <w:rPr>
                <w:b/>
                <w:color w:val="00B050"/>
                <w:sz w:val="16"/>
                <w:szCs w:val="16"/>
              </w:rPr>
              <w:t>Avanza</w:t>
            </w:r>
          </w:p>
        </w:tc>
      </w:tr>
      <w:tr w:rsidR="00AA75F7" w:rsidRPr="005F7144" w:rsidTr="00230FAA">
        <w:trPr>
          <w:trHeight w:val="159"/>
        </w:trPr>
        <w:tc>
          <w:tcPr>
            <w:tcW w:w="1121" w:type="pct"/>
            <w:shd w:val="clear" w:color="auto" w:fill="auto"/>
            <w:tcMar>
              <w:left w:w="58" w:type="dxa"/>
              <w:right w:w="58" w:type="dxa"/>
            </w:tcMar>
          </w:tcPr>
          <w:p w:rsidR="00AA75F7" w:rsidRPr="005F7144" w:rsidRDefault="00AA75F7" w:rsidP="00230FAA">
            <w:pPr>
              <w:rPr>
                <w:sz w:val="16"/>
                <w:szCs w:val="16"/>
              </w:rPr>
            </w:pPr>
            <w:r w:rsidRPr="005F7144">
              <w:rPr>
                <w:sz w:val="16"/>
                <w:szCs w:val="16"/>
              </w:rPr>
              <w:t>N.º de solicitudes internacionales y otras transacciones (Lisboa)</w:t>
            </w:r>
          </w:p>
        </w:tc>
        <w:tc>
          <w:tcPr>
            <w:tcW w:w="1324" w:type="pct"/>
            <w:shd w:val="clear" w:color="auto" w:fill="auto"/>
            <w:tcMar>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Referencia actualizada a fines de 2015:  </w:t>
            </w:r>
          </w:p>
          <w:p w:rsidR="00AA75F7" w:rsidRPr="00781D02" w:rsidRDefault="00AA75F7" w:rsidP="00230FAA">
            <w:pPr>
              <w:rPr>
                <w:color w:val="002060"/>
                <w:sz w:val="16"/>
                <w:szCs w:val="16"/>
              </w:rPr>
            </w:pPr>
            <w:r w:rsidRPr="00781D02">
              <w:rPr>
                <w:color w:val="002060"/>
                <w:sz w:val="16"/>
                <w:szCs w:val="16"/>
              </w:rPr>
              <w:t>259 transacciones en 2014/15:</w:t>
            </w:r>
            <w:r w:rsidRPr="00781D02">
              <w:rPr>
                <w:color w:val="002060"/>
                <w:sz w:val="16"/>
                <w:szCs w:val="16"/>
              </w:rPr>
              <w:br/>
              <w:t>- 115 solicitudes internacionales</w:t>
            </w:r>
            <w:r w:rsidRPr="00781D02">
              <w:rPr>
                <w:color w:val="002060"/>
                <w:sz w:val="16"/>
                <w:szCs w:val="16"/>
              </w:rPr>
              <w:br/>
              <w:t>- 105 declaraciones de concesión de protección</w:t>
            </w:r>
            <w:r w:rsidRPr="00781D02">
              <w:rPr>
                <w:color w:val="002060"/>
                <w:sz w:val="16"/>
                <w:szCs w:val="16"/>
              </w:rPr>
              <w:br/>
              <w:t>- 39 declaraciones de denegación</w:t>
            </w:r>
          </w:p>
          <w:p w:rsidR="00AA75F7" w:rsidRPr="005F7144" w:rsidRDefault="00AA75F7" w:rsidP="00230FAA">
            <w:pPr>
              <w:rPr>
                <w:sz w:val="16"/>
                <w:szCs w:val="16"/>
              </w:rPr>
            </w:pPr>
          </w:p>
          <w:p w:rsidR="00AA75F7" w:rsidRPr="005F7144" w:rsidRDefault="00AA75F7" w:rsidP="00230FAA">
            <w:pPr>
              <w:rPr>
                <w:i/>
                <w:sz w:val="16"/>
                <w:szCs w:val="16"/>
                <w:lang w:bidi="th-TH"/>
              </w:rPr>
            </w:pPr>
            <w:r w:rsidRPr="005F7144">
              <w:rPr>
                <w:i/>
                <w:sz w:val="16"/>
                <w:szCs w:val="16"/>
                <w:lang w:bidi="th-TH"/>
              </w:rPr>
              <w:t xml:space="preserve">Referencia original en el presupuesto de 2016/17:  </w:t>
            </w:r>
          </w:p>
          <w:p w:rsidR="00AA75F7" w:rsidRPr="005F7144" w:rsidRDefault="00AA75F7" w:rsidP="00230FAA">
            <w:pPr>
              <w:rPr>
                <w:sz w:val="16"/>
                <w:szCs w:val="16"/>
              </w:rPr>
            </w:pPr>
            <w:r w:rsidRPr="005F7144">
              <w:rPr>
                <w:sz w:val="16"/>
                <w:szCs w:val="16"/>
              </w:rPr>
              <w:t xml:space="preserve">121 transacciones en 2014: </w:t>
            </w:r>
            <w:r w:rsidRPr="005F7144">
              <w:rPr>
                <w:sz w:val="16"/>
                <w:szCs w:val="16"/>
              </w:rPr>
              <w:br/>
              <w:t>- 80 solicitudes internacionales</w:t>
            </w:r>
            <w:r w:rsidRPr="005F7144">
              <w:rPr>
                <w:sz w:val="16"/>
                <w:szCs w:val="16"/>
              </w:rPr>
              <w:br/>
              <w:t xml:space="preserve">- 26 declaraciones de concesión de protección </w:t>
            </w:r>
            <w:r w:rsidRPr="005F7144">
              <w:rPr>
                <w:sz w:val="16"/>
                <w:szCs w:val="16"/>
              </w:rPr>
              <w:br/>
              <w:t>- 15 declaraciones de denegación</w:t>
            </w:r>
          </w:p>
        </w:tc>
        <w:tc>
          <w:tcPr>
            <w:tcW w:w="722" w:type="pct"/>
            <w:shd w:val="clear" w:color="auto" w:fill="auto"/>
            <w:tcMar>
              <w:top w:w="110" w:type="dxa"/>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Objetivo actualizado:  </w:t>
            </w:r>
          </w:p>
          <w:p w:rsidR="00AA75F7" w:rsidRPr="00781D02" w:rsidRDefault="00AA75F7" w:rsidP="00230FAA">
            <w:pPr>
              <w:rPr>
                <w:color w:val="002060"/>
                <w:sz w:val="16"/>
                <w:szCs w:val="16"/>
              </w:rPr>
            </w:pPr>
            <w:r w:rsidRPr="00781D02">
              <w:rPr>
                <w:color w:val="002060"/>
                <w:sz w:val="16"/>
                <w:szCs w:val="16"/>
              </w:rPr>
              <w:t xml:space="preserve">120 transac-ciones en 2016/17: </w:t>
            </w:r>
            <w:r w:rsidRPr="00781D02">
              <w:rPr>
                <w:color w:val="002060"/>
                <w:sz w:val="16"/>
                <w:szCs w:val="16"/>
              </w:rPr>
              <w:br/>
              <w:t>- 20 nuevas solicitudes internacionales (por año)</w:t>
            </w:r>
            <w:r w:rsidRPr="00781D02">
              <w:rPr>
                <w:color w:val="002060"/>
                <w:sz w:val="16"/>
                <w:szCs w:val="16"/>
              </w:rPr>
              <w:br/>
              <w:t xml:space="preserve">- 60 declaraciones de concesión de protección </w:t>
            </w:r>
            <w:r w:rsidRPr="00781D02">
              <w:rPr>
                <w:color w:val="002060"/>
                <w:sz w:val="16"/>
                <w:szCs w:val="16"/>
              </w:rPr>
              <w:br/>
              <w:t>- 20 declaraciones de denegación</w:t>
            </w:r>
          </w:p>
          <w:p w:rsidR="00AA75F7" w:rsidRPr="005F7144" w:rsidRDefault="00AA75F7" w:rsidP="00230FAA">
            <w:pPr>
              <w:rPr>
                <w:sz w:val="16"/>
                <w:szCs w:val="16"/>
              </w:rPr>
            </w:pPr>
          </w:p>
          <w:p w:rsidR="00AA75F7" w:rsidRPr="005F7144" w:rsidRDefault="00AA75F7" w:rsidP="00230FAA">
            <w:pPr>
              <w:spacing w:after="240"/>
              <w:rPr>
                <w:i/>
                <w:sz w:val="16"/>
                <w:szCs w:val="16"/>
              </w:rPr>
            </w:pPr>
          </w:p>
          <w:p w:rsidR="00AA75F7" w:rsidRPr="005F7144" w:rsidRDefault="00AA75F7" w:rsidP="00230FAA">
            <w:pPr>
              <w:spacing w:after="240"/>
              <w:rPr>
                <w:sz w:val="16"/>
                <w:szCs w:val="16"/>
              </w:rPr>
            </w:pPr>
            <w:r w:rsidRPr="005F7144">
              <w:rPr>
                <w:i/>
                <w:sz w:val="16"/>
                <w:szCs w:val="16"/>
              </w:rPr>
              <w:lastRenderedPageBreak/>
              <w:t xml:space="preserve">Objetivo original en el presupuesto de 2016/17:  </w:t>
            </w:r>
            <w:r w:rsidRPr="005F7144">
              <w:rPr>
                <w:sz w:val="16"/>
                <w:szCs w:val="16"/>
              </w:rPr>
              <w:t>100 transacciones en 2016/17:</w:t>
            </w:r>
            <w:r w:rsidRPr="005F7144">
              <w:rPr>
                <w:sz w:val="16"/>
                <w:szCs w:val="16"/>
              </w:rPr>
              <w:br/>
              <w:t>- 20 nuevas solicitudes internacionales (por año)</w:t>
            </w:r>
            <w:r w:rsidRPr="005F7144">
              <w:rPr>
                <w:sz w:val="16"/>
                <w:szCs w:val="16"/>
              </w:rPr>
              <w:br/>
              <w:t xml:space="preserve">- 60 declaraciones de concesión de protección </w:t>
            </w:r>
            <w:r w:rsidRPr="005F7144">
              <w:rPr>
                <w:sz w:val="16"/>
                <w:szCs w:val="16"/>
              </w:rPr>
              <w:br/>
              <w:t>- 20 declaraciones de denegación</w:t>
            </w:r>
          </w:p>
        </w:tc>
        <w:tc>
          <w:tcPr>
            <w:tcW w:w="1322" w:type="pct"/>
            <w:shd w:val="clear" w:color="auto" w:fill="FFFFFF"/>
            <w:tcMar>
              <w:top w:w="110" w:type="dxa"/>
              <w:left w:w="58" w:type="dxa"/>
              <w:right w:w="58" w:type="dxa"/>
            </w:tcMar>
          </w:tcPr>
          <w:p w:rsidR="00AA75F7" w:rsidRDefault="00AA75F7" w:rsidP="00230FAA">
            <w:pPr>
              <w:rPr>
                <w:sz w:val="16"/>
                <w:szCs w:val="16"/>
              </w:rPr>
            </w:pPr>
          </w:p>
          <w:p w:rsidR="000E5ACC" w:rsidRPr="005F7144" w:rsidRDefault="000E5ACC" w:rsidP="00230FAA">
            <w:pPr>
              <w:rPr>
                <w:sz w:val="16"/>
                <w:szCs w:val="16"/>
              </w:rPr>
            </w:pPr>
          </w:p>
          <w:p w:rsidR="00AA75F7" w:rsidRPr="005F7144" w:rsidRDefault="00AA75F7" w:rsidP="00230FAA">
            <w:pPr>
              <w:rPr>
                <w:sz w:val="16"/>
                <w:szCs w:val="16"/>
              </w:rPr>
            </w:pPr>
            <w:r w:rsidRPr="005F7144">
              <w:rPr>
                <w:sz w:val="16"/>
                <w:szCs w:val="16"/>
              </w:rPr>
              <w:t>8</w:t>
            </w:r>
            <w:r w:rsidR="000E5ACC">
              <w:rPr>
                <w:sz w:val="16"/>
                <w:szCs w:val="16"/>
              </w:rPr>
              <w:t>9</w:t>
            </w:r>
            <w:r w:rsidRPr="005F7144">
              <w:rPr>
                <w:sz w:val="16"/>
                <w:szCs w:val="16"/>
              </w:rPr>
              <w:t xml:space="preserve"> transacciones en 2016:</w:t>
            </w:r>
          </w:p>
          <w:p w:rsidR="00AA75F7" w:rsidRPr="005F7144" w:rsidRDefault="00AA75F7" w:rsidP="00230FAA">
            <w:pPr>
              <w:rPr>
                <w:sz w:val="16"/>
                <w:szCs w:val="16"/>
              </w:rPr>
            </w:pPr>
          </w:p>
          <w:p w:rsidR="00AA75F7" w:rsidRPr="005F7144" w:rsidRDefault="00AA75F7" w:rsidP="00AA75F7">
            <w:pPr>
              <w:pStyle w:val="ListParagraph"/>
              <w:numPr>
                <w:ilvl w:val="0"/>
                <w:numId w:val="38"/>
              </w:numPr>
              <w:ind w:left="210" w:hanging="210"/>
              <w:contextualSpacing/>
              <w:rPr>
                <w:sz w:val="16"/>
                <w:szCs w:val="16"/>
                <w:lang w:val="es-ES"/>
              </w:rPr>
            </w:pPr>
            <w:r w:rsidRPr="005F7144">
              <w:rPr>
                <w:sz w:val="16"/>
                <w:szCs w:val="16"/>
                <w:lang w:val="es-ES"/>
              </w:rPr>
              <w:t>25 solicitudes internacionales.</w:t>
            </w:r>
          </w:p>
          <w:p w:rsidR="00AA75F7" w:rsidRDefault="00AA75F7" w:rsidP="00230FAA">
            <w:pPr>
              <w:pStyle w:val="ListParagraph"/>
              <w:ind w:left="210"/>
              <w:rPr>
                <w:sz w:val="16"/>
                <w:szCs w:val="16"/>
                <w:lang w:val="es-ES"/>
              </w:rPr>
            </w:pPr>
          </w:p>
          <w:p w:rsidR="000E5ACC" w:rsidRPr="005F7144" w:rsidRDefault="000E5ACC" w:rsidP="000E5ACC">
            <w:pPr>
              <w:pStyle w:val="ListParagraph"/>
              <w:ind w:left="26"/>
              <w:rPr>
                <w:sz w:val="16"/>
                <w:szCs w:val="16"/>
                <w:lang w:val="es-ES"/>
              </w:rPr>
            </w:pPr>
            <w:r>
              <w:rPr>
                <w:sz w:val="16"/>
                <w:szCs w:val="16"/>
                <w:lang w:val="es-ES"/>
              </w:rPr>
              <w:t>Otras transacciones:</w:t>
            </w:r>
            <w:r>
              <w:rPr>
                <w:sz w:val="16"/>
                <w:szCs w:val="16"/>
                <w:lang w:val="es-ES"/>
              </w:rPr>
              <w:br/>
            </w:r>
          </w:p>
          <w:p w:rsidR="00AA75F7" w:rsidRPr="005F7144" w:rsidRDefault="00AA75F7" w:rsidP="00AA75F7">
            <w:pPr>
              <w:pStyle w:val="ListParagraph"/>
              <w:numPr>
                <w:ilvl w:val="0"/>
                <w:numId w:val="38"/>
              </w:numPr>
              <w:ind w:left="210" w:hanging="210"/>
              <w:contextualSpacing/>
              <w:rPr>
                <w:sz w:val="16"/>
                <w:szCs w:val="16"/>
                <w:lang w:val="es-ES"/>
              </w:rPr>
            </w:pPr>
            <w:r w:rsidRPr="005F7144">
              <w:rPr>
                <w:sz w:val="16"/>
                <w:szCs w:val="16"/>
                <w:lang w:val="es-ES"/>
              </w:rPr>
              <w:t>8 declaraciones de concesión de protección</w:t>
            </w:r>
          </w:p>
          <w:p w:rsidR="00AA75F7" w:rsidRDefault="00AA75F7" w:rsidP="00AA75F7">
            <w:pPr>
              <w:pStyle w:val="ListParagraph"/>
              <w:numPr>
                <w:ilvl w:val="0"/>
                <w:numId w:val="38"/>
              </w:numPr>
              <w:ind w:left="210" w:hanging="210"/>
              <w:contextualSpacing/>
              <w:rPr>
                <w:sz w:val="16"/>
                <w:szCs w:val="16"/>
                <w:lang w:val="es-ES"/>
              </w:rPr>
            </w:pPr>
            <w:r w:rsidRPr="005F7144">
              <w:rPr>
                <w:sz w:val="16"/>
                <w:szCs w:val="16"/>
                <w:lang w:val="es-ES"/>
              </w:rPr>
              <w:t>54 declaraciones de denegación</w:t>
            </w:r>
          </w:p>
          <w:p w:rsidR="000E5ACC" w:rsidRPr="005F7144" w:rsidRDefault="000E5ACC" w:rsidP="00AA75F7">
            <w:pPr>
              <w:pStyle w:val="ListParagraph"/>
              <w:numPr>
                <w:ilvl w:val="0"/>
                <w:numId w:val="38"/>
              </w:numPr>
              <w:ind w:left="210" w:hanging="210"/>
              <w:contextualSpacing/>
              <w:rPr>
                <w:sz w:val="16"/>
                <w:szCs w:val="16"/>
                <w:lang w:val="es-ES"/>
              </w:rPr>
            </w:pPr>
            <w:r>
              <w:rPr>
                <w:sz w:val="16"/>
                <w:szCs w:val="16"/>
                <w:lang w:val="es-ES"/>
              </w:rPr>
              <w:t>2 denegaciones retiradas</w:t>
            </w:r>
          </w:p>
        </w:tc>
        <w:tc>
          <w:tcPr>
            <w:tcW w:w="512" w:type="pct"/>
            <w:shd w:val="clear" w:color="auto" w:fill="auto"/>
            <w:tcMar>
              <w:top w:w="110" w:type="dxa"/>
              <w:left w:w="58" w:type="dxa"/>
              <w:right w:w="58" w:type="dxa"/>
            </w:tcMar>
          </w:tcPr>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b/>
                <w:sz w:val="16"/>
                <w:szCs w:val="16"/>
              </w:rPr>
            </w:pPr>
            <w:r w:rsidRPr="005F7144">
              <w:rPr>
                <w:b/>
                <w:color w:val="00B050"/>
                <w:sz w:val="16"/>
                <w:szCs w:val="16"/>
              </w:rPr>
              <w:t>Avanza</w:t>
            </w:r>
          </w:p>
          <w:p w:rsidR="00AA75F7" w:rsidRPr="005F7144" w:rsidRDefault="00AA75F7" w:rsidP="00230FAA">
            <w:pPr>
              <w:jc w:val="center"/>
              <w:rPr>
                <w:b/>
                <w:sz w:val="16"/>
                <w:szCs w:val="16"/>
              </w:rPr>
            </w:pPr>
          </w:p>
          <w:p w:rsidR="00AA75F7" w:rsidRDefault="00AA75F7" w:rsidP="00230FAA">
            <w:pPr>
              <w:jc w:val="center"/>
              <w:rPr>
                <w:b/>
                <w:sz w:val="16"/>
                <w:szCs w:val="16"/>
              </w:rPr>
            </w:pPr>
          </w:p>
          <w:p w:rsidR="004C75E3" w:rsidRDefault="004C75E3" w:rsidP="00230FAA">
            <w:pPr>
              <w:jc w:val="center"/>
              <w:rPr>
                <w:b/>
                <w:sz w:val="16"/>
                <w:szCs w:val="16"/>
              </w:rPr>
            </w:pPr>
          </w:p>
          <w:p w:rsidR="004C75E3" w:rsidRPr="005F7144" w:rsidRDefault="004C75E3" w:rsidP="00230FAA">
            <w:pPr>
              <w:jc w:val="center"/>
              <w:rPr>
                <w:b/>
                <w:sz w:val="16"/>
                <w:szCs w:val="16"/>
              </w:rPr>
            </w:pPr>
          </w:p>
          <w:p w:rsidR="00AA75F7" w:rsidRPr="005F7144" w:rsidRDefault="00AA75F7" w:rsidP="00230FAA">
            <w:pPr>
              <w:jc w:val="center"/>
              <w:rPr>
                <w:sz w:val="16"/>
                <w:szCs w:val="16"/>
              </w:rPr>
            </w:pPr>
            <w:r w:rsidRPr="005F7144">
              <w:rPr>
                <w:b/>
                <w:color w:val="00B050"/>
                <w:sz w:val="16"/>
                <w:szCs w:val="16"/>
              </w:rPr>
              <w:t>Avanza</w:t>
            </w:r>
            <w:r w:rsidRPr="005F7144">
              <w:rPr>
                <w:b/>
                <w:sz w:val="16"/>
                <w:szCs w:val="16"/>
              </w:rPr>
              <w:t xml:space="preserve"> </w:t>
            </w:r>
          </w:p>
        </w:tc>
      </w:tr>
      <w:tr w:rsidR="00AA75F7" w:rsidRPr="005F7144" w:rsidTr="00230FAA">
        <w:trPr>
          <w:trHeight w:val="1213"/>
        </w:trPr>
        <w:tc>
          <w:tcPr>
            <w:tcW w:w="1121" w:type="pct"/>
            <w:shd w:val="clear" w:color="auto" w:fill="auto"/>
            <w:tcMar>
              <w:left w:w="58" w:type="dxa"/>
              <w:right w:w="58" w:type="dxa"/>
            </w:tcMar>
          </w:tcPr>
          <w:p w:rsidR="00AA75F7" w:rsidRPr="005F7144" w:rsidRDefault="00AA75F7" w:rsidP="00230FAA">
            <w:pPr>
              <w:rPr>
                <w:sz w:val="16"/>
                <w:szCs w:val="16"/>
              </w:rPr>
            </w:pPr>
            <w:r w:rsidRPr="005F7144">
              <w:rPr>
                <w:sz w:val="16"/>
                <w:szCs w:val="16"/>
              </w:rPr>
              <w:lastRenderedPageBreak/>
              <w:t>N.º de registros internacionales de países en desarrollo y PMA en vigor en virtud del Sistema de Lisboa (con respecto al N.º total)</w:t>
            </w:r>
          </w:p>
        </w:tc>
        <w:tc>
          <w:tcPr>
            <w:tcW w:w="1324" w:type="pct"/>
            <w:shd w:val="clear" w:color="auto" w:fill="auto"/>
            <w:tcMar>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Referencia actualizada a fines de 2015:  </w:t>
            </w:r>
          </w:p>
          <w:p w:rsidR="00AA75F7" w:rsidRPr="00781D02" w:rsidRDefault="00AA75F7" w:rsidP="00230FAA">
            <w:pPr>
              <w:rPr>
                <w:color w:val="002060"/>
                <w:sz w:val="16"/>
                <w:szCs w:val="16"/>
              </w:rPr>
            </w:pPr>
            <w:r w:rsidRPr="00781D02">
              <w:rPr>
                <w:color w:val="002060"/>
                <w:sz w:val="16"/>
                <w:szCs w:val="16"/>
              </w:rPr>
              <w:t>95 (de 931):</w:t>
            </w:r>
          </w:p>
          <w:p w:rsidR="00AA75F7" w:rsidRPr="00781D02" w:rsidRDefault="00AA75F7" w:rsidP="00AA75F7">
            <w:pPr>
              <w:numPr>
                <w:ilvl w:val="0"/>
                <w:numId w:val="40"/>
              </w:numPr>
              <w:ind w:left="120" w:hanging="120"/>
              <w:rPr>
                <w:color w:val="002060"/>
                <w:sz w:val="16"/>
                <w:szCs w:val="16"/>
              </w:rPr>
            </w:pPr>
            <w:r w:rsidRPr="00781D02">
              <w:rPr>
                <w:color w:val="002060"/>
                <w:sz w:val="16"/>
                <w:szCs w:val="16"/>
              </w:rPr>
              <w:t>Países árabes (14)</w:t>
            </w:r>
          </w:p>
          <w:p w:rsidR="00AA75F7" w:rsidRPr="00781D02" w:rsidRDefault="00AA75F7" w:rsidP="00AA75F7">
            <w:pPr>
              <w:numPr>
                <w:ilvl w:val="0"/>
                <w:numId w:val="40"/>
              </w:numPr>
              <w:ind w:left="120" w:hanging="120"/>
              <w:rPr>
                <w:color w:val="002060"/>
                <w:sz w:val="16"/>
                <w:szCs w:val="16"/>
              </w:rPr>
            </w:pPr>
            <w:r w:rsidRPr="00781D02">
              <w:rPr>
                <w:color w:val="002060"/>
                <w:sz w:val="16"/>
                <w:szCs w:val="16"/>
              </w:rPr>
              <w:t>Asia y el Pacífico (38)</w:t>
            </w:r>
          </w:p>
          <w:p w:rsidR="00AA75F7" w:rsidRPr="005F7144" w:rsidRDefault="00AA75F7" w:rsidP="00AA75F7">
            <w:pPr>
              <w:pStyle w:val="ListParagraph"/>
              <w:numPr>
                <w:ilvl w:val="0"/>
                <w:numId w:val="40"/>
              </w:numPr>
              <w:ind w:left="120" w:hanging="120"/>
              <w:contextualSpacing/>
              <w:rPr>
                <w:sz w:val="16"/>
                <w:szCs w:val="16"/>
                <w:lang w:val="es-ES"/>
              </w:rPr>
            </w:pPr>
            <w:r w:rsidRPr="00781D02">
              <w:rPr>
                <w:color w:val="002060"/>
                <w:sz w:val="16"/>
                <w:szCs w:val="16"/>
                <w:lang w:val="es-ES"/>
              </w:rPr>
              <w:t>América Latina y el Caribe (43)</w:t>
            </w:r>
          </w:p>
          <w:p w:rsidR="00AA75F7" w:rsidRPr="005F7144" w:rsidRDefault="00AA75F7" w:rsidP="00230FAA">
            <w:pPr>
              <w:rPr>
                <w:sz w:val="16"/>
                <w:szCs w:val="16"/>
              </w:rPr>
            </w:pPr>
          </w:p>
          <w:p w:rsidR="00AA75F7" w:rsidRPr="005F7144" w:rsidRDefault="00AA75F7" w:rsidP="00230FAA">
            <w:pPr>
              <w:rPr>
                <w:i/>
                <w:sz w:val="16"/>
                <w:szCs w:val="16"/>
                <w:lang w:bidi="th-TH"/>
              </w:rPr>
            </w:pPr>
            <w:r w:rsidRPr="005F7144">
              <w:rPr>
                <w:i/>
                <w:sz w:val="16"/>
                <w:szCs w:val="16"/>
                <w:lang w:bidi="th-TH"/>
              </w:rPr>
              <w:t xml:space="preserve">Referencia original en el presupuesto de 2016/17:  </w:t>
            </w:r>
          </w:p>
          <w:p w:rsidR="00AA75F7" w:rsidRPr="005F7144" w:rsidRDefault="00AA75F7" w:rsidP="00230FAA">
            <w:pPr>
              <w:spacing w:after="240"/>
              <w:rPr>
                <w:sz w:val="16"/>
                <w:szCs w:val="16"/>
              </w:rPr>
            </w:pPr>
            <w:r w:rsidRPr="005F7144">
              <w:rPr>
                <w:sz w:val="16"/>
                <w:szCs w:val="16"/>
              </w:rPr>
              <w:t>78 (de 896)</w:t>
            </w:r>
            <w:r w:rsidRPr="005F7144">
              <w:rPr>
                <w:sz w:val="16"/>
                <w:szCs w:val="16"/>
              </w:rPr>
              <w:br/>
              <w:t>(Marzo de 2015)</w:t>
            </w:r>
          </w:p>
        </w:tc>
        <w:tc>
          <w:tcPr>
            <w:tcW w:w="722" w:type="pct"/>
            <w:shd w:val="clear" w:color="auto" w:fill="auto"/>
            <w:tcMar>
              <w:top w:w="110" w:type="dxa"/>
              <w:left w:w="58" w:type="dxa"/>
              <w:right w:w="58" w:type="dxa"/>
            </w:tcMar>
          </w:tcPr>
          <w:p w:rsidR="00AA75F7" w:rsidRPr="00781D02" w:rsidRDefault="00AA75F7" w:rsidP="00230FAA">
            <w:pPr>
              <w:rPr>
                <w:i/>
                <w:color w:val="002060"/>
                <w:sz w:val="16"/>
                <w:szCs w:val="16"/>
              </w:rPr>
            </w:pPr>
            <w:r w:rsidRPr="00781D02">
              <w:rPr>
                <w:i/>
                <w:color w:val="002060"/>
                <w:sz w:val="16"/>
                <w:szCs w:val="16"/>
              </w:rPr>
              <w:t>Objetivo actualizado:</w:t>
            </w:r>
          </w:p>
          <w:p w:rsidR="00AA75F7" w:rsidRPr="00781D02" w:rsidRDefault="00AA75F7" w:rsidP="00230FAA">
            <w:pPr>
              <w:rPr>
                <w:color w:val="002060"/>
                <w:sz w:val="16"/>
                <w:szCs w:val="16"/>
              </w:rPr>
            </w:pPr>
            <w:r w:rsidRPr="00781D02">
              <w:rPr>
                <w:color w:val="002060"/>
                <w:sz w:val="16"/>
                <w:szCs w:val="16"/>
              </w:rPr>
              <w:t>100 (de 971)</w:t>
            </w:r>
          </w:p>
          <w:p w:rsidR="00AA75F7" w:rsidRPr="005F7144" w:rsidRDefault="00AA75F7" w:rsidP="00230FAA">
            <w:pPr>
              <w:rPr>
                <w:i/>
                <w:sz w:val="16"/>
                <w:szCs w:val="16"/>
              </w:rPr>
            </w:pPr>
          </w:p>
          <w:p w:rsidR="00AA75F7" w:rsidRPr="005F7144" w:rsidRDefault="00AA75F7" w:rsidP="00230FAA">
            <w:pPr>
              <w:rPr>
                <w:i/>
                <w:sz w:val="16"/>
                <w:szCs w:val="16"/>
              </w:rPr>
            </w:pPr>
            <w:r w:rsidRPr="005F7144">
              <w:rPr>
                <w:i/>
                <w:sz w:val="16"/>
                <w:szCs w:val="16"/>
              </w:rPr>
              <w:t xml:space="preserve">Objetivo original en el presupuesto de 2016/17:  </w:t>
            </w:r>
          </w:p>
          <w:p w:rsidR="00AA75F7" w:rsidRPr="005F7144" w:rsidRDefault="00AA75F7" w:rsidP="00230FAA">
            <w:pPr>
              <w:rPr>
                <w:sz w:val="16"/>
                <w:szCs w:val="16"/>
              </w:rPr>
            </w:pPr>
            <w:r w:rsidRPr="005F7144">
              <w:rPr>
                <w:sz w:val="16"/>
                <w:szCs w:val="16"/>
              </w:rPr>
              <w:t>90 (de 950)</w:t>
            </w:r>
          </w:p>
        </w:tc>
        <w:tc>
          <w:tcPr>
            <w:tcW w:w="1322" w:type="pct"/>
            <w:shd w:val="clear" w:color="auto" w:fill="FFFFFF"/>
            <w:tcMar>
              <w:top w:w="110" w:type="dxa"/>
              <w:left w:w="58" w:type="dxa"/>
              <w:right w:w="58" w:type="dxa"/>
            </w:tcMar>
          </w:tcPr>
          <w:p w:rsidR="00AA75F7" w:rsidRPr="005F7144" w:rsidRDefault="00AA75F7" w:rsidP="00230FAA">
            <w:pPr>
              <w:rPr>
                <w:sz w:val="16"/>
                <w:szCs w:val="16"/>
              </w:rPr>
            </w:pPr>
            <w:r w:rsidRPr="005F7144">
              <w:rPr>
                <w:sz w:val="16"/>
                <w:szCs w:val="16"/>
              </w:rPr>
              <w:t>95 (de 1.020):</w:t>
            </w:r>
          </w:p>
          <w:p w:rsidR="00AA75F7" w:rsidRPr="005F7144" w:rsidRDefault="00AA75F7" w:rsidP="00AA75F7">
            <w:pPr>
              <w:numPr>
                <w:ilvl w:val="0"/>
                <w:numId w:val="39"/>
              </w:numPr>
              <w:ind w:left="210" w:hanging="210"/>
              <w:rPr>
                <w:sz w:val="16"/>
                <w:szCs w:val="16"/>
              </w:rPr>
            </w:pPr>
            <w:r w:rsidRPr="005F7144">
              <w:rPr>
                <w:sz w:val="16"/>
                <w:szCs w:val="16"/>
              </w:rPr>
              <w:t>Países árabes (14)</w:t>
            </w:r>
          </w:p>
          <w:p w:rsidR="00AA75F7" w:rsidRPr="005F7144" w:rsidRDefault="00AA75F7" w:rsidP="00AA75F7">
            <w:pPr>
              <w:numPr>
                <w:ilvl w:val="0"/>
                <w:numId w:val="39"/>
              </w:numPr>
              <w:ind w:left="210" w:hanging="210"/>
              <w:rPr>
                <w:sz w:val="16"/>
                <w:szCs w:val="16"/>
              </w:rPr>
            </w:pPr>
            <w:r w:rsidRPr="005F7144">
              <w:rPr>
                <w:sz w:val="16"/>
                <w:szCs w:val="16"/>
              </w:rPr>
              <w:t>Asia y el Pacífico (38)</w:t>
            </w:r>
          </w:p>
          <w:p w:rsidR="00AA75F7" w:rsidRPr="005F7144" w:rsidRDefault="00AA75F7" w:rsidP="00AA75F7">
            <w:pPr>
              <w:pStyle w:val="ListParagraph"/>
              <w:numPr>
                <w:ilvl w:val="0"/>
                <w:numId w:val="39"/>
              </w:numPr>
              <w:ind w:left="210" w:hanging="210"/>
              <w:contextualSpacing/>
              <w:rPr>
                <w:sz w:val="16"/>
                <w:szCs w:val="16"/>
                <w:lang w:val="es-ES"/>
              </w:rPr>
            </w:pPr>
            <w:r w:rsidRPr="005F7144">
              <w:rPr>
                <w:sz w:val="16"/>
                <w:szCs w:val="16"/>
                <w:lang w:val="es-ES"/>
              </w:rPr>
              <w:t>América Latina y el Caribe (43)</w:t>
            </w:r>
          </w:p>
          <w:p w:rsidR="00AA75F7" w:rsidRPr="005F7144" w:rsidRDefault="00AA75F7" w:rsidP="00230FAA">
            <w:pPr>
              <w:rPr>
                <w:sz w:val="16"/>
                <w:szCs w:val="16"/>
              </w:rPr>
            </w:pPr>
          </w:p>
        </w:tc>
        <w:tc>
          <w:tcPr>
            <w:tcW w:w="512" w:type="pct"/>
            <w:shd w:val="clear" w:color="auto" w:fill="auto"/>
            <w:tcMar>
              <w:top w:w="110" w:type="dxa"/>
              <w:left w:w="58" w:type="dxa"/>
              <w:right w:w="58" w:type="dxa"/>
            </w:tcMar>
          </w:tcPr>
          <w:p w:rsidR="00AA75F7" w:rsidRPr="005F7144" w:rsidRDefault="004C75E3" w:rsidP="004C75E3">
            <w:pPr>
              <w:jc w:val="center"/>
              <w:rPr>
                <w:sz w:val="16"/>
                <w:szCs w:val="16"/>
              </w:rPr>
            </w:pPr>
            <w:r w:rsidRPr="004C75E3">
              <w:rPr>
                <w:b/>
                <w:color w:val="FF0000"/>
                <w:sz w:val="16"/>
                <w:szCs w:val="16"/>
              </w:rPr>
              <w:t>No a</w:t>
            </w:r>
            <w:r w:rsidR="00AA75F7" w:rsidRPr="004C75E3">
              <w:rPr>
                <w:b/>
                <w:color w:val="FF0000"/>
                <w:sz w:val="16"/>
                <w:szCs w:val="16"/>
              </w:rPr>
              <w:t>vanza</w:t>
            </w:r>
          </w:p>
        </w:tc>
      </w:tr>
      <w:tr w:rsidR="00AA75F7" w:rsidRPr="005F7144" w:rsidTr="00230FAA">
        <w:trPr>
          <w:trHeight w:val="565"/>
        </w:trPr>
        <w:tc>
          <w:tcPr>
            <w:tcW w:w="5000" w:type="pct"/>
            <w:gridSpan w:val="5"/>
            <w:shd w:val="clear" w:color="auto" w:fill="C6D9F1" w:themeFill="text2" w:themeFillTint="33"/>
            <w:tcMar>
              <w:left w:w="58" w:type="dxa"/>
              <w:right w:w="58" w:type="dxa"/>
            </w:tcMar>
            <w:vAlign w:val="center"/>
          </w:tcPr>
          <w:p w:rsidR="00AA75F7" w:rsidRPr="005F7144" w:rsidRDefault="00AA75F7" w:rsidP="00230FAA">
            <w:pPr>
              <w:ind w:left="1701" w:hanging="1701"/>
              <w:rPr>
                <w:sz w:val="16"/>
                <w:szCs w:val="16"/>
              </w:rPr>
            </w:pPr>
            <w:r w:rsidRPr="005F7144">
              <w:rPr>
                <w:b/>
                <w:sz w:val="16"/>
                <w:szCs w:val="16"/>
              </w:rPr>
              <w:t>Resultado previsto:</w:t>
            </w:r>
            <w:r w:rsidRPr="005F7144">
              <w:rPr>
                <w:b/>
                <w:sz w:val="16"/>
                <w:szCs w:val="16"/>
              </w:rPr>
              <w:tab/>
            </w:r>
            <w:r w:rsidRPr="005F7144">
              <w:rPr>
                <w:sz w:val="16"/>
                <w:szCs w:val="16"/>
              </w:rPr>
              <w:t>II.11  Mejora de la productividad y de la calidad de los servicios en las operaciones del Sistema de Lisboa</w:t>
            </w:r>
          </w:p>
        </w:tc>
      </w:tr>
      <w:tr w:rsidR="00AA75F7" w:rsidRPr="005F7144" w:rsidTr="00230FAA">
        <w:tc>
          <w:tcPr>
            <w:tcW w:w="1121" w:type="pct"/>
            <w:shd w:val="clear" w:color="auto" w:fill="auto"/>
            <w:tcMar>
              <w:left w:w="58" w:type="dxa"/>
              <w:right w:w="58" w:type="dxa"/>
            </w:tcMar>
            <w:vAlign w:val="center"/>
          </w:tcPr>
          <w:p w:rsidR="00AA75F7" w:rsidRPr="005F7144" w:rsidRDefault="00AA75F7" w:rsidP="00230FAA">
            <w:pPr>
              <w:rPr>
                <w:b/>
                <w:sz w:val="16"/>
                <w:szCs w:val="16"/>
              </w:rPr>
            </w:pPr>
            <w:r w:rsidRPr="005F7144">
              <w:rPr>
                <w:b/>
                <w:sz w:val="16"/>
                <w:szCs w:val="16"/>
              </w:rPr>
              <w:t>Indicadores de rendimiento</w:t>
            </w:r>
          </w:p>
        </w:tc>
        <w:tc>
          <w:tcPr>
            <w:tcW w:w="1324" w:type="pct"/>
            <w:shd w:val="clear" w:color="auto" w:fill="auto"/>
            <w:tcMar>
              <w:left w:w="58" w:type="dxa"/>
              <w:right w:w="58" w:type="dxa"/>
            </w:tcMar>
            <w:vAlign w:val="center"/>
          </w:tcPr>
          <w:p w:rsidR="00AA75F7" w:rsidRPr="005F7144" w:rsidRDefault="00AA75F7" w:rsidP="00230FAA">
            <w:pPr>
              <w:rPr>
                <w:b/>
                <w:bCs/>
                <w:sz w:val="16"/>
                <w:szCs w:val="16"/>
              </w:rPr>
            </w:pPr>
            <w:r w:rsidRPr="005F7144">
              <w:rPr>
                <w:b/>
                <w:bCs/>
                <w:sz w:val="16"/>
                <w:szCs w:val="16"/>
              </w:rPr>
              <w:t>Referencias de base</w:t>
            </w:r>
          </w:p>
        </w:tc>
        <w:tc>
          <w:tcPr>
            <w:tcW w:w="722" w:type="pct"/>
            <w:shd w:val="clear" w:color="auto" w:fill="auto"/>
            <w:tcMar>
              <w:top w:w="110" w:type="dxa"/>
              <w:left w:w="58" w:type="dxa"/>
              <w:right w:w="58" w:type="dxa"/>
            </w:tcMar>
            <w:vAlign w:val="center"/>
          </w:tcPr>
          <w:p w:rsidR="00AA75F7" w:rsidRPr="005F7144" w:rsidRDefault="00AA75F7" w:rsidP="00230FAA">
            <w:pPr>
              <w:rPr>
                <w:b/>
                <w:bCs/>
                <w:sz w:val="16"/>
                <w:szCs w:val="16"/>
              </w:rPr>
            </w:pPr>
            <w:r w:rsidRPr="005F7144">
              <w:rPr>
                <w:b/>
                <w:bCs/>
                <w:sz w:val="16"/>
                <w:szCs w:val="16"/>
              </w:rPr>
              <w:t>Objetivos</w:t>
            </w:r>
          </w:p>
        </w:tc>
        <w:tc>
          <w:tcPr>
            <w:tcW w:w="1322" w:type="pct"/>
            <w:shd w:val="clear" w:color="auto" w:fill="FFFFFF"/>
            <w:tcMar>
              <w:top w:w="110" w:type="dxa"/>
              <w:left w:w="58" w:type="dxa"/>
              <w:right w:w="58" w:type="dxa"/>
            </w:tcMar>
            <w:vAlign w:val="center"/>
          </w:tcPr>
          <w:p w:rsidR="00AA75F7" w:rsidRPr="005F7144" w:rsidRDefault="00AA75F7" w:rsidP="00230FAA">
            <w:pPr>
              <w:rPr>
                <w:b/>
                <w:bCs/>
                <w:sz w:val="16"/>
                <w:szCs w:val="16"/>
              </w:rPr>
            </w:pPr>
            <w:r w:rsidRPr="005F7144">
              <w:rPr>
                <w:b/>
                <w:bCs/>
                <w:sz w:val="16"/>
                <w:szCs w:val="16"/>
              </w:rPr>
              <w:t>Datos sobre el rendimiento</w:t>
            </w:r>
          </w:p>
        </w:tc>
        <w:tc>
          <w:tcPr>
            <w:tcW w:w="512" w:type="pct"/>
            <w:shd w:val="clear" w:color="auto" w:fill="auto"/>
            <w:tcMar>
              <w:top w:w="110" w:type="dxa"/>
              <w:left w:w="58" w:type="dxa"/>
              <w:right w:w="58" w:type="dxa"/>
            </w:tcMar>
            <w:vAlign w:val="center"/>
          </w:tcPr>
          <w:p w:rsidR="00AA75F7" w:rsidRPr="005F7144" w:rsidRDefault="00AA75F7" w:rsidP="00230FAA">
            <w:pPr>
              <w:jc w:val="center"/>
              <w:rPr>
                <w:b/>
                <w:bCs/>
                <w:sz w:val="16"/>
                <w:szCs w:val="16"/>
              </w:rPr>
            </w:pPr>
            <w:r w:rsidRPr="005F7144">
              <w:rPr>
                <w:b/>
                <w:bCs/>
                <w:sz w:val="16"/>
                <w:szCs w:val="16"/>
              </w:rPr>
              <w:t>Clave de colores</w:t>
            </w:r>
          </w:p>
        </w:tc>
      </w:tr>
      <w:tr w:rsidR="00AA75F7" w:rsidRPr="005F7144" w:rsidTr="00230FAA">
        <w:trPr>
          <w:trHeight w:val="435"/>
        </w:trPr>
        <w:tc>
          <w:tcPr>
            <w:tcW w:w="1121" w:type="pct"/>
            <w:shd w:val="clear" w:color="auto" w:fill="auto"/>
            <w:tcMar>
              <w:left w:w="58" w:type="dxa"/>
              <w:right w:w="58" w:type="dxa"/>
            </w:tcMar>
          </w:tcPr>
          <w:p w:rsidR="00AA75F7" w:rsidRPr="005F7144" w:rsidRDefault="00AA75F7" w:rsidP="00230FAA">
            <w:pPr>
              <w:rPr>
                <w:sz w:val="16"/>
                <w:szCs w:val="16"/>
              </w:rPr>
            </w:pPr>
            <w:r w:rsidRPr="005F7144">
              <w:rPr>
                <w:sz w:val="16"/>
                <w:szCs w:val="16"/>
              </w:rPr>
              <w:t>Adopción de disposiciones que agilicen el marco jurídico del Sistema de Lisboa</w:t>
            </w:r>
          </w:p>
        </w:tc>
        <w:tc>
          <w:tcPr>
            <w:tcW w:w="1324" w:type="pct"/>
            <w:shd w:val="clear" w:color="auto" w:fill="auto"/>
            <w:tcMar>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Referencia actualizada a fines de 2015:  </w:t>
            </w:r>
          </w:p>
          <w:p w:rsidR="00AA75F7" w:rsidRPr="00781D02" w:rsidRDefault="00AA75F7" w:rsidP="00230FAA">
            <w:pPr>
              <w:rPr>
                <w:color w:val="002060"/>
                <w:sz w:val="16"/>
                <w:szCs w:val="16"/>
              </w:rPr>
            </w:pPr>
            <w:r w:rsidRPr="00781D02">
              <w:rPr>
                <w:color w:val="002060"/>
                <w:sz w:val="16"/>
                <w:szCs w:val="16"/>
              </w:rPr>
              <w:t>El Acta de Ginebra del Arreglo de Lisboa relativo a las Denominaciones de Origen y las Indicaciones Geográficas fue adoptado en mayo de 2015</w:t>
            </w:r>
          </w:p>
          <w:p w:rsidR="00AA75F7" w:rsidRPr="005F7144" w:rsidRDefault="00AA75F7" w:rsidP="00230FAA">
            <w:pPr>
              <w:rPr>
                <w:sz w:val="16"/>
                <w:szCs w:val="16"/>
              </w:rPr>
            </w:pPr>
          </w:p>
          <w:p w:rsidR="00AA75F7" w:rsidRPr="005F7144" w:rsidRDefault="00AA75F7" w:rsidP="00230FAA">
            <w:pPr>
              <w:rPr>
                <w:i/>
                <w:sz w:val="16"/>
                <w:szCs w:val="16"/>
                <w:lang w:bidi="th-TH"/>
              </w:rPr>
            </w:pPr>
            <w:r w:rsidRPr="005F7144">
              <w:rPr>
                <w:i/>
                <w:sz w:val="16"/>
                <w:szCs w:val="16"/>
                <w:lang w:bidi="th-TH"/>
              </w:rPr>
              <w:t xml:space="preserve">Referencia original en el presupuesto de 2016/17:  </w:t>
            </w:r>
          </w:p>
          <w:p w:rsidR="00AA75F7" w:rsidRPr="005F7144" w:rsidRDefault="00AA75F7" w:rsidP="00230FAA">
            <w:pPr>
              <w:spacing w:after="240"/>
              <w:rPr>
                <w:sz w:val="16"/>
                <w:szCs w:val="16"/>
              </w:rPr>
            </w:pPr>
            <w:r w:rsidRPr="005F7144">
              <w:rPr>
                <w:sz w:val="16"/>
                <w:szCs w:val="16"/>
              </w:rPr>
              <w:t>Marco jurídico vigente y marco jurídico del Acta de Ginebra de mayo de 2015</w:t>
            </w:r>
          </w:p>
        </w:tc>
        <w:tc>
          <w:tcPr>
            <w:tcW w:w="722" w:type="pct"/>
            <w:shd w:val="clear" w:color="auto" w:fill="auto"/>
            <w:tcMar>
              <w:top w:w="110" w:type="dxa"/>
              <w:left w:w="58" w:type="dxa"/>
              <w:right w:w="58" w:type="dxa"/>
            </w:tcMar>
          </w:tcPr>
          <w:p w:rsidR="00AA75F7" w:rsidRPr="005F7144" w:rsidRDefault="00AA75F7" w:rsidP="00230FAA">
            <w:pPr>
              <w:rPr>
                <w:sz w:val="16"/>
                <w:szCs w:val="16"/>
              </w:rPr>
            </w:pPr>
            <w:r w:rsidRPr="005F7144">
              <w:rPr>
                <w:sz w:val="16"/>
                <w:szCs w:val="16"/>
              </w:rPr>
              <w:t>Adopción del Reglamento Común en virtud del Arreglo de Lisboa y el Acta de Ginebra</w:t>
            </w:r>
          </w:p>
        </w:tc>
        <w:tc>
          <w:tcPr>
            <w:tcW w:w="1322" w:type="pct"/>
            <w:shd w:val="clear" w:color="auto" w:fill="FFFFFF"/>
            <w:tcMar>
              <w:top w:w="110" w:type="dxa"/>
              <w:left w:w="58" w:type="dxa"/>
              <w:right w:w="58" w:type="dxa"/>
            </w:tcMar>
          </w:tcPr>
          <w:p w:rsidR="00AA75F7" w:rsidRPr="005F7144" w:rsidRDefault="00AA75F7" w:rsidP="00230FAA">
            <w:pPr>
              <w:rPr>
                <w:sz w:val="16"/>
                <w:szCs w:val="16"/>
              </w:rPr>
            </w:pPr>
            <w:r w:rsidRPr="005F7144">
              <w:rPr>
                <w:sz w:val="16"/>
                <w:szCs w:val="16"/>
              </w:rPr>
              <w:t>En la primera reunión del Grupo de Trabajo de Lisboa encargado de preparar el Reglamento Común del Arreglo de Lisboa y del Acta de Ginebra del Arreglo de Lisboa, celebrada en junio de 2016, se revisó un primer proyecto del Reglamento Común</w:t>
            </w:r>
          </w:p>
        </w:tc>
        <w:tc>
          <w:tcPr>
            <w:tcW w:w="512" w:type="pct"/>
            <w:shd w:val="clear" w:color="auto" w:fill="auto"/>
            <w:tcMar>
              <w:top w:w="110" w:type="dxa"/>
              <w:left w:w="58" w:type="dxa"/>
              <w:right w:w="58" w:type="dxa"/>
            </w:tcMar>
          </w:tcPr>
          <w:p w:rsidR="00AA75F7" w:rsidRPr="005F7144" w:rsidRDefault="00AA75F7" w:rsidP="00230FAA">
            <w:pPr>
              <w:jc w:val="center"/>
              <w:rPr>
                <w:sz w:val="16"/>
                <w:szCs w:val="16"/>
              </w:rPr>
            </w:pPr>
            <w:r w:rsidRPr="005F7144">
              <w:rPr>
                <w:b/>
                <w:color w:val="00B050"/>
                <w:sz w:val="16"/>
                <w:szCs w:val="16"/>
              </w:rPr>
              <w:t>Avanza</w:t>
            </w:r>
          </w:p>
        </w:tc>
      </w:tr>
      <w:tr w:rsidR="00AA75F7" w:rsidRPr="005F7144" w:rsidTr="00230FAA">
        <w:trPr>
          <w:trHeight w:val="340"/>
        </w:trPr>
        <w:tc>
          <w:tcPr>
            <w:tcW w:w="1121" w:type="pct"/>
            <w:shd w:val="clear" w:color="auto" w:fill="auto"/>
            <w:tcMar>
              <w:left w:w="58" w:type="dxa"/>
              <w:right w:w="58" w:type="dxa"/>
            </w:tcMar>
          </w:tcPr>
          <w:p w:rsidR="00AA75F7" w:rsidRPr="005F7144" w:rsidRDefault="00AA75F7" w:rsidP="00230FAA">
            <w:pPr>
              <w:rPr>
                <w:sz w:val="16"/>
                <w:szCs w:val="16"/>
              </w:rPr>
            </w:pPr>
            <w:r w:rsidRPr="005F7144">
              <w:rPr>
                <w:sz w:val="16"/>
                <w:szCs w:val="16"/>
              </w:rPr>
              <w:t>Mayor uso de los medios electrónicos para la presentación y tramitación de solicitudes internacionales y otras transacciones (Lisboa)</w:t>
            </w:r>
          </w:p>
        </w:tc>
        <w:tc>
          <w:tcPr>
            <w:tcW w:w="1324" w:type="pct"/>
            <w:shd w:val="clear" w:color="auto" w:fill="auto"/>
            <w:tcMar>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Referencia actualizada a fines de 2015:  </w:t>
            </w:r>
          </w:p>
          <w:p w:rsidR="00AA75F7" w:rsidRPr="00781D02" w:rsidRDefault="00AA75F7" w:rsidP="00230FAA">
            <w:pPr>
              <w:rPr>
                <w:color w:val="002060"/>
                <w:sz w:val="16"/>
                <w:szCs w:val="16"/>
              </w:rPr>
            </w:pPr>
            <w:r w:rsidRPr="00781D02">
              <w:rPr>
                <w:color w:val="002060"/>
                <w:sz w:val="16"/>
                <w:szCs w:val="16"/>
              </w:rPr>
              <w:t>Se introdujo un procedimiento simplificado para notificaciones a través del sistema de notificación de consultas (WINS) de la OMPI</w:t>
            </w:r>
          </w:p>
          <w:p w:rsidR="00AA75F7" w:rsidRPr="005F7144" w:rsidRDefault="00AA75F7" w:rsidP="00230FAA">
            <w:pPr>
              <w:rPr>
                <w:sz w:val="16"/>
                <w:szCs w:val="16"/>
              </w:rPr>
            </w:pPr>
          </w:p>
          <w:p w:rsidR="00AA75F7" w:rsidRPr="005F7144" w:rsidRDefault="00AA75F7" w:rsidP="00230FAA">
            <w:pPr>
              <w:rPr>
                <w:i/>
                <w:sz w:val="16"/>
                <w:szCs w:val="16"/>
                <w:lang w:bidi="th-TH"/>
              </w:rPr>
            </w:pPr>
            <w:r w:rsidRPr="005F7144">
              <w:rPr>
                <w:i/>
                <w:sz w:val="16"/>
                <w:szCs w:val="16"/>
                <w:lang w:bidi="th-TH"/>
              </w:rPr>
              <w:t xml:space="preserve">Referencia original en el presupuesto de 2016/17:  </w:t>
            </w:r>
          </w:p>
          <w:p w:rsidR="00AA75F7" w:rsidRPr="005F7144" w:rsidRDefault="00AA75F7" w:rsidP="00230FAA">
            <w:pPr>
              <w:rPr>
                <w:sz w:val="16"/>
                <w:szCs w:val="16"/>
              </w:rPr>
            </w:pPr>
            <w:r w:rsidRPr="005F7144">
              <w:rPr>
                <w:sz w:val="16"/>
                <w:szCs w:val="16"/>
              </w:rPr>
              <w:t>Herramienta actual de introducción de datos</w:t>
            </w:r>
          </w:p>
          <w:p w:rsidR="00AA75F7" w:rsidRPr="005F7144" w:rsidRDefault="00AA75F7" w:rsidP="00230FAA">
            <w:pPr>
              <w:spacing w:after="240"/>
              <w:rPr>
                <w:sz w:val="16"/>
                <w:szCs w:val="16"/>
              </w:rPr>
            </w:pPr>
            <w:r w:rsidRPr="005F7144">
              <w:rPr>
                <w:sz w:val="16"/>
                <w:szCs w:val="16"/>
              </w:rPr>
              <w:br/>
              <w:t>Boletín y base de datos actuales</w:t>
            </w:r>
          </w:p>
        </w:tc>
        <w:tc>
          <w:tcPr>
            <w:tcW w:w="722" w:type="pct"/>
            <w:shd w:val="clear" w:color="auto" w:fill="auto"/>
            <w:tcMar>
              <w:top w:w="110" w:type="dxa"/>
              <w:left w:w="58" w:type="dxa"/>
              <w:right w:w="58" w:type="dxa"/>
            </w:tcMar>
          </w:tcPr>
          <w:p w:rsidR="00AA75F7" w:rsidRPr="005F7144" w:rsidRDefault="00AA75F7" w:rsidP="00230FAA">
            <w:pPr>
              <w:rPr>
                <w:sz w:val="16"/>
                <w:szCs w:val="16"/>
              </w:rPr>
            </w:pPr>
            <w:r w:rsidRPr="005F7144">
              <w:rPr>
                <w:sz w:val="16"/>
                <w:szCs w:val="16"/>
              </w:rPr>
              <w:t xml:space="preserve">Herramienta mejorada de introducción de datos </w:t>
            </w:r>
          </w:p>
          <w:p w:rsidR="00AA75F7" w:rsidRPr="005F7144" w:rsidRDefault="00AA75F7" w:rsidP="00230FAA">
            <w:pPr>
              <w:rPr>
                <w:sz w:val="16"/>
                <w:szCs w:val="16"/>
              </w:rPr>
            </w:pPr>
          </w:p>
          <w:p w:rsidR="00AA75F7" w:rsidRPr="005F7144" w:rsidRDefault="00AA75F7" w:rsidP="00230FAA">
            <w:pPr>
              <w:rPr>
                <w:sz w:val="16"/>
                <w:szCs w:val="16"/>
              </w:rPr>
            </w:pPr>
          </w:p>
          <w:p w:rsidR="00AA75F7" w:rsidRPr="005F7144" w:rsidRDefault="00AA75F7" w:rsidP="00230FAA">
            <w:pPr>
              <w:rPr>
                <w:sz w:val="16"/>
                <w:szCs w:val="16"/>
              </w:rPr>
            </w:pPr>
          </w:p>
          <w:p w:rsidR="00AA75F7" w:rsidRPr="005F7144" w:rsidRDefault="00AA75F7" w:rsidP="00230FAA">
            <w:pPr>
              <w:rPr>
                <w:sz w:val="16"/>
                <w:szCs w:val="16"/>
              </w:rPr>
            </w:pPr>
          </w:p>
          <w:p w:rsidR="00AA75F7" w:rsidRPr="005F7144" w:rsidRDefault="00AA75F7" w:rsidP="00230FAA">
            <w:pPr>
              <w:rPr>
                <w:sz w:val="16"/>
                <w:szCs w:val="16"/>
              </w:rPr>
            </w:pPr>
          </w:p>
          <w:p w:rsidR="00AA75F7" w:rsidRPr="005F7144" w:rsidRDefault="00AA75F7" w:rsidP="00230FAA">
            <w:pPr>
              <w:rPr>
                <w:sz w:val="16"/>
                <w:szCs w:val="16"/>
              </w:rPr>
            </w:pPr>
          </w:p>
          <w:p w:rsidR="00AA75F7" w:rsidRDefault="00AA75F7" w:rsidP="00230FAA">
            <w:pPr>
              <w:rPr>
                <w:sz w:val="16"/>
                <w:szCs w:val="16"/>
              </w:rPr>
            </w:pPr>
          </w:p>
          <w:p w:rsidR="004C75E3" w:rsidRPr="005F7144" w:rsidRDefault="004C75E3" w:rsidP="00230FAA">
            <w:pPr>
              <w:rPr>
                <w:sz w:val="16"/>
                <w:szCs w:val="16"/>
              </w:rPr>
            </w:pPr>
          </w:p>
          <w:p w:rsidR="00AA75F7" w:rsidRPr="005F7144" w:rsidRDefault="00AA75F7" w:rsidP="00230FAA">
            <w:pPr>
              <w:rPr>
                <w:sz w:val="16"/>
                <w:szCs w:val="16"/>
              </w:rPr>
            </w:pPr>
          </w:p>
          <w:p w:rsidR="00AA75F7" w:rsidRPr="005F7144" w:rsidRDefault="00AA75F7" w:rsidP="00230FAA">
            <w:pPr>
              <w:rPr>
                <w:sz w:val="16"/>
                <w:szCs w:val="16"/>
              </w:rPr>
            </w:pPr>
            <w:r w:rsidRPr="005F7144">
              <w:rPr>
                <w:sz w:val="16"/>
                <w:szCs w:val="16"/>
              </w:rPr>
              <w:t>Integración del boletín en la base de datos Lisboa Express</w:t>
            </w:r>
          </w:p>
        </w:tc>
        <w:tc>
          <w:tcPr>
            <w:tcW w:w="1322" w:type="pct"/>
            <w:shd w:val="clear" w:color="auto" w:fill="FFFFFF"/>
            <w:tcMar>
              <w:top w:w="110" w:type="dxa"/>
              <w:left w:w="58" w:type="dxa"/>
              <w:right w:w="58" w:type="dxa"/>
            </w:tcMar>
          </w:tcPr>
          <w:p w:rsidR="00AA75F7" w:rsidRPr="005F7144" w:rsidRDefault="00AA75F7" w:rsidP="00230FAA">
            <w:pPr>
              <w:rPr>
                <w:sz w:val="16"/>
                <w:szCs w:val="16"/>
              </w:rPr>
            </w:pPr>
            <w:r w:rsidRPr="005F7144">
              <w:rPr>
                <w:sz w:val="16"/>
                <w:szCs w:val="16"/>
              </w:rPr>
              <w:t xml:space="preserve">Aportación de contribuciones operativas para seguir mejorando las actuales herramientas de T.I. para generar notificaciones electrónicas dirigidas a las Autoridades competentes, además de certificados y </w:t>
            </w:r>
            <w:r w:rsidR="004C75E3">
              <w:rPr>
                <w:sz w:val="16"/>
                <w:szCs w:val="16"/>
              </w:rPr>
              <w:t>comunicaciones oficiales</w:t>
            </w:r>
          </w:p>
          <w:p w:rsidR="00AA75F7" w:rsidRPr="005F7144" w:rsidRDefault="00AA75F7" w:rsidP="00230FAA">
            <w:pPr>
              <w:rPr>
                <w:sz w:val="16"/>
                <w:szCs w:val="16"/>
              </w:rPr>
            </w:pPr>
          </w:p>
          <w:p w:rsidR="00AA75F7" w:rsidRDefault="00AA75F7" w:rsidP="00230FAA">
            <w:pPr>
              <w:rPr>
                <w:sz w:val="16"/>
                <w:szCs w:val="16"/>
              </w:rPr>
            </w:pPr>
          </w:p>
          <w:p w:rsidR="004C75E3" w:rsidRPr="005F7144" w:rsidRDefault="004C75E3" w:rsidP="00230FAA">
            <w:pPr>
              <w:rPr>
                <w:sz w:val="16"/>
                <w:szCs w:val="16"/>
              </w:rPr>
            </w:pPr>
          </w:p>
          <w:p w:rsidR="00AA75F7" w:rsidRPr="005F7144" w:rsidRDefault="00AA75F7" w:rsidP="00230FAA">
            <w:pPr>
              <w:rPr>
                <w:sz w:val="16"/>
                <w:szCs w:val="16"/>
              </w:rPr>
            </w:pPr>
          </w:p>
          <w:p w:rsidR="00AA75F7" w:rsidRPr="005F7144" w:rsidRDefault="00AA75F7" w:rsidP="00230FAA">
            <w:pPr>
              <w:rPr>
                <w:sz w:val="16"/>
                <w:szCs w:val="16"/>
              </w:rPr>
            </w:pPr>
            <w:r w:rsidRPr="005F7144">
              <w:rPr>
                <w:sz w:val="16"/>
                <w:szCs w:val="16"/>
              </w:rPr>
              <w:t xml:space="preserve">Aplazamiento de la integración del boletín del Sistema de Lisboa a la base de datos </w:t>
            </w:r>
            <w:r w:rsidRPr="005F7144">
              <w:rPr>
                <w:i/>
                <w:sz w:val="16"/>
                <w:szCs w:val="16"/>
              </w:rPr>
              <w:t>Lisbon Express</w:t>
            </w:r>
            <w:r w:rsidRPr="005F7144">
              <w:rPr>
                <w:sz w:val="16"/>
                <w:szCs w:val="16"/>
              </w:rPr>
              <w:t xml:space="preserve"> </w:t>
            </w:r>
          </w:p>
        </w:tc>
        <w:tc>
          <w:tcPr>
            <w:tcW w:w="512" w:type="pct"/>
            <w:shd w:val="clear" w:color="auto" w:fill="auto"/>
            <w:tcMar>
              <w:top w:w="110" w:type="dxa"/>
              <w:left w:w="58" w:type="dxa"/>
              <w:right w:w="58" w:type="dxa"/>
            </w:tcMar>
          </w:tcPr>
          <w:p w:rsidR="00AA75F7" w:rsidRPr="005F7144" w:rsidRDefault="00AA75F7" w:rsidP="00230FAA">
            <w:pPr>
              <w:jc w:val="center"/>
              <w:rPr>
                <w:b/>
                <w:sz w:val="16"/>
                <w:szCs w:val="16"/>
              </w:rPr>
            </w:pPr>
            <w:r w:rsidRPr="005F7144">
              <w:rPr>
                <w:b/>
                <w:color w:val="00B050"/>
                <w:sz w:val="16"/>
                <w:szCs w:val="16"/>
              </w:rPr>
              <w:t>Avanza</w:t>
            </w:r>
          </w:p>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Default="00AA75F7" w:rsidP="00230FAA">
            <w:pPr>
              <w:jc w:val="center"/>
              <w:rPr>
                <w:b/>
                <w:sz w:val="16"/>
                <w:szCs w:val="16"/>
              </w:rPr>
            </w:pPr>
          </w:p>
          <w:p w:rsidR="004C75E3" w:rsidRDefault="004C75E3" w:rsidP="00230FAA">
            <w:pPr>
              <w:jc w:val="center"/>
              <w:rPr>
                <w:b/>
                <w:sz w:val="16"/>
                <w:szCs w:val="16"/>
              </w:rPr>
            </w:pPr>
          </w:p>
          <w:p w:rsidR="004C75E3" w:rsidRPr="005F7144" w:rsidRDefault="004C75E3"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b/>
                <w:sz w:val="16"/>
                <w:szCs w:val="16"/>
              </w:rPr>
            </w:pPr>
          </w:p>
          <w:p w:rsidR="00AA75F7" w:rsidRPr="005F7144" w:rsidRDefault="00AA75F7" w:rsidP="00230FAA">
            <w:pPr>
              <w:jc w:val="center"/>
              <w:rPr>
                <w:sz w:val="16"/>
                <w:szCs w:val="16"/>
              </w:rPr>
            </w:pPr>
            <w:r w:rsidRPr="005F7144">
              <w:rPr>
                <w:b/>
                <w:color w:val="FF0000"/>
                <w:sz w:val="16"/>
                <w:szCs w:val="16"/>
              </w:rPr>
              <w:t>No avanza</w:t>
            </w:r>
            <w:r w:rsidRPr="005F7144">
              <w:rPr>
                <w:b/>
                <w:sz w:val="16"/>
                <w:szCs w:val="16"/>
              </w:rPr>
              <w:t xml:space="preserve"> </w:t>
            </w:r>
          </w:p>
        </w:tc>
      </w:tr>
      <w:tr w:rsidR="00AA75F7" w:rsidRPr="005F7144" w:rsidTr="00230FAA">
        <w:trPr>
          <w:trHeight w:val="2385"/>
        </w:trPr>
        <w:tc>
          <w:tcPr>
            <w:tcW w:w="1121" w:type="pct"/>
            <w:shd w:val="clear" w:color="auto" w:fill="auto"/>
            <w:tcMar>
              <w:left w:w="58" w:type="dxa"/>
              <w:right w:w="58" w:type="dxa"/>
            </w:tcMar>
          </w:tcPr>
          <w:p w:rsidR="00AA75F7" w:rsidRPr="005F7144" w:rsidRDefault="00AA75F7" w:rsidP="00230FAA">
            <w:pPr>
              <w:rPr>
                <w:sz w:val="16"/>
                <w:szCs w:val="16"/>
              </w:rPr>
            </w:pPr>
            <w:r w:rsidRPr="005F7144">
              <w:rPr>
                <w:sz w:val="16"/>
                <w:szCs w:val="16"/>
              </w:rPr>
              <w:lastRenderedPageBreak/>
              <w:t>Mejores servicios electrónicos para el Registro de Lisboa</w:t>
            </w:r>
          </w:p>
        </w:tc>
        <w:tc>
          <w:tcPr>
            <w:tcW w:w="1324" w:type="pct"/>
            <w:shd w:val="clear" w:color="auto" w:fill="auto"/>
            <w:tcMar>
              <w:left w:w="58" w:type="dxa"/>
              <w:right w:w="58" w:type="dxa"/>
            </w:tcMar>
          </w:tcPr>
          <w:p w:rsidR="00AA75F7" w:rsidRPr="00781D02" w:rsidRDefault="00AA75F7" w:rsidP="00230FAA">
            <w:pPr>
              <w:rPr>
                <w:i/>
                <w:color w:val="002060"/>
                <w:sz w:val="16"/>
                <w:szCs w:val="16"/>
              </w:rPr>
            </w:pPr>
            <w:r w:rsidRPr="00781D02">
              <w:rPr>
                <w:i/>
                <w:color w:val="002060"/>
                <w:sz w:val="16"/>
                <w:szCs w:val="16"/>
              </w:rPr>
              <w:t xml:space="preserve">Referencia actualizada a fines de 2015:  </w:t>
            </w:r>
          </w:p>
          <w:p w:rsidR="00AA75F7" w:rsidRPr="00781D02" w:rsidRDefault="00AA75F7" w:rsidP="00230FAA">
            <w:pPr>
              <w:rPr>
                <w:color w:val="002060"/>
                <w:sz w:val="16"/>
                <w:szCs w:val="16"/>
              </w:rPr>
            </w:pPr>
            <w:r w:rsidRPr="00781D02">
              <w:rPr>
                <w:color w:val="002060"/>
                <w:sz w:val="16"/>
                <w:szCs w:val="16"/>
              </w:rPr>
              <w:t xml:space="preserve">En 2014, se completó y se puso en marcha una interfaz electrónica que conecta el Registro Internacional y la base de datos </w:t>
            </w:r>
            <w:r w:rsidRPr="00781D02">
              <w:rPr>
                <w:i/>
                <w:color w:val="002060"/>
                <w:sz w:val="16"/>
                <w:szCs w:val="16"/>
              </w:rPr>
              <w:t>Lisbon Express</w:t>
            </w:r>
            <w:r w:rsidRPr="00781D02">
              <w:rPr>
                <w:color w:val="002060"/>
                <w:sz w:val="16"/>
                <w:szCs w:val="16"/>
              </w:rPr>
              <w:t xml:space="preserve"> en el sitio web de la OMPI</w:t>
            </w:r>
          </w:p>
          <w:p w:rsidR="00AA75F7" w:rsidRPr="005F7144" w:rsidRDefault="00AA75F7" w:rsidP="00230FAA">
            <w:pPr>
              <w:rPr>
                <w:sz w:val="16"/>
                <w:szCs w:val="16"/>
              </w:rPr>
            </w:pPr>
          </w:p>
          <w:p w:rsidR="00AA75F7" w:rsidRPr="005F7144" w:rsidRDefault="00AA75F7" w:rsidP="00230FAA">
            <w:pPr>
              <w:rPr>
                <w:i/>
                <w:sz w:val="16"/>
                <w:szCs w:val="16"/>
                <w:lang w:bidi="th-TH"/>
              </w:rPr>
            </w:pPr>
            <w:r w:rsidRPr="005F7144">
              <w:rPr>
                <w:i/>
                <w:sz w:val="16"/>
                <w:szCs w:val="16"/>
                <w:lang w:bidi="th-TH"/>
              </w:rPr>
              <w:t xml:space="preserve">Referencia original en el presupuesto de 2016/17:  </w:t>
            </w:r>
          </w:p>
          <w:p w:rsidR="00AA75F7" w:rsidRPr="005F7144" w:rsidRDefault="00AA75F7" w:rsidP="00230FAA">
            <w:pPr>
              <w:spacing w:after="240"/>
              <w:rPr>
                <w:sz w:val="16"/>
                <w:szCs w:val="16"/>
              </w:rPr>
            </w:pPr>
            <w:r w:rsidRPr="005F7144">
              <w:rPr>
                <w:sz w:val="16"/>
                <w:szCs w:val="16"/>
              </w:rPr>
              <w:t>Instalación simple de un registro electrónico</w:t>
            </w:r>
          </w:p>
        </w:tc>
        <w:tc>
          <w:tcPr>
            <w:tcW w:w="722" w:type="pct"/>
            <w:shd w:val="clear" w:color="auto" w:fill="auto"/>
            <w:tcMar>
              <w:top w:w="110" w:type="dxa"/>
              <w:left w:w="58" w:type="dxa"/>
              <w:right w:w="58" w:type="dxa"/>
            </w:tcMar>
          </w:tcPr>
          <w:p w:rsidR="00AA75F7" w:rsidRPr="005F7144" w:rsidRDefault="00AA75F7" w:rsidP="00230FAA">
            <w:pPr>
              <w:pStyle w:val="Default"/>
              <w:rPr>
                <w:color w:val="auto"/>
                <w:sz w:val="16"/>
                <w:szCs w:val="16"/>
                <w:lang w:val="es-ES"/>
              </w:rPr>
            </w:pPr>
            <w:r w:rsidRPr="005F7144">
              <w:rPr>
                <w:color w:val="auto"/>
                <w:sz w:val="16"/>
                <w:szCs w:val="16"/>
                <w:lang w:val="es-ES"/>
              </w:rPr>
              <w:t>Formularios electrónicos para la presentación de solicitudes por Internet</w:t>
            </w:r>
          </w:p>
        </w:tc>
        <w:tc>
          <w:tcPr>
            <w:tcW w:w="1322" w:type="pct"/>
            <w:shd w:val="clear" w:color="auto" w:fill="FFFFFF"/>
            <w:tcMar>
              <w:top w:w="110" w:type="dxa"/>
              <w:left w:w="58" w:type="dxa"/>
              <w:right w:w="58" w:type="dxa"/>
            </w:tcMar>
          </w:tcPr>
          <w:p w:rsidR="00AA75F7" w:rsidRPr="005F7144" w:rsidRDefault="00AA75F7" w:rsidP="00230FAA">
            <w:pPr>
              <w:rPr>
                <w:sz w:val="16"/>
                <w:szCs w:val="16"/>
              </w:rPr>
            </w:pPr>
            <w:r w:rsidRPr="005F7144">
              <w:rPr>
                <w:sz w:val="16"/>
                <w:szCs w:val="16"/>
              </w:rPr>
              <w:t>A fines de 2016, la elaboración de formularios electrónicos para la presentación de solicitudes por Internet estaba todavía en fase exploratoria</w:t>
            </w:r>
          </w:p>
          <w:p w:rsidR="00AA75F7" w:rsidRPr="005F7144" w:rsidRDefault="00AA75F7" w:rsidP="00230FAA">
            <w:pPr>
              <w:rPr>
                <w:sz w:val="16"/>
                <w:szCs w:val="16"/>
              </w:rPr>
            </w:pPr>
          </w:p>
        </w:tc>
        <w:tc>
          <w:tcPr>
            <w:tcW w:w="512" w:type="pct"/>
            <w:shd w:val="clear" w:color="auto" w:fill="auto"/>
            <w:tcMar>
              <w:top w:w="110" w:type="dxa"/>
              <w:left w:w="58" w:type="dxa"/>
              <w:right w:w="58" w:type="dxa"/>
            </w:tcMar>
          </w:tcPr>
          <w:p w:rsidR="00AA75F7" w:rsidRPr="005F7144" w:rsidRDefault="00AA75F7" w:rsidP="00230FAA">
            <w:pPr>
              <w:jc w:val="center"/>
              <w:rPr>
                <w:b/>
                <w:sz w:val="16"/>
                <w:szCs w:val="16"/>
              </w:rPr>
            </w:pPr>
            <w:r w:rsidRPr="005F7144">
              <w:rPr>
                <w:b/>
                <w:color w:val="FF0000"/>
                <w:sz w:val="16"/>
                <w:szCs w:val="16"/>
              </w:rPr>
              <w:t>No avanza</w:t>
            </w:r>
          </w:p>
        </w:tc>
      </w:tr>
    </w:tbl>
    <w:p w:rsidR="00AA75F7" w:rsidRPr="005F7144" w:rsidRDefault="00AA75F7">
      <w:pPr>
        <w:rPr>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AA75F7" w:rsidRPr="005F7144" w:rsidTr="00230FAA">
        <w:trPr>
          <w:trHeight w:val="423"/>
          <w:jc w:val="center"/>
        </w:trPr>
        <w:tc>
          <w:tcPr>
            <w:tcW w:w="9571" w:type="dxa"/>
            <w:shd w:val="clear" w:color="auto" w:fill="C6D9F1" w:themeFill="text2" w:themeFillTint="33"/>
            <w:vAlign w:val="center"/>
          </w:tcPr>
          <w:p w:rsidR="00AA75F7" w:rsidRPr="005F7144" w:rsidRDefault="00AA75F7" w:rsidP="00230FAA">
            <w:pPr>
              <w:keepNext/>
              <w:keepLines/>
              <w:jc w:val="center"/>
              <w:rPr>
                <w:b/>
                <w:sz w:val="20"/>
              </w:rPr>
            </w:pPr>
            <w:r w:rsidRPr="005F7144">
              <w:rPr>
                <w:b/>
                <w:sz w:val="20"/>
              </w:rPr>
              <w:t>Utilización de los recursos del programa 32</w:t>
            </w:r>
          </w:p>
        </w:tc>
      </w:tr>
    </w:tbl>
    <w:p w:rsidR="00AA75F7" w:rsidRPr="005F7144" w:rsidRDefault="00AA75F7" w:rsidP="00230FAA">
      <w:pPr>
        <w:keepNext/>
        <w:keepLines/>
        <w:rPr>
          <w:sz w:val="20"/>
        </w:rPr>
      </w:pPr>
    </w:p>
    <w:p w:rsidR="00AA75F7" w:rsidRPr="005F7144" w:rsidRDefault="00AA75F7" w:rsidP="00230FAA">
      <w:pPr>
        <w:pStyle w:val="NormalWeb"/>
        <w:keepNext/>
        <w:keepLines/>
        <w:spacing w:before="0" w:beforeAutospacing="0" w:after="0" w:afterAutospacing="0"/>
        <w:jc w:val="center"/>
        <w:rPr>
          <w:lang w:val="es-ES"/>
        </w:rPr>
      </w:pPr>
      <w:r w:rsidRPr="005F7144">
        <w:rPr>
          <w:lang w:val="es-ES"/>
        </w:rPr>
        <w:t>Presupuesto y gastos reales (por resultado)</w:t>
      </w:r>
    </w:p>
    <w:p w:rsidR="00AA75F7" w:rsidRPr="005F7144" w:rsidRDefault="00AA75F7" w:rsidP="00230FAA">
      <w:pPr>
        <w:pStyle w:val="NormalWeb"/>
        <w:keepNext/>
        <w:keepLines/>
        <w:spacing w:before="0" w:beforeAutospacing="0" w:after="0" w:afterAutospacing="0"/>
        <w:jc w:val="center"/>
        <w:rPr>
          <w:i/>
          <w:iCs/>
          <w:sz w:val="16"/>
          <w:szCs w:val="16"/>
          <w:lang w:val="es-ES"/>
        </w:rPr>
      </w:pPr>
      <w:r w:rsidRPr="005F7144">
        <w:rPr>
          <w:i/>
          <w:iCs/>
          <w:sz w:val="16"/>
          <w:szCs w:val="16"/>
          <w:lang w:val="es-ES"/>
        </w:rPr>
        <w:t>(en miles de francos suizos)</w:t>
      </w:r>
    </w:p>
    <w:p w:rsidR="00AA75F7" w:rsidRPr="005F7144" w:rsidRDefault="00AA75F7" w:rsidP="00230FAA">
      <w:pPr>
        <w:pStyle w:val="NormalWeb"/>
        <w:keepNext/>
        <w:keepLines/>
        <w:spacing w:before="0" w:beforeAutospacing="0" w:after="0" w:afterAutospacing="0"/>
        <w:jc w:val="center"/>
        <w:rPr>
          <w:i/>
          <w:iCs/>
          <w:sz w:val="20"/>
          <w:szCs w:val="20"/>
          <w:lang w:val="es-ES"/>
        </w:rPr>
      </w:pPr>
    </w:p>
    <w:tbl>
      <w:tblPr>
        <w:tblW w:w="8222" w:type="dxa"/>
        <w:jc w:val="center"/>
        <w:tblLook w:val="04A0" w:firstRow="1" w:lastRow="0" w:firstColumn="1" w:lastColumn="0" w:noHBand="0" w:noVBand="1"/>
      </w:tblPr>
      <w:tblGrid>
        <w:gridCol w:w="570"/>
        <w:gridCol w:w="4240"/>
        <w:gridCol w:w="1186"/>
        <w:gridCol w:w="1310"/>
        <w:gridCol w:w="1178"/>
      </w:tblGrid>
      <w:tr w:rsidR="00AA75F7" w:rsidRPr="005F7144" w:rsidTr="00230FAA">
        <w:trPr>
          <w:trHeight w:val="825"/>
          <w:jc w:val="center"/>
        </w:trPr>
        <w:tc>
          <w:tcPr>
            <w:tcW w:w="4810" w:type="dxa"/>
            <w:gridSpan w:val="2"/>
            <w:tcBorders>
              <w:top w:val="nil"/>
              <w:left w:val="nil"/>
              <w:bottom w:val="nil"/>
              <w:right w:val="nil"/>
            </w:tcBorders>
            <w:shd w:val="clear" w:color="000000" w:fill="C5D9F1"/>
            <w:noWrap/>
            <w:vAlign w:val="center"/>
            <w:hideMark/>
          </w:tcPr>
          <w:p w:rsidR="00AA75F7" w:rsidRPr="005F7144" w:rsidRDefault="00AA75F7" w:rsidP="00230FAA">
            <w:pPr>
              <w:keepNext/>
              <w:keepLines/>
              <w:jc w:val="center"/>
              <w:rPr>
                <w:b/>
                <w:bCs/>
                <w:sz w:val="16"/>
                <w:szCs w:val="16"/>
              </w:rPr>
            </w:pPr>
            <w:r w:rsidRPr="005F7144">
              <w:rPr>
                <w:b/>
                <w:bCs/>
                <w:sz w:val="16"/>
                <w:szCs w:val="16"/>
              </w:rPr>
              <w:t xml:space="preserve">Número del resultado previsto y descripción </w:t>
            </w:r>
          </w:p>
        </w:tc>
        <w:tc>
          <w:tcPr>
            <w:tcW w:w="1176" w:type="dxa"/>
            <w:tcBorders>
              <w:top w:val="nil"/>
              <w:left w:val="nil"/>
              <w:bottom w:val="nil"/>
              <w:right w:val="nil"/>
            </w:tcBorders>
            <w:shd w:val="clear" w:color="000000" w:fill="C5D9F1"/>
            <w:vAlign w:val="center"/>
            <w:hideMark/>
          </w:tcPr>
          <w:p w:rsidR="00AA75F7" w:rsidRPr="005F7144" w:rsidRDefault="00AA75F7" w:rsidP="00230FAA">
            <w:pPr>
              <w:keepNext/>
              <w:keepLines/>
              <w:jc w:val="center"/>
              <w:rPr>
                <w:b/>
                <w:bCs/>
                <w:sz w:val="16"/>
                <w:szCs w:val="16"/>
              </w:rPr>
            </w:pPr>
            <w:r w:rsidRPr="005F7144">
              <w:rPr>
                <w:b/>
                <w:bCs/>
                <w:sz w:val="16"/>
                <w:szCs w:val="16"/>
              </w:rPr>
              <w:t xml:space="preserve"> Presupuesto aprobado de 2016/17 </w:t>
            </w:r>
          </w:p>
        </w:tc>
        <w:tc>
          <w:tcPr>
            <w:tcW w:w="1176" w:type="dxa"/>
            <w:tcBorders>
              <w:top w:val="nil"/>
              <w:left w:val="nil"/>
              <w:bottom w:val="nil"/>
              <w:right w:val="nil"/>
            </w:tcBorders>
            <w:shd w:val="clear" w:color="000000" w:fill="C5D9F1"/>
            <w:vAlign w:val="center"/>
            <w:hideMark/>
          </w:tcPr>
          <w:p w:rsidR="00AA75F7" w:rsidRPr="005F7144" w:rsidRDefault="00AA75F7" w:rsidP="00230FAA">
            <w:pPr>
              <w:keepNext/>
              <w:keepLines/>
              <w:jc w:val="center"/>
              <w:rPr>
                <w:b/>
                <w:bCs/>
                <w:sz w:val="16"/>
                <w:szCs w:val="16"/>
              </w:rPr>
            </w:pPr>
            <w:r w:rsidRPr="005F7144">
              <w:rPr>
                <w:b/>
                <w:bCs/>
                <w:sz w:val="16"/>
                <w:szCs w:val="16"/>
              </w:rPr>
              <w:t xml:space="preserve"> Presupuesto de 2016/17 tras las transferencias </w:t>
            </w:r>
          </w:p>
        </w:tc>
        <w:tc>
          <w:tcPr>
            <w:tcW w:w="1178" w:type="dxa"/>
            <w:tcBorders>
              <w:top w:val="nil"/>
              <w:left w:val="nil"/>
              <w:bottom w:val="nil"/>
              <w:right w:val="nil"/>
            </w:tcBorders>
            <w:shd w:val="clear" w:color="000000" w:fill="C5D9F1"/>
            <w:vAlign w:val="center"/>
            <w:hideMark/>
          </w:tcPr>
          <w:p w:rsidR="00AA75F7" w:rsidRPr="005F7144" w:rsidRDefault="00AA75F7" w:rsidP="00230FAA">
            <w:pPr>
              <w:keepNext/>
              <w:keepLines/>
              <w:jc w:val="center"/>
              <w:rPr>
                <w:b/>
                <w:bCs/>
                <w:sz w:val="16"/>
                <w:szCs w:val="16"/>
              </w:rPr>
            </w:pPr>
            <w:r w:rsidRPr="005F7144">
              <w:rPr>
                <w:b/>
                <w:bCs/>
                <w:sz w:val="16"/>
                <w:szCs w:val="16"/>
              </w:rPr>
              <w:t xml:space="preserve"> Gastos en 2016* </w:t>
            </w:r>
          </w:p>
        </w:tc>
      </w:tr>
      <w:tr w:rsidR="00AA75F7" w:rsidRPr="005F7144" w:rsidTr="00230FAA">
        <w:trPr>
          <w:trHeight w:val="450"/>
          <w:jc w:val="center"/>
        </w:trPr>
        <w:tc>
          <w:tcPr>
            <w:tcW w:w="570" w:type="dxa"/>
            <w:tcBorders>
              <w:top w:val="nil"/>
              <w:left w:val="nil"/>
              <w:bottom w:val="nil"/>
              <w:right w:val="nil"/>
            </w:tcBorders>
            <w:shd w:val="clear" w:color="auto" w:fill="auto"/>
            <w:noWrap/>
            <w:vAlign w:val="center"/>
            <w:hideMark/>
          </w:tcPr>
          <w:p w:rsidR="00AA75F7" w:rsidRPr="005F7144" w:rsidRDefault="00AA75F7" w:rsidP="00230FAA">
            <w:pPr>
              <w:keepNext/>
              <w:keepLines/>
              <w:rPr>
                <w:sz w:val="16"/>
                <w:szCs w:val="16"/>
              </w:rPr>
            </w:pPr>
            <w:r w:rsidRPr="005F7144">
              <w:rPr>
                <w:sz w:val="16"/>
                <w:szCs w:val="16"/>
              </w:rPr>
              <w:t>II.10</w:t>
            </w:r>
          </w:p>
        </w:tc>
        <w:tc>
          <w:tcPr>
            <w:tcW w:w="4240" w:type="dxa"/>
            <w:tcBorders>
              <w:top w:val="nil"/>
              <w:left w:val="nil"/>
              <w:bottom w:val="nil"/>
              <w:right w:val="nil"/>
            </w:tcBorders>
            <w:shd w:val="clear" w:color="auto" w:fill="auto"/>
            <w:vAlign w:val="center"/>
            <w:hideMark/>
          </w:tcPr>
          <w:p w:rsidR="00AA75F7" w:rsidRPr="005F7144" w:rsidRDefault="00AA75F7" w:rsidP="00230FAA">
            <w:pPr>
              <w:keepNext/>
              <w:keepLines/>
              <w:rPr>
                <w:sz w:val="16"/>
                <w:szCs w:val="16"/>
              </w:rPr>
            </w:pPr>
            <w:r w:rsidRPr="005F7144">
              <w:rPr>
                <w:sz w:val="16"/>
                <w:szCs w:val="16"/>
              </w:rPr>
              <w:t>Mayor y más eficaz utilización del Sistema de Lisboa, entre otros por los países en desarrollo y los PMA</w:t>
            </w:r>
          </w:p>
        </w:tc>
        <w:tc>
          <w:tcPr>
            <w:tcW w:w="1176" w:type="dxa"/>
            <w:tcBorders>
              <w:top w:val="nil"/>
              <w:left w:val="nil"/>
              <w:bottom w:val="nil"/>
              <w:right w:val="nil"/>
            </w:tcBorders>
            <w:shd w:val="clear" w:color="auto" w:fill="auto"/>
            <w:noWrap/>
            <w:vAlign w:val="center"/>
            <w:hideMark/>
          </w:tcPr>
          <w:p w:rsidR="00AA75F7" w:rsidRPr="005F7144" w:rsidRDefault="00AA75F7" w:rsidP="00230FAA">
            <w:pPr>
              <w:keepNext/>
              <w:keepLines/>
              <w:jc w:val="center"/>
              <w:rPr>
                <w:sz w:val="16"/>
                <w:szCs w:val="16"/>
              </w:rPr>
            </w:pPr>
            <w:r w:rsidRPr="005F7144">
              <w:rPr>
                <w:sz w:val="16"/>
                <w:szCs w:val="16"/>
              </w:rPr>
              <w:t>785</w:t>
            </w:r>
          </w:p>
        </w:tc>
        <w:tc>
          <w:tcPr>
            <w:tcW w:w="1176" w:type="dxa"/>
            <w:tcBorders>
              <w:top w:val="nil"/>
              <w:left w:val="nil"/>
              <w:bottom w:val="nil"/>
              <w:right w:val="nil"/>
            </w:tcBorders>
            <w:shd w:val="clear" w:color="auto" w:fill="auto"/>
            <w:noWrap/>
            <w:vAlign w:val="center"/>
            <w:hideMark/>
          </w:tcPr>
          <w:p w:rsidR="00AA75F7" w:rsidRPr="005F7144" w:rsidRDefault="00AA75F7" w:rsidP="00230FAA">
            <w:pPr>
              <w:keepNext/>
              <w:keepLines/>
              <w:jc w:val="center"/>
              <w:rPr>
                <w:sz w:val="16"/>
                <w:szCs w:val="16"/>
              </w:rPr>
            </w:pPr>
            <w:r w:rsidRPr="005F7144">
              <w:rPr>
                <w:sz w:val="16"/>
                <w:szCs w:val="16"/>
              </w:rPr>
              <w:t>996</w:t>
            </w:r>
          </w:p>
        </w:tc>
        <w:tc>
          <w:tcPr>
            <w:tcW w:w="1178" w:type="dxa"/>
            <w:tcBorders>
              <w:top w:val="nil"/>
              <w:left w:val="nil"/>
              <w:bottom w:val="nil"/>
              <w:right w:val="nil"/>
            </w:tcBorders>
            <w:shd w:val="clear" w:color="auto" w:fill="auto"/>
            <w:noWrap/>
            <w:vAlign w:val="center"/>
            <w:hideMark/>
          </w:tcPr>
          <w:p w:rsidR="00AA75F7" w:rsidRPr="005F7144" w:rsidRDefault="00AA75F7" w:rsidP="00230FAA">
            <w:pPr>
              <w:keepNext/>
              <w:keepLines/>
              <w:jc w:val="center"/>
              <w:rPr>
                <w:sz w:val="16"/>
                <w:szCs w:val="16"/>
              </w:rPr>
            </w:pPr>
            <w:r w:rsidRPr="005F7144">
              <w:rPr>
                <w:sz w:val="16"/>
                <w:szCs w:val="16"/>
              </w:rPr>
              <w:t>374</w:t>
            </w:r>
          </w:p>
        </w:tc>
      </w:tr>
      <w:tr w:rsidR="00AA75F7" w:rsidRPr="005F7144" w:rsidTr="00230FAA">
        <w:trPr>
          <w:trHeight w:val="570"/>
          <w:jc w:val="center"/>
        </w:trPr>
        <w:tc>
          <w:tcPr>
            <w:tcW w:w="570" w:type="dxa"/>
            <w:tcBorders>
              <w:top w:val="nil"/>
              <w:left w:val="nil"/>
              <w:bottom w:val="nil"/>
              <w:right w:val="nil"/>
            </w:tcBorders>
            <w:shd w:val="clear" w:color="auto" w:fill="auto"/>
            <w:noWrap/>
            <w:vAlign w:val="center"/>
            <w:hideMark/>
          </w:tcPr>
          <w:p w:rsidR="00AA75F7" w:rsidRPr="005F7144" w:rsidRDefault="00AA75F7" w:rsidP="00230FAA">
            <w:pPr>
              <w:keepNext/>
              <w:keepLines/>
              <w:rPr>
                <w:sz w:val="16"/>
                <w:szCs w:val="16"/>
              </w:rPr>
            </w:pPr>
            <w:r w:rsidRPr="005F7144">
              <w:rPr>
                <w:sz w:val="16"/>
                <w:szCs w:val="16"/>
              </w:rPr>
              <w:t>II.11</w:t>
            </w:r>
          </w:p>
        </w:tc>
        <w:tc>
          <w:tcPr>
            <w:tcW w:w="4240" w:type="dxa"/>
            <w:tcBorders>
              <w:top w:val="nil"/>
              <w:left w:val="nil"/>
              <w:bottom w:val="nil"/>
              <w:right w:val="nil"/>
            </w:tcBorders>
            <w:shd w:val="clear" w:color="auto" w:fill="auto"/>
            <w:vAlign w:val="center"/>
            <w:hideMark/>
          </w:tcPr>
          <w:p w:rsidR="00AA75F7" w:rsidRPr="005F7144" w:rsidRDefault="00AA75F7" w:rsidP="00230FAA">
            <w:pPr>
              <w:keepNext/>
              <w:keepLines/>
              <w:rPr>
                <w:sz w:val="16"/>
                <w:szCs w:val="16"/>
              </w:rPr>
            </w:pPr>
            <w:r w:rsidRPr="005F7144">
              <w:rPr>
                <w:sz w:val="16"/>
                <w:szCs w:val="16"/>
              </w:rPr>
              <w:t>Mejora de la productividad y de la calidad de los servicios en las operaciones del Sistema de Lisboa</w:t>
            </w:r>
          </w:p>
        </w:tc>
        <w:tc>
          <w:tcPr>
            <w:tcW w:w="1176" w:type="dxa"/>
            <w:tcBorders>
              <w:top w:val="nil"/>
              <w:left w:val="nil"/>
              <w:bottom w:val="nil"/>
              <w:right w:val="nil"/>
            </w:tcBorders>
            <w:shd w:val="clear" w:color="auto" w:fill="auto"/>
            <w:noWrap/>
            <w:vAlign w:val="center"/>
            <w:hideMark/>
          </w:tcPr>
          <w:p w:rsidR="00AA75F7" w:rsidRPr="005F7144" w:rsidRDefault="00AA75F7" w:rsidP="00230FAA">
            <w:pPr>
              <w:keepNext/>
              <w:keepLines/>
              <w:jc w:val="center"/>
              <w:rPr>
                <w:sz w:val="16"/>
                <w:szCs w:val="16"/>
              </w:rPr>
            </w:pPr>
            <w:r w:rsidRPr="005F7144">
              <w:rPr>
                <w:sz w:val="16"/>
                <w:szCs w:val="16"/>
              </w:rPr>
              <w:t>550</w:t>
            </w:r>
          </w:p>
        </w:tc>
        <w:tc>
          <w:tcPr>
            <w:tcW w:w="1176" w:type="dxa"/>
            <w:tcBorders>
              <w:top w:val="nil"/>
              <w:left w:val="nil"/>
              <w:bottom w:val="nil"/>
              <w:right w:val="nil"/>
            </w:tcBorders>
            <w:shd w:val="clear" w:color="auto" w:fill="auto"/>
            <w:noWrap/>
            <w:vAlign w:val="center"/>
            <w:hideMark/>
          </w:tcPr>
          <w:p w:rsidR="00AA75F7" w:rsidRPr="005F7144" w:rsidRDefault="00AA75F7" w:rsidP="00230FAA">
            <w:pPr>
              <w:keepNext/>
              <w:keepLines/>
              <w:jc w:val="center"/>
              <w:rPr>
                <w:sz w:val="16"/>
                <w:szCs w:val="16"/>
              </w:rPr>
            </w:pPr>
            <w:r w:rsidRPr="005F7144">
              <w:rPr>
                <w:sz w:val="16"/>
                <w:szCs w:val="16"/>
              </w:rPr>
              <w:t>588</w:t>
            </w:r>
          </w:p>
        </w:tc>
        <w:tc>
          <w:tcPr>
            <w:tcW w:w="1178" w:type="dxa"/>
            <w:tcBorders>
              <w:top w:val="nil"/>
              <w:left w:val="nil"/>
              <w:bottom w:val="nil"/>
              <w:right w:val="nil"/>
            </w:tcBorders>
            <w:shd w:val="clear" w:color="auto" w:fill="auto"/>
            <w:noWrap/>
            <w:vAlign w:val="center"/>
            <w:hideMark/>
          </w:tcPr>
          <w:p w:rsidR="00AA75F7" w:rsidRPr="005F7144" w:rsidRDefault="00AA75F7" w:rsidP="00230FAA">
            <w:pPr>
              <w:keepNext/>
              <w:keepLines/>
              <w:jc w:val="center"/>
              <w:rPr>
                <w:sz w:val="16"/>
                <w:szCs w:val="16"/>
              </w:rPr>
            </w:pPr>
            <w:r w:rsidRPr="005F7144">
              <w:rPr>
                <w:sz w:val="16"/>
                <w:szCs w:val="16"/>
              </w:rPr>
              <w:t>262</w:t>
            </w:r>
          </w:p>
        </w:tc>
      </w:tr>
      <w:tr w:rsidR="00AA75F7" w:rsidRPr="005F7144" w:rsidTr="00230FAA">
        <w:trPr>
          <w:trHeight w:val="225"/>
          <w:jc w:val="center"/>
        </w:trPr>
        <w:tc>
          <w:tcPr>
            <w:tcW w:w="570" w:type="dxa"/>
            <w:tcBorders>
              <w:top w:val="nil"/>
              <w:left w:val="nil"/>
              <w:bottom w:val="nil"/>
              <w:right w:val="nil"/>
            </w:tcBorders>
            <w:shd w:val="clear" w:color="000000" w:fill="C5D9F1"/>
            <w:noWrap/>
            <w:vAlign w:val="bottom"/>
            <w:hideMark/>
          </w:tcPr>
          <w:p w:rsidR="00AA75F7" w:rsidRPr="005F7144" w:rsidRDefault="00AA75F7" w:rsidP="00230FAA">
            <w:pPr>
              <w:keepNext/>
              <w:keepLines/>
              <w:rPr>
                <w:sz w:val="16"/>
                <w:szCs w:val="16"/>
              </w:rPr>
            </w:pPr>
            <w:r w:rsidRPr="005F7144">
              <w:rPr>
                <w:sz w:val="16"/>
                <w:szCs w:val="16"/>
              </w:rPr>
              <w:t> </w:t>
            </w:r>
          </w:p>
        </w:tc>
        <w:tc>
          <w:tcPr>
            <w:tcW w:w="4240" w:type="dxa"/>
            <w:tcBorders>
              <w:top w:val="nil"/>
              <w:left w:val="nil"/>
              <w:bottom w:val="nil"/>
              <w:right w:val="nil"/>
            </w:tcBorders>
            <w:shd w:val="clear" w:color="000000" w:fill="C5D9F1"/>
            <w:noWrap/>
            <w:vAlign w:val="bottom"/>
            <w:hideMark/>
          </w:tcPr>
          <w:p w:rsidR="00AA75F7" w:rsidRPr="005F7144" w:rsidRDefault="00AA75F7" w:rsidP="00230FAA">
            <w:pPr>
              <w:keepNext/>
              <w:keepLines/>
              <w:jc w:val="right"/>
              <w:rPr>
                <w:b/>
                <w:bCs/>
                <w:sz w:val="16"/>
                <w:szCs w:val="16"/>
              </w:rPr>
            </w:pPr>
            <w:r w:rsidRPr="005F7144">
              <w:rPr>
                <w:b/>
                <w:bCs/>
                <w:sz w:val="16"/>
                <w:szCs w:val="16"/>
              </w:rPr>
              <w:t>Total</w:t>
            </w:r>
          </w:p>
        </w:tc>
        <w:tc>
          <w:tcPr>
            <w:tcW w:w="1176" w:type="dxa"/>
            <w:tcBorders>
              <w:top w:val="nil"/>
              <w:left w:val="nil"/>
              <w:bottom w:val="nil"/>
              <w:right w:val="nil"/>
            </w:tcBorders>
            <w:shd w:val="clear" w:color="000000" w:fill="C5D9F1"/>
            <w:noWrap/>
            <w:vAlign w:val="center"/>
            <w:hideMark/>
          </w:tcPr>
          <w:p w:rsidR="00AA75F7" w:rsidRPr="005F7144" w:rsidRDefault="00AA75F7" w:rsidP="00230FAA">
            <w:pPr>
              <w:keepNext/>
              <w:keepLines/>
              <w:jc w:val="center"/>
              <w:rPr>
                <w:sz w:val="16"/>
                <w:szCs w:val="16"/>
              </w:rPr>
            </w:pPr>
            <w:r w:rsidRPr="005F7144">
              <w:rPr>
                <w:sz w:val="16"/>
                <w:szCs w:val="16"/>
              </w:rPr>
              <w:t>1.335</w:t>
            </w:r>
          </w:p>
        </w:tc>
        <w:tc>
          <w:tcPr>
            <w:tcW w:w="1176" w:type="dxa"/>
            <w:tcBorders>
              <w:top w:val="nil"/>
              <w:left w:val="nil"/>
              <w:bottom w:val="nil"/>
              <w:right w:val="nil"/>
            </w:tcBorders>
            <w:shd w:val="clear" w:color="000000" w:fill="C5D9F1"/>
            <w:noWrap/>
            <w:vAlign w:val="center"/>
            <w:hideMark/>
          </w:tcPr>
          <w:p w:rsidR="00AA75F7" w:rsidRPr="005F7144" w:rsidRDefault="00AA75F7" w:rsidP="00230FAA">
            <w:pPr>
              <w:keepNext/>
              <w:keepLines/>
              <w:jc w:val="center"/>
              <w:rPr>
                <w:sz w:val="16"/>
                <w:szCs w:val="16"/>
              </w:rPr>
            </w:pPr>
            <w:r w:rsidRPr="005F7144">
              <w:rPr>
                <w:sz w:val="16"/>
                <w:szCs w:val="16"/>
              </w:rPr>
              <w:t>1.584</w:t>
            </w:r>
          </w:p>
        </w:tc>
        <w:tc>
          <w:tcPr>
            <w:tcW w:w="1178" w:type="dxa"/>
            <w:tcBorders>
              <w:top w:val="nil"/>
              <w:left w:val="nil"/>
              <w:bottom w:val="nil"/>
              <w:right w:val="nil"/>
            </w:tcBorders>
            <w:shd w:val="clear" w:color="000000" w:fill="C5D9F1"/>
            <w:noWrap/>
            <w:vAlign w:val="center"/>
            <w:hideMark/>
          </w:tcPr>
          <w:p w:rsidR="00AA75F7" w:rsidRPr="005F7144" w:rsidRDefault="00AA75F7" w:rsidP="00230FAA">
            <w:pPr>
              <w:keepNext/>
              <w:keepLines/>
              <w:jc w:val="center"/>
              <w:rPr>
                <w:sz w:val="16"/>
                <w:szCs w:val="16"/>
              </w:rPr>
            </w:pPr>
            <w:r w:rsidRPr="005F7144">
              <w:rPr>
                <w:sz w:val="16"/>
                <w:szCs w:val="16"/>
              </w:rPr>
              <w:t>636</w:t>
            </w:r>
          </w:p>
        </w:tc>
      </w:tr>
      <w:tr w:rsidR="00AA75F7" w:rsidRPr="005F7144" w:rsidTr="00230FAA">
        <w:trPr>
          <w:trHeight w:val="330"/>
          <w:jc w:val="center"/>
        </w:trPr>
        <w:tc>
          <w:tcPr>
            <w:tcW w:w="7162" w:type="dxa"/>
            <w:gridSpan w:val="4"/>
            <w:tcBorders>
              <w:top w:val="nil"/>
              <w:left w:val="nil"/>
              <w:bottom w:val="nil"/>
              <w:right w:val="nil"/>
            </w:tcBorders>
            <w:shd w:val="clear" w:color="auto" w:fill="auto"/>
            <w:noWrap/>
            <w:vAlign w:val="center"/>
            <w:hideMark/>
          </w:tcPr>
          <w:p w:rsidR="00AA75F7" w:rsidRPr="005F7144" w:rsidRDefault="00AA75F7" w:rsidP="00230FAA">
            <w:pPr>
              <w:keepNext/>
              <w:keepLines/>
              <w:rPr>
                <w:i/>
                <w:iCs/>
                <w:sz w:val="16"/>
                <w:szCs w:val="16"/>
              </w:rPr>
            </w:pPr>
            <w:r w:rsidRPr="005F7144">
              <w:rPr>
                <w:i/>
                <w:iCs/>
                <w:sz w:val="16"/>
                <w:szCs w:val="16"/>
              </w:rPr>
              <w:t>*Las cifras de gastos en 2016 son preliminares, a reserva de verificación por el Auditor Externo.</w:t>
            </w:r>
          </w:p>
        </w:tc>
        <w:tc>
          <w:tcPr>
            <w:tcW w:w="1178" w:type="dxa"/>
            <w:tcBorders>
              <w:top w:val="nil"/>
              <w:left w:val="nil"/>
              <w:bottom w:val="nil"/>
              <w:right w:val="nil"/>
            </w:tcBorders>
            <w:shd w:val="clear" w:color="auto" w:fill="auto"/>
            <w:noWrap/>
            <w:vAlign w:val="center"/>
            <w:hideMark/>
          </w:tcPr>
          <w:p w:rsidR="00AA75F7" w:rsidRPr="005F7144" w:rsidRDefault="00AA75F7" w:rsidP="00230FAA">
            <w:pPr>
              <w:keepNext/>
              <w:keepLines/>
              <w:rPr>
                <w:sz w:val="16"/>
                <w:szCs w:val="16"/>
              </w:rPr>
            </w:pPr>
          </w:p>
        </w:tc>
      </w:tr>
    </w:tbl>
    <w:p w:rsidR="00AA75F7" w:rsidRPr="005F7144" w:rsidRDefault="00AA75F7" w:rsidP="00230FAA">
      <w:pPr>
        <w:pStyle w:val="NormalWeb"/>
        <w:keepNext/>
        <w:keepLines/>
        <w:spacing w:before="0" w:beforeAutospacing="0" w:after="0" w:afterAutospacing="0"/>
        <w:jc w:val="center"/>
        <w:rPr>
          <w:sz w:val="20"/>
          <w:szCs w:val="20"/>
          <w:lang w:val="es-ES"/>
        </w:rPr>
      </w:pPr>
    </w:p>
    <w:p w:rsidR="00AA75F7" w:rsidRPr="005F7144" w:rsidRDefault="00AA75F7" w:rsidP="00230FAA">
      <w:pPr>
        <w:pStyle w:val="NormalWeb"/>
        <w:keepNext/>
        <w:keepLines/>
        <w:spacing w:before="0" w:beforeAutospacing="0" w:after="0" w:afterAutospacing="0"/>
        <w:jc w:val="center"/>
        <w:rPr>
          <w:lang w:val="es-ES"/>
        </w:rPr>
      </w:pPr>
      <w:r w:rsidRPr="005F7144">
        <w:rPr>
          <w:lang w:val="es-ES"/>
        </w:rPr>
        <w:t xml:space="preserve">Presupuesto y gastos reales (de personal y no relativos a personal) </w:t>
      </w:r>
    </w:p>
    <w:p w:rsidR="00AA75F7" w:rsidRPr="005F7144" w:rsidRDefault="00AA75F7" w:rsidP="00230FAA">
      <w:pPr>
        <w:pStyle w:val="NormalWeb"/>
        <w:keepNext/>
        <w:keepLines/>
        <w:spacing w:before="0" w:beforeAutospacing="0" w:after="0" w:afterAutospacing="0"/>
        <w:jc w:val="center"/>
        <w:rPr>
          <w:i/>
          <w:iCs/>
          <w:sz w:val="16"/>
          <w:szCs w:val="16"/>
          <w:lang w:val="es-ES"/>
        </w:rPr>
      </w:pPr>
      <w:r w:rsidRPr="005F7144">
        <w:rPr>
          <w:i/>
          <w:iCs/>
          <w:sz w:val="16"/>
          <w:szCs w:val="16"/>
          <w:lang w:val="es-ES"/>
        </w:rPr>
        <w:t>(en miles de francos suizos)</w:t>
      </w:r>
    </w:p>
    <w:p w:rsidR="00AA75F7" w:rsidRPr="005F7144" w:rsidRDefault="00AA75F7" w:rsidP="00230FAA">
      <w:pPr>
        <w:pStyle w:val="NormalWeb"/>
        <w:keepNext/>
        <w:keepLines/>
        <w:spacing w:before="0" w:beforeAutospacing="0" w:after="0" w:afterAutospacing="0"/>
        <w:jc w:val="center"/>
        <w:rPr>
          <w:i/>
          <w:iCs/>
          <w:sz w:val="20"/>
          <w:szCs w:val="20"/>
          <w:lang w:val="es-ES"/>
        </w:rPr>
      </w:pPr>
    </w:p>
    <w:tbl>
      <w:tblPr>
        <w:tblW w:w="8222" w:type="dxa"/>
        <w:jc w:val="center"/>
        <w:tblLook w:val="04A0" w:firstRow="1" w:lastRow="0" w:firstColumn="1" w:lastColumn="0" w:noHBand="0" w:noVBand="1"/>
      </w:tblPr>
      <w:tblGrid>
        <w:gridCol w:w="2470"/>
        <w:gridCol w:w="1438"/>
        <w:gridCol w:w="1438"/>
        <w:gridCol w:w="1438"/>
        <w:gridCol w:w="1438"/>
      </w:tblGrid>
      <w:tr w:rsidR="00AA75F7" w:rsidRPr="005F7144" w:rsidTr="00230FAA">
        <w:trPr>
          <w:trHeight w:val="720"/>
          <w:jc w:val="center"/>
        </w:trPr>
        <w:tc>
          <w:tcPr>
            <w:tcW w:w="2440" w:type="dxa"/>
            <w:tcBorders>
              <w:top w:val="nil"/>
              <w:left w:val="nil"/>
              <w:bottom w:val="nil"/>
              <w:right w:val="nil"/>
            </w:tcBorders>
            <w:shd w:val="clear" w:color="000000" w:fill="C5D9F1"/>
            <w:noWrap/>
            <w:vAlign w:val="center"/>
            <w:hideMark/>
          </w:tcPr>
          <w:p w:rsidR="00AA75F7" w:rsidRPr="005F7144" w:rsidRDefault="00AA75F7" w:rsidP="00230FAA">
            <w:pPr>
              <w:rPr>
                <w:sz w:val="16"/>
                <w:szCs w:val="16"/>
              </w:rPr>
            </w:pPr>
            <w:r w:rsidRPr="005F7144">
              <w:rPr>
                <w:sz w:val="16"/>
                <w:szCs w:val="16"/>
              </w:rPr>
              <w:t> </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Gastos en 2016*</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Índice de utilización (%)</w:t>
            </w:r>
          </w:p>
        </w:tc>
      </w:tr>
      <w:tr w:rsidR="00AA75F7" w:rsidRPr="005F7144" w:rsidTr="00230FAA">
        <w:trPr>
          <w:trHeight w:val="315"/>
          <w:jc w:val="center"/>
        </w:trPr>
        <w:tc>
          <w:tcPr>
            <w:tcW w:w="2440" w:type="dxa"/>
            <w:tcBorders>
              <w:top w:val="nil"/>
              <w:left w:val="nil"/>
              <w:bottom w:val="nil"/>
              <w:right w:val="nil"/>
            </w:tcBorders>
            <w:shd w:val="clear" w:color="auto" w:fill="auto"/>
            <w:noWrap/>
            <w:vAlign w:val="center"/>
            <w:hideMark/>
          </w:tcPr>
          <w:p w:rsidR="00AA75F7" w:rsidRPr="005F7144" w:rsidRDefault="00AA75F7" w:rsidP="00230FAA">
            <w:pPr>
              <w:rPr>
                <w:sz w:val="16"/>
                <w:szCs w:val="16"/>
              </w:rPr>
            </w:pPr>
            <w:r w:rsidRPr="005F7144">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 xml:space="preserve">1.124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 xml:space="preserve">1.373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 xml:space="preserve">554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40%</w:t>
            </w:r>
          </w:p>
        </w:tc>
      </w:tr>
      <w:tr w:rsidR="00AA75F7" w:rsidRPr="005F7144" w:rsidTr="00230FAA">
        <w:trPr>
          <w:trHeight w:val="315"/>
          <w:jc w:val="center"/>
        </w:trPr>
        <w:tc>
          <w:tcPr>
            <w:tcW w:w="2440" w:type="dxa"/>
            <w:tcBorders>
              <w:top w:val="nil"/>
              <w:left w:val="nil"/>
              <w:bottom w:val="nil"/>
              <w:right w:val="nil"/>
            </w:tcBorders>
            <w:shd w:val="clear" w:color="auto" w:fill="auto"/>
            <w:noWrap/>
            <w:vAlign w:val="center"/>
            <w:hideMark/>
          </w:tcPr>
          <w:p w:rsidR="00AA75F7" w:rsidRPr="005F7144" w:rsidRDefault="00AA75F7" w:rsidP="00230FAA">
            <w:pPr>
              <w:rPr>
                <w:sz w:val="16"/>
                <w:szCs w:val="16"/>
              </w:rPr>
            </w:pPr>
            <w:r w:rsidRPr="005F7144">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 xml:space="preserve">211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 xml:space="preserve">211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 xml:space="preserve">82 </w:t>
            </w:r>
          </w:p>
        </w:tc>
        <w:tc>
          <w:tcPr>
            <w:tcW w:w="1420" w:type="dxa"/>
            <w:tcBorders>
              <w:top w:val="nil"/>
              <w:left w:val="nil"/>
              <w:bottom w:val="nil"/>
              <w:right w:val="nil"/>
            </w:tcBorders>
            <w:shd w:val="clear" w:color="auto" w:fill="auto"/>
            <w:vAlign w:val="center"/>
            <w:hideMark/>
          </w:tcPr>
          <w:p w:rsidR="00AA75F7" w:rsidRPr="005F7144" w:rsidRDefault="00AA75F7" w:rsidP="00230FAA">
            <w:pPr>
              <w:jc w:val="center"/>
              <w:rPr>
                <w:sz w:val="16"/>
                <w:szCs w:val="16"/>
              </w:rPr>
            </w:pPr>
            <w:r w:rsidRPr="005F7144">
              <w:rPr>
                <w:sz w:val="16"/>
                <w:szCs w:val="16"/>
              </w:rPr>
              <w:t>39%</w:t>
            </w:r>
          </w:p>
        </w:tc>
      </w:tr>
      <w:tr w:rsidR="00AA75F7" w:rsidRPr="005F7144" w:rsidTr="00230FAA">
        <w:trPr>
          <w:trHeight w:val="225"/>
          <w:jc w:val="center"/>
        </w:trPr>
        <w:tc>
          <w:tcPr>
            <w:tcW w:w="2440" w:type="dxa"/>
            <w:tcBorders>
              <w:top w:val="nil"/>
              <w:left w:val="nil"/>
              <w:bottom w:val="nil"/>
              <w:right w:val="nil"/>
            </w:tcBorders>
            <w:shd w:val="clear" w:color="000000" w:fill="C5D9F1"/>
            <w:noWrap/>
            <w:vAlign w:val="center"/>
            <w:hideMark/>
          </w:tcPr>
          <w:p w:rsidR="00AA75F7" w:rsidRPr="005F7144" w:rsidRDefault="00AA75F7" w:rsidP="00230FAA">
            <w:pPr>
              <w:jc w:val="right"/>
              <w:rPr>
                <w:b/>
                <w:bCs/>
                <w:sz w:val="16"/>
                <w:szCs w:val="16"/>
              </w:rPr>
            </w:pPr>
            <w:r w:rsidRPr="005F7144">
              <w:rPr>
                <w:b/>
                <w:bCs/>
                <w:sz w:val="16"/>
                <w:szCs w:val="16"/>
              </w:rPr>
              <w:t xml:space="preserve"> Total </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 xml:space="preserve">1.335 </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 xml:space="preserve">1.584 </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 xml:space="preserve">636 </w:t>
            </w:r>
          </w:p>
        </w:tc>
        <w:tc>
          <w:tcPr>
            <w:tcW w:w="1420" w:type="dxa"/>
            <w:tcBorders>
              <w:top w:val="nil"/>
              <w:left w:val="nil"/>
              <w:bottom w:val="nil"/>
              <w:right w:val="nil"/>
            </w:tcBorders>
            <w:shd w:val="clear" w:color="000000" w:fill="C5D9F1"/>
            <w:vAlign w:val="center"/>
            <w:hideMark/>
          </w:tcPr>
          <w:p w:rsidR="00AA75F7" w:rsidRPr="005F7144" w:rsidRDefault="00AA75F7" w:rsidP="00230FAA">
            <w:pPr>
              <w:jc w:val="center"/>
              <w:rPr>
                <w:b/>
                <w:bCs/>
                <w:sz w:val="16"/>
                <w:szCs w:val="16"/>
              </w:rPr>
            </w:pPr>
            <w:r w:rsidRPr="005F7144">
              <w:rPr>
                <w:b/>
                <w:bCs/>
                <w:sz w:val="16"/>
                <w:szCs w:val="16"/>
              </w:rPr>
              <w:t>40%</w:t>
            </w:r>
          </w:p>
        </w:tc>
      </w:tr>
      <w:tr w:rsidR="00AA75F7" w:rsidRPr="005F7144" w:rsidTr="00230FAA">
        <w:trPr>
          <w:trHeight w:val="300"/>
          <w:jc w:val="center"/>
        </w:trPr>
        <w:tc>
          <w:tcPr>
            <w:tcW w:w="8120" w:type="dxa"/>
            <w:gridSpan w:val="5"/>
            <w:tcBorders>
              <w:top w:val="nil"/>
              <w:left w:val="nil"/>
              <w:bottom w:val="nil"/>
              <w:right w:val="nil"/>
            </w:tcBorders>
            <w:shd w:val="clear" w:color="auto" w:fill="auto"/>
            <w:noWrap/>
            <w:vAlign w:val="center"/>
            <w:hideMark/>
          </w:tcPr>
          <w:p w:rsidR="00AA75F7" w:rsidRPr="005F7144" w:rsidRDefault="00AA75F7" w:rsidP="00230FAA">
            <w:pPr>
              <w:rPr>
                <w:i/>
                <w:iCs/>
                <w:sz w:val="16"/>
                <w:szCs w:val="16"/>
              </w:rPr>
            </w:pPr>
            <w:r w:rsidRPr="005F7144">
              <w:rPr>
                <w:i/>
                <w:iCs/>
                <w:sz w:val="16"/>
                <w:szCs w:val="16"/>
              </w:rPr>
              <w:t xml:space="preserve"> *Las cifras de gastos en 2016 son preliminares, a reserva de verificación por el Auditor Externo.</w:t>
            </w:r>
          </w:p>
        </w:tc>
      </w:tr>
    </w:tbl>
    <w:p w:rsidR="00AA75F7" w:rsidRPr="005F7144" w:rsidRDefault="00AA75F7" w:rsidP="00230FAA">
      <w:pPr>
        <w:jc w:val="center"/>
        <w:rPr>
          <w:sz w:val="20"/>
        </w:rPr>
      </w:pPr>
    </w:p>
    <w:p w:rsidR="00AA75F7" w:rsidRPr="005F7144" w:rsidRDefault="00AA75F7" w:rsidP="00230FAA">
      <w:pPr>
        <w:keepNext/>
        <w:keepLines/>
        <w:ind w:left="567" w:right="282"/>
        <w:rPr>
          <w:i/>
          <w:sz w:val="16"/>
          <w:szCs w:val="16"/>
        </w:rPr>
      </w:pPr>
      <w:r w:rsidRPr="005F7144">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AA75F7" w:rsidRPr="005F7144" w:rsidRDefault="00AA75F7" w:rsidP="00230FAA">
      <w:pPr>
        <w:rPr>
          <w:sz w:val="20"/>
        </w:rPr>
      </w:pPr>
    </w:p>
    <w:p w:rsidR="00AA75F7" w:rsidRPr="005F7144" w:rsidRDefault="00AA75F7" w:rsidP="00230FAA">
      <w:pPr>
        <w:rPr>
          <w:sz w:val="20"/>
        </w:rPr>
      </w:pPr>
    </w:p>
    <w:p w:rsidR="00AA75F7" w:rsidRPr="005F7144" w:rsidRDefault="00AA75F7" w:rsidP="00230FAA">
      <w:pPr>
        <w:rPr>
          <w:sz w:val="20"/>
          <w:u w:val="single"/>
        </w:rPr>
      </w:pPr>
      <w:r w:rsidRPr="005F7144">
        <w:rPr>
          <w:sz w:val="20"/>
        </w:rPr>
        <w:t>A.</w:t>
      </w:r>
      <w:r w:rsidRPr="005F7144">
        <w:rPr>
          <w:sz w:val="20"/>
        </w:rPr>
        <w:tab/>
      </w:r>
      <w:r w:rsidRPr="005F7144">
        <w:rPr>
          <w:sz w:val="20"/>
          <w:u w:val="single"/>
        </w:rPr>
        <w:t>Presupuesto de 2016/17 tras las transferencias</w:t>
      </w:r>
    </w:p>
    <w:p w:rsidR="00AA75F7" w:rsidRPr="005F7144" w:rsidRDefault="00AA75F7" w:rsidP="00230FAA">
      <w:pPr>
        <w:rPr>
          <w:sz w:val="20"/>
        </w:rPr>
      </w:pPr>
    </w:p>
    <w:p w:rsidR="00AA75F7" w:rsidRPr="005F7144" w:rsidRDefault="00AA75F7" w:rsidP="00AA75F7">
      <w:pPr>
        <w:pStyle w:val="ListParagraph"/>
        <w:numPr>
          <w:ilvl w:val="0"/>
          <w:numId w:val="41"/>
        </w:numPr>
        <w:ind w:left="0" w:firstLine="0"/>
        <w:contextualSpacing/>
        <w:jc w:val="both"/>
        <w:rPr>
          <w:lang w:val="es-ES"/>
        </w:rPr>
      </w:pPr>
      <w:r w:rsidRPr="005F7144">
        <w:rPr>
          <w:lang w:val="es-ES"/>
        </w:rPr>
        <w:t xml:space="preserve">El aumento en recursos de personal y en los resultados previstos </w:t>
      </w:r>
      <w:r w:rsidR="0048069B">
        <w:rPr>
          <w:lang w:val="es-ES"/>
        </w:rPr>
        <w:t>se debió</w:t>
      </w:r>
      <w:r w:rsidRPr="005F7144">
        <w:rPr>
          <w:lang w:val="es-ES"/>
        </w:rPr>
        <w:t xml:space="preserve"> al traslado al programa del nuevo director del Registro de Lisboa, en diciembre de 2015, como parte del plan de sucesión establecido en previsión de la jubilaci</w:t>
      </w:r>
      <w:r w:rsidR="0048069B">
        <w:rPr>
          <w:lang w:val="es-ES"/>
        </w:rPr>
        <w:t>ón del jefe, en febrero de 2016 (superposición temporal de recursos).</w:t>
      </w:r>
      <w:r w:rsidRPr="005F7144">
        <w:rPr>
          <w:lang w:val="es-ES"/>
        </w:rPr>
        <w:t xml:space="preserve">  </w:t>
      </w:r>
    </w:p>
    <w:p w:rsidR="00AA75F7" w:rsidRPr="005F7144" w:rsidRDefault="00AA75F7" w:rsidP="00230FAA">
      <w:pPr>
        <w:jc w:val="both"/>
        <w:rPr>
          <w:sz w:val="20"/>
        </w:rPr>
      </w:pPr>
    </w:p>
    <w:p w:rsidR="00AA75F7" w:rsidRPr="005F7144" w:rsidRDefault="00AA75F7" w:rsidP="00230FAA">
      <w:pPr>
        <w:jc w:val="both"/>
        <w:rPr>
          <w:sz w:val="20"/>
          <w:u w:val="single"/>
        </w:rPr>
      </w:pPr>
      <w:r w:rsidRPr="005F7144">
        <w:rPr>
          <w:sz w:val="20"/>
        </w:rPr>
        <w:t>B.</w:t>
      </w:r>
      <w:r w:rsidRPr="005F7144">
        <w:rPr>
          <w:sz w:val="20"/>
        </w:rPr>
        <w:tab/>
      </w:r>
      <w:r w:rsidRPr="005F7144">
        <w:rPr>
          <w:sz w:val="20"/>
          <w:u w:val="single"/>
        </w:rPr>
        <w:t>Utilización del presupuesto en 2016/17</w:t>
      </w:r>
    </w:p>
    <w:p w:rsidR="00AA75F7" w:rsidRPr="005F7144" w:rsidRDefault="00AA75F7" w:rsidP="00230FAA">
      <w:pPr>
        <w:jc w:val="both"/>
        <w:rPr>
          <w:sz w:val="20"/>
        </w:rPr>
      </w:pPr>
    </w:p>
    <w:p w:rsidR="00AA75F7" w:rsidRPr="005F7144" w:rsidRDefault="00AA75F7" w:rsidP="00AA75F7">
      <w:pPr>
        <w:pStyle w:val="ListParagraph"/>
        <w:numPr>
          <w:ilvl w:val="0"/>
          <w:numId w:val="41"/>
        </w:numPr>
        <w:ind w:left="0" w:firstLine="0"/>
        <w:contextualSpacing/>
        <w:jc w:val="both"/>
        <w:rPr>
          <w:lang w:val="es-ES"/>
        </w:rPr>
      </w:pPr>
      <w:r w:rsidRPr="005F7144">
        <w:rPr>
          <w:lang w:val="es-ES"/>
        </w:rPr>
        <w:t>La leve infrautilización de los recursos no relativos a personal se deb</w:t>
      </w:r>
      <w:r w:rsidR="0048069B">
        <w:rPr>
          <w:lang w:val="es-ES"/>
        </w:rPr>
        <w:t>ió</w:t>
      </w:r>
      <w:r w:rsidRPr="005F7144">
        <w:rPr>
          <w:lang w:val="es-ES"/>
        </w:rPr>
        <w:t xml:space="preserve"> principalmente al aplazamiento de </w:t>
      </w:r>
      <w:r w:rsidR="0048069B">
        <w:rPr>
          <w:lang w:val="es-ES"/>
        </w:rPr>
        <w:t>ciertas actividades, tales como seminarios y misiones de asesoramiento mencionadas bajo el resultado previsto II.10</w:t>
      </w:r>
      <w:r w:rsidRPr="005F7144">
        <w:rPr>
          <w:i/>
          <w:lang w:val="es-ES"/>
        </w:rPr>
        <w:t>.</w:t>
      </w:r>
      <w:r w:rsidRPr="005F7144">
        <w:rPr>
          <w:lang w:val="es-ES"/>
        </w:rPr>
        <w:t xml:space="preserve">  </w:t>
      </w:r>
    </w:p>
    <w:p w:rsidR="00AA75F7" w:rsidRPr="001E405F" w:rsidRDefault="00AA75F7" w:rsidP="00230FAA">
      <w:pPr>
        <w:rPr>
          <w:sz w:val="20"/>
        </w:rPr>
      </w:pPr>
    </w:p>
    <w:p w:rsidR="00610671" w:rsidRPr="002F663B" w:rsidRDefault="00610671">
      <w:pPr>
        <w:rPr>
          <w:rFonts w:eastAsia="Times New Roman"/>
          <w:sz w:val="20"/>
          <w:lang w:eastAsia="en-US"/>
        </w:rPr>
      </w:pPr>
      <w:r>
        <w:br w:type="page"/>
      </w:r>
    </w:p>
    <w:p w:rsidR="005618B7" w:rsidRPr="004C6F6E" w:rsidRDefault="005618B7" w:rsidP="0048069B">
      <w:pPr>
        <w:keepNext/>
        <w:tabs>
          <w:tab w:val="left" w:pos="2410"/>
          <w:tab w:val="right" w:pos="9072"/>
        </w:tabs>
        <w:outlineLvl w:val="1"/>
        <w:rPr>
          <w:b/>
          <w:bCs/>
          <w:iCs/>
          <w:szCs w:val="28"/>
        </w:rPr>
      </w:pPr>
      <w:bookmarkStart w:id="40" w:name="_Toc482711251"/>
      <w:r w:rsidRPr="004C6F6E">
        <w:rPr>
          <w:b/>
          <w:bCs/>
          <w:iCs/>
          <w:szCs w:val="28"/>
        </w:rPr>
        <w:lastRenderedPageBreak/>
        <w:t>PROGRAMA 7</w:t>
      </w:r>
      <w:r w:rsidRPr="004C6F6E">
        <w:rPr>
          <w:b/>
          <w:bCs/>
          <w:iCs/>
          <w:szCs w:val="28"/>
        </w:rPr>
        <w:tab/>
        <w:t>CENTRO DE ARBITRAJE Y MEDIACIÓN DE LA OMPI</w:t>
      </w:r>
      <w:bookmarkEnd w:id="40"/>
    </w:p>
    <w:p w:rsidR="005618B7" w:rsidRPr="004C6F6E" w:rsidRDefault="005618B7" w:rsidP="00230FAA">
      <w:pPr>
        <w:rPr>
          <w:rFonts w:cs="Times New Roman"/>
          <w:sz w:val="20"/>
        </w:rPr>
      </w:pPr>
    </w:p>
    <w:p w:rsidR="005618B7" w:rsidRPr="004C6F6E" w:rsidRDefault="005618B7" w:rsidP="0048069B">
      <w:pPr>
        <w:tabs>
          <w:tab w:val="left" w:pos="2410"/>
        </w:tabs>
        <w:rPr>
          <w:rFonts w:cs="Times New Roman"/>
          <w:b/>
          <w:sz w:val="20"/>
          <w:szCs w:val="22"/>
        </w:rPr>
      </w:pPr>
      <w:r w:rsidRPr="004C6F6E">
        <w:rPr>
          <w:rFonts w:cs="Times New Roman"/>
          <w:b/>
          <w:sz w:val="20"/>
          <w:szCs w:val="22"/>
        </w:rPr>
        <w:t>Director de programa</w:t>
      </w:r>
      <w:r w:rsidRPr="004C6F6E">
        <w:rPr>
          <w:rFonts w:cs="Times New Roman"/>
          <w:sz w:val="20"/>
          <w:szCs w:val="22"/>
        </w:rPr>
        <w:tab/>
      </w:r>
      <w:r w:rsidRPr="004C6F6E">
        <w:rPr>
          <w:rFonts w:cs="Times New Roman"/>
          <w:b/>
          <w:sz w:val="20"/>
          <w:szCs w:val="22"/>
        </w:rPr>
        <w:t>Sr. J. Sandage</w:t>
      </w:r>
    </w:p>
    <w:p w:rsidR="005618B7" w:rsidRPr="004C6F6E" w:rsidRDefault="005618B7" w:rsidP="00230FAA">
      <w:pPr>
        <w:jc w:val="center"/>
        <w:rPr>
          <w:sz w:val="20"/>
        </w:rPr>
      </w:pPr>
      <w:r w:rsidRPr="004C6F6E">
        <w:rPr>
          <w:noProof/>
          <w:lang w:val="en-US" w:eastAsia="en-US"/>
        </w:rPr>
        <w:drawing>
          <wp:inline distT="0" distB="0" distL="0" distR="0" wp14:anchorId="4D7DD2E3" wp14:editId="6F102441">
            <wp:extent cx="4953000" cy="2773701"/>
            <wp:effectExtent l="0" t="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4958491" cy="2776776"/>
                    </a:xfrm>
                    <a:prstGeom prst="rect">
                      <a:avLst/>
                    </a:prstGeom>
                    <a:noFill/>
                    <a:ln>
                      <a:noFill/>
                    </a:ln>
                  </pic:spPr>
                </pic:pic>
              </a:graphicData>
            </a:graphic>
          </wp:inline>
        </w:drawing>
      </w:r>
      <w:r w:rsidRPr="004C6F6E">
        <w:t xml:space="preserve"> </w:t>
      </w:r>
    </w:p>
    <w:tbl>
      <w:tblPr>
        <w:tblW w:w="5000" w:type="pct"/>
        <w:jc w:val="center"/>
        <w:tblLayout w:type="fixed"/>
        <w:tblCellMar>
          <w:left w:w="115" w:type="dxa"/>
          <w:right w:w="115" w:type="dxa"/>
        </w:tblCellMar>
        <w:tblLook w:val="0000" w:firstRow="0" w:lastRow="0" w:firstColumn="0" w:lastColumn="0" w:noHBand="0" w:noVBand="0"/>
      </w:tblPr>
      <w:tblGrid>
        <w:gridCol w:w="1719"/>
        <w:gridCol w:w="2631"/>
        <w:gridCol w:w="1961"/>
        <w:gridCol w:w="1766"/>
        <w:gridCol w:w="1110"/>
      </w:tblGrid>
      <w:tr w:rsidR="005618B7" w:rsidRPr="004C6F6E" w:rsidTr="00230FAA">
        <w:trPr>
          <w:trHeight w:val="565"/>
          <w:jc w:val="center"/>
        </w:trPr>
        <w:tc>
          <w:tcPr>
            <w:tcW w:w="5000" w:type="pct"/>
            <w:gridSpan w:val="5"/>
            <w:shd w:val="clear" w:color="auto" w:fill="C6D9F1" w:themeFill="text2" w:themeFillTint="33"/>
            <w:tcMar>
              <w:left w:w="58" w:type="dxa"/>
              <w:right w:w="58" w:type="dxa"/>
            </w:tcMar>
            <w:vAlign w:val="center"/>
          </w:tcPr>
          <w:p w:rsidR="005618B7" w:rsidRPr="004C6F6E" w:rsidRDefault="005618B7" w:rsidP="00230FAA">
            <w:pPr>
              <w:keepNext/>
              <w:keepLines/>
              <w:tabs>
                <w:tab w:val="left" w:pos="1452"/>
              </w:tabs>
              <w:ind w:left="1701" w:hanging="1701"/>
              <w:rPr>
                <w:bCs/>
                <w:sz w:val="16"/>
                <w:szCs w:val="16"/>
              </w:rPr>
            </w:pPr>
            <w:r w:rsidRPr="004C6F6E">
              <w:rPr>
                <w:b/>
                <w:bCs/>
                <w:sz w:val="16"/>
                <w:szCs w:val="16"/>
              </w:rPr>
              <w:t>Resultado previsto:</w:t>
            </w:r>
            <w:r w:rsidRPr="004C6F6E">
              <w:rPr>
                <w:b/>
                <w:bCs/>
                <w:sz w:val="16"/>
                <w:szCs w:val="16"/>
              </w:rPr>
              <w:tab/>
            </w:r>
            <w:r w:rsidRPr="004C6F6E">
              <w:rPr>
                <w:bCs/>
                <w:sz w:val="16"/>
                <w:szCs w:val="16"/>
              </w:rPr>
              <w:t>II.8  Las controversias nacionales e internacionales en materia de P.I. se evitan o resuelven cada vez con más frecuencia mediante procedimientos de mediación, arbitraje y demás métodos de solución extrajudicial de controversias</w:t>
            </w:r>
          </w:p>
        </w:tc>
      </w:tr>
      <w:tr w:rsidR="005618B7" w:rsidRPr="004C6F6E" w:rsidTr="00230FAA">
        <w:trPr>
          <w:jc w:val="center"/>
        </w:trPr>
        <w:tc>
          <w:tcPr>
            <w:tcW w:w="936" w:type="pct"/>
            <w:shd w:val="clear" w:color="auto" w:fill="auto"/>
            <w:tcMar>
              <w:left w:w="58" w:type="dxa"/>
              <w:right w:w="58" w:type="dxa"/>
            </w:tcMar>
            <w:vAlign w:val="center"/>
          </w:tcPr>
          <w:p w:rsidR="005618B7" w:rsidRPr="004C6F6E" w:rsidRDefault="005618B7" w:rsidP="00230FAA">
            <w:pPr>
              <w:rPr>
                <w:b/>
                <w:bCs/>
                <w:sz w:val="16"/>
                <w:szCs w:val="16"/>
              </w:rPr>
            </w:pPr>
            <w:r w:rsidRPr="004C6F6E">
              <w:rPr>
                <w:b/>
                <w:bCs/>
                <w:sz w:val="16"/>
                <w:szCs w:val="16"/>
              </w:rPr>
              <w:t>Indicadores de rendimiento</w:t>
            </w:r>
          </w:p>
        </w:tc>
        <w:tc>
          <w:tcPr>
            <w:tcW w:w="1432" w:type="pct"/>
            <w:shd w:val="clear" w:color="auto" w:fill="auto"/>
            <w:tcMar>
              <w:left w:w="58" w:type="dxa"/>
              <w:right w:w="58" w:type="dxa"/>
            </w:tcMar>
            <w:vAlign w:val="center"/>
          </w:tcPr>
          <w:p w:rsidR="005618B7" w:rsidRPr="004C6F6E" w:rsidRDefault="005618B7" w:rsidP="00230FAA">
            <w:pPr>
              <w:rPr>
                <w:b/>
                <w:bCs/>
                <w:sz w:val="16"/>
                <w:szCs w:val="16"/>
              </w:rPr>
            </w:pPr>
            <w:r w:rsidRPr="004C6F6E">
              <w:rPr>
                <w:b/>
                <w:bCs/>
                <w:sz w:val="16"/>
                <w:szCs w:val="16"/>
              </w:rPr>
              <w:t>Referencia</w:t>
            </w:r>
            <w:r w:rsidR="002211FB">
              <w:rPr>
                <w:b/>
                <w:bCs/>
                <w:sz w:val="16"/>
                <w:szCs w:val="16"/>
              </w:rPr>
              <w:t>s de base</w:t>
            </w:r>
          </w:p>
        </w:tc>
        <w:tc>
          <w:tcPr>
            <w:tcW w:w="1067" w:type="pct"/>
            <w:shd w:val="clear" w:color="auto" w:fill="auto"/>
            <w:tcMar>
              <w:top w:w="110" w:type="dxa"/>
              <w:left w:w="58" w:type="dxa"/>
              <w:right w:w="58" w:type="dxa"/>
            </w:tcMar>
            <w:vAlign w:val="center"/>
          </w:tcPr>
          <w:p w:rsidR="005618B7" w:rsidRPr="004C6F6E" w:rsidRDefault="005618B7" w:rsidP="00230FAA">
            <w:pPr>
              <w:tabs>
                <w:tab w:val="left" w:pos="290"/>
              </w:tabs>
              <w:rPr>
                <w:b/>
                <w:bCs/>
                <w:sz w:val="16"/>
                <w:szCs w:val="16"/>
              </w:rPr>
            </w:pPr>
            <w:r w:rsidRPr="004C6F6E">
              <w:rPr>
                <w:b/>
                <w:bCs/>
                <w:sz w:val="16"/>
                <w:szCs w:val="16"/>
              </w:rPr>
              <w:t>Objetivos</w:t>
            </w:r>
          </w:p>
        </w:tc>
        <w:tc>
          <w:tcPr>
            <w:tcW w:w="961" w:type="pct"/>
            <w:shd w:val="clear" w:color="auto" w:fill="FFFFFF"/>
            <w:tcMar>
              <w:top w:w="110" w:type="dxa"/>
              <w:left w:w="58" w:type="dxa"/>
              <w:right w:w="58" w:type="dxa"/>
            </w:tcMar>
            <w:vAlign w:val="center"/>
          </w:tcPr>
          <w:p w:rsidR="005618B7" w:rsidRPr="004C6F6E" w:rsidRDefault="005618B7" w:rsidP="00230FAA">
            <w:pPr>
              <w:rPr>
                <w:b/>
                <w:bCs/>
                <w:sz w:val="16"/>
                <w:szCs w:val="16"/>
              </w:rPr>
            </w:pPr>
            <w:r w:rsidRPr="004C6F6E">
              <w:rPr>
                <w:b/>
                <w:bCs/>
                <w:sz w:val="16"/>
                <w:szCs w:val="16"/>
              </w:rPr>
              <w:t>Datos sobre el rendimiento</w:t>
            </w:r>
          </w:p>
        </w:tc>
        <w:tc>
          <w:tcPr>
            <w:tcW w:w="603" w:type="pct"/>
            <w:shd w:val="clear" w:color="auto" w:fill="auto"/>
            <w:tcMar>
              <w:top w:w="110" w:type="dxa"/>
              <w:left w:w="58" w:type="dxa"/>
              <w:right w:w="58" w:type="dxa"/>
            </w:tcMar>
            <w:vAlign w:val="center"/>
          </w:tcPr>
          <w:p w:rsidR="005618B7" w:rsidRPr="004C6F6E" w:rsidRDefault="005618B7" w:rsidP="00230FAA">
            <w:pPr>
              <w:keepNext/>
              <w:keepLines/>
              <w:jc w:val="center"/>
              <w:rPr>
                <w:b/>
                <w:bCs/>
                <w:sz w:val="16"/>
                <w:szCs w:val="16"/>
              </w:rPr>
            </w:pPr>
            <w:r w:rsidRPr="004C6F6E">
              <w:rPr>
                <w:b/>
                <w:bCs/>
                <w:sz w:val="16"/>
                <w:szCs w:val="16"/>
              </w:rPr>
              <w:t>Clave de colores</w:t>
            </w:r>
          </w:p>
        </w:tc>
      </w:tr>
      <w:tr w:rsidR="005618B7" w:rsidRPr="004C6F6E" w:rsidTr="00230FAA">
        <w:trPr>
          <w:trHeight w:val="288"/>
          <w:jc w:val="center"/>
        </w:trPr>
        <w:tc>
          <w:tcPr>
            <w:tcW w:w="936" w:type="pct"/>
            <w:vMerge w:val="restart"/>
            <w:shd w:val="clear" w:color="auto" w:fill="auto"/>
            <w:tcMar>
              <w:left w:w="58" w:type="dxa"/>
              <w:right w:w="58" w:type="dxa"/>
            </w:tcMar>
          </w:tcPr>
          <w:p w:rsidR="005618B7" w:rsidRPr="004C6F6E" w:rsidRDefault="005618B7" w:rsidP="00230FAA">
            <w:pPr>
              <w:keepLines/>
              <w:ind w:right="43"/>
              <w:rPr>
                <w:sz w:val="16"/>
                <w:szCs w:val="16"/>
              </w:rPr>
            </w:pPr>
            <w:r w:rsidRPr="004C6F6E">
              <w:rPr>
                <w:sz w:val="16"/>
                <w:szCs w:val="16"/>
              </w:rPr>
              <w:t xml:space="preserve">Mayor uso de los servicios y cláusulas de solución extrajudicial de controversias en las transacciones y los registros de P.I., entre otros medios, valiéndose de los procedimientos de la OMPI. </w:t>
            </w: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rPr>
            </w:pPr>
            <w:r w:rsidRPr="006B6961">
              <w:rPr>
                <w:color w:val="002060"/>
                <w:sz w:val="16"/>
                <w:szCs w:val="16"/>
              </w:rPr>
              <w:t>422 controversias y 202  buenos oficios (en total al final de 2015)</w:t>
            </w:r>
          </w:p>
          <w:p w:rsidR="005618B7" w:rsidRPr="004C6F6E" w:rsidRDefault="005618B7" w:rsidP="00230FAA">
            <w:pPr>
              <w:rPr>
                <w:sz w:val="16"/>
                <w:szCs w:val="16"/>
              </w:rPr>
            </w:pPr>
          </w:p>
          <w:p w:rsidR="005618B7" w:rsidRPr="004C6F6E" w:rsidRDefault="005618B7" w:rsidP="00230FAA">
            <w:pPr>
              <w:keepLines/>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keepLines/>
              <w:spacing w:after="240"/>
              <w:rPr>
                <w:sz w:val="16"/>
                <w:szCs w:val="16"/>
              </w:rPr>
            </w:pPr>
            <w:r w:rsidRPr="004C6F6E">
              <w:rPr>
                <w:sz w:val="16"/>
                <w:szCs w:val="16"/>
              </w:rPr>
              <w:t>393 controversias y 148 buenos oficios (en total al final de 2014)</w:t>
            </w:r>
          </w:p>
        </w:tc>
        <w:tc>
          <w:tcPr>
            <w:tcW w:w="1067" w:type="pct"/>
            <w:shd w:val="clear" w:color="auto" w:fill="auto"/>
            <w:tcMar>
              <w:top w:w="110" w:type="dxa"/>
              <w:left w:w="58" w:type="dxa"/>
              <w:right w:w="58" w:type="dxa"/>
            </w:tcMar>
          </w:tcPr>
          <w:p w:rsidR="005618B7" w:rsidRPr="006E2EB4" w:rsidRDefault="005618B7" w:rsidP="00230FAA">
            <w:pPr>
              <w:rPr>
                <w:i/>
                <w:color w:val="002060"/>
                <w:sz w:val="16"/>
                <w:szCs w:val="16"/>
              </w:rPr>
            </w:pPr>
            <w:r w:rsidRPr="006E2EB4">
              <w:rPr>
                <w:i/>
                <w:color w:val="002060"/>
                <w:sz w:val="16"/>
                <w:szCs w:val="16"/>
              </w:rPr>
              <w:t xml:space="preserve">Objetivo actualizado:  </w:t>
            </w:r>
          </w:p>
          <w:p w:rsidR="005618B7" w:rsidRPr="006E2EB4" w:rsidRDefault="005618B7" w:rsidP="00230FAA">
            <w:pPr>
              <w:keepLines/>
              <w:rPr>
                <w:color w:val="002060"/>
                <w:sz w:val="16"/>
                <w:szCs w:val="16"/>
              </w:rPr>
            </w:pPr>
            <w:r w:rsidRPr="006E2EB4">
              <w:rPr>
                <w:color w:val="002060"/>
                <w:sz w:val="16"/>
                <w:szCs w:val="16"/>
              </w:rPr>
              <w:t xml:space="preserve">Otras 150 controversias y buenos oficios </w:t>
            </w:r>
          </w:p>
          <w:p w:rsidR="005618B7" w:rsidRPr="004C6F6E" w:rsidRDefault="005618B7" w:rsidP="00230FAA">
            <w:pPr>
              <w:keepLines/>
              <w:rPr>
                <w:sz w:val="16"/>
                <w:szCs w:val="16"/>
              </w:rPr>
            </w:pPr>
          </w:p>
          <w:p w:rsidR="005618B7" w:rsidRPr="004C6F6E" w:rsidRDefault="005618B7" w:rsidP="00230FAA">
            <w:pPr>
              <w:keepLines/>
              <w:rPr>
                <w:sz w:val="16"/>
                <w:szCs w:val="16"/>
              </w:rPr>
            </w:pPr>
          </w:p>
          <w:p w:rsidR="005618B7" w:rsidRPr="004C6F6E" w:rsidRDefault="005618B7" w:rsidP="00230FAA">
            <w:pPr>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keepLines/>
              <w:ind w:right="34"/>
              <w:rPr>
                <w:sz w:val="16"/>
                <w:szCs w:val="16"/>
              </w:rPr>
            </w:pPr>
            <w:r w:rsidRPr="004C6F6E">
              <w:rPr>
                <w:sz w:val="16"/>
                <w:szCs w:val="16"/>
              </w:rPr>
              <w:t>Otras 40 controversias y buenos oficios</w:t>
            </w:r>
          </w:p>
        </w:tc>
        <w:tc>
          <w:tcPr>
            <w:tcW w:w="961" w:type="pct"/>
            <w:shd w:val="clear" w:color="auto" w:fill="FFFFFF"/>
            <w:tcMar>
              <w:top w:w="110" w:type="dxa"/>
              <w:left w:w="58" w:type="dxa"/>
              <w:right w:w="58" w:type="dxa"/>
            </w:tcMar>
          </w:tcPr>
          <w:p w:rsidR="005618B7" w:rsidRPr="004C6F6E" w:rsidRDefault="005618B7" w:rsidP="00230FAA">
            <w:pPr>
              <w:rPr>
                <w:sz w:val="16"/>
                <w:szCs w:val="16"/>
              </w:rPr>
            </w:pPr>
            <w:r w:rsidRPr="004C6F6E">
              <w:rPr>
                <w:sz w:val="16"/>
                <w:szCs w:val="16"/>
              </w:rPr>
              <w:t>Otras 60 controversias y 54 buenos oficios</w:t>
            </w:r>
          </w:p>
          <w:p w:rsidR="005618B7" w:rsidRPr="004C6F6E" w:rsidRDefault="005618B7" w:rsidP="00230FAA">
            <w:pPr>
              <w:rPr>
                <w:sz w:val="16"/>
                <w:szCs w:val="16"/>
              </w:rPr>
            </w:pPr>
          </w:p>
          <w:p w:rsidR="005618B7" w:rsidRPr="004C6F6E" w:rsidRDefault="005618B7" w:rsidP="00230FAA">
            <w:pPr>
              <w:rPr>
                <w:sz w:val="16"/>
                <w:szCs w:val="16"/>
              </w:rPr>
            </w:pPr>
          </w:p>
          <w:p w:rsidR="005618B7" w:rsidRPr="004C6F6E" w:rsidRDefault="005618B7" w:rsidP="00230FAA">
            <w:pPr>
              <w:rPr>
                <w:sz w:val="16"/>
                <w:szCs w:val="16"/>
              </w:rPr>
            </w:pPr>
          </w:p>
          <w:p w:rsidR="005618B7" w:rsidRPr="004C6F6E" w:rsidRDefault="005618B7" w:rsidP="00230FAA">
            <w:pPr>
              <w:rPr>
                <w:sz w:val="16"/>
                <w:szCs w:val="16"/>
              </w:rPr>
            </w:pPr>
            <w:r w:rsidRPr="004C6F6E">
              <w:rPr>
                <w:sz w:val="16"/>
                <w:szCs w:val="16"/>
              </w:rPr>
              <w:t xml:space="preserve">482 controversias y 256 buenos oficios (en total, al final de </w:t>
            </w:r>
          </w:p>
          <w:p w:rsidR="005618B7" w:rsidRPr="004C6F6E" w:rsidRDefault="005618B7" w:rsidP="00230FAA">
            <w:pPr>
              <w:rPr>
                <w:sz w:val="16"/>
                <w:szCs w:val="16"/>
              </w:rPr>
            </w:pPr>
            <w:r w:rsidRPr="004C6F6E">
              <w:rPr>
                <w:sz w:val="16"/>
                <w:szCs w:val="16"/>
              </w:rPr>
              <w:t>2016)</w:t>
            </w:r>
          </w:p>
        </w:tc>
        <w:tc>
          <w:tcPr>
            <w:tcW w:w="603" w:type="pct"/>
            <w:shd w:val="clear" w:color="auto" w:fill="auto"/>
            <w:tcMar>
              <w:top w:w="110" w:type="dxa"/>
              <w:left w:w="58" w:type="dxa"/>
              <w:right w:w="58" w:type="dxa"/>
            </w:tcMar>
          </w:tcPr>
          <w:p w:rsidR="005618B7" w:rsidRPr="004C6F6E" w:rsidRDefault="005618B7" w:rsidP="00230FAA">
            <w:pPr>
              <w:keepLines/>
              <w:jc w:val="center"/>
              <w:rPr>
                <w:b/>
                <w:sz w:val="16"/>
                <w:szCs w:val="16"/>
              </w:rPr>
            </w:pPr>
            <w:r w:rsidRPr="004C6F6E">
              <w:rPr>
                <w:b/>
                <w:color w:val="00B050"/>
                <w:sz w:val="16"/>
                <w:szCs w:val="16"/>
              </w:rPr>
              <w:t>Avanza</w:t>
            </w:r>
          </w:p>
        </w:tc>
      </w:tr>
      <w:tr w:rsidR="005618B7" w:rsidRPr="004C6F6E" w:rsidTr="00230FAA">
        <w:trPr>
          <w:trHeight w:val="288"/>
          <w:jc w:val="center"/>
        </w:trPr>
        <w:tc>
          <w:tcPr>
            <w:tcW w:w="936" w:type="pct"/>
            <w:vMerge/>
            <w:shd w:val="clear" w:color="auto" w:fill="auto"/>
            <w:tcMar>
              <w:left w:w="58" w:type="dxa"/>
              <w:right w:w="58" w:type="dxa"/>
            </w:tcMar>
          </w:tcPr>
          <w:p w:rsidR="005618B7" w:rsidRPr="004C6F6E" w:rsidRDefault="005618B7" w:rsidP="00230FAA">
            <w:pPr>
              <w:keepLines/>
              <w:ind w:right="43"/>
              <w:rPr>
                <w:sz w:val="16"/>
                <w:szCs w:val="16"/>
              </w:rPr>
            </w:pP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rPr>
            </w:pPr>
            <w:r w:rsidRPr="006B6961">
              <w:rPr>
                <w:color w:val="002060"/>
                <w:sz w:val="16"/>
                <w:szCs w:val="16"/>
              </w:rPr>
              <w:t>Otras 7.500 consultas recibidas (2014/15)</w:t>
            </w:r>
          </w:p>
          <w:p w:rsidR="005618B7" w:rsidRPr="004C6F6E" w:rsidRDefault="005618B7" w:rsidP="00230FAA">
            <w:pPr>
              <w:rPr>
                <w:sz w:val="16"/>
                <w:szCs w:val="16"/>
              </w:rPr>
            </w:pPr>
          </w:p>
          <w:p w:rsidR="005618B7" w:rsidRPr="004C6F6E" w:rsidRDefault="005618B7" w:rsidP="00230FAA">
            <w:pPr>
              <w:keepLines/>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spacing w:after="240"/>
              <w:rPr>
                <w:sz w:val="16"/>
                <w:szCs w:val="16"/>
              </w:rPr>
            </w:pPr>
            <w:r w:rsidRPr="004C6F6E">
              <w:rPr>
                <w:sz w:val="16"/>
                <w:szCs w:val="16"/>
              </w:rPr>
              <w:t>4.000 consultas recibidas (2012/13)</w:t>
            </w:r>
          </w:p>
        </w:tc>
        <w:tc>
          <w:tcPr>
            <w:tcW w:w="1067" w:type="pct"/>
            <w:shd w:val="clear" w:color="auto" w:fill="auto"/>
            <w:tcMar>
              <w:top w:w="110" w:type="dxa"/>
              <w:left w:w="58" w:type="dxa"/>
              <w:right w:w="58" w:type="dxa"/>
            </w:tcMar>
          </w:tcPr>
          <w:p w:rsidR="005618B7" w:rsidRPr="006E2EB4" w:rsidRDefault="005618B7" w:rsidP="00230FAA">
            <w:pPr>
              <w:keepLines/>
              <w:rPr>
                <w:color w:val="002060"/>
                <w:sz w:val="16"/>
                <w:szCs w:val="16"/>
              </w:rPr>
            </w:pPr>
            <w:r w:rsidRPr="006E2EB4">
              <w:rPr>
                <w:i/>
                <w:color w:val="002060"/>
                <w:sz w:val="16"/>
                <w:szCs w:val="16"/>
              </w:rPr>
              <w:t>Objetivo actualizado:</w:t>
            </w:r>
            <w:r w:rsidRPr="006E2EB4">
              <w:rPr>
                <w:i/>
                <w:color w:val="002060"/>
                <w:sz w:val="16"/>
                <w:szCs w:val="16"/>
              </w:rPr>
              <w:br/>
            </w:r>
            <w:r w:rsidRPr="006E2EB4">
              <w:rPr>
                <w:color w:val="002060"/>
                <w:sz w:val="16"/>
                <w:szCs w:val="16"/>
              </w:rPr>
              <w:t>Otras 7.500 consultas recibidas</w:t>
            </w:r>
          </w:p>
          <w:p w:rsidR="005618B7" w:rsidRPr="004C6F6E" w:rsidRDefault="005618B7" w:rsidP="00230FAA">
            <w:pPr>
              <w:keepLines/>
              <w:rPr>
                <w:sz w:val="16"/>
                <w:szCs w:val="16"/>
              </w:rPr>
            </w:pPr>
          </w:p>
          <w:p w:rsidR="005618B7" w:rsidRPr="004C6F6E" w:rsidRDefault="005618B7" w:rsidP="00230FAA">
            <w:pPr>
              <w:keepLines/>
              <w:rPr>
                <w:sz w:val="16"/>
                <w:szCs w:val="16"/>
              </w:rPr>
            </w:pPr>
          </w:p>
          <w:p w:rsidR="005618B7" w:rsidRPr="004C6F6E" w:rsidRDefault="005618B7" w:rsidP="00230FAA">
            <w:pPr>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keepLines/>
              <w:ind w:right="34"/>
              <w:rPr>
                <w:sz w:val="16"/>
                <w:szCs w:val="16"/>
              </w:rPr>
            </w:pPr>
            <w:r w:rsidRPr="004C6F6E">
              <w:rPr>
                <w:sz w:val="16"/>
                <w:szCs w:val="16"/>
              </w:rPr>
              <w:t>Otras 4.000 consultas recibidas</w:t>
            </w:r>
          </w:p>
        </w:tc>
        <w:tc>
          <w:tcPr>
            <w:tcW w:w="961" w:type="pct"/>
            <w:shd w:val="clear" w:color="auto" w:fill="FFFFFF"/>
            <w:tcMar>
              <w:top w:w="110" w:type="dxa"/>
              <w:left w:w="58" w:type="dxa"/>
              <w:right w:w="58" w:type="dxa"/>
            </w:tcMar>
          </w:tcPr>
          <w:p w:rsidR="005618B7" w:rsidRPr="004C6F6E" w:rsidRDefault="005618B7" w:rsidP="00230FAA">
            <w:pPr>
              <w:rPr>
                <w:sz w:val="16"/>
                <w:szCs w:val="16"/>
              </w:rPr>
            </w:pPr>
            <w:r w:rsidRPr="004C6F6E">
              <w:rPr>
                <w:sz w:val="16"/>
                <w:szCs w:val="16"/>
              </w:rPr>
              <w:t xml:space="preserve">Otras 3.865 consultas recibidas </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288"/>
          <w:jc w:val="center"/>
        </w:trPr>
        <w:tc>
          <w:tcPr>
            <w:tcW w:w="936" w:type="pct"/>
            <w:vMerge/>
            <w:shd w:val="clear" w:color="auto" w:fill="auto"/>
            <w:tcMar>
              <w:left w:w="58" w:type="dxa"/>
              <w:right w:w="58" w:type="dxa"/>
            </w:tcMar>
          </w:tcPr>
          <w:p w:rsidR="005618B7" w:rsidRPr="004C6F6E" w:rsidRDefault="005618B7" w:rsidP="00230FAA">
            <w:pPr>
              <w:keepLines/>
              <w:ind w:right="43"/>
              <w:rPr>
                <w:sz w:val="16"/>
                <w:szCs w:val="16"/>
              </w:rPr>
            </w:pP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rPr>
            </w:pPr>
            <w:r w:rsidRPr="006B6961">
              <w:rPr>
                <w:color w:val="002060"/>
                <w:sz w:val="16"/>
                <w:szCs w:val="16"/>
              </w:rPr>
              <w:t>Otros 3,1 millones de visitas (2014/15)</w:t>
            </w:r>
          </w:p>
          <w:p w:rsidR="005618B7" w:rsidRPr="004C6F6E" w:rsidRDefault="005618B7" w:rsidP="00230FAA">
            <w:pPr>
              <w:rPr>
                <w:sz w:val="16"/>
                <w:szCs w:val="16"/>
              </w:rPr>
            </w:pPr>
          </w:p>
          <w:p w:rsidR="005618B7" w:rsidRPr="004C6F6E" w:rsidRDefault="005618B7" w:rsidP="00230FAA">
            <w:pPr>
              <w:keepLines/>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rPr>
                <w:i/>
                <w:sz w:val="16"/>
                <w:szCs w:val="16"/>
              </w:rPr>
            </w:pPr>
            <w:r w:rsidRPr="004C6F6E">
              <w:rPr>
                <w:sz w:val="16"/>
                <w:szCs w:val="16"/>
              </w:rPr>
              <w:t xml:space="preserve">1,553 millones de visitas al sitio web (2014) </w:t>
            </w:r>
          </w:p>
        </w:tc>
        <w:tc>
          <w:tcPr>
            <w:tcW w:w="1067" w:type="pct"/>
            <w:shd w:val="clear" w:color="auto" w:fill="auto"/>
            <w:tcMar>
              <w:top w:w="110" w:type="dxa"/>
              <w:left w:w="58" w:type="dxa"/>
              <w:right w:w="58" w:type="dxa"/>
            </w:tcMar>
          </w:tcPr>
          <w:p w:rsidR="005618B7" w:rsidRPr="006E2EB4" w:rsidRDefault="005618B7" w:rsidP="00230FAA">
            <w:pPr>
              <w:rPr>
                <w:i/>
                <w:color w:val="002060"/>
                <w:sz w:val="16"/>
                <w:szCs w:val="16"/>
              </w:rPr>
            </w:pPr>
            <w:r w:rsidRPr="006E2EB4">
              <w:rPr>
                <w:i/>
                <w:color w:val="002060"/>
                <w:sz w:val="16"/>
                <w:szCs w:val="16"/>
              </w:rPr>
              <w:t xml:space="preserve">Objetivo actualizado: </w:t>
            </w:r>
          </w:p>
          <w:p w:rsidR="005618B7" w:rsidRPr="006E2EB4" w:rsidRDefault="005618B7" w:rsidP="00230FAA">
            <w:pPr>
              <w:keepLines/>
              <w:rPr>
                <w:color w:val="002060"/>
                <w:sz w:val="16"/>
                <w:szCs w:val="16"/>
              </w:rPr>
            </w:pPr>
            <w:r w:rsidRPr="006E2EB4">
              <w:rPr>
                <w:color w:val="002060"/>
                <w:sz w:val="16"/>
                <w:szCs w:val="16"/>
              </w:rPr>
              <w:t>Otros 3,1 millones de visitas</w:t>
            </w:r>
          </w:p>
          <w:p w:rsidR="005618B7" w:rsidRPr="004C6F6E" w:rsidRDefault="005618B7" w:rsidP="00230FAA">
            <w:pPr>
              <w:keepLines/>
              <w:rPr>
                <w:sz w:val="16"/>
                <w:szCs w:val="16"/>
              </w:rPr>
            </w:pPr>
          </w:p>
          <w:p w:rsidR="005618B7" w:rsidRPr="004C6F6E" w:rsidRDefault="005618B7" w:rsidP="00230FAA">
            <w:pPr>
              <w:keepLines/>
              <w:rPr>
                <w:sz w:val="16"/>
                <w:szCs w:val="16"/>
              </w:rPr>
            </w:pPr>
          </w:p>
          <w:p w:rsidR="005618B7" w:rsidRPr="004C6F6E" w:rsidRDefault="005618B7" w:rsidP="00230FAA">
            <w:pPr>
              <w:keepLines/>
              <w:ind w:right="34"/>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keepLines/>
              <w:ind w:right="34"/>
              <w:rPr>
                <w:sz w:val="16"/>
                <w:szCs w:val="16"/>
              </w:rPr>
            </w:pPr>
            <w:r w:rsidRPr="004C6F6E">
              <w:rPr>
                <w:sz w:val="16"/>
                <w:szCs w:val="16"/>
              </w:rPr>
              <w:t>1,5 millones de visitas al sitio web</w:t>
            </w:r>
          </w:p>
        </w:tc>
        <w:tc>
          <w:tcPr>
            <w:tcW w:w="961" w:type="pct"/>
            <w:shd w:val="clear" w:color="auto" w:fill="FFFFFF"/>
            <w:tcMar>
              <w:top w:w="110" w:type="dxa"/>
              <w:left w:w="58" w:type="dxa"/>
              <w:right w:w="58" w:type="dxa"/>
            </w:tcMar>
          </w:tcPr>
          <w:p w:rsidR="005618B7" w:rsidRPr="004C6F6E" w:rsidRDefault="005618B7" w:rsidP="00230FAA">
            <w:pPr>
              <w:rPr>
                <w:sz w:val="16"/>
                <w:szCs w:val="16"/>
              </w:rPr>
            </w:pPr>
            <w:r w:rsidRPr="004C6F6E">
              <w:rPr>
                <w:sz w:val="16"/>
                <w:szCs w:val="16"/>
              </w:rPr>
              <w:t xml:space="preserve">Otros 1,495 millones de visitas </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288"/>
          <w:jc w:val="center"/>
        </w:trPr>
        <w:tc>
          <w:tcPr>
            <w:tcW w:w="936" w:type="pct"/>
            <w:vMerge/>
            <w:shd w:val="clear" w:color="auto" w:fill="auto"/>
            <w:tcMar>
              <w:left w:w="58" w:type="dxa"/>
              <w:right w:w="58" w:type="dxa"/>
            </w:tcMar>
          </w:tcPr>
          <w:p w:rsidR="005618B7" w:rsidRPr="004C6F6E" w:rsidRDefault="005618B7" w:rsidP="00230FAA">
            <w:pPr>
              <w:keepLines/>
              <w:ind w:right="43"/>
              <w:rPr>
                <w:sz w:val="16"/>
                <w:szCs w:val="16"/>
              </w:rPr>
            </w:pP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rPr>
            </w:pPr>
            <w:r w:rsidRPr="006B6961">
              <w:rPr>
                <w:color w:val="002060"/>
                <w:sz w:val="16"/>
                <w:szCs w:val="16"/>
              </w:rPr>
              <w:t>262 participantes en eventos del Centro (2014/15)</w:t>
            </w:r>
          </w:p>
          <w:p w:rsidR="005618B7" w:rsidRPr="004C6F6E" w:rsidRDefault="005618B7" w:rsidP="00230FAA">
            <w:pPr>
              <w:rPr>
                <w:sz w:val="16"/>
                <w:szCs w:val="16"/>
              </w:rPr>
            </w:pPr>
          </w:p>
          <w:p w:rsidR="005618B7" w:rsidRPr="004C6F6E" w:rsidRDefault="005618B7" w:rsidP="00230FAA">
            <w:pPr>
              <w:keepLines/>
              <w:rPr>
                <w:i/>
                <w:sz w:val="16"/>
                <w:szCs w:val="16"/>
                <w:lang w:bidi="th-TH"/>
              </w:rPr>
            </w:pPr>
            <w:r w:rsidRPr="004C6F6E">
              <w:rPr>
                <w:i/>
                <w:sz w:val="16"/>
                <w:szCs w:val="16"/>
                <w:lang w:bidi="th-TH"/>
              </w:rPr>
              <w:t xml:space="preserve">Referencia original en el presupuesto de 2016/2017:  </w:t>
            </w:r>
          </w:p>
          <w:p w:rsidR="005618B7" w:rsidRPr="004C6F6E" w:rsidRDefault="005618B7" w:rsidP="00230FAA">
            <w:pPr>
              <w:spacing w:after="240"/>
              <w:rPr>
                <w:sz w:val="16"/>
                <w:szCs w:val="16"/>
              </w:rPr>
            </w:pPr>
            <w:r w:rsidRPr="004C6F6E">
              <w:rPr>
                <w:sz w:val="16"/>
                <w:szCs w:val="16"/>
              </w:rPr>
              <w:t>408 participantes en eventos del Centro (2012/13)</w:t>
            </w:r>
          </w:p>
        </w:tc>
        <w:tc>
          <w:tcPr>
            <w:tcW w:w="1067" w:type="pct"/>
            <w:shd w:val="clear" w:color="auto" w:fill="auto"/>
            <w:tcMar>
              <w:top w:w="110" w:type="dxa"/>
              <w:left w:w="58" w:type="dxa"/>
              <w:right w:w="58" w:type="dxa"/>
            </w:tcMar>
          </w:tcPr>
          <w:p w:rsidR="005618B7" w:rsidRPr="006E2EB4" w:rsidRDefault="005618B7" w:rsidP="00230FAA">
            <w:pPr>
              <w:rPr>
                <w:i/>
                <w:color w:val="002060"/>
                <w:sz w:val="16"/>
                <w:szCs w:val="16"/>
              </w:rPr>
            </w:pPr>
            <w:r w:rsidRPr="006E2EB4">
              <w:rPr>
                <w:i/>
                <w:color w:val="002060"/>
                <w:sz w:val="16"/>
                <w:szCs w:val="16"/>
              </w:rPr>
              <w:t xml:space="preserve">Objetivo actualizado: </w:t>
            </w:r>
          </w:p>
          <w:p w:rsidR="005618B7" w:rsidRPr="006E2EB4" w:rsidRDefault="005618B7" w:rsidP="00230FAA">
            <w:pPr>
              <w:keepLines/>
              <w:ind w:right="34"/>
              <w:rPr>
                <w:color w:val="002060"/>
                <w:sz w:val="16"/>
                <w:szCs w:val="16"/>
                <w:lang w:bidi="th-TH"/>
              </w:rPr>
            </w:pPr>
            <w:r w:rsidRPr="006E2EB4">
              <w:rPr>
                <w:color w:val="002060"/>
                <w:sz w:val="16"/>
                <w:szCs w:val="16"/>
                <w:lang w:bidi="th-TH"/>
              </w:rPr>
              <w:t>400 participantes en eventos del Centro</w:t>
            </w:r>
          </w:p>
          <w:p w:rsidR="005618B7" w:rsidRPr="004C6F6E" w:rsidRDefault="005618B7" w:rsidP="00230FAA">
            <w:pPr>
              <w:keepLines/>
              <w:ind w:right="34"/>
              <w:rPr>
                <w:sz w:val="16"/>
                <w:szCs w:val="16"/>
                <w:lang w:bidi="th-TH"/>
              </w:rPr>
            </w:pPr>
          </w:p>
          <w:p w:rsidR="005618B7" w:rsidRPr="004C6F6E" w:rsidRDefault="005618B7" w:rsidP="00230FAA">
            <w:pPr>
              <w:keepLines/>
              <w:ind w:right="34"/>
              <w:rPr>
                <w:sz w:val="16"/>
                <w:szCs w:val="16"/>
                <w:lang w:bidi="th-TH"/>
              </w:rPr>
            </w:pPr>
          </w:p>
          <w:p w:rsidR="005618B7" w:rsidRPr="004C6F6E" w:rsidRDefault="005618B7" w:rsidP="00230FAA">
            <w:pPr>
              <w:keepLines/>
              <w:ind w:right="34"/>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keepLines/>
              <w:ind w:right="34"/>
              <w:rPr>
                <w:sz w:val="16"/>
                <w:szCs w:val="16"/>
              </w:rPr>
            </w:pPr>
            <w:r w:rsidRPr="004C6F6E">
              <w:rPr>
                <w:sz w:val="16"/>
                <w:szCs w:val="16"/>
              </w:rPr>
              <w:t>250 participantes en eventos del Centro</w:t>
            </w:r>
          </w:p>
        </w:tc>
        <w:tc>
          <w:tcPr>
            <w:tcW w:w="961" w:type="pct"/>
            <w:shd w:val="clear" w:color="auto" w:fill="FFFFFF"/>
            <w:tcMar>
              <w:top w:w="110" w:type="dxa"/>
              <w:left w:w="58" w:type="dxa"/>
              <w:right w:w="58" w:type="dxa"/>
            </w:tcMar>
          </w:tcPr>
          <w:p w:rsidR="005618B7" w:rsidRPr="004C6F6E" w:rsidRDefault="005618B7" w:rsidP="00230FAA">
            <w:pPr>
              <w:rPr>
                <w:sz w:val="16"/>
                <w:szCs w:val="16"/>
              </w:rPr>
            </w:pPr>
            <w:r w:rsidRPr="004C6F6E">
              <w:rPr>
                <w:sz w:val="16"/>
                <w:szCs w:val="16"/>
              </w:rPr>
              <w:t xml:space="preserve">859 participantes en eventos del Centro </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288"/>
          <w:jc w:val="center"/>
        </w:trPr>
        <w:tc>
          <w:tcPr>
            <w:tcW w:w="936" w:type="pct"/>
            <w:vMerge/>
            <w:shd w:val="clear" w:color="auto" w:fill="auto"/>
            <w:tcMar>
              <w:left w:w="58" w:type="dxa"/>
              <w:right w:w="58" w:type="dxa"/>
            </w:tcMar>
          </w:tcPr>
          <w:p w:rsidR="005618B7" w:rsidRPr="004C6F6E" w:rsidRDefault="005618B7" w:rsidP="00230FAA">
            <w:pPr>
              <w:keepLines/>
              <w:ind w:right="43"/>
              <w:rPr>
                <w:sz w:val="16"/>
                <w:szCs w:val="16"/>
              </w:rPr>
            </w:pP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rPr>
            </w:pPr>
            <w:r w:rsidRPr="006B6961">
              <w:rPr>
                <w:color w:val="002060"/>
                <w:sz w:val="16"/>
                <w:szCs w:val="16"/>
              </w:rPr>
              <w:t>9.670 participantes en actividades en las que estuvo representado el Centro (2014/15)</w:t>
            </w:r>
          </w:p>
          <w:p w:rsidR="005618B7" w:rsidRPr="004C6F6E" w:rsidRDefault="005618B7" w:rsidP="00230FAA">
            <w:pPr>
              <w:rPr>
                <w:sz w:val="16"/>
                <w:szCs w:val="16"/>
              </w:rPr>
            </w:pPr>
          </w:p>
          <w:p w:rsidR="005618B7" w:rsidRPr="004C6F6E" w:rsidRDefault="005618B7" w:rsidP="00230FAA">
            <w:pPr>
              <w:keepLines/>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rPr>
                <w:i/>
                <w:sz w:val="16"/>
                <w:szCs w:val="16"/>
              </w:rPr>
            </w:pPr>
            <w:r w:rsidRPr="004C6F6E">
              <w:rPr>
                <w:sz w:val="16"/>
                <w:szCs w:val="16"/>
              </w:rPr>
              <w:t>4.000 participantes en actividades en las que estuvo representado el Centro (2012/13)</w:t>
            </w:r>
          </w:p>
        </w:tc>
        <w:tc>
          <w:tcPr>
            <w:tcW w:w="1067" w:type="pct"/>
            <w:shd w:val="clear" w:color="auto" w:fill="auto"/>
            <w:tcMar>
              <w:top w:w="110" w:type="dxa"/>
              <w:left w:w="58" w:type="dxa"/>
              <w:right w:w="58" w:type="dxa"/>
            </w:tcMar>
          </w:tcPr>
          <w:p w:rsidR="005618B7" w:rsidRPr="006E2EB4" w:rsidRDefault="005618B7" w:rsidP="00230FAA">
            <w:pPr>
              <w:rPr>
                <w:i/>
                <w:color w:val="002060"/>
                <w:sz w:val="16"/>
                <w:szCs w:val="16"/>
              </w:rPr>
            </w:pPr>
            <w:r w:rsidRPr="006E2EB4">
              <w:rPr>
                <w:i/>
                <w:color w:val="002060"/>
                <w:sz w:val="16"/>
                <w:szCs w:val="16"/>
              </w:rPr>
              <w:t xml:space="preserve">Objetivo actualizado: </w:t>
            </w:r>
          </w:p>
          <w:p w:rsidR="005618B7" w:rsidRPr="006E2EB4" w:rsidRDefault="005618B7" w:rsidP="00230FAA">
            <w:pPr>
              <w:rPr>
                <w:color w:val="002060"/>
                <w:sz w:val="16"/>
                <w:szCs w:val="16"/>
              </w:rPr>
            </w:pPr>
            <w:r w:rsidRPr="006E2EB4">
              <w:rPr>
                <w:color w:val="002060"/>
                <w:sz w:val="16"/>
                <w:szCs w:val="16"/>
              </w:rPr>
              <w:t>9.670 participantes en actividades en las que estuvo representado el Centro</w:t>
            </w:r>
          </w:p>
          <w:p w:rsidR="005618B7" w:rsidRPr="004C6F6E" w:rsidRDefault="005618B7" w:rsidP="00230FAA">
            <w:pPr>
              <w:keepLines/>
              <w:rPr>
                <w:sz w:val="16"/>
                <w:szCs w:val="16"/>
              </w:rPr>
            </w:pPr>
          </w:p>
          <w:p w:rsidR="005618B7" w:rsidRPr="004C6F6E" w:rsidRDefault="005618B7" w:rsidP="00230FAA">
            <w:pPr>
              <w:keepLines/>
              <w:rPr>
                <w:sz w:val="16"/>
                <w:szCs w:val="16"/>
              </w:rPr>
            </w:pPr>
          </w:p>
          <w:p w:rsidR="005618B7" w:rsidRPr="004C6F6E" w:rsidRDefault="005618B7" w:rsidP="00230FAA">
            <w:pPr>
              <w:keepLines/>
              <w:ind w:right="34"/>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keepLines/>
              <w:spacing w:after="240"/>
              <w:ind w:right="34"/>
              <w:rPr>
                <w:sz w:val="16"/>
                <w:szCs w:val="16"/>
              </w:rPr>
            </w:pPr>
            <w:r w:rsidRPr="004C6F6E">
              <w:rPr>
                <w:sz w:val="16"/>
                <w:szCs w:val="16"/>
              </w:rPr>
              <w:t>6.000 participantes en actividades en las que estuvo representado el Centro</w:t>
            </w:r>
          </w:p>
        </w:tc>
        <w:tc>
          <w:tcPr>
            <w:tcW w:w="961" w:type="pct"/>
            <w:shd w:val="clear" w:color="auto" w:fill="FFFFFF"/>
            <w:tcMar>
              <w:top w:w="110" w:type="dxa"/>
              <w:left w:w="58" w:type="dxa"/>
              <w:right w:w="58" w:type="dxa"/>
            </w:tcMar>
          </w:tcPr>
          <w:p w:rsidR="005618B7" w:rsidRPr="004C6F6E" w:rsidRDefault="005618B7" w:rsidP="00230FAA">
            <w:pPr>
              <w:rPr>
                <w:sz w:val="16"/>
                <w:szCs w:val="16"/>
              </w:rPr>
            </w:pPr>
            <w:r w:rsidRPr="004C6F6E">
              <w:rPr>
                <w:sz w:val="16"/>
                <w:szCs w:val="16"/>
              </w:rPr>
              <w:t xml:space="preserve">5.302 participantes en actividades en las que estuvo representado el Centro </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4644"/>
          <w:jc w:val="center"/>
        </w:trPr>
        <w:tc>
          <w:tcPr>
            <w:tcW w:w="936" w:type="pct"/>
            <w:shd w:val="clear" w:color="auto" w:fill="auto"/>
            <w:tcMar>
              <w:left w:w="58" w:type="dxa"/>
              <w:right w:w="58" w:type="dxa"/>
            </w:tcMar>
          </w:tcPr>
          <w:p w:rsidR="005618B7" w:rsidRPr="004C6F6E" w:rsidRDefault="005618B7" w:rsidP="00230FAA">
            <w:pPr>
              <w:ind w:right="43"/>
              <w:rPr>
                <w:sz w:val="16"/>
                <w:szCs w:val="16"/>
              </w:rPr>
            </w:pPr>
            <w:r w:rsidRPr="004C6F6E">
              <w:rPr>
                <w:sz w:val="16"/>
                <w:szCs w:val="16"/>
              </w:rPr>
              <w:t>Políticas de solución extrajudicial de controversias en cuya elaboración y aplicación ha participado el Centro</w:t>
            </w: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rPr>
            </w:pPr>
            <w:r w:rsidRPr="006B6961">
              <w:rPr>
                <w:color w:val="002060"/>
                <w:sz w:val="16"/>
                <w:szCs w:val="16"/>
              </w:rPr>
              <w:t>23 regímenes especiales adoptados (ABF, AEF, AGICOA, DESCA, DGIPR, DNDA, EGEDA, ETSI, cine y medios de comunicación, I+D alemana, ICOM, IEEE, IMPI, INPI-Brasil, IPAG, IPOPHL, IPOS(M)/IPOS(ED), KCC, KOCCA, ITPGRFA, Palexpo, SFA, USPTO) (en total, al final de 2015)</w:t>
            </w:r>
            <w:r w:rsidRPr="006B6961">
              <w:rPr>
                <w:rStyle w:val="FootnoteReference"/>
                <w:color w:val="002060"/>
              </w:rPr>
              <w:footnoteReference w:id="46"/>
            </w:r>
            <w:r w:rsidRPr="006B6961" w:rsidDel="0075096D">
              <w:rPr>
                <w:color w:val="002060"/>
                <w:sz w:val="16"/>
                <w:szCs w:val="16"/>
              </w:rPr>
              <w:t xml:space="preserve"> </w:t>
            </w:r>
          </w:p>
          <w:p w:rsidR="005618B7" w:rsidRPr="004C6F6E" w:rsidRDefault="005618B7" w:rsidP="00230FAA">
            <w:pPr>
              <w:rPr>
                <w:sz w:val="16"/>
                <w:szCs w:val="16"/>
              </w:rPr>
            </w:pPr>
          </w:p>
          <w:p w:rsidR="005618B7" w:rsidRPr="004C6F6E" w:rsidRDefault="005618B7" w:rsidP="00230FAA">
            <w:pPr>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spacing w:after="240"/>
              <w:rPr>
                <w:sz w:val="16"/>
                <w:szCs w:val="16"/>
              </w:rPr>
            </w:pPr>
            <w:r w:rsidRPr="004C6F6E">
              <w:rPr>
                <w:sz w:val="16"/>
                <w:szCs w:val="16"/>
              </w:rPr>
              <w:t>15 regímenes especiales adoptados (AEF, AGICOA, DGIPR, DNDA, EGEDA, ETSI, cine y medios de comunicación, ICOM, IMPI, INPI-Brasil, IPAG, IPOPHL, IPOS(M), IPOS(ED), ITPGRFA) (en total, al final de 2014).</w:t>
            </w:r>
          </w:p>
        </w:tc>
        <w:tc>
          <w:tcPr>
            <w:tcW w:w="1067" w:type="pct"/>
            <w:shd w:val="clear" w:color="auto" w:fill="auto"/>
            <w:tcMar>
              <w:top w:w="110" w:type="dxa"/>
              <w:left w:w="58" w:type="dxa"/>
              <w:right w:w="58" w:type="dxa"/>
            </w:tcMar>
          </w:tcPr>
          <w:p w:rsidR="005618B7" w:rsidRPr="006E2EB4" w:rsidRDefault="005618B7" w:rsidP="00230FAA">
            <w:pPr>
              <w:rPr>
                <w:i/>
                <w:color w:val="002060"/>
                <w:sz w:val="16"/>
                <w:szCs w:val="16"/>
              </w:rPr>
            </w:pPr>
            <w:r w:rsidRPr="006E2EB4">
              <w:rPr>
                <w:i/>
                <w:color w:val="002060"/>
                <w:sz w:val="16"/>
                <w:szCs w:val="16"/>
              </w:rPr>
              <w:t xml:space="preserve">Objetivo actualizado: </w:t>
            </w:r>
          </w:p>
          <w:p w:rsidR="005618B7" w:rsidRPr="006E2EB4" w:rsidRDefault="005618B7" w:rsidP="00230FAA">
            <w:pPr>
              <w:keepLines/>
              <w:rPr>
                <w:color w:val="002060"/>
                <w:sz w:val="16"/>
                <w:szCs w:val="16"/>
              </w:rPr>
            </w:pPr>
            <w:r w:rsidRPr="006E2EB4">
              <w:rPr>
                <w:color w:val="002060"/>
                <w:sz w:val="16"/>
                <w:szCs w:val="16"/>
              </w:rPr>
              <w:t>4 a 6 regímenes especiales adicionales</w:t>
            </w:r>
          </w:p>
          <w:p w:rsidR="005618B7" w:rsidRPr="004C6F6E" w:rsidRDefault="005618B7" w:rsidP="00230FAA">
            <w:pPr>
              <w:keepLines/>
              <w:ind w:right="34"/>
              <w:rPr>
                <w:i/>
                <w:sz w:val="16"/>
                <w:szCs w:val="16"/>
                <w:lang w:bidi="th-TH"/>
              </w:rPr>
            </w:pPr>
          </w:p>
          <w:p w:rsidR="005618B7" w:rsidRPr="004C6F6E" w:rsidRDefault="005618B7" w:rsidP="00230FAA">
            <w:pPr>
              <w:keepLines/>
              <w:ind w:right="34"/>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ind w:right="34"/>
              <w:rPr>
                <w:sz w:val="16"/>
                <w:szCs w:val="16"/>
              </w:rPr>
            </w:pPr>
            <w:r w:rsidRPr="004C6F6E">
              <w:rPr>
                <w:sz w:val="16"/>
                <w:szCs w:val="16"/>
              </w:rPr>
              <w:t>1 a 3 regímenes especiales adoptados</w:t>
            </w:r>
          </w:p>
        </w:tc>
        <w:tc>
          <w:tcPr>
            <w:tcW w:w="961" w:type="pct"/>
            <w:shd w:val="clear" w:color="auto" w:fill="FFFFFF"/>
            <w:tcMar>
              <w:top w:w="110" w:type="dxa"/>
              <w:left w:w="58" w:type="dxa"/>
              <w:right w:w="58" w:type="dxa"/>
            </w:tcMar>
          </w:tcPr>
          <w:p w:rsidR="005618B7" w:rsidRPr="004C6F6E" w:rsidRDefault="005618B7" w:rsidP="00230FAA">
            <w:pPr>
              <w:keepLines/>
              <w:rPr>
                <w:sz w:val="16"/>
                <w:szCs w:val="16"/>
              </w:rPr>
            </w:pPr>
            <w:r w:rsidRPr="004C6F6E">
              <w:rPr>
                <w:sz w:val="16"/>
                <w:szCs w:val="16"/>
              </w:rPr>
              <w:t xml:space="preserve">5 regímenes especiales adoptados:  i) Centro Nacional de Registros (CNR) (El Salvador);  ii) </w:t>
            </w:r>
            <w:hyperlink r:id="rId116" w:history="1">
              <w:r w:rsidRPr="004C6F6E">
                <w:rPr>
                  <w:sz w:val="16"/>
                  <w:szCs w:val="16"/>
                </w:rPr>
                <w:t xml:space="preserve">Dirección Nacional de Propiedad Intelectual </w:t>
              </w:r>
            </w:hyperlink>
            <w:r w:rsidRPr="004C6F6E">
              <w:rPr>
                <w:sz w:val="16"/>
                <w:szCs w:val="16"/>
              </w:rPr>
              <w:t xml:space="preserve">(DINAPI) (Paraguay);  iii) </w:t>
            </w:r>
            <w:hyperlink r:id="rId117" w:history="1">
              <w:r w:rsidRPr="004C6F6E">
                <w:rPr>
                  <w:sz w:val="16"/>
                  <w:szCs w:val="16"/>
                </w:rPr>
                <w:t xml:space="preserve">Oficina Española de Patentes y Marcas </w:t>
              </w:r>
            </w:hyperlink>
            <w:r w:rsidRPr="004C6F6E">
              <w:rPr>
                <w:sz w:val="16"/>
                <w:szCs w:val="16"/>
              </w:rPr>
              <w:t xml:space="preserve">(OEPM) (I+D);  iv) Administración de pequeñas y medianas empresas (SMBA) (República de Corea);  v) Centros de apoyo a la tecnología y la innovación (CATI) </w:t>
            </w:r>
          </w:p>
          <w:p w:rsidR="005618B7" w:rsidRPr="004C6F6E" w:rsidRDefault="005618B7" w:rsidP="00230FAA">
            <w:pPr>
              <w:keepLines/>
              <w:rPr>
                <w:sz w:val="16"/>
                <w:szCs w:val="16"/>
              </w:rPr>
            </w:pPr>
            <w:r w:rsidRPr="004C6F6E">
              <w:rPr>
                <w:sz w:val="16"/>
                <w:szCs w:val="16"/>
              </w:rPr>
              <w:t>(28 en total)</w:t>
            </w:r>
          </w:p>
          <w:p w:rsidR="005618B7" w:rsidRPr="004C6F6E" w:rsidRDefault="005618B7" w:rsidP="00230FAA">
            <w:pPr>
              <w:keepLines/>
              <w:rPr>
                <w:sz w:val="16"/>
                <w:szCs w:val="16"/>
              </w:rPr>
            </w:pPr>
          </w:p>
          <w:p w:rsidR="005618B7" w:rsidRPr="004C6F6E" w:rsidRDefault="005618B7" w:rsidP="00230FAA">
            <w:pPr>
              <w:keepLines/>
              <w:rPr>
                <w:sz w:val="16"/>
                <w:szCs w:val="16"/>
              </w:rPr>
            </w:pPr>
            <w:r w:rsidRPr="004C6F6E">
              <w:rPr>
                <w:sz w:val="16"/>
                <w:szCs w:val="16"/>
              </w:rPr>
              <w:t>3 regímenes especiales respaldados:  i) Instituto Mexicano de la Propiedad Industrial (IMPI);  ii) Oficina de Propiedad Intelectual de Singapur (IPOS) ;  (iii) Oficina de Patentes y Marcas de los Estados Unidos de América (USPTO) </w:t>
            </w:r>
          </w:p>
          <w:p w:rsidR="005618B7" w:rsidRPr="004C6F6E" w:rsidRDefault="005618B7" w:rsidP="00230FAA">
            <w:pPr>
              <w:keepLines/>
              <w:rPr>
                <w:sz w:val="16"/>
                <w:szCs w:val="16"/>
              </w:rPr>
            </w:pP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565"/>
          <w:jc w:val="center"/>
        </w:trPr>
        <w:tc>
          <w:tcPr>
            <w:tcW w:w="5000" w:type="pct"/>
            <w:gridSpan w:val="5"/>
            <w:shd w:val="clear" w:color="auto" w:fill="C6D9F1" w:themeFill="text2" w:themeFillTint="33"/>
            <w:tcMar>
              <w:left w:w="58" w:type="dxa"/>
              <w:right w:w="58" w:type="dxa"/>
            </w:tcMar>
            <w:vAlign w:val="center"/>
          </w:tcPr>
          <w:p w:rsidR="005618B7" w:rsidRPr="004C6F6E" w:rsidRDefault="005618B7" w:rsidP="00230FAA">
            <w:pPr>
              <w:keepLines/>
              <w:tabs>
                <w:tab w:val="left" w:pos="1452"/>
              </w:tabs>
              <w:ind w:left="1701" w:right="43" w:hanging="1701"/>
              <w:rPr>
                <w:bCs/>
                <w:sz w:val="16"/>
                <w:szCs w:val="16"/>
              </w:rPr>
            </w:pPr>
            <w:r w:rsidRPr="004C6F6E">
              <w:rPr>
                <w:b/>
                <w:bCs/>
                <w:sz w:val="16"/>
                <w:szCs w:val="16"/>
              </w:rPr>
              <w:t>Resultado previsto:</w:t>
            </w:r>
            <w:r w:rsidRPr="004C6F6E">
              <w:rPr>
                <w:b/>
                <w:bCs/>
                <w:sz w:val="16"/>
                <w:szCs w:val="16"/>
              </w:rPr>
              <w:tab/>
            </w:r>
            <w:r w:rsidRPr="004C6F6E">
              <w:rPr>
                <w:bCs/>
                <w:sz w:val="16"/>
                <w:szCs w:val="16"/>
              </w:rPr>
              <w:t>II.9  Protección eficaz de la propiedad intelectual en los gTLD y los ccTLD</w:t>
            </w:r>
          </w:p>
        </w:tc>
      </w:tr>
      <w:tr w:rsidR="005618B7" w:rsidRPr="004C6F6E" w:rsidTr="00230FAA">
        <w:trPr>
          <w:jc w:val="center"/>
        </w:trPr>
        <w:tc>
          <w:tcPr>
            <w:tcW w:w="936" w:type="pct"/>
            <w:shd w:val="clear" w:color="auto" w:fill="auto"/>
            <w:tcMar>
              <w:left w:w="58" w:type="dxa"/>
              <w:right w:w="58" w:type="dxa"/>
            </w:tcMar>
            <w:vAlign w:val="center"/>
          </w:tcPr>
          <w:p w:rsidR="005618B7" w:rsidRPr="004C6F6E" w:rsidRDefault="005618B7" w:rsidP="00230FAA">
            <w:pPr>
              <w:ind w:right="-52"/>
              <w:rPr>
                <w:b/>
                <w:bCs/>
                <w:sz w:val="16"/>
                <w:szCs w:val="16"/>
              </w:rPr>
            </w:pPr>
            <w:r w:rsidRPr="004C6F6E">
              <w:rPr>
                <w:b/>
                <w:bCs/>
                <w:sz w:val="16"/>
                <w:szCs w:val="16"/>
              </w:rPr>
              <w:t>Indicadores de rendimiento</w:t>
            </w:r>
          </w:p>
        </w:tc>
        <w:tc>
          <w:tcPr>
            <w:tcW w:w="1432" w:type="pct"/>
            <w:shd w:val="clear" w:color="auto" w:fill="auto"/>
            <w:tcMar>
              <w:left w:w="58" w:type="dxa"/>
              <w:right w:w="58" w:type="dxa"/>
            </w:tcMar>
            <w:vAlign w:val="center"/>
          </w:tcPr>
          <w:p w:rsidR="005618B7" w:rsidRPr="004C6F6E" w:rsidRDefault="005618B7" w:rsidP="00230FAA">
            <w:pPr>
              <w:rPr>
                <w:b/>
                <w:bCs/>
                <w:sz w:val="16"/>
                <w:szCs w:val="16"/>
              </w:rPr>
            </w:pPr>
            <w:r w:rsidRPr="004C6F6E">
              <w:rPr>
                <w:b/>
                <w:bCs/>
                <w:sz w:val="16"/>
                <w:szCs w:val="16"/>
              </w:rPr>
              <w:t>Referencia</w:t>
            </w:r>
            <w:r w:rsidR="002211FB">
              <w:rPr>
                <w:b/>
                <w:bCs/>
                <w:sz w:val="16"/>
                <w:szCs w:val="16"/>
              </w:rPr>
              <w:t>s de base</w:t>
            </w:r>
          </w:p>
        </w:tc>
        <w:tc>
          <w:tcPr>
            <w:tcW w:w="1067" w:type="pct"/>
            <w:shd w:val="clear" w:color="auto" w:fill="auto"/>
            <w:tcMar>
              <w:top w:w="110" w:type="dxa"/>
              <w:left w:w="58" w:type="dxa"/>
              <w:right w:w="58" w:type="dxa"/>
            </w:tcMar>
            <w:vAlign w:val="center"/>
          </w:tcPr>
          <w:p w:rsidR="005618B7" w:rsidRPr="004C6F6E" w:rsidRDefault="005618B7" w:rsidP="00230FAA">
            <w:pPr>
              <w:rPr>
                <w:b/>
                <w:bCs/>
                <w:sz w:val="16"/>
                <w:szCs w:val="16"/>
              </w:rPr>
            </w:pPr>
            <w:r w:rsidRPr="004C6F6E">
              <w:rPr>
                <w:b/>
                <w:bCs/>
                <w:sz w:val="16"/>
                <w:szCs w:val="16"/>
              </w:rPr>
              <w:t>Objetivos</w:t>
            </w:r>
          </w:p>
        </w:tc>
        <w:tc>
          <w:tcPr>
            <w:tcW w:w="961" w:type="pct"/>
            <w:shd w:val="clear" w:color="auto" w:fill="FFFFFF"/>
            <w:tcMar>
              <w:top w:w="110" w:type="dxa"/>
              <w:left w:w="58" w:type="dxa"/>
              <w:right w:w="58" w:type="dxa"/>
            </w:tcMar>
            <w:vAlign w:val="center"/>
          </w:tcPr>
          <w:p w:rsidR="005618B7" w:rsidRPr="004C6F6E" w:rsidRDefault="005618B7" w:rsidP="00230FAA">
            <w:pPr>
              <w:rPr>
                <w:b/>
                <w:bCs/>
                <w:sz w:val="16"/>
                <w:szCs w:val="16"/>
              </w:rPr>
            </w:pPr>
            <w:r w:rsidRPr="004C6F6E">
              <w:rPr>
                <w:b/>
                <w:bCs/>
                <w:sz w:val="16"/>
                <w:szCs w:val="16"/>
              </w:rPr>
              <w:t>Datos sobre el rendimiento</w:t>
            </w:r>
          </w:p>
        </w:tc>
        <w:tc>
          <w:tcPr>
            <w:tcW w:w="603" w:type="pct"/>
            <w:shd w:val="clear" w:color="auto" w:fill="auto"/>
            <w:tcMar>
              <w:top w:w="110" w:type="dxa"/>
              <w:left w:w="58" w:type="dxa"/>
              <w:right w:w="58" w:type="dxa"/>
            </w:tcMar>
            <w:vAlign w:val="center"/>
          </w:tcPr>
          <w:p w:rsidR="005618B7" w:rsidRPr="004C6F6E" w:rsidRDefault="005618B7" w:rsidP="00230FAA">
            <w:pPr>
              <w:keepLines/>
              <w:jc w:val="center"/>
              <w:rPr>
                <w:b/>
                <w:bCs/>
                <w:sz w:val="16"/>
                <w:szCs w:val="16"/>
              </w:rPr>
            </w:pPr>
            <w:r w:rsidRPr="004C6F6E">
              <w:rPr>
                <w:b/>
                <w:bCs/>
                <w:sz w:val="16"/>
                <w:szCs w:val="16"/>
              </w:rPr>
              <w:t>Clave de colores</w:t>
            </w:r>
          </w:p>
        </w:tc>
      </w:tr>
      <w:tr w:rsidR="005618B7" w:rsidRPr="004C6F6E" w:rsidTr="00230FAA">
        <w:trPr>
          <w:trHeight w:val="1438"/>
          <w:jc w:val="center"/>
        </w:trPr>
        <w:tc>
          <w:tcPr>
            <w:tcW w:w="936" w:type="pct"/>
            <w:vMerge w:val="restart"/>
            <w:shd w:val="clear" w:color="auto" w:fill="auto"/>
            <w:tcMar>
              <w:left w:w="58" w:type="dxa"/>
              <w:right w:w="58" w:type="dxa"/>
            </w:tcMar>
          </w:tcPr>
          <w:p w:rsidR="005618B7" w:rsidRPr="004C6F6E" w:rsidRDefault="005618B7" w:rsidP="00230FAA">
            <w:pPr>
              <w:ind w:right="-3"/>
              <w:rPr>
                <w:sz w:val="16"/>
                <w:szCs w:val="16"/>
              </w:rPr>
            </w:pPr>
            <w:r w:rsidRPr="004C6F6E">
              <w:rPr>
                <w:sz w:val="16"/>
                <w:szCs w:val="16"/>
              </w:rPr>
              <w:t>N.º de procedimientos relativos a los gTLD y los ccTLD administrados por el Centro en virtud de la Política Uniforme.</w:t>
            </w: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lang w:bidi="th-TH"/>
              </w:rPr>
            </w:pPr>
            <w:r w:rsidRPr="006B6961">
              <w:rPr>
                <w:color w:val="002060"/>
                <w:sz w:val="16"/>
                <w:szCs w:val="16"/>
                <w:lang w:bidi="th-TH"/>
              </w:rPr>
              <w:t>29.567 casos sobre gTLD llevados por el Centro (en total al final de 2015).</w:t>
            </w:r>
          </w:p>
          <w:p w:rsidR="005618B7" w:rsidRPr="004C6F6E" w:rsidRDefault="005618B7" w:rsidP="00230FAA">
            <w:pPr>
              <w:rPr>
                <w:sz w:val="16"/>
                <w:szCs w:val="16"/>
              </w:rPr>
            </w:pPr>
          </w:p>
          <w:p w:rsidR="005618B7" w:rsidRPr="004C6F6E" w:rsidRDefault="005618B7" w:rsidP="00230FAA">
            <w:pPr>
              <w:ind w:right="273"/>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ind w:right="273"/>
              <w:rPr>
                <w:sz w:val="16"/>
                <w:szCs w:val="16"/>
              </w:rPr>
            </w:pPr>
            <w:r w:rsidRPr="004C6F6E">
              <w:rPr>
                <w:sz w:val="16"/>
                <w:szCs w:val="16"/>
              </w:rPr>
              <w:t xml:space="preserve">27.189 casos sobre gTLD  llevados por el Centro </w:t>
            </w:r>
          </w:p>
          <w:p w:rsidR="005618B7" w:rsidRPr="004C6F6E" w:rsidRDefault="005618B7" w:rsidP="00230FAA">
            <w:pPr>
              <w:spacing w:after="240"/>
              <w:ind w:right="273"/>
              <w:rPr>
                <w:sz w:val="16"/>
                <w:szCs w:val="16"/>
              </w:rPr>
            </w:pPr>
            <w:r w:rsidRPr="004C6F6E">
              <w:rPr>
                <w:sz w:val="16"/>
                <w:szCs w:val="16"/>
              </w:rPr>
              <w:t>(en total al final de 2014)</w:t>
            </w:r>
          </w:p>
        </w:tc>
        <w:tc>
          <w:tcPr>
            <w:tcW w:w="1067" w:type="pct"/>
            <w:shd w:val="clear" w:color="auto" w:fill="auto"/>
            <w:tcMar>
              <w:top w:w="110" w:type="dxa"/>
              <w:left w:w="58" w:type="dxa"/>
              <w:right w:w="58" w:type="dxa"/>
            </w:tcMar>
          </w:tcPr>
          <w:p w:rsidR="005618B7" w:rsidRPr="006E2EB4" w:rsidRDefault="005618B7" w:rsidP="00230FAA">
            <w:pPr>
              <w:rPr>
                <w:i/>
                <w:color w:val="002060"/>
                <w:sz w:val="16"/>
                <w:szCs w:val="16"/>
              </w:rPr>
            </w:pPr>
            <w:r w:rsidRPr="006E2EB4">
              <w:rPr>
                <w:i/>
                <w:color w:val="002060"/>
                <w:sz w:val="16"/>
                <w:szCs w:val="16"/>
              </w:rPr>
              <w:t xml:space="preserve">Objetivo actualizado:  </w:t>
            </w:r>
          </w:p>
          <w:p w:rsidR="005618B7" w:rsidRPr="006E2EB4" w:rsidRDefault="005618B7" w:rsidP="00230FAA">
            <w:pPr>
              <w:keepLines/>
              <w:rPr>
                <w:color w:val="002060"/>
                <w:sz w:val="16"/>
                <w:szCs w:val="16"/>
              </w:rPr>
            </w:pPr>
            <w:r w:rsidRPr="006E2EB4">
              <w:rPr>
                <w:color w:val="002060"/>
                <w:sz w:val="16"/>
                <w:szCs w:val="16"/>
              </w:rPr>
              <w:t>Otros 4.000 casos sobre gTLD.</w:t>
            </w:r>
          </w:p>
          <w:p w:rsidR="005618B7" w:rsidRPr="004C6F6E" w:rsidRDefault="005618B7" w:rsidP="00230FAA">
            <w:pPr>
              <w:keepLines/>
              <w:rPr>
                <w:sz w:val="16"/>
                <w:szCs w:val="16"/>
              </w:rPr>
            </w:pPr>
          </w:p>
          <w:p w:rsidR="005618B7" w:rsidRPr="004C6F6E" w:rsidRDefault="005618B7" w:rsidP="00230FAA">
            <w:pPr>
              <w:keepLines/>
              <w:rPr>
                <w:sz w:val="16"/>
                <w:szCs w:val="16"/>
              </w:rPr>
            </w:pPr>
          </w:p>
          <w:p w:rsidR="005618B7" w:rsidRPr="004C6F6E" w:rsidRDefault="005618B7" w:rsidP="00230FAA">
            <w:pPr>
              <w:keepLines/>
              <w:rPr>
                <w:sz w:val="16"/>
                <w:szCs w:val="16"/>
              </w:rPr>
            </w:pPr>
          </w:p>
          <w:p w:rsidR="005618B7" w:rsidRPr="004C6F6E" w:rsidRDefault="005618B7" w:rsidP="00230FAA">
            <w:pPr>
              <w:keepLines/>
              <w:ind w:right="34"/>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ind w:right="34"/>
              <w:rPr>
                <w:sz w:val="16"/>
                <w:szCs w:val="16"/>
              </w:rPr>
            </w:pPr>
            <w:r w:rsidRPr="004C6F6E">
              <w:rPr>
                <w:sz w:val="16"/>
                <w:szCs w:val="16"/>
              </w:rPr>
              <w:t>Otros 3.000 casos sobre gTLD.</w:t>
            </w:r>
          </w:p>
        </w:tc>
        <w:tc>
          <w:tcPr>
            <w:tcW w:w="961" w:type="pct"/>
            <w:shd w:val="clear" w:color="auto" w:fill="FFFFFF"/>
            <w:tcMar>
              <w:top w:w="110" w:type="dxa"/>
              <w:left w:w="58" w:type="dxa"/>
              <w:right w:w="58" w:type="dxa"/>
            </w:tcMar>
          </w:tcPr>
          <w:p w:rsidR="005618B7" w:rsidRPr="004C6F6E" w:rsidRDefault="005618B7" w:rsidP="00230FAA">
            <w:pPr>
              <w:rPr>
                <w:sz w:val="16"/>
                <w:szCs w:val="16"/>
              </w:rPr>
            </w:pPr>
            <w:r w:rsidRPr="004C6F6E">
              <w:rPr>
                <w:sz w:val="16"/>
                <w:szCs w:val="16"/>
              </w:rPr>
              <w:t xml:space="preserve">Otros 2.653 casos sobre gTLD. </w:t>
            </w:r>
          </w:p>
          <w:p w:rsidR="005618B7" w:rsidRPr="004C6F6E" w:rsidRDefault="005618B7" w:rsidP="00230FAA">
            <w:pPr>
              <w:rPr>
                <w:sz w:val="16"/>
                <w:szCs w:val="16"/>
              </w:rPr>
            </w:pPr>
          </w:p>
          <w:p w:rsidR="005618B7" w:rsidRPr="004C6F6E" w:rsidRDefault="005618B7" w:rsidP="00230FAA">
            <w:pPr>
              <w:rPr>
                <w:sz w:val="16"/>
                <w:szCs w:val="16"/>
              </w:rPr>
            </w:pPr>
            <w:r w:rsidRPr="004C6F6E">
              <w:rPr>
                <w:sz w:val="16"/>
                <w:szCs w:val="16"/>
              </w:rPr>
              <w:t>32.220 en total (hasta fines de 2016)</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1800"/>
          <w:jc w:val="center"/>
        </w:trPr>
        <w:tc>
          <w:tcPr>
            <w:tcW w:w="936" w:type="pct"/>
            <w:vMerge/>
            <w:shd w:val="clear" w:color="auto" w:fill="auto"/>
            <w:tcMar>
              <w:left w:w="58" w:type="dxa"/>
              <w:right w:w="58" w:type="dxa"/>
            </w:tcMar>
          </w:tcPr>
          <w:p w:rsidR="005618B7" w:rsidRPr="004C6F6E" w:rsidRDefault="005618B7" w:rsidP="00230FAA">
            <w:pPr>
              <w:ind w:right="43"/>
              <w:rPr>
                <w:sz w:val="16"/>
                <w:szCs w:val="16"/>
              </w:rPr>
            </w:pP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keepLines/>
              <w:rPr>
                <w:color w:val="002060"/>
                <w:sz w:val="16"/>
                <w:szCs w:val="16"/>
                <w:lang w:bidi="th-TH"/>
              </w:rPr>
            </w:pPr>
            <w:r w:rsidRPr="006B6961">
              <w:rPr>
                <w:color w:val="002060"/>
                <w:sz w:val="16"/>
                <w:szCs w:val="16"/>
                <w:lang w:bidi="th-TH"/>
              </w:rPr>
              <w:t>3.520 casos únicamente sobre ccTLD llevados por el Centro (en total al final de 2015).</w:t>
            </w:r>
          </w:p>
          <w:p w:rsidR="005618B7" w:rsidRPr="004C6F6E" w:rsidRDefault="005618B7" w:rsidP="00230FAA">
            <w:pPr>
              <w:rPr>
                <w:sz w:val="16"/>
                <w:szCs w:val="16"/>
              </w:rPr>
            </w:pPr>
          </w:p>
          <w:p w:rsidR="005618B7" w:rsidRPr="004C6F6E" w:rsidRDefault="005618B7" w:rsidP="00230FAA">
            <w:pPr>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spacing w:after="240"/>
              <w:rPr>
                <w:sz w:val="16"/>
                <w:szCs w:val="16"/>
              </w:rPr>
            </w:pPr>
            <w:r w:rsidRPr="004C6F6E">
              <w:rPr>
                <w:sz w:val="16"/>
                <w:szCs w:val="16"/>
              </w:rPr>
              <w:t>3.144 casos únicamente sobre ccTLD llevados por el Centro (en total al final de 2014).</w:t>
            </w:r>
          </w:p>
        </w:tc>
        <w:tc>
          <w:tcPr>
            <w:tcW w:w="1067" w:type="pct"/>
            <w:shd w:val="clear" w:color="auto" w:fill="auto"/>
            <w:tcMar>
              <w:top w:w="110" w:type="dxa"/>
              <w:left w:w="58" w:type="dxa"/>
              <w:right w:w="58" w:type="dxa"/>
            </w:tcMar>
          </w:tcPr>
          <w:p w:rsidR="005618B7" w:rsidRPr="006E2EB4" w:rsidRDefault="005618B7" w:rsidP="00230FAA">
            <w:pPr>
              <w:rPr>
                <w:i/>
                <w:color w:val="002060"/>
                <w:sz w:val="16"/>
                <w:szCs w:val="16"/>
              </w:rPr>
            </w:pPr>
            <w:r w:rsidRPr="006E2EB4">
              <w:rPr>
                <w:i/>
                <w:color w:val="002060"/>
                <w:sz w:val="16"/>
                <w:szCs w:val="16"/>
              </w:rPr>
              <w:t xml:space="preserve">Objetivo actualizado:  </w:t>
            </w:r>
          </w:p>
          <w:p w:rsidR="005618B7" w:rsidRPr="004C6F6E" w:rsidRDefault="005618B7" w:rsidP="00230FAA">
            <w:pPr>
              <w:keepLines/>
              <w:rPr>
                <w:sz w:val="16"/>
                <w:szCs w:val="16"/>
                <w:lang w:bidi="th-TH"/>
              </w:rPr>
            </w:pPr>
            <w:r w:rsidRPr="006E2EB4">
              <w:rPr>
                <w:color w:val="002060"/>
                <w:sz w:val="16"/>
                <w:szCs w:val="16"/>
                <w:lang w:bidi="th-TH"/>
              </w:rPr>
              <w:t>Otros 450 casos únicamente sobre ccTLD.</w:t>
            </w:r>
            <w:r w:rsidRPr="004C6F6E">
              <w:rPr>
                <w:sz w:val="16"/>
                <w:szCs w:val="16"/>
                <w:lang w:bidi="th-TH"/>
              </w:rPr>
              <w:t xml:space="preserve"> </w:t>
            </w:r>
          </w:p>
          <w:p w:rsidR="005618B7" w:rsidRPr="004C6F6E" w:rsidRDefault="005618B7" w:rsidP="00230FAA">
            <w:pPr>
              <w:keepLines/>
              <w:rPr>
                <w:sz w:val="16"/>
                <w:szCs w:val="16"/>
              </w:rPr>
            </w:pPr>
          </w:p>
          <w:p w:rsidR="005618B7" w:rsidRPr="004C6F6E" w:rsidRDefault="005618B7" w:rsidP="00230FAA">
            <w:pPr>
              <w:keepLines/>
              <w:ind w:right="34"/>
              <w:rPr>
                <w:i/>
                <w:sz w:val="16"/>
                <w:szCs w:val="16"/>
                <w:lang w:bidi="th-TH"/>
              </w:rPr>
            </w:pPr>
            <w:r w:rsidRPr="004C6F6E">
              <w:rPr>
                <w:i/>
                <w:sz w:val="16"/>
                <w:szCs w:val="16"/>
                <w:lang w:bidi="th-TH"/>
              </w:rPr>
              <w:t xml:space="preserve">Objetivo original en el presupuesto de 2016/17:  </w:t>
            </w:r>
          </w:p>
          <w:p w:rsidR="005618B7" w:rsidRPr="004C6F6E" w:rsidRDefault="005618B7" w:rsidP="00230FAA">
            <w:pPr>
              <w:ind w:right="34"/>
              <w:rPr>
                <w:sz w:val="16"/>
                <w:szCs w:val="16"/>
              </w:rPr>
            </w:pPr>
            <w:r w:rsidRPr="004C6F6E">
              <w:rPr>
                <w:sz w:val="16"/>
                <w:szCs w:val="16"/>
              </w:rPr>
              <w:t>Otros 350 casos únicamente sobre ccTLD</w:t>
            </w:r>
          </w:p>
        </w:tc>
        <w:tc>
          <w:tcPr>
            <w:tcW w:w="961" w:type="pct"/>
            <w:shd w:val="clear" w:color="auto" w:fill="FFFFFF"/>
            <w:tcMar>
              <w:top w:w="110" w:type="dxa"/>
              <w:left w:w="58" w:type="dxa"/>
              <w:right w:w="58" w:type="dxa"/>
            </w:tcMar>
          </w:tcPr>
          <w:p w:rsidR="005618B7" w:rsidRPr="004C6F6E" w:rsidRDefault="005618B7" w:rsidP="00230FAA">
            <w:pPr>
              <w:rPr>
                <w:sz w:val="16"/>
                <w:szCs w:val="16"/>
              </w:rPr>
            </w:pPr>
            <w:r w:rsidRPr="004C6F6E">
              <w:rPr>
                <w:sz w:val="16"/>
                <w:szCs w:val="16"/>
              </w:rPr>
              <w:t xml:space="preserve">Otros 383 casos únicamente sobre ccTLD </w:t>
            </w:r>
          </w:p>
          <w:p w:rsidR="005618B7" w:rsidRPr="004C6F6E" w:rsidRDefault="005618B7" w:rsidP="00230FAA">
            <w:pPr>
              <w:rPr>
                <w:sz w:val="16"/>
                <w:szCs w:val="16"/>
              </w:rPr>
            </w:pPr>
          </w:p>
          <w:p w:rsidR="005618B7" w:rsidRPr="004C6F6E" w:rsidRDefault="005618B7" w:rsidP="00230FAA">
            <w:pPr>
              <w:rPr>
                <w:sz w:val="16"/>
                <w:szCs w:val="16"/>
              </w:rPr>
            </w:pPr>
            <w:r w:rsidRPr="004C6F6E">
              <w:rPr>
                <w:sz w:val="16"/>
                <w:szCs w:val="16"/>
              </w:rPr>
              <w:t>3.903 en total (hasta fines de 2016)</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304"/>
          <w:jc w:val="center"/>
        </w:trPr>
        <w:tc>
          <w:tcPr>
            <w:tcW w:w="936" w:type="pct"/>
            <w:shd w:val="clear" w:color="auto" w:fill="auto"/>
            <w:tcMar>
              <w:left w:w="58" w:type="dxa"/>
              <w:right w:w="58" w:type="dxa"/>
            </w:tcMar>
          </w:tcPr>
          <w:p w:rsidR="005618B7" w:rsidRPr="004C6F6E" w:rsidRDefault="005618B7" w:rsidP="00230FAA">
            <w:pPr>
              <w:ind w:right="43"/>
              <w:rPr>
                <w:sz w:val="16"/>
                <w:szCs w:val="16"/>
              </w:rPr>
            </w:pPr>
            <w:r w:rsidRPr="004C6F6E">
              <w:rPr>
                <w:sz w:val="16"/>
                <w:szCs w:val="16"/>
              </w:rPr>
              <w:t>Políticas de solución de controversias en el Sistema de Nombres de Dominio en cuya elaboración y aplicación ha participado el Centro.</w:t>
            </w:r>
          </w:p>
        </w:tc>
        <w:tc>
          <w:tcPr>
            <w:tcW w:w="1432" w:type="pct"/>
            <w:shd w:val="clear" w:color="auto" w:fill="auto"/>
            <w:tcMar>
              <w:left w:w="58" w:type="dxa"/>
              <w:right w:w="58" w:type="dxa"/>
            </w:tcMar>
          </w:tcPr>
          <w:p w:rsidR="005618B7" w:rsidRPr="006B6961" w:rsidRDefault="005618B7" w:rsidP="00230FAA">
            <w:pPr>
              <w:rPr>
                <w:color w:val="002060"/>
                <w:sz w:val="16"/>
                <w:szCs w:val="16"/>
                <w:lang w:bidi="th-TH"/>
              </w:rPr>
            </w:pPr>
            <w:r w:rsidRPr="006B6961">
              <w:rPr>
                <w:i/>
                <w:color w:val="002060"/>
                <w:sz w:val="16"/>
                <w:szCs w:val="16"/>
              </w:rPr>
              <w:t xml:space="preserve">Referencia actualizada a fines de 2015:  </w:t>
            </w:r>
          </w:p>
          <w:p w:rsidR="005618B7" w:rsidRPr="006B6961" w:rsidRDefault="005618B7" w:rsidP="00230FAA">
            <w:pPr>
              <w:rPr>
                <w:color w:val="002060"/>
                <w:sz w:val="16"/>
                <w:szCs w:val="16"/>
                <w:lang w:bidi="th-TH"/>
              </w:rPr>
            </w:pPr>
            <w:r w:rsidRPr="006B6961">
              <w:rPr>
                <w:color w:val="002060"/>
                <w:sz w:val="16"/>
                <w:szCs w:val="16"/>
                <w:lang w:bidi="th-TH"/>
              </w:rPr>
              <w:t>Política Uniforme, normas de Política Uniforme actualizadas para las nuevas disposiciones relativas al bloqueo del registrador, política de la ICANN de solución de controversias para la etapa previa a la adjudicación, procedimiento de la ICANN de solución de controversias en relación con las marcas para la etapa posterior a la adjudicación (en total al final de 2015).</w:t>
            </w:r>
          </w:p>
          <w:p w:rsidR="005618B7" w:rsidRPr="004C6F6E" w:rsidRDefault="005618B7" w:rsidP="00230FAA">
            <w:pPr>
              <w:rPr>
                <w:sz w:val="16"/>
                <w:szCs w:val="16"/>
              </w:rPr>
            </w:pPr>
          </w:p>
          <w:p w:rsidR="005618B7" w:rsidRPr="004C6F6E" w:rsidRDefault="005618B7" w:rsidP="00230FAA">
            <w:pPr>
              <w:ind w:right="273"/>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spacing w:after="240"/>
              <w:ind w:right="273"/>
              <w:rPr>
                <w:sz w:val="16"/>
                <w:szCs w:val="16"/>
              </w:rPr>
            </w:pPr>
            <w:r w:rsidRPr="004C6F6E">
              <w:rPr>
                <w:sz w:val="16"/>
                <w:szCs w:val="16"/>
              </w:rPr>
              <w:t>Política Uniforme, Política de solución de controversias para la etapa previa a la adjudicación, procedimiento de solución de controversias en relación con las marcas en la etapa posterior a la adjudicación (en total al final de 2014)</w:t>
            </w:r>
          </w:p>
        </w:tc>
        <w:tc>
          <w:tcPr>
            <w:tcW w:w="1067" w:type="pct"/>
            <w:shd w:val="clear" w:color="auto" w:fill="auto"/>
            <w:tcMar>
              <w:top w:w="110" w:type="dxa"/>
              <w:left w:w="58" w:type="dxa"/>
              <w:right w:w="58" w:type="dxa"/>
            </w:tcMar>
          </w:tcPr>
          <w:p w:rsidR="005618B7" w:rsidRPr="004C6F6E" w:rsidRDefault="005618B7" w:rsidP="00230FAA">
            <w:pPr>
              <w:ind w:right="34"/>
              <w:rPr>
                <w:sz w:val="16"/>
                <w:szCs w:val="16"/>
              </w:rPr>
            </w:pPr>
            <w:r w:rsidRPr="004C6F6E">
              <w:rPr>
                <w:sz w:val="16"/>
                <w:szCs w:val="16"/>
              </w:rPr>
              <w:t>Aplicación en el Sistema de Nombres de Dominio de las recomendaciones de la OMPI sobre políticas y procedimientos.</w:t>
            </w:r>
          </w:p>
        </w:tc>
        <w:tc>
          <w:tcPr>
            <w:tcW w:w="961" w:type="pct"/>
            <w:shd w:val="clear" w:color="auto" w:fill="FFFFFF"/>
            <w:tcMar>
              <w:top w:w="110" w:type="dxa"/>
              <w:left w:w="58" w:type="dxa"/>
              <w:right w:w="58" w:type="dxa"/>
            </w:tcMar>
          </w:tcPr>
          <w:p w:rsidR="005618B7" w:rsidRPr="004C6F6E" w:rsidRDefault="005618B7" w:rsidP="00230FAA">
            <w:pPr>
              <w:keepLines/>
              <w:rPr>
                <w:sz w:val="16"/>
                <w:szCs w:val="16"/>
              </w:rPr>
            </w:pPr>
            <w:r w:rsidRPr="004C6F6E">
              <w:rPr>
                <w:sz w:val="16"/>
                <w:szCs w:val="16"/>
              </w:rPr>
              <w:t xml:space="preserve">Política Uniforme, </w:t>
            </w:r>
            <w:r w:rsidRPr="004C6F6E">
              <w:rPr>
                <w:sz w:val="16"/>
                <w:szCs w:val="16"/>
                <w:lang w:bidi="th-TH"/>
              </w:rPr>
              <w:t>normas de Política Uniforme actualizadas para las nuevas disposiciones relativas al bloqueo del registrador</w:t>
            </w:r>
            <w:r w:rsidRPr="004C6F6E">
              <w:rPr>
                <w:sz w:val="16"/>
                <w:szCs w:val="16"/>
              </w:rPr>
              <w:t xml:space="preserve">, </w:t>
            </w:r>
            <w:r w:rsidRPr="004C6F6E">
              <w:rPr>
                <w:sz w:val="16"/>
                <w:szCs w:val="16"/>
                <w:lang w:bidi="th-TH"/>
              </w:rPr>
              <w:t xml:space="preserve">política de la ICANN de solución de controversias para la etapa previa a la adjudicación, procedimiento de la ICANN de solución de controversias en relación con las marcas para la etapa posterior a la adjudicación (en total al final de </w:t>
            </w:r>
            <w:r w:rsidRPr="004C6F6E">
              <w:rPr>
                <w:sz w:val="16"/>
                <w:szCs w:val="16"/>
              </w:rPr>
              <w:t>2016). No se aplicarán nuevas políticas o recomendaciones</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r w:rsidR="005618B7" w:rsidRPr="004C6F6E" w:rsidTr="00230FAA">
        <w:trPr>
          <w:trHeight w:val="304"/>
          <w:jc w:val="center"/>
        </w:trPr>
        <w:tc>
          <w:tcPr>
            <w:tcW w:w="936" w:type="pct"/>
            <w:shd w:val="clear" w:color="auto" w:fill="auto"/>
            <w:tcMar>
              <w:left w:w="58" w:type="dxa"/>
              <w:right w:w="58" w:type="dxa"/>
            </w:tcMar>
          </w:tcPr>
          <w:p w:rsidR="005618B7" w:rsidRPr="004C6F6E" w:rsidRDefault="005618B7" w:rsidP="00230FAA">
            <w:pPr>
              <w:ind w:right="43"/>
              <w:rPr>
                <w:sz w:val="16"/>
                <w:szCs w:val="16"/>
              </w:rPr>
            </w:pPr>
          </w:p>
        </w:tc>
        <w:tc>
          <w:tcPr>
            <w:tcW w:w="1432" w:type="pct"/>
            <w:shd w:val="clear" w:color="auto" w:fill="auto"/>
            <w:tcMar>
              <w:left w:w="58" w:type="dxa"/>
              <w:right w:w="58" w:type="dxa"/>
            </w:tcMar>
          </w:tcPr>
          <w:p w:rsidR="005618B7" w:rsidRPr="006B6961" w:rsidRDefault="005618B7" w:rsidP="00230FAA">
            <w:pPr>
              <w:rPr>
                <w:i/>
                <w:color w:val="002060"/>
                <w:sz w:val="16"/>
                <w:szCs w:val="16"/>
              </w:rPr>
            </w:pPr>
            <w:r w:rsidRPr="006B6961">
              <w:rPr>
                <w:i/>
                <w:color w:val="002060"/>
                <w:sz w:val="16"/>
                <w:szCs w:val="16"/>
              </w:rPr>
              <w:t xml:space="preserve">Referencia actualizada a fines de 2015:  </w:t>
            </w:r>
          </w:p>
          <w:p w:rsidR="005618B7" w:rsidRPr="006B6961" w:rsidRDefault="005618B7" w:rsidP="00230FAA">
            <w:pPr>
              <w:rPr>
                <w:color w:val="002060"/>
                <w:sz w:val="16"/>
                <w:szCs w:val="16"/>
                <w:lang w:bidi="th-TH"/>
              </w:rPr>
            </w:pPr>
            <w:r w:rsidRPr="006B6961">
              <w:rPr>
                <w:color w:val="002060"/>
                <w:sz w:val="16"/>
                <w:szCs w:val="16"/>
                <w:lang w:bidi="th-TH"/>
              </w:rPr>
              <w:t>71 administradores de ccTLD en total (en total, al final de 2015)</w:t>
            </w:r>
          </w:p>
          <w:p w:rsidR="005618B7" w:rsidRPr="004C6F6E" w:rsidRDefault="005618B7" w:rsidP="00230FAA">
            <w:pPr>
              <w:ind w:right="273"/>
              <w:rPr>
                <w:i/>
                <w:sz w:val="16"/>
                <w:szCs w:val="16"/>
                <w:lang w:bidi="th-TH"/>
              </w:rPr>
            </w:pPr>
          </w:p>
          <w:p w:rsidR="005618B7" w:rsidRPr="004C6F6E" w:rsidRDefault="005618B7" w:rsidP="00230FAA">
            <w:pPr>
              <w:ind w:right="273"/>
              <w:rPr>
                <w:i/>
                <w:sz w:val="16"/>
                <w:szCs w:val="16"/>
                <w:lang w:bidi="th-TH"/>
              </w:rPr>
            </w:pPr>
            <w:r w:rsidRPr="004C6F6E">
              <w:rPr>
                <w:i/>
                <w:sz w:val="16"/>
                <w:szCs w:val="16"/>
                <w:lang w:bidi="th-TH"/>
              </w:rPr>
              <w:t xml:space="preserve">Referencia original en el presupuesto de 2016/17:  </w:t>
            </w:r>
          </w:p>
          <w:p w:rsidR="005618B7" w:rsidRPr="004C6F6E" w:rsidRDefault="005618B7" w:rsidP="00230FAA">
            <w:pPr>
              <w:rPr>
                <w:sz w:val="16"/>
                <w:szCs w:val="16"/>
              </w:rPr>
            </w:pPr>
            <w:r w:rsidRPr="004C6F6E">
              <w:rPr>
                <w:sz w:val="16"/>
                <w:szCs w:val="16"/>
              </w:rPr>
              <w:t>72 administradores de ccTLD (en total al final de 2014).</w:t>
            </w:r>
          </w:p>
        </w:tc>
        <w:tc>
          <w:tcPr>
            <w:tcW w:w="1067" w:type="pct"/>
            <w:shd w:val="clear" w:color="auto" w:fill="auto"/>
            <w:tcMar>
              <w:top w:w="110" w:type="dxa"/>
              <w:left w:w="58" w:type="dxa"/>
              <w:right w:w="58" w:type="dxa"/>
            </w:tcMar>
          </w:tcPr>
          <w:p w:rsidR="005618B7" w:rsidRPr="004C6F6E" w:rsidRDefault="005618B7" w:rsidP="00230FAA">
            <w:pPr>
              <w:ind w:right="34"/>
              <w:rPr>
                <w:sz w:val="16"/>
                <w:szCs w:val="16"/>
              </w:rPr>
            </w:pPr>
            <w:r w:rsidRPr="004C6F6E">
              <w:rPr>
                <w:sz w:val="16"/>
                <w:szCs w:val="16"/>
              </w:rPr>
              <w:t xml:space="preserve">2 a 4 nuevos administradores de ccTLD </w:t>
            </w:r>
          </w:p>
        </w:tc>
        <w:tc>
          <w:tcPr>
            <w:tcW w:w="961" w:type="pct"/>
            <w:shd w:val="clear" w:color="auto" w:fill="FFFFFF"/>
            <w:tcMar>
              <w:top w:w="110" w:type="dxa"/>
              <w:left w:w="58" w:type="dxa"/>
              <w:right w:w="58" w:type="dxa"/>
            </w:tcMar>
          </w:tcPr>
          <w:p w:rsidR="005618B7" w:rsidRPr="004C6F6E" w:rsidRDefault="005618B7" w:rsidP="00230FAA">
            <w:pPr>
              <w:keepLines/>
              <w:ind w:right="-104"/>
              <w:rPr>
                <w:sz w:val="16"/>
                <w:szCs w:val="16"/>
              </w:rPr>
            </w:pPr>
            <w:r w:rsidRPr="004C6F6E">
              <w:rPr>
                <w:sz w:val="16"/>
                <w:szCs w:val="16"/>
              </w:rPr>
              <w:t xml:space="preserve">4 administradores adicionales de ccTLD (.PM, .TF, .WF, .YT) </w:t>
            </w:r>
          </w:p>
          <w:p w:rsidR="005618B7" w:rsidRPr="004C6F6E" w:rsidRDefault="005618B7" w:rsidP="00230FAA">
            <w:pPr>
              <w:keepLines/>
              <w:rPr>
                <w:sz w:val="16"/>
                <w:szCs w:val="16"/>
              </w:rPr>
            </w:pPr>
            <w:r w:rsidRPr="004C6F6E">
              <w:rPr>
                <w:sz w:val="16"/>
                <w:szCs w:val="16"/>
              </w:rPr>
              <w:t>(74 en total a fines de 2016 tras 1 rescición)</w:t>
            </w:r>
          </w:p>
          <w:p w:rsidR="005618B7" w:rsidRPr="004C6F6E" w:rsidRDefault="005618B7" w:rsidP="00230FAA">
            <w:pPr>
              <w:keepLines/>
              <w:rPr>
                <w:sz w:val="16"/>
                <w:szCs w:val="16"/>
              </w:rPr>
            </w:pPr>
          </w:p>
          <w:p w:rsidR="005618B7" w:rsidRPr="004C6F6E" w:rsidRDefault="005618B7" w:rsidP="00230FAA">
            <w:pPr>
              <w:keepLines/>
              <w:rPr>
                <w:sz w:val="16"/>
                <w:szCs w:val="16"/>
              </w:rPr>
            </w:pPr>
            <w:r w:rsidRPr="004C6F6E">
              <w:rPr>
                <w:sz w:val="16"/>
                <w:szCs w:val="16"/>
              </w:rPr>
              <w:t xml:space="preserve">4 políticas de ccTLD respaldadas (.BH, .FR, .NI and .RE) </w:t>
            </w:r>
          </w:p>
        </w:tc>
        <w:tc>
          <w:tcPr>
            <w:tcW w:w="603" w:type="pct"/>
            <w:shd w:val="clear" w:color="auto" w:fill="auto"/>
            <w:tcMar>
              <w:top w:w="110" w:type="dxa"/>
              <w:left w:w="58" w:type="dxa"/>
              <w:right w:w="58" w:type="dxa"/>
            </w:tcMar>
          </w:tcPr>
          <w:p w:rsidR="005618B7" w:rsidRPr="004C6F6E" w:rsidRDefault="005618B7" w:rsidP="00230FAA">
            <w:pPr>
              <w:keepLines/>
              <w:jc w:val="center"/>
              <w:rPr>
                <w:sz w:val="16"/>
                <w:szCs w:val="16"/>
              </w:rPr>
            </w:pPr>
            <w:r w:rsidRPr="004C6F6E">
              <w:rPr>
                <w:b/>
                <w:color w:val="00B050"/>
                <w:sz w:val="16"/>
                <w:szCs w:val="16"/>
              </w:rPr>
              <w:t>Avanza</w:t>
            </w:r>
          </w:p>
        </w:tc>
      </w:tr>
    </w:tbl>
    <w:p w:rsidR="005618B7" w:rsidRPr="004C6F6E" w:rsidRDefault="005618B7" w:rsidP="00230FAA">
      <w:pPr>
        <w:tabs>
          <w:tab w:val="left" w:pos="6011"/>
        </w:tabs>
        <w:rPr>
          <w:sz w:val="20"/>
        </w:rPr>
      </w:pPr>
    </w:p>
    <w:p w:rsidR="005618B7" w:rsidRPr="004C6F6E" w:rsidRDefault="005618B7">
      <w:pPr>
        <w:rPr>
          <w:sz w:val="20"/>
        </w:rPr>
      </w:pPr>
    </w:p>
    <w:tbl>
      <w:tblPr>
        <w:tblStyle w:val="TableGrid"/>
        <w:tblW w:w="4942" w:type="pct"/>
        <w:jc w:val="center"/>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5618B7" w:rsidRPr="004C6F6E" w:rsidTr="00230FAA">
        <w:trPr>
          <w:trHeight w:val="423"/>
          <w:jc w:val="center"/>
        </w:trPr>
        <w:tc>
          <w:tcPr>
            <w:tcW w:w="9193" w:type="dxa"/>
            <w:shd w:val="clear" w:color="auto" w:fill="C6D9F1" w:themeFill="text2" w:themeFillTint="33"/>
            <w:vAlign w:val="center"/>
          </w:tcPr>
          <w:p w:rsidR="005618B7" w:rsidRPr="004C6F6E" w:rsidRDefault="005618B7" w:rsidP="00230FAA">
            <w:pPr>
              <w:keepNext/>
              <w:keepLines/>
              <w:jc w:val="center"/>
              <w:rPr>
                <w:b/>
                <w:sz w:val="20"/>
              </w:rPr>
            </w:pPr>
            <w:r w:rsidRPr="004C6F6E">
              <w:rPr>
                <w:b/>
                <w:sz w:val="20"/>
              </w:rPr>
              <w:br w:type="page"/>
              <w:t>Utilización de los recursos del programa 7</w:t>
            </w:r>
          </w:p>
        </w:tc>
      </w:tr>
    </w:tbl>
    <w:p w:rsidR="005618B7" w:rsidRPr="004C6F6E" w:rsidRDefault="005618B7" w:rsidP="00230FAA">
      <w:pPr>
        <w:rPr>
          <w:sz w:val="20"/>
        </w:rPr>
      </w:pPr>
    </w:p>
    <w:p w:rsidR="005618B7" w:rsidRPr="004C6F6E" w:rsidRDefault="005618B7" w:rsidP="00230FAA">
      <w:pPr>
        <w:keepNext/>
        <w:keepLines/>
        <w:jc w:val="center"/>
        <w:rPr>
          <w:sz w:val="18"/>
          <w:szCs w:val="18"/>
        </w:rPr>
      </w:pPr>
      <w:r w:rsidRPr="004C6F6E">
        <w:rPr>
          <w:sz w:val="18"/>
          <w:szCs w:val="18"/>
        </w:rPr>
        <w:t>Presupuesto y gastos reales (por resultado)</w:t>
      </w:r>
    </w:p>
    <w:p w:rsidR="005618B7" w:rsidRPr="004C6F6E" w:rsidRDefault="005618B7" w:rsidP="00230FAA">
      <w:pPr>
        <w:keepNext/>
        <w:keepLines/>
        <w:jc w:val="center"/>
        <w:rPr>
          <w:i/>
          <w:iCs/>
          <w:sz w:val="16"/>
          <w:szCs w:val="16"/>
        </w:rPr>
      </w:pPr>
      <w:r w:rsidRPr="004C6F6E">
        <w:rPr>
          <w:i/>
          <w:iCs/>
          <w:sz w:val="16"/>
          <w:szCs w:val="16"/>
        </w:rPr>
        <w:t>(en miles de francos suizos)</w:t>
      </w:r>
    </w:p>
    <w:p w:rsidR="005618B7" w:rsidRPr="004C6F6E" w:rsidRDefault="005618B7" w:rsidP="00230FAA">
      <w:pPr>
        <w:rPr>
          <w:sz w:val="20"/>
        </w:rPr>
      </w:pPr>
    </w:p>
    <w:tbl>
      <w:tblPr>
        <w:tblW w:w="8222" w:type="dxa"/>
        <w:jc w:val="center"/>
        <w:tblLook w:val="04A0" w:firstRow="1" w:lastRow="0" w:firstColumn="1" w:lastColumn="0" w:noHBand="0" w:noVBand="1"/>
      </w:tblPr>
      <w:tblGrid>
        <w:gridCol w:w="439"/>
        <w:gridCol w:w="4243"/>
        <w:gridCol w:w="1186"/>
        <w:gridCol w:w="1310"/>
        <w:gridCol w:w="1180"/>
      </w:tblGrid>
      <w:tr w:rsidR="005618B7" w:rsidRPr="004C6F6E" w:rsidTr="00230FAA">
        <w:trPr>
          <w:trHeight w:val="825"/>
          <w:jc w:val="center"/>
        </w:trPr>
        <w:tc>
          <w:tcPr>
            <w:tcW w:w="4660" w:type="dxa"/>
            <w:gridSpan w:val="2"/>
            <w:tcBorders>
              <w:top w:val="nil"/>
              <w:left w:val="nil"/>
              <w:bottom w:val="nil"/>
              <w:right w:val="nil"/>
            </w:tcBorders>
            <w:shd w:val="clear" w:color="000000" w:fill="C5D9F1"/>
            <w:noWrap/>
            <w:vAlign w:val="center"/>
            <w:hideMark/>
          </w:tcPr>
          <w:p w:rsidR="005618B7" w:rsidRPr="004C6F6E" w:rsidRDefault="005618B7" w:rsidP="00230FAA">
            <w:pPr>
              <w:jc w:val="center"/>
              <w:rPr>
                <w:b/>
                <w:bCs/>
                <w:sz w:val="16"/>
                <w:szCs w:val="16"/>
              </w:rPr>
            </w:pPr>
            <w:r w:rsidRPr="004C6F6E">
              <w:rPr>
                <w:b/>
                <w:bCs/>
                <w:sz w:val="16"/>
                <w:szCs w:val="16"/>
              </w:rPr>
              <w:t xml:space="preserve">Número del resultado previsto y descripción </w:t>
            </w:r>
          </w:p>
        </w:tc>
        <w:tc>
          <w:tcPr>
            <w:tcW w:w="118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 xml:space="preserve"> Presupuesto aprobado de 2016/17 </w:t>
            </w:r>
          </w:p>
        </w:tc>
        <w:tc>
          <w:tcPr>
            <w:tcW w:w="118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 xml:space="preserve"> Presupuesto de 2016/17 tras las transferencias </w:t>
            </w:r>
          </w:p>
        </w:tc>
        <w:tc>
          <w:tcPr>
            <w:tcW w:w="118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 xml:space="preserve"> Gastos en 2016* </w:t>
            </w:r>
          </w:p>
        </w:tc>
      </w:tr>
      <w:tr w:rsidR="005618B7" w:rsidRPr="004C6F6E" w:rsidTr="00230FAA">
        <w:trPr>
          <w:trHeight w:val="900"/>
          <w:jc w:val="center"/>
        </w:trPr>
        <w:tc>
          <w:tcPr>
            <w:tcW w:w="417" w:type="dxa"/>
            <w:tcBorders>
              <w:top w:val="nil"/>
              <w:left w:val="nil"/>
              <w:bottom w:val="nil"/>
              <w:right w:val="nil"/>
            </w:tcBorders>
            <w:shd w:val="clear" w:color="auto" w:fill="auto"/>
            <w:noWrap/>
            <w:vAlign w:val="center"/>
            <w:hideMark/>
          </w:tcPr>
          <w:p w:rsidR="005618B7" w:rsidRPr="004C6F6E" w:rsidRDefault="005618B7" w:rsidP="00230FAA">
            <w:pPr>
              <w:rPr>
                <w:sz w:val="16"/>
                <w:szCs w:val="16"/>
              </w:rPr>
            </w:pPr>
            <w:r w:rsidRPr="004C6F6E">
              <w:rPr>
                <w:sz w:val="16"/>
                <w:szCs w:val="16"/>
              </w:rPr>
              <w:t>II.8</w:t>
            </w:r>
          </w:p>
        </w:tc>
        <w:tc>
          <w:tcPr>
            <w:tcW w:w="4243" w:type="dxa"/>
            <w:tcBorders>
              <w:top w:val="nil"/>
              <w:left w:val="nil"/>
              <w:bottom w:val="nil"/>
              <w:right w:val="nil"/>
            </w:tcBorders>
            <w:shd w:val="clear" w:color="auto" w:fill="auto"/>
            <w:vAlign w:val="center"/>
            <w:hideMark/>
          </w:tcPr>
          <w:p w:rsidR="005618B7" w:rsidRPr="004C6F6E" w:rsidRDefault="005618B7" w:rsidP="00230FAA">
            <w:pPr>
              <w:rPr>
                <w:sz w:val="16"/>
                <w:szCs w:val="16"/>
              </w:rPr>
            </w:pPr>
            <w:r w:rsidRPr="004C6F6E">
              <w:rPr>
                <w:sz w:val="16"/>
                <w:szCs w:val="16"/>
              </w:rPr>
              <w:t>Las controversias nacionales e internacionales en materia de P.I. se evitan o resuelven cada vez con más frecuencia mediante procedimientos de mediación, arbitraje y demás métodos de solución extrajudicial de controversias</w:t>
            </w:r>
          </w:p>
        </w:tc>
        <w:tc>
          <w:tcPr>
            <w:tcW w:w="1180" w:type="dxa"/>
            <w:tcBorders>
              <w:top w:val="nil"/>
              <w:left w:val="nil"/>
              <w:bottom w:val="nil"/>
              <w:right w:val="nil"/>
            </w:tcBorders>
            <w:shd w:val="clear" w:color="auto" w:fill="auto"/>
            <w:noWrap/>
            <w:vAlign w:val="center"/>
            <w:hideMark/>
          </w:tcPr>
          <w:p w:rsidR="005618B7" w:rsidRPr="004C6F6E" w:rsidRDefault="005618B7" w:rsidP="00230FAA">
            <w:pPr>
              <w:jc w:val="center"/>
              <w:rPr>
                <w:sz w:val="16"/>
                <w:szCs w:val="16"/>
              </w:rPr>
            </w:pPr>
            <w:r w:rsidRPr="004C6F6E">
              <w:rPr>
                <w:sz w:val="16"/>
                <w:szCs w:val="16"/>
              </w:rPr>
              <w:t>4.459</w:t>
            </w:r>
          </w:p>
        </w:tc>
        <w:tc>
          <w:tcPr>
            <w:tcW w:w="1180" w:type="dxa"/>
            <w:tcBorders>
              <w:top w:val="nil"/>
              <w:left w:val="nil"/>
              <w:bottom w:val="nil"/>
              <w:right w:val="nil"/>
            </w:tcBorders>
            <w:shd w:val="clear" w:color="auto" w:fill="auto"/>
            <w:noWrap/>
            <w:vAlign w:val="center"/>
            <w:hideMark/>
          </w:tcPr>
          <w:p w:rsidR="005618B7" w:rsidRPr="004C6F6E" w:rsidRDefault="005618B7" w:rsidP="00230FAA">
            <w:pPr>
              <w:jc w:val="center"/>
              <w:rPr>
                <w:sz w:val="16"/>
                <w:szCs w:val="16"/>
              </w:rPr>
            </w:pPr>
            <w:r w:rsidRPr="004C6F6E">
              <w:rPr>
                <w:sz w:val="16"/>
                <w:szCs w:val="16"/>
              </w:rPr>
              <w:t>4.139</w:t>
            </w:r>
          </w:p>
        </w:tc>
        <w:tc>
          <w:tcPr>
            <w:tcW w:w="1180" w:type="dxa"/>
            <w:tcBorders>
              <w:top w:val="nil"/>
              <w:left w:val="nil"/>
              <w:bottom w:val="nil"/>
              <w:right w:val="nil"/>
            </w:tcBorders>
            <w:shd w:val="clear" w:color="auto" w:fill="auto"/>
            <w:noWrap/>
            <w:vAlign w:val="center"/>
            <w:hideMark/>
          </w:tcPr>
          <w:p w:rsidR="005618B7" w:rsidRPr="004C6F6E" w:rsidRDefault="005618B7" w:rsidP="00230FAA">
            <w:pPr>
              <w:jc w:val="center"/>
              <w:rPr>
                <w:sz w:val="16"/>
                <w:szCs w:val="16"/>
              </w:rPr>
            </w:pPr>
            <w:r w:rsidRPr="004C6F6E">
              <w:rPr>
                <w:sz w:val="16"/>
                <w:szCs w:val="16"/>
              </w:rPr>
              <w:t>1.908</w:t>
            </w:r>
          </w:p>
        </w:tc>
      </w:tr>
      <w:tr w:rsidR="005618B7" w:rsidRPr="004C6F6E" w:rsidTr="00230FAA">
        <w:trPr>
          <w:trHeight w:val="450"/>
          <w:jc w:val="center"/>
        </w:trPr>
        <w:tc>
          <w:tcPr>
            <w:tcW w:w="417" w:type="dxa"/>
            <w:tcBorders>
              <w:top w:val="nil"/>
              <w:left w:val="nil"/>
              <w:bottom w:val="nil"/>
              <w:right w:val="nil"/>
            </w:tcBorders>
            <w:shd w:val="clear" w:color="auto" w:fill="auto"/>
            <w:noWrap/>
            <w:vAlign w:val="center"/>
            <w:hideMark/>
          </w:tcPr>
          <w:p w:rsidR="005618B7" w:rsidRPr="004C6F6E" w:rsidRDefault="005618B7" w:rsidP="00230FAA">
            <w:pPr>
              <w:rPr>
                <w:sz w:val="16"/>
                <w:szCs w:val="16"/>
              </w:rPr>
            </w:pPr>
            <w:r w:rsidRPr="004C6F6E">
              <w:rPr>
                <w:sz w:val="16"/>
                <w:szCs w:val="16"/>
              </w:rPr>
              <w:t>II.9</w:t>
            </w:r>
          </w:p>
        </w:tc>
        <w:tc>
          <w:tcPr>
            <w:tcW w:w="4243" w:type="dxa"/>
            <w:tcBorders>
              <w:top w:val="nil"/>
              <w:left w:val="nil"/>
              <w:bottom w:val="nil"/>
              <w:right w:val="nil"/>
            </w:tcBorders>
            <w:shd w:val="clear" w:color="auto" w:fill="auto"/>
            <w:vAlign w:val="center"/>
            <w:hideMark/>
          </w:tcPr>
          <w:p w:rsidR="005618B7" w:rsidRPr="004C6F6E" w:rsidRDefault="005618B7" w:rsidP="00230FAA">
            <w:pPr>
              <w:rPr>
                <w:sz w:val="16"/>
                <w:szCs w:val="16"/>
              </w:rPr>
            </w:pPr>
            <w:r w:rsidRPr="004C6F6E">
              <w:rPr>
                <w:sz w:val="16"/>
                <w:szCs w:val="16"/>
              </w:rPr>
              <w:t>Protección eficaz de la propiedad intelectual en los gTLD y los ccTLD</w:t>
            </w:r>
          </w:p>
        </w:tc>
        <w:tc>
          <w:tcPr>
            <w:tcW w:w="1180" w:type="dxa"/>
            <w:tcBorders>
              <w:top w:val="nil"/>
              <w:left w:val="nil"/>
              <w:bottom w:val="nil"/>
              <w:right w:val="nil"/>
            </w:tcBorders>
            <w:shd w:val="clear" w:color="auto" w:fill="auto"/>
            <w:noWrap/>
            <w:vAlign w:val="center"/>
            <w:hideMark/>
          </w:tcPr>
          <w:p w:rsidR="005618B7" w:rsidRPr="004C6F6E" w:rsidRDefault="005618B7" w:rsidP="00230FAA">
            <w:pPr>
              <w:jc w:val="center"/>
              <w:rPr>
                <w:sz w:val="16"/>
                <w:szCs w:val="16"/>
              </w:rPr>
            </w:pPr>
            <w:r w:rsidRPr="004C6F6E">
              <w:rPr>
                <w:sz w:val="16"/>
                <w:szCs w:val="16"/>
              </w:rPr>
              <w:t>6.899</w:t>
            </w:r>
          </w:p>
        </w:tc>
        <w:tc>
          <w:tcPr>
            <w:tcW w:w="1180" w:type="dxa"/>
            <w:tcBorders>
              <w:top w:val="nil"/>
              <w:left w:val="nil"/>
              <w:bottom w:val="nil"/>
              <w:right w:val="nil"/>
            </w:tcBorders>
            <w:shd w:val="clear" w:color="auto" w:fill="auto"/>
            <w:noWrap/>
            <w:vAlign w:val="center"/>
            <w:hideMark/>
          </w:tcPr>
          <w:p w:rsidR="005618B7" w:rsidRPr="004C6F6E" w:rsidRDefault="005618B7" w:rsidP="00230FAA">
            <w:pPr>
              <w:jc w:val="center"/>
              <w:rPr>
                <w:sz w:val="16"/>
                <w:szCs w:val="16"/>
              </w:rPr>
            </w:pPr>
            <w:r w:rsidRPr="004C6F6E">
              <w:rPr>
                <w:sz w:val="16"/>
                <w:szCs w:val="16"/>
              </w:rPr>
              <w:t>7.199</w:t>
            </w:r>
          </w:p>
        </w:tc>
        <w:tc>
          <w:tcPr>
            <w:tcW w:w="1180" w:type="dxa"/>
            <w:tcBorders>
              <w:top w:val="nil"/>
              <w:left w:val="nil"/>
              <w:bottom w:val="nil"/>
              <w:right w:val="nil"/>
            </w:tcBorders>
            <w:shd w:val="clear" w:color="auto" w:fill="auto"/>
            <w:noWrap/>
            <w:vAlign w:val="center"/>
            <w:hideMark/>
          </w:tcPr>
          <w:p w:rsidR="005618B7" w:rsidRPr="004C6F6E" w:rsidRDefault="005618B7" w:rsidP="00230FAA">
            <w:pPr>
              <w:jc w:val="center"/>
              <w:rPr>
                <w:sz w:val="16"/>
                <w:szCs w:val="16"/>
              </w:rPr>
            </w:pPr>
            <w:r w:rsidRPr="004C6F6E">
              <w:rPr>
                <w:sz w:val="16"/>
                <w:szCs w:val="16"/>
              </w:rPr>
              <w:t>3.169</w:t>
            </w:r>
          </w:p>
        </w:tc>
      </w:tr>
      <w:tr w:rsidR="005618B7" w:rsidRPr="004C6F6E" w:rsidTr="00230FAA">
        <w:trPr>
          <w:trHeight w:val="225"/>
          <w:jc w:val="center"/>
        </w:trPr>
        <w:tc>
          <w:tcPr>
            <w:tcW w:w="417" w:type="dxa"/>
            <w:tcBorders>
              <w:top w:val="nil"/>
              <w:left w:val="nil"/>
              <w:bottom w:val="nil"/>
              <w:right w:val="nil"/>
            </w:tcBorders>
            <w:shd w:val="clear" w:color="000000" w:fill="C5D9F1"/>
            <w:noWrap/>
            <w:vAlign w:val="bottom"/>
            <w:hideMark/>
          </w:tcPr>
          <w:p w:rsidR="005618B7" w:rsidRPr="004C6F6E" w:rsidRDefault="005618B7" w:rsidP="00230FAA">
            <w:pPr>
              <w:rPr>
                <w:sz w:val="16"/>
                <w:szCs w:val="16"/>
              </w:rPr>
            </w:pPr>
            <w:r w:rsidRPr="004C6F6E">
              <w:rPr>
                <w:sz w:val="16"/>
                <w:szCs w:val="16"/>
              </w:rPr>
              <w:t> </w:t>
            </w:r>
          </w:p>
        </w:tc>
        <w:tc>
          <w:tcPr>
            <w:tcW w:w="4243" w:type="dxa"/>
            <w:tcBorders>
              <w:top w:val="nil"/>
              <w:left w:val="nil"/>
              <w:bottom w:val="nil"/>
              <w:right w:val="nil"/>
            </w:tcBorders>
            <w:shd w:val="clear" w:color="000000" w:fill="C5D9F1"/>
            <w:noWrap/>
            <w:vAlign w:val="bottom"/>
            <w:hideMark/>
          </w:tcPr>
          <w:p w:rsidR="005618B7" w:rsidRPr="004C6F6E" w:rsidRDefault="005618B7" w:rsidP="00230FAA">
            <w:pPr>
              <w:jc w:val="right"/>
              <w:rPr>
                <w:b/>
                <w:bCs/>
                <w:sz w:val="16"/>
                <w:szCs w:val="16"/>
              </w:rPr>
            </w:pPr>
            <w:r w:rsidRPr="004C6F6E">
              <w:rPr>
                <w:b/>
                <w:bCs/>
                <w:sz w:val="16"/>
                <w:szCs w:val="16"/>
              </w:rPr>
              <w:t>Total</w:t>
            </w:r>
          </w:p>
        </w:tc>
        <w:tc>
          <w:tcPr>
            <w:tcW w:w="1180" w:type="dxa"/>
            <w:tcBorders>
              <w:top w:val="nil"/>
              <w:left w:val="nil"/>
              <w:bottom w:val="nil"/>
              <w:right w:val="nil"/>
            </w:tcBorders>
            <w:shd w:val="clear" w:color="000000" w:fill="C5D9F1"/>
            <w:noWrap/>
            <w:vAlign w:val="center"/>
            <w:hideMark/>
          </w:tcPr>
          <w:p w:rsidR="005618B7" w:rsidRPr="004C6F6E" w:rsidRDefault="005618B7" w:rsidP="00230FAA">
            <w:pPr>
              <w:jc w:val="center"/>
              <w:rPr>
                <w:sz w:val="16"/>
                <w:szCs w:val="16"/>
              </w:rPr>
            </w:pPr>
            <w:r w:rsidRPr="004C6F6E">
              <w:rPr>
                <w:sz w:val="16"/>
                <w:szCs w:val="16"/>
              </w:rPr>
              <w:t>11.358</w:t>
            </w:r>
          </w:p>
        </w:tc>
        <w:tc>
          <w:tcPr>
            <w:tcW w:w="1180" w:type="dxa"/>
            <w:tcBorders>
              <w:top w:val="nil"/>
              <w:left w:val="nil"/>
              <w:bottom w:val="nil"/>
              <w:right w:val="nil"/>
            </w:tcBorders>
            <w:shd w:val="clear" w:color="000000" w:fill="C5D9F1"/>
            <w:noWrap/>
            <w:vAlign w:val="center"/>
            <w:hideMark/>
          </w:tcPr>
          <w:p w:rsidR="005618B7" w:rsidRPr="004C6F6E" w:rsidRDefault="005618B7" w:rsidP="00230FAA">
            <w:pPr>
              <w:jc w:val="center"/>
              <w:rPr>
                <w:sz w:val="16"/>
                <w:szCs w:val="16"/>
              </w:rPr>
            </w:pPr>
            <w:r w:rsidRPr="004C6F6E">
              <w:rPr>
                <w:sz w:val="16"/>
                <w:szCs w:val="16"/>
              </w:rPr>
              <w:t>11.338</w:t>
            </w:r>
          </w:p>
        </w:tc>
        <w:tc>
          <w:tcPr>
            <w:tcW w:w="1180" w:type="dxa"/>
            <w:tcBorders>
              <w:top w:val="nil"/>
              <w:left w:val="nil"/>
              <w:bottom w:val="nil"/>
              <w:right w:val="nil"/>
            </w:tcBorders>
            <w:shd w:val="clear" w:color="000000" w:fill="C5D9F1"/>
            <w:noWrap/>
            <w:vAlign w:val="center"/>
            <w:hideMark/>
          </w:tcPr>
          <w:p w:rsidR="005618B7" w:rsidRPr="004C6F6E" w:rsidRDefault="005618B7" w:rsidP="00230FAA">
            <w:pPr>
              <w:jc w:val="center"/>
              <w:rPr>
                <w:sz w:val="16"/>
                <w:szCs w:val="16"/>
              </w:rPr>
            </w:pPr>
            <w:r w:rsidRPr="004C6F6E">
              <w:rPr>
                <w:sz w:val="16"/>
                <w:szCs w:val="16"/>
              </w:rPr>
              <w:t>5.077</w:t>
            </w:r>
          </w:p>
        </w:tc>
      </w:tr>
      <w:tr w:rsidR="005618B7" w:rsidRPr="004C6F6E" w:rsidTr="00230FAA">
        <w:trPr>
          <w:trHeight w:val="330"/>
          <w:jc w:val="center"/>
        </w:trPr>
        <w:tc>
          <w:tcPr>
            <w:tcW w:w="7020" w:type="dxa"/>
            <w:gridSpan w:val="4"/>
            <w:tcBorders>
              <w:top w:val="nil"/>
              <w:left w:val="nil"/>
              <w:bottom w:val="nil"/>
              <w:right w:val="nil"/>
            </w:tcBorders>
            <w:shd w:val="clear" w:color="auto" w:fill="auto"/>
            <w:noWrap/>
            <w:vAlign w:val="center"/>
            <w:hideMark/>
          </w:tcPr>
          <w:p w:rsidR="005618B7" w:rsidRPr="004C6F6E" w:rsidRDefault="005618B7" w:rsidP="00230FAA">
            <w:pPr>
              <w:rPr>
                <w:i/>
                <w:iCs/>
                <w:sz w:val="16"/>
                <w:szCs w:val="16"/>
              </w:rPr>
            </w:pPr>
            <w:r w:rsidRPr="004C6F6E">
              <w:rPr>
                <w:i/>
                <w:iCs/>
                <w:sz w:val="16"/>
                <w:szCs w:val="16"/>
              </w:rPr>
              <w:t>*Las cifras de gastos en 2016 son preliminares, a reserva de verificación por el Auditor Externo.</w:t>
            </w:r>
          </w:p>
        </w:tc>
        <w:tc>
          <w:tcPr>
            <w:tcW w:w="1180" w:type="dxa"/>
            <w:tcBorders>
              <w:top w:val="nil"/>
              <w:left w:val="nil"/>
              <w:bottom w:val="nil"/>
              <w:right w:val="nil"/>
            </w:tcBorders>
            <w:shd w:val="clear" w:color="auto" w:fill="auto"/>
            <w:noWrap/>
            <w:vAlign w:val="center"/>
            <w:hideMark/>
          </w:tcPr>
          <w:p w:rsidR="005618B7" w:rsidRPr="004C6F6E" w:rsidRDefault="005618B7" w:rsidP="00230FAA">
            <w:pPr>
              <w:rPr>
                <w:sz w:val="16"/>
                <w:szCs w:val="16"/>
              </w:rPr>
            </w:pPr>
          </w:p>
        </w:tc>
      </w:tr>
    </w:tbl>
    <w:p w:rsidR="005618B7" w:rsidRPr="004C6F6E" w:rsidRDefault="005618B7" w:rsidP="00230FAA">
      <w:pPr>
        <w:rPr>
          <w:bCs/>
          <w:sz w:val="20"/>
        </w:rPr>
      </w:pPr>
    </w:p>
    <w:p w:rsidR="005618B7" w:rsidRPr="004C6F6E" w:rsidRDefault="005618B7" w:rsidP="00230FAA">
      <w:pPr>
        <w:keepNext/>
        <w:keepLines/>
        <w:jc w:val="center"/>
        <w:rPr>
          <w:sz w:val="18"/>
          <w:szCs w:val="18"/>
        </w:rPr>
      </w:pPr>
      <w:r w:rsidRPr="004C6F6E">
        <w:rPr>
          <w:sz w:val="18"/>
          <w:szCs w:val="18"/>
        </w:rPr>
        <w:lastRenderedPageBreak/>
        <w:t xml:space="preserve">Presupuesto y gastos reales (de personal y no relativos a personal) </w:t>
      </w:r>
    </w:p>
    <w:p w:rsidR="005618B7" w:rsidRPr="004C6F6E" w:rsidRDefault="005618B7" w:rsidP="00230FAA">
      <w:pPr>
        <w:keepNext/>
        <w:keepLines/>
        <w:jc w:val="center"/>
        <w:rPr>
          <w:i/>
          <w:iCs/>
          <w:sz w:val="16"/>
          <w:szCs w:val="16"/>
        </w:rPr>
      </w:pPr>
      <w:r w:rsidRPr="004C6F6E">
        <w:rPr>
          <w:i/>
          <w:iCs/>
          <w:sz w:val="16"/>
          <w:szCs w:val="16"/>
        </w:rPr>
        <w:t>(en miles de francos suizos)</w:t>
      </w:r>
    </w:p>
    <w:p w:rsidR="005618B7" w:rsidRPr="004C6F6E" w:rsidRDefault="005618B7" w:rsidP="00230FAA">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5618B7" w:rsidRPr="004C6F6E" w:rsidTr="00230FAA">
        <w:trPr>
          <w:trHeight w:val="720"/>
          <w:jc w:val="center"/>
        </w:trPr>
        <w:tc>
          <w:tcPr>
            <w:tcW w:w="2440" w:type="dxa"/>
            <w:tcBorders>
              <w:top w:val="nil"/>
              <w:left w:val="nil"/>
              <w:bottom w:val="nil"/>
              <w:right w:val="nil"/>
            </w:tcBorders>
            <w:shd w:val="clear" w:color="000000" w:fill="C5D9F1"/>
            <w:noWrap/>
            <w:vAlign w:val="center"/>
            <w:hideMark/>
          </w:tcPr>
          <w:p w:rsidR="005618B7" w:rsidRPr="004C6F6E" w:rsidRDefault="005618B7" w:rsidP="00230FAA">
            <w:pPr>
              <w:rPr>
                <w:sz w:val="16"/>
                <w:szCs w:val="16"/>
              </w:rPr>
            </w:pPr>
            <w:r w:rsidRPr="004C6F6E">
              <w:rPr>
                <w:sz w:val="16"/>
                <w:szCs w:val="16"/>
              </w:rPr>
              <w:t> </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Gastos en 2016*</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Índice de utilización (%)</w:t>
            </w:r>
          </w:p>
        </w:tc>
      </w:tr>
      <w:tr w:rsidR="005618B7" w:rsidRPr="004C6F6E" w:rsidTr="00230FAA">
        <w:trPr>
          <w:trHeight w:val="315"/>
          <w:jc w:val="center"/>
        </w:trPr>
        <w:tc>
          <w:tcPr>
            <w:tcW w:w="2440" w:type="dxa"/>
            <w:tcBorders>
              <w:top w:val="nil"/>
              <w:left w:val="nil"/>
              <w:bottom w:val="nil"/>
              <w:right w:val="nil"/>
            </w:tcBorders>
            <w:shd w:val="clear" w:color="auto" w:fill="auto"/>
            <w:noWrap/>
            <w:vAlign w:val="center"/>
            <w:hideMark/>
          </w:tcPr>
          <w:p w:rsidR="005618B7" w:rsidRPr="004C6F6E" w:rsidRDefault="005618B7" w:rsidP="00230FAA">
            <w:pPr>
              <w:rPr>
                <w:sz w:val="16"/>
                <w:szCs w:val="16"/>
              </w:rPr>
            </w:pPr>
            <w:r w:rsidRPr="004C6F6E">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 xml:space="preserve">8.357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 xml:space="preserve">8.400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 xml:space="preserve">3.914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47%</w:t>
            </w:r>
          </w:p>
        </w:tc>
      </w:tr>
      <w:tr w:rsidR="005618B7" w:rsidRPr="004C6F6E" w:rsidTr="00230FAA">
        <w:trPr>
          <w:trHeight w:val="315"/>
          <w:jc w:val="center"/>
        </w:trPr>
        <w:tc>
          <w:tcPr>
            <w:tcW w:w="2440" w:type="dxa"/>
            <w:tcBorders>
              <w:top w:val="nil"/>
              <w:left w:val="nil"/>
              <w:bottom w:val="nil"/>
              <w:right w:val="nil"/>
            </w:tcBorders>
            <w:shd w:val="clear" w:color="auto" w:fill="auto"/>
            <w:noWrap/>
            <w:vAlign w:val="center"/>
            <w:hideMark/>
          </w:tcPr>
          <w:p w:rsidR="005618B7" w:rsidRPr="004C6F6E" w:rsidRDefault="005618B7" w:rsidP="00230FAA">
            <w:pPr>
              <w:rPr>
                <w:sz w:val="16"/>
                <w:szCs w:val="16"/>
              </w:rPr>
            </w:pPr>
            <w:r w:rsidRPr="004C6F6E">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 xml:space="preserve">3.002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 xml:space="preserve">2.939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 xml:space="preserve">1.163 </w:t>
            </w:r>
          </w:p>
        </w:tc>
        <w:tc>
          <w:tcPr>
            <w:tcW w:w="1420" w:type="dxa"/>
            <w:tcBorders>
              <w:top w:val="nil"/>
              <w:left w:val="nil"/>
              <w:bottom w:val="nil"/>
              <w:right w:val="nil"/>
            </w:tcBorders>
            <w:shd w:val="clear" w:color="auto" w:fill="auto"/>
            <w:vAlign w:val="center"/>
            <w:hideMark/>
          </w:tcPr>
          <w:p w:rsidR="005618B7" w:rsidRPr="004C6F6E" w:rsidRDefault="005618B7" w:rsidP="00230FAA">
            <w:pPr>
              <w:jc w:val="center"/>
              <w:rPr>
                <w:sz w:val="16"/>
                <w:szCs w:val="16"/>
              </w:rPr>
            </w:pPr>
            <w:r w:rsidRPr="004C6F6E">
              <w:rPr>
                <w:sz w:val="16"/>
                <w:szCs w:val="16"/>
              </w:rPr>
              <w:t>40%</w:t>
            </w:r>
          </w:p>
        </w:tc>
      </w:tr>
      <w:tr w:rsidR="005618B7" w:rsidRPr="004C6F6E" w:rsidTr="00230FAA">
        <w:trPr>
          <w:trHeight w:val="225"/>
          <w:jc w:val="center"/>
        </w:trPr>
        <w:tc>
          <w:tcPr>
            <w:tcW w:w="2440" w:type="dxa"/>
            <w:tcBorders>
              <w:top w:val="nil"/>
              <w:left w:val="nil"/>
              <w:bottom w:val="nil"/>
              <w:right w:val="nil"/>
            </w:tcBorders>
            <w:shd w:val="clear" w:color="000000" w:fill="C5D9F1"/>
            <w:noWrap/>
            <w:vAlign w:val="center"/>
            <w:hideMark/>
          </w:tcPr>
          <w:p w:rsidR="005618B7" w:rsidRPr="004C6F6E" w:rsidRDefault="005618B7" w:rsidP="00230FAA">
            <w:pPr>
              <w:jc w:val="right"/>
              <w:rPr>
                <w:b/>
                <w:bCs/>
                <w:sz w:val="16"/>
                <w:szCs w:val="16"/>
              </w:rPr>
            </w:pPr>
            <w:r w:rsidRPr="004C6F6E">
              <w:rPr>
                <w:b/>
                <w:bCs/>
                <w:sz w:val="16"/>
                <w:szCs w:val="16"/>
              </w:rPr>
              <w:t xml:space="preserve"> Total </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 xml:space="preserve">11.358 </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 xml:space="preserve">11.338 </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 xml:space="preserve">5.077 </w:t>
            </w:r>
          </w:p>
        </w:tc>
        <w:tc>
          <w:tcPr>
            <w:tcW w:w="1420" w:type="dxa"/>
            <w:tcBorders>
              <w:top w:val="nil"/>
              <w:left w:val="nil"/>
              <w:bottom w:val="nil"/>
              <w:right w:val="nil"/>
            </w:tcBorders>
            <w:shd w:val="clear" w:color="000000" w:fill="C5D9F1"/>
            <w:vAlign w:val="center"/>
            <w:hideMark/>
          </w:tcPr>
          <w:p w:rsidR="005618B7" w:rsidRPr="004C6F6E" w:rsidRDefault="005618B7" w:rsidP="00230FAA">
            <w:pPr>
              <w:jc w:val="center"/>
              <w:rPr>
                <w:b/>
                <w:bCs/>
                <w:sz w:val="16"/>
                <w:szCs w:val="16"/>
              </w:rPr>
            </w:pPr>
            <w:r w:rsidRPr="004C6F6E">
              <w:rPr>
                <w:b/>
                <w:bCs/>
                <w:sz w:val="16"/>
                <w:szCs w:val="16"/>
              </w:rPr>
              <w:t>45%</w:t>
            </w:r>
          </w:p>
        </w:tc>
      </w:tr>
      <w:tr w:rsidR="005618B7" w:rsidRPr="004C6F6E" w:rsidTr="00230FAA">
        <w:trPr>
          <w:trHeight w:val="300"/>
          <w:jc w:val="center"/>
        </w:trPr>
        <w:tc>
          <w:tcPr>
            <w:tcW w:w="8120" w:type="dxa"/>
            <w:gridSpan w:val="5"/>
            <w:tcBorders>
              <w:top w:val="nil"/>
              <w:left w:val="nil"/>
              <w:bottom w:val="nil"/>
              <w:right w:val="nil"/>
            </w:tcBorders>
            <w:shd w:val="clear" w:color="auto" w:fill="auto"/>
            <w:noWrap/>
            <w:vAlign w:val="center"/>
            <w:hideMark/>
          </w:tcPr>
          <w:p w:rsidR="005618B7" w:rsidRPr="004C6F6E" w:rsidRDefault="005618B7" w:rsidP="00230FAA">
            <w:pPr>
              <w:rPr>
                <w:i/>
                <w:iCs/>
                <w:sz w:val="16"/>
                <w:szCs w:val="16"/>
              </w:rPr>
            </w:pPr>
            <w:r w:rsidRPr="004C6F6E">
              <w:rPr>
                <w:i/>
                <w:iCs/>
                <w:sz w:val="16"/>
                <w:szCs w:val="16"/>
              </w:rPr>
              <w:t xml:space="preserve"> *Las cifras de gastos en 2016 son preliminares, a reserva de verificación por el Auditor Externo.</w:t>
            </w:r>
          </w:p>
        </w:tc>
      </w:tr>
    </w:tbl>
    <w:p w:rsidR="005618B7" w:rsidRPr="004C6F6E" w:rsidRDefault="005618B7" w:rsidP="00230FAA">
      <w:pPr>
        <w:rPr>
          <w:sz w:val="20"/>
        </w:rPr>
      </w:pPr>
    </w:p>
    <w:p w:rsidR="005618B7" w:rsidRPr="004C6F6E" w:rsidRDefault="005618B7" w:rsidP="00230FAA">
      <w:pPr>
        <w:ind w:left="567" w:right="438"/>
        <w:rPr>
          <w:i/>
          <w:sz w:val="16"/>
          <w:szCs w:val="16"/>
        </w:rPr>
      </w:pPr>
      <w:r w:rsidRPr="004C6F6E">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5618B7" w:rsidRPr="009E058E" w:rsidRDefault="005618B7" w:rsidP="00230FAA">
      <w:pPr>
        <w:rPr>
          <w:sz w:val="20"/>
        </w:rPr>
      </w:pPr>
    </w:p>
    <w:p w:rsidR="005618B7" w:rsidRPr="009E058E" w:rsidRDefault="005618B7" w:rsidP="00230FAA">
      <w:pPr>
        <w:rPr>
          <w:sz w:val="20"/>
        </w:rPr>
      </w:pPr>
    </w:p>
    <w:p w:rsidR="005618B7" w:rsidRPr="004C6F6E" w:rsidRDefault="005618B7" w:rsidP="00230FAA">
      <w:pPr>
        <w:jc w:val="both"/>
        <w:rPr>
          <w:sz w:val="20"/>
          <w:u w:val="single"/>
        </w:rPr>
      </w:pPr>
      <w:r w:rsidRPr="004C6F6E">
        <w:rPr>
          <w:sz w:val="20"/>
        </w:rPr>
        <w:t>A.</w:t>
      </w:r>
      <w:r w:rsidRPr="004C6F6E">
        <w:rPr>
          <w:sz w:val="20"/>
        </w:rPr>
        <w:tab/>
      </w:r>
      <w:r w:rsidRPr="004C6F6E">
        <w:rPr>
          <w:sz w:val="20"/>
          <w:u w:val="single"/>
        </w:rPr>
        <w:t>Presupuesto de 2016/17 tras las transferencias</w:t>
      </w:r>
    </w:p>
    <w:p w:rsidR="005618B7" w:rsidRPr="004C6F6E" w:rsidRDefault="005618B7" w:rsidP="00230FAA">
      <w:pPr>
        <w:jc w:val="both"/>
        <w:rPr>
          <w:sz w:val="20"/>
        </w:rPr>
      </w:pPr>
    </w:p>
    <w:p w:rsidR="005618B7" w:rsidRPr="004C6F6E" w:rsidRDefault="005618B7" w:rsidP="005618B7">
      <w:pPr>
        <w:pStyle w:val="ListParagraph"/>
        <w:numPr>
          <w:ilvl w:val="0"/>
          <w:numId w:val="42"/>
        </w:numPr>
        <w:tabs>
          <w:tab w:val="left" w:pos="0"/>
          <w:tab w:val="left" w:pos="709"/>
        </w:tabs>
        <w:autoSpaceDE w:val="0"/>
        <w:autoSpaceDN w:val="0"/>
        <w:ind w:left="0" w:firstLine="0"/>
        <w:contextualSpacing/>
        <w:jc w:val="both"/>
        <w:rPr>
          <w:rFonts w:cs="Arial"/>
          <w:lang w:val="es-ES"/>
        </w:rPr>
      </w:pPr>
      <w:r w:rsidRPr="004C6F6E">
        <w:rPr>
          <w:rFonts w:cs="Arial"/>
          <w:lang w:val="es-ES"/>
        </w:rPr>
        <w:t xml:space="preserve">El leve aumento neto en los recursos de personal con respecto al presupuesto aprobado de 2016/17 </w:t>
      </w:r>
      <w:r w:rsidR="0048069B">
        <w:rPr>
          <w:rFonts w:cs="Arial"/>
          <w:lang w:val="es-ES"/>
        </w:rPr>
        <w:t>se debió</w:t>
      </w:r>
      <w:r w:rsidRPr="004C6F6E">
        <w:rPr>
          <w:rFonts w:cs="Arial"/>
          <w:lang w:val="es-ES"/>
        </w:rPr>
        <w:t xml:space="preserve"> principalmente, por una parte, a la regularización de dos funciones permanentes, y, por otra, a la redistribución de los ahorros acumulados en el programa con respecto a los gastos de personal a otras prioridades institucionales.  La pequeña disminución en los gastos no relativos a personal </w:t>
      </w:r>
      <w:r w:rsidR="0048069B">
        <w:rPr>
          <w:rFonts w:cs="Arial"/>
          <w:lang w:val="es-ES"/>
        </w:rPr>
        <w:t>se debió</w:t>
      </w:r>
      <w:r w:rsidRPr="004C6F6E">
        <w:rPr>
          <w:rFonts w:cs="Arial"/>
          <w:lang w:val="es-ES"/>
        </w:rPr>
        <w:t xml:space="preserve"> a la transferencia de recursos destinados a pasantías al DGRRHH (programa 23), que gestiona las pasantías de manera centralizada, y al Sistema del PCT (programa 5) para la adquisición excepcional de mobiliario y equipo.</w:t>
      </w:r>
    </w:p>
    <w:p w:rsidR="005618B7" w:rsidRPr="004C6F6E" w:rsidRDefault="005618B7" w:rsidP="00230FAA">
      <w:pPr>
        <w:tabs>
          <w:tab w:val="left" w:pos="0"/>
          <w:tab w:val="left" w:pos="709"/>
        </w:tabs>
        <w:autoSpaceDE w:val="0"/>
        <w:autoSpaceDN w:val="0"/>
        <w:contextualSpacing/>
        <w:jc w:val="both"/>
        <w:rPr>
          <w:sz w:val="20"/>
          <w:lang w:eastAsia="ko-KR"/>
        </w:rPr>
      </w:pPr>
    </w:p>
    <w:p w:rsidR="005618B7" w:rsidRPr="004C6F6E" w:rsidRDefault="005618B7" w:rsidP="00230FAA">
      <w:pPr>
        <w:jc w:val="both"/>
        <w:rPr>
          <w:sz w:val="20"/>
          <w:u w:val="single"/>
        </w:rPr>
      </w:pPr>
      <w:r w:rsidRPr="004C6F6E">
        <w:rPr>
          <w:sz w:val="20"/>
        </w:rPr>
        <w:t>B.</w:t>
      </w:r>
      <w:r w:rsidRPr="004C6F6E">
        <w:rPr>
          <w:sz w:val="20"/>
        </w:rPr>
        <w:tab/>
      </w:r>
      <w:r w:rsidRPr="004C6F6E">
        <w:rPr>
          <w:sz w:val="20"/>
          <w:u w:val="single"/>
        </w:rPr>
        <w:t>Utilización del presupuesto en 2016/17</w:t>
      </w:r>
    </w:p>
    <w:p w:rsidR="005618B7" w:rsidRPr="004C6F6E" w:rsidRDefault="005618B7" w:rsidP="00230FAA">
      <w:pPr>
        <w:jc w:val="both"/>
        <w:rPr>
          <w:sz w:val="20"/>
          <w:u w:val="single"/>
          <w:lang w:eastAsia="ko-KR"/>
        </w:rPr>
      </w:pPr>
    </w:p>
    <w:p w:rsidR="005618B7" w:rsidRPr="004C6F6E" w:rsidRDefault="005618B7" w:rsidP="005618B7">
      <w:pPr>
        <w:pStyle w:val="ListParagraph"/>
        <w:numPr>
          <w:ilvl w:val="0"/>
          <w:numId w:val="42"/>
        </w:numPr>
        <w:tabs>
          <w:tab w:val="left" w:pos="0"/>
          <w:tab w:val="left" w:pos="709"/>
        </w:tabs>
        <w:autoSpaceDE w:val="0"/>
        <w:autoSpaceDN w:val="0"/>
        <w:ind w:left="0" w:firstLine="0"/>
        <w:contextualSpacing/>
        <w:jc w:val="both"/>
        <w:rPr>
          <w:rFonts w:cs="Arial"/>
          <w:lang w:val="es-ES" w:eastAsia="ko-KR"/>
        </w:rPr>
      </w:pPr>
      <w:r w:rsidRPr="004C6F6E">
        <w:rPr>
          <w:rFonts w:cs="Arial"/>
          <w:lang w:val="es-ES" w:eastAsia="ko-KR"/>
        </w:rPr>
        <w:t xml:space="preserve">La utilización del presupuesto se ha mantenido dentro de los límites establecidos (40-60%) durante el primer año del bienio. </w:t>
      </w:r>
    </w:p>
    <w:p w:rsidR="005618B7" w:rsidRPr="004C6F6E" w:rsidRDefault="005618B7" w:rsidP="00230FAA">
      <w:pPr>
        <w:tabs>
          <w:tab w:val="left" w:pos="6011"/>
        </w:tabs>
        <w:rPr>
          <w:sz w:val="20"/>
        </w:rPr>
      </w:pPr>
    </w:p>
    <w:p w:rsidR="005618B7" w:rsidRPr="004C6F6E" w:rsidRDefault="005618B7" w:rsidP="00230FAA">
      <w:pPr>
        <w:tabs>
          <w:tab w:val="left" w:pos="6011"/>
        </w:tabs>
        <w:rPr>
          <w:sz w:val="20"/>
        </w:rPr>
      </w:pPr>
    </w:p>
    <w:p w:rsidR="005618B7" w:rsidRPr="004C6F6E" w:rsidRDefault="005618B7" w:rsidP="00230FAA">
      <w:pPr>
        <w:tabs>
          <w:tab w:val="left" w:pos="6011"/>
        </w:tabs>
        <w:rPr>
          <w:sz w:val="20"/>
        </w:rPr>
      </w:pPr>
    </w:p>
    <w:p w:rsidR="00AA75F7" w:rsidRPr="002F663B" w:rsidRDefault="00AA75F7" w:rsidP="00046CA2">
      <w:pPr>
        <w:pStyle w:val="ListParagraph"/>
        <w:ind w:left="0" w:hanging="11"/>
        <w:rPr>
          <w:rFonts w:cs="Arial"/>
          <w:lang w:val="es-ES"/>
        </w:rPr>
      </w:pPr>
    </w:p>
    <w:p w:rsidR="00EE1CCE" w:rsidRPr="002F663B" w:rsidRDefault="00EE1CCE" w:rsidP="00046CA2">
      <w:pPr>
        <w:pStyle w:val="ListParagraph"/>
        <w:ind w:left="0" w:hanging="11"/>
        <w:rPr>
          <w:rFonts w:cs="Arial"/>
          <w:lang w:val="es-ES"/>
        </w:rPr>
      </w:pPr>
      <w:r w:rsidRPr="002F663B">
        <w:rPr>
          <w:rFonts w:cs="Arial"/>
          <w:lang w:val="es-ES"/>
        </w:rPr>
        <w:br w:type="page"/>
      </w:r>
    </w:p>
    <w:p w:rsidR="00EE1CCE" w:rsidRPr="008F3D8D" w:rsidRDefault="000A09A0" w:rsidP="00425619">
      <w:pPr>
        <w:pStyle w:val="Heading2"/>
        <w:spacing w:before="0" w:after="0"/>
        <w:jc w:val="center"/>
        <w:rPr>
          <w:b/>
          <w:bCs w:val="0"/>
          <w:caps w:val="0"/>
          <w:sz w:val="20"/>
          <w:szCs w:val="20"/>
        </w:rPr>
      </w:pPr>
      <w:bookmarkStart w:id="41" w:name="_Toc482711252"/>
      <w:r w:rsidRPr="008F3D8D">
        <w:rPr>
          <w:b/>
          <w:caps w:val="0"/>
          <w:sz w:val="20"/>
          <w:szCs w:val="20"/>
          <w:lang w:val="es-ES_tradnl"/>
        </w:rPr>
        <w:lastRenderedPageBreak/>
        <w:t>META ESTRATÉGICA III</w:t>
      </w:r>
      <w:bookmarkEnd w:id="41"/>
    </w:p>
    <w:p w:rsidR="00EE1CCE" w:rsidRPr="008F3D8D" w:rsidRDefault="00EE1CCE" w:rsidP="00425619">
      <w:pPr>
        <w:rPr>
          <w:sz w:val="20"/>
          <w:lang w:eastAsia="en-US"/>
        </w:rPr>
      </w:pPr>
    </w:p>
    <w:p w:rsidR="00EE1CCE" w:rsidRPr="008F3D8D" w:rsidRDefault="00EE1CCE" w:rsidP="00425619">
      <w:pPr>
        <w:jc w:val="center"/>
        <w:rPr>
          <w:b/>
          <w:sz w:val="20"/>
        </w:rPr>
      </w:pPr>
      <w:r w:rsidRPr="008F3D8D">
        <w:rPr>
          <w:b/>
          <w:sz w:val="20"/>
          <w:lang w:val="es-ES_tradnl"/>
        </w:rPr>
        <w:t>FACILITAR EL USO DE LA P.I. EN ARAS DEL DESARROLLO</w:t>
      </w:r>
    </w:p>
    <w:p w:rsidR="00EE1CCE" w:rsidRPr="008F3D8D" w:rsidRDefault="00EE1CCE" w:rsidP="00425619">
      <w:pPr>
        <w:rPr>
          <w:sz w:val="20"/>
          <w:lang w:eastAsia="en-US"/>
        </w:rPr>
      </w:pPr>
    </w:p>
    <w:p w:rsidR="00EE1CCE" w:rsidRPr="008F3D8D" w:rsidRDefault="00EE1CCE" w:rsidP="00425619">
      <w:pPr>
        <w:jc w:val="center"/>
        <w:rPr>
          <w:b/>
          <w:sz w:val="20"/>
        </w:rPr>
      </w:pPr>
      <w:r w:rsidRPr="008F3D8D">
        <w:rPr>
          <w:b/>
          <w:sz w:val="20"/>
        </w:rPr>
        <w:t>Tablero de control del rendimiento a mediano plazo (2016)</w:t>
      </w:r>
    </w:p>
    <w:p w:rsidR="00EE1CCE" w:rsidRPr="008F3D8D" w:rsidRDefault="00EE1CCE" w:rsidP="00EE1CCE">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595838" w:rsidP="00EE1CCE">
      <w:pPr>
        <w:ind w:left="567"/>
        <w:jc w:val="center"/>
      </w:pPr>
      <w:r w:rsidRPr="00595838">
        <w:rPr>
          <w:noProof/>
          <w:lang w:val="en-US" w:eastAsia="en-US"/>
        </w:rPr>
        <w:drawing>
          <wp:inline distT="0" distB="0" distL="0" distR="0" wp14:anchorId="361A9FA4" wp14:editId="366B342A">
            <wp:extent cx="4068000" cy="2194959"/>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4068000" cy="2194959"/>
                    </a:xfrm>
                    <a:prstGeom prst="rect">
                      <a:avLst/>
                    </a:prstGeom>
                    <a:noFill/>
                    <a:ln>
                      <a:noFill/>
                    </a:ln>
                  </pic:spPr>
                </pic:pic>
              </a:graphicData>
            </a:graphic>
          </wp:inline>
        </w:drawing>
      </w:r>
    </w:p>
    <w:tbl>
      <w:tblPr>
        <w:tblW w:w="9216" w:type="dxa"/>
        <w:tblInd w:w="108" w:type="dxa"/>
        <w:tblLayout w:type="fixed"/>
        <w:tblLook w:val="0000" w:firstRow="0" w:lastRow="0" w:firstColumn="0" w:lastColumn="0" w:noHBand="0" w:noVBand="0"/>
      </w:tblPr>
      <w:tblGrid>
        <w:gridCol w:w="2722"/>
        <w:gridCol w:w="3858"/>
        <w:gridCol w:w="1587"/>
        <w:gridCol w:w="1049"/>
      </w:tblGrid>
      <w:tr w:rsidR="00EE1CCE" w:rsidRPr="008F3D8D" w:rsidTr="00653EAB">
        <w:trPr>
          <w:cantSplit/>
          <w:tblHeader/>
        </w:trPr>
        <w:tc>
          <w:tcPr>
            <w:tcW w:w="1477" w:type="pct"/>
            <w:shd w:val="clear" w:color="auto" w:fill="B8CCE4" w:themeFill="accent1" w:themeFillTint="66"/>
            <w:tcMar>
              <w:top w:w="57" w:type="dxa"/>
              <w:bottom w:w="57" w:type="dxa"/>
            </w:tcMar>
            <w:vAlign w:val="center"/>
          </w:tcPr>
          <w:p w:rsidR="00EE1CCE" w:rsidRPr="008F3D8D" w:rsidRDefault="00EE1CCE" w:rsidP="00A34E19">
            <w:pPr>
              <w:spacing w:after="120"/>
              <w:rPr>
                <w:b/>
                <w:bCs/>
                <w:sz w:val="18"/>
                <w:szCs w:val="18"/>
              </w:rPr>
            </w:pPr>
            <w:r w:rsidRPr="008F3D8D">
              <w:rPr>
                <w:b/>
                <w:bCs/>
                <w:sz w:val="18"/>
                <w:szCs w:val="18"/>
                <w:lang w:val="es-ES_tradnl"/>
              </w:rPr>
              <w:t>Resultado previsto</w:t>
            </w:r>
          </w:p>
        </w:tc>
        <w:tc>
          <w:tcPr>
            <w:tcW w:w="2093" w:type="pct"/>
            <w:shd w:val="clear" w:color="auto" w:fill="B8CCE4" w:themeFill="accent1" w:themeFillTint="66"/>
            <w:tcMar>
              <w:top w:w="57" w:type="dxa"/>
              <w:bottom w:w="57" w:type="dxa"/>
            </w:tcMar>
            <w:vAlign w:val="center"/>
          </w:tcPr>
          <w:p w:rsidR="00EE1CCE" w:rsidRPr="008F3D8D" w:rsidRDefault="00EE1CCE" w:rsidP="00A34E19">
            <w:pPr>
              <w:spacing w:after="120"/>
              <w:rPr>
                <w:b/>
                <w:bCs/>
                <w:sz w:val="18"/>
                <w:szCs w:val="18"/>
              </w:rPr>
            </w:pPr>
            <w:r w:rsidRPr="008F3D8D">
              <w:rPr>
                <w:b/>
                <w:bCs/>
                <w:sz w:val="18"/>
                <w:szCs w:val="18"/>
                <w:lang w:val="es-ES_tradnl"/>
              </w:rPr>
              <w:t>Indicadores de rendimiento</w:t>
            </w:r>
          </w:p>
        </w:tc>
        <w:tc>
          <w:tcPr>
            <w:tcW w:w="861" w:type="pct"/>
            <w:shd w:val="clear" w:color="auto" w:fill="B8CCE4" w:themeFill="accent1" w:themeFillTint="66"/>
            <w:tcMar>
              <w:top w:w="57" w:type="dxa"/>
              <w:bottom w:w="57" w:type="dxa"/>
            </w:tcMar>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Programas responsables</w:t>
            </w:r>
          </w:p>
        </w:tc>
        <w:tc>
          <w:tcPr>
            <w:tcW w:w="569" w:type="pct"/>
            <w:shd w:val="clear" w:color="auto" w:fill="B8CCE4" w:themeFill="accent1" w:themeFillTint="66"/>
            <w:tcMar>
              <w:top w:w="57" w:type="dxa"/>
              <w:bottom w:w="57" w:type="dxa"/>
            </w:tcMar>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Clave de colores</w:t>
            </w:r>
          </w:p>
        </w:tc>
      </w:tr>
      <w:tr w:rsidR="00EE1CCE" w:rsidRPr="008F3D8D" w:rsidTr="00653EAB">
        <w:trPr>
          <w:cantSplit/>
        </w:trPr>
        <w:tc>
          <w:tcPr>
            <w:tcW w:w="1477" w:type="pct"/>
            <w:vMerge w:val="restar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III.1  Estrategias y planes nacionales de innovación y de P.I. que estén en sintonía con los objetivos nacionales de desarrollo</w:t>
            </w:r>
          </w:p>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países que están elaborando estrategias nacionales de 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rPr>
            </w:pPr>
            <w:r w:rsidRPr="008F3D8D">
              <w:rPr>
                <w:sz w:val="16"/>
                <w:szCs w:val="16"/>
                <w:lang w:val="es-ES_tradnl"/>
              </w:rPr>
              <w:t>Programa 9</w:t>
            </w:r>
          </w:p>
          <w:p w:rsidR="00EE1CCE" w:rsidRPr="008F3D8D" w:rsidRDefault="00EE1CCE" w:rsidP="00156844">
            <w:pPr>
              <w:spacing w:before="60"/>
              <w:jc w:val="center"/>
              <w:rPr>
                <w:sz w:val="16"/>
                <w:szCs w:val="16"/>
              </w:rPr>
            </w:pPr>
            <w:r w:rsidRPr="008F3D8D">
              <w:rPr>
                <w:sz w:val="16"/>
                <w:szCs w:val="16"/>
                <w:lang w:val="es-ES_tradnl"/>
              </w:rPr>
              <w:t>Programa 10</w:t>
            </w:r>
          </w:p>
        </w:tc>
        <w:tc>
          <w:tcPr>
            <w:tcW w:w="569" w:type="pct"/>
            <w:shd w:val="clear" w:color="auto" w:fill="FFFFFF"/>
            <w:tcMar>
              <w:top w:w="57" w:type="dxa"/>
              <w:bottom w:w="57" w:type="dxa"/>
            </w:tcMar>
          </w:tcPr>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pPr>
            <w:r w:rsidRPr="008F3D8D">
              <w:rPr>
                <w:color w:val="00B050"/>
                <w:szCs w:val="22"/>
              </w:rPr>
              <w:sym w:font="Wingdings" w:char="F06C"/>
            </w:r>
          </w:p>
        </w:tc>
      </w:tr>
      <w:tr w:rsidR="00EE1CCE" w:rsidRPr="008F3D8D" w:rsidTr="00653EAB">
        <w:trPr>
          <w:cantSplit/>
          <w:trHeight w:val="538"/>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países que están aplicando estrategias nacionales de innovación y de P.I. y planes de desarrollo de la 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Mar>
              <w:top w:w="57" w:type="dxa"/>
              <w:bottom w:w="57" w:type="dxa"/>
            </w:tcMar>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FF000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653EAB">
        <w:trPr>
          <w:cantSplit/>
          <w:trHeight w:val="381"/>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países que han adoptado estrategias nacionales de innovación y de 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rPr>
            </w:pPr>
            <w:r w:rsidRPr="008F3D8D">
              <w:rPr>
                <w:sz w:val="16"/>
                <w:szCs w:val="16"/>
                <w:lang w:val="es-ES_tradnl"/>
              </w:rPr>
              <w:t>Programa 9</w:t>
            </w:r>
          </w:p>
        </w:tc>
        <w:tc>
          <w:tcPr>
            <w:tcW w:w="569" w:type="pct"/>
            <w:shd w:val="clear" w:color="auto" w:fill="FFFFFF"/>
            <w:tcMar>
              <w:top w:w="57" w:type="dxa"/>
              <w:bottom w:w="57" w:type="dxa"/>
            </w:tcMar>
          </w:tcPr>
          <w:p w:rsidR="00EE1CCE" w:rsidRPr="008F3D8D" w:rsidRDefault="00EE1CCE" w:rsidP="00A34E19">
            <w:pPr>
              <w:spacing w:before="40"/>
              <w:jc w:val="center"/>
            </w:pPr>
            <w:r w:rsidRPr="008F3D8D">
              <w:rPr>
                <w:color w:val="00B050"/>
                <w:szCs w:val="22"/>
              </w:rPr>
              <w:sym w:font="Wingdings" w:char="F06C"/>
            </w:r>
            <w:r w:rsidRPr="008F3D8D">
              <w:rPr>
                <w:color w:val="FF0000"/>
                <w:szCs w:val="22"/>
              </w:rPr>
              <w:sym w:font="Wingdings" w:char="F06C"/>
            </w:r>
            <w:r w:rsidRPr="008F3D8D">
              <w:rPr>
                <w:color w:val="FF0000"/>
                <w:szCs w:val="22"/>
              </w:rPr>
              <w:sym w:font="Wingdings" w:char="F06C"/>
            </w:r>
            <w:r w:rsidRPr="008F3D8D">
              <w:rPr>
                <w:color w:val="00B050"/>
                <w:szCs w:val="22"/>
              </w:rPr>
              <w:sym w:font="Wingdings" w:char="F06C"/>
            </w:r>
          </w:p>
        </w:tc>
      </w:tr>
      <w:tr w:rsidR="00EE1CCE" w:rsidRPr="008F3D8D" w:rsidTr="00653EAB">
        <w:trPr>
          <w:cantSplit/>
          <w:trHeight w:val="532"/>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países que ha elaborado estrategias o planes de nacionales de P.I. en consonancia con los objetivos nacionales de desarrollo</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rPr>
            </w:pPr>
            <w:r w:rsidRPr="008F3D8D">
              <w:rPr>
                <w:sz w:val="16"/>
                <w:szCs w:val="16"/>
                <w:lang w:val="es-ES_tradnl"/>
              </w:rPr>
              <w:t>Programa 10</w:t>
            </w:r>
          </w:p>
        </w:tc>
        <w:tc>
          <w:tcPr>
            <w:tcW w:w="569" w:type="pct"/>
            <w:shd w:val="clear" w:color="auto" w:fill="FFFFFF"/>
            <w:tcMar>
              <w:top w:w="57" w:type="dxa"/>
              <w:bottom w:w="57" w:type="dxa"/>
            </w:tcMar>
          </w:tcPr>
          <w:p w:rsidR="00EE1CCE" w:rsidRPr="008F3D8D" w:rsidRDefault="00EE1CCE" w:rsidP="00A34E19">
            <w:pPr>
              <w:jc w:val="center"/>
            </w:pPr>
            <w:r w:rsidRPr="008F3D8D">
              <w:rPr>
                <w:color w:val="FF0000"/>
                <w:szCs w:val="22"/>
              </w:rPr>
              <w:sym w:font="Wingdings" w:char="F06C"/>
            </w:r>
          </w:p>
        </w:tc>
      </w:tr>
      <w:tr w:rsidR="00EE1CCE" w:rsidRPr="008F3D8D" w:rsidTr="00653EAB">
        <w:trPr>
          <w:cantSplit/>
          <w:trHeight w:val="226"/>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estrategias nacionales de P.I. encaminadas a promover la creatividad, incluida la innovación</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Mar>
              <w:top w:w="57" w:type="dxa"/>
              <w:bottom w:w="57" w:type="dxa"/>
            </w:tcMar>
          </w:tcPr>
          <w:p w:rsidR="00EE1CCE" w:rsidRPr="008F3D8D" w:rsidRDefault="00EE1CCE" w:rsidP="00A34E19">
            <w:pPr>
              <w:jc w:val="center"/>
            </w:pPr>
            <w:r w:rsidRPr="008F3D8D">
              <w:rPr>
                <w:color w:val="FF0000"/>
                <w:szCs w:val="22"/>
              </w:rPr>
              <w:sym w:font="Wingdings" w:char="F06C"/>
            </w:r>
          </w:p>
        </w:tc>
      </w:tr>
      <w:tr w:rsidR="00EE1CCE" w:rsidRPr="008F3D8D" w:rsidTr="00653EAB">
        <w:trPr>
          <w:cantSplit/>
          <w:trHeight w:val="562"/>
        </w:trPr>
        <w:tc>
          <w:tcPr>
            <w:tcW w:w="1477" w:type="pct"/>
            <w:vMerge w:val="restar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lastRenderedPageBreak/>
              <w:t>% de participantes en talleres de creación de capacidad sobre cuestiones de derecho de autor que informaron de la utilidad práctica de los conocimientos adquiridos 9 meses después del taller</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rPr>
                <w:color w:val="008000"/>
                <w:szCs w:val="22"/>
              </w:rPr>
            </w:pPr>
            <w:r w:rsidRPr="008F3D8D">
              <w:rPr>
                <w:color w:val="00B050"/>
                <w:szCs w:val="22"/>
              </w:rPr>
              <w:sym w:font="Wingdings" w:char="F06C"/>
            </w:r>
          </w:p>
        </w:tc>
      </w:tr>
      <w:tr w:rsidR="00EE1CCE" w:rsidRPr="008F3D8D" w:rsidTr="00653EAB">
        <w:trPr>
          <w:cantSplit/>
          <w:trHeight w:val="545"/>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participantes en reuniones y talleres de creación de capacidad sobre cuestiones de derecho de autor que expresaron satisfacción al respecto</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pPr>
            <w:r w:rsidRPr="008F3D8D">
              <w:rPr>
                <w:color w:val="00B050"/>
                <w:szCs w:val="22"/>
              </w:rPr>
              <w:sym w:font="Wingdings" w:char="F06C"/>
            </w:r>
          </w:p>
        </w:tc>
      </w:tr>
      <w:tr w:rsidR="00EE1CCE" w:rsidRPr="008F3D8D" w:rsidTr="00653EAB">
        <w:trPr>
          <w:cantSplit/>
          <w:trHeight w:val="257"/>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participantes que informan favorablemente acerca de los programas de fortalecimiento de capacidades en materia de gestión colectiva</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pPr>
            <w:r w:rsidRPr="008F3D8D">
              <w:rPr>
                <w:color w:val="00B050"/>
                <w:szCs w:val="22"/>
              </w:rPr>
              <w:sym w:font="Wingdings" w:char="F06C"/>
            </w:r>
          </w:p>
        </w:tc>
      </w:tr>
      <w:tr w:rsidR="00EE1CCE" w:rsidRPr="008F3D8D" w:rsidTr="00653EAB">
        <w:trPr>
          <w:cantSplit/>
          <w:trHeight w:val="5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participantes con mayores conocimientos y competencias en la ejecución de actividades de formación en sus respectivos países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pPr>
            <w:r w:rsidRPr="008F3D8D">
              <w:rPr>
                <w:color w:val="00B050"/>
                <w:szCs w:val="22"/>
              </w:rPr>
              <w:sym w:font="Wingdings" w:char="F06C"/>
            </w:r>
          </w:p>
        </w:tc>
      </w:tr>
      <w:tr w:rsidR="00EE1CCE" w:rsidRPr="008F3D8D" w:rsidTr="00653EAB">
        <w:trPr>
          <w:cantSplit/>
          <w:trHeight w:val="389"/>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libros en formatos accesibles que se prestan a las personas con dificultades para acceder al texto impreso</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pPr>
            <w:r w:rsidRPr="008F3D8D">
              <w:rPr>
                <w:color w:val="00B050"/>
                <w:szCs w:val="22"/>
              </w:rPr>
              <w:sym w:font="Wingdings" w:char="F06C"/>
            </w:r>
          </w:p>
        </w:tc>
      </w:tr>
      <w:tr w:rsidR="00EE1CCE" w:rsidRPr="008F3D8D" w:rsidTr="00653EAB">
        <w:trPr>
          <w:cantSplit/>
          <w:trHeight w:val="20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organismos de gestión colectiva que solicitan acreditación “TAG”</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pPr>
            <w:r w:rsidRPr="008F3D8D">
              <w:rPr>
                <w:szCs w:val="22"/>
              </w:rPr>
              <w:sym w:font="Wingdings" w:char="F06C"/>
            </w:r>
          </w:p>
        </w:tc>
      </w:tr>
      <w:tr w:rsidR="00EE1CCE" w:rsidRPr="008F3D8D" w:rsidTr="00653EAB">
        <w:trPr>
          <w:cantSplit/>
          <w:trHeight w:val="389"/>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oficinas nacionales de derecho de autor que participan activamente en el proceso consultivo del TAG</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rPr>
            </w:pPr>
            <w:r w:rsidRPr="008F3D8D">
              <w:rPr>
                <w:sz w:val="16"/>
                <w:szCs w:val="16"/>
                <w:lang w:val="es-ES_tradnl"/>
              </w:rPr>
              <w:t>Programa 3</w:t>
            </w:r>
          </w:p>
        </w:tc>
        <w:tc>
          <w:tcPr>
            <w:tcW w:w="569" w:type="pct"/>
            <w:shd w:val="clear" w:color="auto" w:fill="FFFFFF"/>
            <w:tcMar>
              <w:top w:w="57" w:type="dxa"/>
              <w:bottom w:w="57" w:type="dxa"/>
            </w:tcMar>
          </w:tcPr>
          <w:p w:rsidR="00EE1CCE" w:rsidRPr="008F3D8D" w:rsidRDefault="00EE1CCE" w:rsidP="00A34E19">
            <w:pPr>
              <w:jc w:val="center"/>
              <w:rPr>
                <w:szCs w:val="22"/>
              </w:rPr>
            </w:pPr>
            <w:r w:rsidRPr="008F3D8D">
              <w:rPr>
                <w:szCs w:val="22"/>
              </w:rPr>
              <w:sym w:font="Wingdings" w:char="F06C"/>
            </w:r>
          </w:p>
        </w:tc>
      </w:tr>
      <w:tr w:rsidR="00EE1CCE" w:rsidRPr="008F3D8D" w:rsidTr="00653EAB">
        <w:trPr>
          <w:cantSplit/>
          <w:trHeight w:val="3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editoriales que firman la Carta de la edición accesible del ABC (la Carta)</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pPr>
            <w:r w:rsidRPr="008F3D8D">
              <w:rPr>
                <w:szCs w:val="22"/>
              </w:rPr>
              <w:sym w:font="Wingdings" w:char="F06C"/>
            </w:r>
          </w:p>
        </w:tc>
      </w:tr>
      <w:tr w:rsidR="00EE1CCE" w:rsidRPr="008F3D8D" w:rsidTr="00653EAB">
        <w:trPr>
          <w:cantSplit/>
          <w:trHeight w:val="24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N.º de visitas al portal sobre la infraestructura de derecho de autor</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Mar>
              <w:top w:w="57" w:type="dxa"/>
              <w:bottom w:w="57" w:type="dxa"/>
            </w:tcMar>
          </w:tcPr>
          <w:p w:rsidR="00EE1CCE" w:rsidRPr="008F3D8D" w:rsidRDefault="00EE1CCE" w:rsidP="00A34E19">
            <w:pPr>
              <w:jc w:val="center"/>
            </w:pPr>
            <w:r w:rsidRPr="008F3D8D">
              <w:rPr>
                <w:color w:val="0070C0"/>
                <w:szCs w:val="22"/>
              </w:rPr>
              <w:sym w:font="Wingdings" w:char="F06C"/>
            </w:r>
          </w:p>
        </w:tc>
      </w:tr>
      <w:tr w:rsidR="00EE1CCE" w:rsidRPr="008F3D8D" w:rsidTr="00653EAB">
        <w:trPr>
          <w:cantSplit/>
          <w:trHeight w:val="604"/>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participantes en actividades de la OMPI que informan de que han aumentado su capacidad para comprender y utilizar principios, sistemas y herramientas de P.I. para la protección de los CC.TT. y las ECT, y para la gestión de la relación entre la P.I. y los RR.GG.</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4</w:t>
            </w:r>
          </w:p>
        </w:tc>
        <w:tc>
          <w:tcPr>
            <w:tcW w:w="569" w:type="pct"/>
            <w:shd w:val="clear" w:color="auto" w:fill="FFFFFF"/>
            <w:tcMar>
              <w:top w:w="57" w:type="dxa"/>
              <w:bottom w:w="57" w:type="dxa"/>
            </w:tcMar>
          </w:tcPr>
          <w:p w:rsidR="00EE1CCE" w:rsidRPr="008F3D8D" w:rsidRDefault="00EE1CCE" w:rsidP="00A34E19">
            <w:pPr>
              <w:jc w:val="center"/>
            </w:pPr>
            <w:r w:rsidRPr="008F3D8D">
              <w:rPr>
                <w:color w:val="00B050"/>
                <w:szCs w:val="22"/>
              </w:rPr>
              <w:sym w:font="Wingdings" w:char="F06C"/>
            </w:r>
          </w:p>
        </w:tc>
      </w:tr>
      <w:tr w:rsidR="00EE1CCE" w:rsidRPr="008F3D8D" w:rsidTr="00653EAB">
        <w:trPr>
          <w:cantSplit/>
          <w:trHeight w:val="535"/>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expertos nacionales y regionales de P.I. que participan como expertos en las actividades de la OMPI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Mar>
              <w:top w:w="57" w:type="dxa"/>
              <w:bottom w:w="57" w:type="dxa"/>
            </w:tcMar>
          </w:tcPr>
          <w:p w:rsidR="00EE1CCE" w:rsidRPr="008F3D8D" w:rsidRDefault="00EE1CCE" w:rsidP="00A34E19">
            <w:pPr>
              <w:jc w:val="center"/>
            </w:pP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r w:rsidRPr="008F3D8D">
              <w:rPr>
                <w:color w:val="00B050"/>
                <w:szCs w:val="22"/>
              </w:rPr>
              <w:sym w:font="Wingdings" w:char="F06C"/>
            </w:r>
            <w:r w:rsidRPr="008F3D8D">
              <w:rPr>
                <w:color w:val="FF0000"/>
                <w:szCs w:val="22"/>
              </w:rPr>
              <w:sym w:font="Wingdings" w:char="F06C"/>
            </w:r>
          </w:p>
        </w:tc>
      </w:tr>
      <w:tr w:rsidR="00EE1CCE" w:rsidRPr="008F3D8D" w:rsidTr="00653EAB">
        <w:trPr>
          <w:cantSplit/>
          <w:trHeight w:val="547"/>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participantes en actividades de la OMPI que se muestran satisfechos del contenido y la organización de dichos actos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Mar>
              <w:top w:w="57" w:type="dxa"/>
              <w:bottom w:w="57" w:type="dxa"/>
            </w:tcMar>
          </w:tcPr>
          <w:p w:rsidR="00EE1CCE" w:rsidRPr="008F3D8D" w:rsidRDefault="00EE1CCE" w:rsidP="00A34E19">
            <w:pPr>
              <w:jc w:val="center"/>
            </w:pPr>
            <w:r w:rsidRPr="008F3D8D">
              <w:rPr>
                <w:color w:val="808080"/>
                <w:szCs w:val="22"/>
              </w:rPr>
              <w:sym w:font="Wingdings" w:char="F06C"/>
            </w:r>
            <w:r w:rsidRPr="008F3D8D">
              <w:rPr>
                <w:color w:val="808080"/>
                <w:szCs w:val="22"/>
              </w:rPr>
              <w:sym w:font="Wingdings" w:char="F06C"/>
            </w:r>
            <w:r w:rsidRPr="008F3D8D">
              <w:rPr>
                <w:color w:val="00B050"/>
                <w:szCs w:val="22"/>
              </w:rPr>
              <w:sym w:font="Wingdings" w:char="F06C"/>
            </w:r>
            <w:r w:rsidRPr="008F3D8D">
              <w:rPr>
                <w:color w:val="808080"/>
                <w:szCs w:val="22"/>
              </w:rPr>
              <w:sym w:font="Wingdings" w:char="F06C"/>
            </w: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participantes en talleres de la OMPI que aplican las capacidades adquiridas en su labor/empresa</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Mar>
              <w:top w:w="57" w:type="dxa"/>
              <w:bottom w:w="57" w:type="dxa"/>
            </w:tcMar>
          </w:tcPr>
          <w:p w:rsidR="00EE1CCE" w:rsidRPr="008F3D8D" w:rsidRDefault="00EE1CCE" w:rsidP="00A34E19">
            <w:pPr>
              <w:jc w:val="center"/>
            </w:pPr>
            <w:r w:rsidRPr="008F3D8D">
              <w:rPr>
                <w:color w:val="808080"/>
                <w:szCs w:val="22"/>
              </w:rPr>
              <w:sym w:font="Wingdings" w:char="F06C"/>
            </w:r>
            <w:r w:rsidRPr="008F3D8D">
              <w:rPr>
                <w:color w:val="808080"/>
                <w:szCs w:val="22"/>
              </w:rPr>
              <w:sym w:font="Wingdings" w:char="F06C"/>
            </w:r>
            <w:r w:rsidRPr="008F3D8D">
              <w:rPr>
                <w:color w:val="00B050"/>
                <w:szCs w:val="22"/>
              </w:rPr>
              <w:sym w:font="Wingdings" w:char="F06C"/>
            </w:r>
            <w:r w:rsidRPr="008F3D8D">
              <w:rPr>
                <w:color w:val="808080"/>
                <w:szCs w:val="22"/>
              </w:rPr>
              <w:sym w:font="Wingdings" w:char="F06C"/>
            </w:r>
            <w:r w:rsidRPr="008F3D8D">
              <w:rPr>
                <w:color w:val="FF000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profesionales y funcionarios del ámbito de la P.I. que ha recibido formación y que aplica en su trabajo las nuevas aptitudes adquiridas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10</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países en transición que han establecido programas o cursos anuales de formación en P.I. para los profesionales de la 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10</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aumento del número de participantes que siguen los cursos de enseñanza a distancia (DL) de la Academia</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participantes con mejores conocimientos y aptitudes en varios campos de la 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70C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estudiantes y supervisores satisfechos con los programas de formación, sobre la base de evaluaciones de las necesidades de formación</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70C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Distribución geográfica más equilibrada en los cursos de verano</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Cursos y programas de P.I. nuevos y perfeccionados en instituciones docentes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acuerdos de cooperación y asociación concertados en sintonía con las nuevas metas de la Academia</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cursos de enseñanza a distancia que han sido analizados y actualizados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academias nacionales fundadas en el marco del proyecto que han pasado a ser sostenibles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11</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70C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participantes que han recibido formación y que están satisfechos de la utilidad y pertinencia de la formación recibida para el desempeño de sus funciones profesionales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17</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participantes en el módulo de enseñanza a distancia sobre P.I. y salud que declaran utilizar la P.I. para el desarrollo mediante la transferencia de conocimientos y la creación de aptitudes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21"/>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acuerdos de acogida de científicos de países en desarrollo</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FF000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encargados de la adopción de políticas, funcionarios gubernamentales, profesionales de la P.I. y otros grupos destinatarios, incluidas las universidades, organismos de gestión colectiva y periodistas con un mayor conocimiento de las políticas de P.I. y de cómo utilizar efectivamente la P.I. en pro del desarrollo</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80808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653EAB">
        <w:trPr>
          <w:cantSplit/>
          <w:trHeight w:val="32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profesionales de la P.I. formados que utilizan en su trabajo las nuevas aptitudes adquiridas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val="restar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III.3  Incorporación de las recomendaciones de la Agenda para el Desarrollo en la labor de la OMPI</w:t>
            </w:r>
          </w:p>
          <w:p w:rsidR="00EE1CCE" w:rsidRPr="008F3D8D" w:rsidRDefault="00EE1CCE" w:rsidP="00A34E19">
            <w:pPr>
              <w:rPr>
                <w:sz w:val="16"/>
                <w:szCs w:val="16"/>
              </w:rPr>
            </w:pPr>
          </w:p>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Los principios relativos al desarrollo incluidos en las recomendaciones de la A.D. se incorporan efectivamente en la labor de los programas de la OMPI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8</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Seguimiento de la aplicación de las recomendaciones del examen independiente de la A.D.</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8</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Mecanismo mejorado para la elaboración, aplicación, supervisión, evaluación y presentación de informes respecto de los nuevos proyectos y actividades de la A.D.</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8</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val="restar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III.4  Fortalecimiento de los mecanismos y de los programas de cooperación conforme a las necesidades de los países en desarrollo, PMA y países con economías en transición</w:t>
            </w:r>
          </w:p>
          <w:p w:rsidR="00EE1CCE" w:rsidRPr="008F3D8D" w:rsidRDefault="00EE1CCE" w:rsidP="00A34E19">
            <w:pPr>
              <w:rPr>
                <w:sz w:val="16"/>
                <w:szCs w:val="16"/>
              </w:rPr>
            </w:pPr>
          </w:p>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acuerdos, proyectos, programas y alianzas de cooperación nacionales, subregionales y regionales/interregionales para fomentar el uso eficaz de los sistemas de P.I. mediante el intercambio de las mejores prácticas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653EAB">
        <w:trPr>
          <w:cantSplit/>
          <w:trHeight w:val="221"/>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alianzas establecidas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10</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val="restar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III.5  Mejor comprensión de la Agenda para el Desarrollo por los Estados miembros, las OIG, la sociedad civil y demás partes interesadas</w:t>
            </w:r>
          </w:p>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 de satisfacción de los participantes en los eventos de la Agenda para el Desarrollo de la OMPI dirigidos a los Estados miembros, la sociedad civil, las OIG y las partes interesadas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8</w:t>
            </w:r>
          </w:p>
        </w:tc>
        <w:tc>
          <w:tcPr>
            <w:tcW w:w="569" w:type="pct"/>
            <w:shd w:val="clear" w:color="auto" w:fill="FFFFFF"/>
            <w:tcMar>
              <w:top w:w="57" w:type="dxa"/>
              <w:bottom w:w="57" w:type="dxa"/>
            </w:tcMar>
          </w:tcPr>
          <w:p w:rsidR="00EE1CCE" w:rsidRPr="008F3D8D" w:rsidRDefault="00EE1CCE" w:rsidP="00A34E19">
            <w:pPr>
              <w:jc w:val="center"/>
              <w:rPr>
                <w:color w:val="0070C0"/>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Las actividades d asistencia técnica realizadas por la OMPI reflejan la dimensión relativa a la Agenda para el Desarrollo y los resultados de los proyectos de la A.D.</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8</w:t>
            </w:r>
          </w:p>
        </w:tc>
        <w:tc>
          <w:tcPr>
            <w:tcW w:w="569" w:type="pct"/>
            <w:shd w:val="clear" w:color="auto" w:fill="FFFFFF"/>
            <w:tcMar>
              <w:top w:w="57" w:type="dxa"/>
              <w:bottom w:w="57" w:type="dxa"/>
            </w:tcMar>
          </w:tcPr>
          <w:p w:rsidR="00EE1CCE" w:rsidRPr="008F3D8D" w:rsidRDefault="00EE1CCE" w:rsidP="00A34E19">
            <w:pPr>
              <w:jc w:val="center"/>
            </w:pPr>
            <w:r w:rsidRPr="008F3D8D">
              <w:rPr>
                <w:color w:val="FF0000"/>
                <w:szCs w:val="22"/>
              </w:rPr>
              <w:sym w:font="Wingdings" w:char="F06C"/>
            </w:r>
          </w:p>
        </w:tc>
      </w:tr>
      <w:tr w:rsidR="00EE1CCE" w:rsidRPr="008F3D8D" w:rsidTr="00653EAB">
        <w:trPr>
          <w:cantSplit/>
          <w:trHeight w:val="463"/>
        </w:trPr>
        <w:tc>
          <w:tcPr>
            <w:tcW w:w="1477" w:type="pct"/>
            <w:vMerge w:val="restar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III.6  Mayor capacidad de las pymes para utilizar con éxito la P.I. con el fin de apoyar la innovación</w:t>
            </w:r>
          </w:p>
          <w:p w:rsidR="00EE1CCE" w:rsidRPr="008F3D8D" w:rsidRDefault="00EE1CCE" w:rsidP="00A34E19">
            <w:pPr>
              <w:rPr>
                <w:sz w:val="16"/>
                <w:szCs w:val="16"/>
              </w:rPr>
            </w:pPr>
          </w:p>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participantes en programas de formación destinados a las instituciones de apoyo a las pymes que han adquirido mayores conocimientos y perfeccionado habilidades para su trabajo</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rPr>
            </w:pPr>
            <w:r w:rsidRPr="008F3D8D">
              <w:rPr>
                <w:sz w:val="16"/>
                <w:szCs w:val="16"/>
                <w:lang w:val="es-ES_tradnl"/>
              </w:rPr>
              <w:t>Programa 30</w:t>
            </w:r>
          </w:p>
        </w:tc>
        <w:tc>
          <w:tcPr>
            <w:tcW w:w="569" w:type="pct"/>
            <w:shd w:val="clear" w:color="auto" w:fill="FFFFFF"/>
            <w:tcMar>
              <w:top w:w="57" w:type="dxa"/>
              <w:bottom w:w="57" w:type="dxa"/>
            </w:tcMar>
          </w:tcPr>
          <w:p w:rsidR="00EE1CCE" w:rsidRPr="008F3D8D" w:rsidRDefault="00EE1CCE" w:rsidP="00A34E19">
            <w:pPr>
              <w:jc w:val="center"/>
              <w:rPr>
                <w:color w:val="A6A6A6" w:themeColor="background1" w:themeShade="A6"/>
                <w:szCs w:val="22"/>
              </w:rPr>
            </w:pPr>
            <w:r w:rsidRPr="008F3D8D">
              <w:rPr>
                <w:color w:val="0070C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participantes en programas de formación destinados a instituciones de apoyo a las pymes que manifiestan satisfacción con el contenido y la organización de esos eventos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rPr>
            </w:pPr>
            <w:r w:rsidRPr="008F3D8D">
              <w:rPr>
                <w:sz w:val="16"/>
                <w:szCs w:val="16"/>
                <w:lang w:val="es-ES_tradnl"/>
              </w:rPr>
              <w:t>Programa 30</w:t>
            </w:r>
          </w:p>
        </w:tc>
        <w:tc>
          <w:tcPr>
            <w:tcW w:w="569" w:type="pct"/>
            <w:shd w:val="clear" w:color="auto" w:fill="FFFFFF"/>
            <w:tcMar>
              <w:top w:w="57" w:type="dxa"/>
              <w:bottom w:w="57" w:type="dxa"/>
            </w:tcMar>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rPr>
                <w:sz w:val="16"/>
                <w:szCs w:val="16"/>
              </w:rPr>
            </w:pPr>
            <w:r w:rsidRPr="008F3D8D">
              <w:rPr>
                <w:sz w:val="16"/>
                <w:szCs w:val="16"/>
                <w:lang w:val="es-ES_tradnl"/>
              </w:rPr>
              <w:t>% de instituciones de apoyo a las pymes que, tras haber recibido formación, suministran información y prestan servicios de asesoramiento sobre gestión de activos de P.I.</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Mar>
              <w:top w:w="57" w:type="dxa"/>
              <w:bottom w:w="57" w:type="dxa"/>
            </w:tcMar>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países que han establecido o perfeccionado programas de formación sobre P.I. para pymes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Mar>
              <w:top w:w="57" w:type="dxa"/>
              <w:bottom w:w="57" w:type="dxa"/>
            </w:tcMar>
          </w:tcPr>
          <w:p w:rsidR="00EE1CCE" w:rsidRPr="008F3D8D" w:rsidRDefault="00EE1CCE" w:rsidP="00A34E19">
            <w:pPr>
              <w:jc w:val="center"/>
            </w:pPr>
            <w:r w:rsidRPr="008F3D8D">
              <w:rPr>
                <w:color w:val="00B050"/>
                <w:szCs w:val="22"/>
              </w:rPr>
              <w:sym w:font="Wingdings" w:char="F06C"/>
            </w:r>
          </w:p>
        </w:tc>
      </w:tr>
      <w:tr w:rsidR="00EE1CCE" w:rsidRPr="008F3D8D" w:rsidTr="00653EAB">
        <w:trPr>
          <w:cantSplit/>
          <w:trHeight w:val="388"/>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rPr>
            </w:pPr>
            <w:r w:rsidRPr="008F3D8D">
              <w:rPr>
                <w:sz w:val="16"/>
                <w:szCs w:val="16"/>
                <w:lang w:val="es-ES_tradnl"/>
              </w:rPr>
              <w:t>N.º de países que han desarrollado o adoptado políticas de P.I. para pymes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Mar>
              <w:top w:w="57" w:type="dxa"/>
              <w:bottom w:w="57" w:type="dxa"/>
            </w:tcMar>
          </w:tcPr>
          <w:p w:rsidR="00EE1CCE" w:rsidRPr="008F3D8D" w:rsidRDefault="00EE1CCE" w:rsidP="00A34E19">
            <w:pPr>
              <w:jc w:val="center"/>
            </w:pPr>
            <w:r w:rsidRPr="008F3D8D">
              <w:rPr>
                <w:color w:val="FF000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lang w:bidi="th-TH"/>
              </w:rPr>
            </w:pPr>
            <w:r w:rsidRPr="008F3D8D">
              <w:rPr>
                <w:sz w:val="16"/>
                <w:szCs w:val="16"/>
                <w:lang w:val="es-ES_tradnl" w:bidi="th-TH"/>
              </w:rPr>
              <w:t>N.º de consultas de material de información y directrices en el ámbito de las pymes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Mar>
              <w:top w:w="57" w:type="dxa"/>
              <w:bottom w:w="57" w:type="dxa"/>
            </w:tcMar>
          </w:tcPr>
          <w:p w:rsidR="00EE1CCE" w:rsidRPr="008F3D8D" w:rsidRDefault="00EE1CCE" w:rsidP="00A34E19">
            <w:pPr>
              <w:jc w:val="center"/>
            </w:pPr>
            <w:r w:rsidRPr="008F3D8D">
              <w:rPr>
                <w:color w:val="FF0000"/>
                <w:szCs w:val="22"/>
              </w:rPr>
              <w:sym w:font="Wingdings" w:char="F06C"/>
            </w:r>
            <w:r w:rsidRPr="008F3D8D">
              <w:rPr>
                <w:color w:val="00B050"/>
                <w:szCs w:val="22"/>
              </w:rPr>
              <w:sym w:font="Wingdings" w:char="F06C"/>
            </w:r>
          </w:p>
        </w:tc>
      </w:tr>
      <w:tr w:rsidR="00EE1CCE" w:rsidRPr="008F3D8D" w:rsidTr="00653EAB">
        <w:trPr>
          <w:cantSplit/>
          <w:trHeight w:val="463"/>
        </w:trPr>
        <w:tc>
          <w:tcPr>
            <w:tcW w:w="1477" w:type="pct"/>
            <w:vMerge/>
            <w:shd w:val="clear" w:color="auto" w:fill="auto"/>
            <w:tcMar>
              <w:top w:w="57" w:type="dxa"/>
              <w:bottom w:w="57" w:type="dxa"/>
            </w:tcMar>
          </w:tcPr>
          <w:p w:rsidR="00EE1CCE" w:rsidRPr="008F3D8D" w:rsidRDefault="00EE1CCE" w:rsidP="00A34E19">
            <w:pPr>
              <w:rPr>
                <w:sz w:val="16"/>
                <w:szCs w:val="16"/>
              </w:rPr>
            </w:pPr>
          </w:p>
        </w:tc>
        <w:tc>
          <w:tcPr>
            <w:tcW w:w="2093" w:type="pct"/>
            <w:shd w:val="clear" w:color="auto" w:fill="auto"/>
            <w:tcMar>
              <w:top w:w="57" w:type="dxa"/>
              <w:bottom w:w="57" w:type="dxa"/>
            </w:tcMar>
          </w:tcPr>
          <w:p w:rsidR="00EE1CCE" w:rsidRPr="008F3D8D" w:rsidRDefault="00EE1CCE" w:rsidP="00A34E19">
            <w:pPr>
              <w:keepNext/>
              <w:keepLines/>
              <w:rPr>
                <w:sz w:val="16"/>
                <w:szCs w:val="16"/>
                <w:lang w:bidi="th-TH"/>
              </w:rPr>
            </w:pPr>
            <w:r w:rsidRPr="008F3D8D">
              <w:rPr>
                <w:sz w:val="16"/>
                <w:szCs w:val="16"/>
                <w:lang w:val="es-ES_tradnl" w:bidi="th-TH"/>
              </w:rPr>
              <w:t>N.º de suscripciones al Boletín sobre las pymes</w:t>
            </w:r>
          </w:p>
        </w:tc>
        <w:tc>
          <w:tcPr>
            <w:tcW w:w="861" w:type="pct"/>
            <w:shd w:val="clear" w:color="auto" w:fill="FFFFFF"/>
            <w:tcMar>
              <w:top w:w="57" w:type="dxa"/>
              <w:bottom w:w="57"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Mar>
              <w:top w:w="57" w:type="dxa"/>
              <w:bottom w:w="57" w:type="dxa"/>
            </w:tcMar>
          </w:tcPr>
          <w:p w:rsidR="00EE1CCE" w:rsidRPr="008F3D8D" w:rsidRDefault="00EE1CCE" w:rsidP="00A34E19">
            <w:pPr>
              <w:jc w:val="center"/>
            </w:pPr>
            <w:r w:rsidRPr="008F3D8D">
              <w:rPr>
                <w:szCs w:val="22"/>
              </w:rPr>
              <w:sym w:font="Wingdings" w:char="F06C"/>
            </w:r>
          </w:p>
        </w:tc>
      </w:tr>
    </w:tbl>
    <w:p w:rsidR="00EE1CCE" w:rsidRPr="008F3D8D" w:rsidRDefault="00EE1CCE" w:rsidP="00EE1CCE">
      <w:pPr>
        <w:rPr>
          <w:bCs/>
          <w:sz w:val="20"/>
        </w:rPr>
      </w:pPr>
    </w:p>
    <w:p w:rsidR="00EE1CCE" w:rsidRPr="008F3D8D" w:rsidRDefault="00EE1CCE" w:rsidP="00EE1CCE">
      <w:pPr>
        <w:pStyle w:val="ListParagraph"/>
        <w:ind w:left="0"/>
        <w:contextualSpacing/>
        <w:jc w:val="both"/>
        <w:rPr>
          <w:rFonts w:cs="Arial"/>
        </w:rPr>
      </w:pPr>
    </w:p>
    <w:p w:rsidR="00FD1A2D" w:rsidRDefault="00FD1A2D">
      <w:pPr>
        <w:rPr>
          <w:rFonts w:eastAsia="Times New Roman"/>
          <w:sz w:val="20"/>
          <w:lang w:val="en-US" w:eastAsia="en-US"/>
        </w:rPr>
      </w:pPr>
      <w:r>
        <w:br w:type="page"/>
      </w:r>
    </w:p>
    <w:p w:rsidR="00185608" w:rsidRPr="00A9616D" w:rsidRDefault="00185608" w:rsidP="00230FAA">
      <w:pPr>
        <w:keepNext/>
        <w:tabs>
          <w:tab w:val="left" w:pos="2410"/>
          <w:tab w:val="right" w:pos="9072"/>
        </w:tabs>
        <w:jc w:val="both"/>
        <w:outlineLvl w:val="1"/>
        <w:rPr>
          <w:b/>
          <w:bCs/>
          <w:iCs/>
        </w:rPr>
      </w:pPr>
      <w:bookmarkStart w:id="42" w:name="_Toc482711253"/>
      <w:r w:rsidRPr="00A9616D">
        <w:rPr>
          <w:b/>
          <w:bCs/>
          <w:iCs/>
          <w:lang w:val="es-ES_tradnl"/>
        </w:rPr>
        <w:lastRenderedPageBreak/>
        <w:t>PROGRAMA 8</w:t>
      </w:r>
      <w:r w:rsidRPr="00A9616D">
        <w:rPr>
          <w:bCs/>
          <w:iCs/>
          <w:lang w:val="es-ES_tradnl"/>
        </w:rPr>
        <w:tab/>
      </w:r>
      <w:r w:rsidRPr="00A9616D">
        <w:rPr>
          <w:b/>
          <w:bCs/>
          <w:iCs/>
          <w:lang w:val="es-ES_tradnl"/>
        </w:rPr>
        <w:t>COORDINACIÓN DE LA AGENDA PARA EL DESARROLLO</w:t>
      </w:r>
      <w:bookmarkEnd w:id="42"/>
    </w:p>
    <w:p w:rsidR="00185608" w:rsidRPr="00A9616D" w:rsidRDefault="00185608" w:rsidP="00230FAA">
      <w:pPr>
        <w:tabs>
          <w:tab w:val="left" w:pos="1985"/>
        </w:tabs>
        <w:jc w:val="both"/>
        <w:rPr>
          <w:sz w:val="20"/>
        </w:rPr>
      </w:pPr>
    </w:p>
    <w:p w:rsidR="00185608" w:rsidRPr="00A9616D" w:rsidRDefault="00185608" w:rsidP="00230FAA">
      <w:pPr>
        <w:tabs>
          <w:tab w:val="left" w:pos="2410"/>
        </w:tabs>
        <w:jc w:val="both"/>
        <w:rPr>
          <w:b/>
          <w:sz w:val="20"/>
        </w:rPr>
      </w:pPr>
      <w:r w:rsidRPr="00A9616D">
        <w:rPr>
          <w:b/>
          <w:sz w:val="20"/>
          <w:lang w:val="es-ES_tradnl"/>
        </w:rPr>
        <w:t>Director de programa</w:t>
      </w:r>
      <w:r w:rsidRPr="00A9616D">
        <w:rPr>
          <w:sz w:val="20"/>
          <w:lang w:val="es-ES_tradnl"/>
        </w:rPr>
        <w:tab/>
      </w:r>
      <w:r w:rsidRPr="00A9616D">
        <w:rPr>
          <w:b/>
          <w:sz w:val="20"/>
          <w:lang w:val="es-ES_tradnl"/>
        </w:rPr>
        <w:t>Sr. M. Matus</w:t>
      </w:r>
    </w:p>
    <w:p w:rsidR="00185608" w:rsidRPr="00A9616D" w:rsidRDefault="00185608" w:rsidP="00230FAA">
      <w:pPr>
        <w:jc w:val="center"/>
        <w:rPr>
          <w:sz w:val="20"/>
        </w:rPr>
      </w:pPr>
      <w:r w:rsidRPr="00A9616D">
        <w:rPr>
          <w:noProof/>
          <w:lang w:val="en-US" w:eastAsia="en-US"/>
        </w:rPr>
        <w:drawing>
          <wp:inline distT="0" distB="0" distL="0" distR="0" wp14:anchorId="4F2C0A2C" wp14:editId="678F2A73">
            <wp:extent cx="4764488" cy="2690037"/>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b="11228"/>
                    <a:stretch/>
                  </pic:blipFill>
                  <pic:spPr bwMode="auto">
                    <a:xfrm>
                      <a:off x="0" y="0"/>
                      <a:ext cx="4779233" cy="2698362"/>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014" w:type="pct"/>
        <w:tblInd w:w="58" w:type="dxa"/>
        <w:tblLayout w:type="fixed"/>
        <w:tblCellMar>
          <w:left w:w="115" w:type="dxa"/>
          <w:right w:w="115" w:type="dxa"/>
        </w:tblCellMar>
        <w:tblLook w:val="0000" w:firstRow="0" w:lastRow="0" w:firstColumn="0" w:lastColumn="0" w:noHBand="0" w:noVBand="0"/>
      </w:tblPr>
      <w:tblGrid>
        <w:gridCol w:w="2160"/>
        <w:gridCol w:w="2430"/>
        <w:gridCol w:w="1528"/>
        <w:gridCol w:w="2163"/>
        <w:gridCol w:w="932"/>
      </w:tblGrid>
      <w:tr w:rsidR="00185608" w:rsidRPr="00A9616D" w:rsidTr="00230FAA">
        <w:trPr>
          <w:trHeight w:val="565"/>
        </w:trPr>
        <w:tc>
          <w:tcPr>
            <w:tcW w:w="5000" w:type="pct"/>
            <w:gridSpan w:val="5"/>
            <w:shd w:val="clear" w:color="auto" w:fill="C6D9F1" w:themeFill="text2" w:themeFillTint="33"/>
            <w:tcMar>
              <w:left w:w="58" w:type="dxa"/>
              <w:right w:w="58" w:type="dxa"/>
            </w:tcMar>
            <w:vAlign w:val="center"/>
          </w:tcPr>
          <w:p w:rsidR="00185608" w:rsidRPr="00A9616D" w:rsidRDefault="00185608" w:rsidP="00230FAA">
            <w:pPr>
              <w:keepNext/>
              <w:keepLines/>
              <w:tabs>
                <w:tab w:val="left" w:pos="1452"/>
              </w:tabs>
              <w:ind w:left="1701" w:hanging="1701"/>
              <w:rPr>
                <w:b/>
                <w:bCs/>
                <w:sz w:val="16"/>
                <w:szCs w:val="16"/>
              </w:rPr>
            </w:pPr>
            <w:r w:rsidRPr="00A9616D">
              <w:rPr>
                <w:b/>
                <w:bCs/>
                <w:sz w:val="16"/>
                <w:szCs w:val="16"/>
              </w:rPr>
              <w:t>Resultado previsto:</w:t>
            </w:r>
            <w:r w:rsidRPr="00A9616D">
              <w:rPr>
                <w:b/>
                <w:bCs/>
                <w:sz w:val="16"/>
                <w:szCs w:val="16"/>
              </w:rPr>
              <w:tab/>
            </w:r>
            <w:r w:rsidRPr="00A9616D">
              <w:rPr>
                <w:bCs/>
                <w:sz w:val="16"/>
                <w:szCs w:val="16"/>
                <w:lang w:val="es-ES_tradnl"/>
              </w:rPr>
              <w:t>III.3  Incorporación de las recomendaciones de la Agenda para el Desarrollo en la labor de la OMPI</w:t>
            </w:r>
          </w:p>
        </w:tc>
      </w:tr>
      <w:tr w:rsidR="00185608" w:rsidRPr="00A9616D" w:rsidTr="00230FAA">
        <w:tc>
          <w:tcPr>
            <w:tcW w:w="1172" w:type="pct"/>
            <w:shd w:val="clear" w:color="auto" w:fill="auto"/>
            <w:tcMar>
              <w:left w:w="58" w:type="dxa"/>
              <w:right w:w="58" w:type="dxa"/>
            </w:tcMar>
            <w:vAlign w:val="center"/>
          </w:tcPr>
          <w:p w:rsidR="00185608" w:rsidRPr="00A9616D" w:rsidRDefault="00185608" w:rsidP="00230FAA">
            <w:pPr>
              <w:rPr>
                <w:b/>
                <w:bCs/>
                <w:sz w:val="16"/>
                <w:szCs w:val="16"/>
              </w:rPr>
            </w:pPr>
            <w:r w:rsidRPr="00A9616D">
              <w:rPr>
                <w:b/>
                <w:bCs/>
                <w:sz w:val="16"/>
                <w:szCs w:val="16"/>
                <w:lang w:val="es-ES_tradnl"/>
              </w:rPr>
              <w:t>Indicadores de rendimiento</w:t>
            </w:r>
          </w:p>
        </w:tc>
        <w:tc>
          <w:tcPr>
            <w:tcW w:w="1319" w:type="pct"/>
            <w:shd w:val="clear" w:color="auto" w:fill="auto"/>
            <w:tcMar>
              <w:left w:w="58" w:type="dxa"/>
              <w:right w:w="58" w:type="dxa"/>
            </w:tcMar>
            <w:vAlign w:val="center"/>
          </w:tcPr>
          <w:p w:rsidR="00185608" w:rsidRPr="00A9616D" w:rsidRDefault="00185608" w:rsidP="00230FAA">
            <w:pPr>
              <w:rPr>
                <w:b/>
                <w:bCs/>
                <w:sz w:val="16"/>
                <w:szCs w:val="16"/>
              </w:rPr>
            </w:pPr>
            <w:r w:rsidRPr="00A9616D">
              <w:rPr>
                <w:b/>
                <w:bCs/>
                <w:sz w:val="16"/>
                <w:szCs w:val="16"/>
                <w:lang w:val="es-ES_tradnl"/>
              </w:rPr>
              <w:t>Referencias de base</w:t>
            </w:r>
          </w:p>
        </w:tc>
        <w:tc>
          <w:tcPr>
            <w:tcW w:w="829" w:type="pct"/>
            <w:shd w:val="clear" w:color="auto" w:fill="auto"/>
            <w:tcMar>
              <w:top w:w="110" w:type="dxa"/>
              <w:left w:w="58" w:type="dxa"/>
              <w:right w:w="58" w:type="dxa"/>
            </w:tcMar>
            <w:vAlign w:val="center"/>
          </w:tcPr>
          <w:p w:rsidR="00185608" w:rsidRPr="00A9616D" w:rsidRDefault="00185608" w:rsidP="00230FAA">
            <w:pPr>
              <w:tabs>
                <w:tab w:val="left" w:pos="290"/>
              </w:tabs>
              <w:rPr>
                <w:b/>
                <w:bCs/>
                <w:sz w:val="16"/>
                <w:szCs w:val="16"/>
              </w:rPr>
            </w:pPr>
            <w:r w:rsidRPr="00A9616D">
              <w:rPr>
                <w:b/>
                <w:bCs/>
                <w:sz w:val="16"/>
                <w:szCs w:val="16"/>
                <w:lang w:val="es-ES_tradnl"/>
              </w:rPr>
              <w:t>Objetivos</w:t>
            </w:r>
          </w:p>
        </w:tc>
        <w:tc>
          <w:tcPr>
            <w:tcW w:w="1174" w:type="pct"/>
            <w:shd w:val="clear" w:color="auto" w:fill="FFFFFF"/>
            <w:tcMar>
              <w:top w:w="110" w:type="dxa"/>
              <w:left w:w="58" w:type="dxa"/>
              <w:right w:w="58" w:type="dxa"/>
            </w:tcMar>
            <w:vAlign w:val="center"/>
          </w:tcPr>
          <w:p w:rsidR="00185608" w:rsidRPr="00A9616D" w:rsidRDefault="00185608" w:rsidP="00230FAA">
            <w:pPr>
              <w:rPr>
                <w:b/>
                <w:bCs/>
                <w:sz w:val="16"/>
                <w:szCs w:val="16"/>
              </w:rPr>
            </w:pPr>
            <w:r w:rsidRPr="00A9616D">
              <w:rPr>
                <w:b/>
                <w:bCs/>
                <w:sz w:val="16"/>
                <w:szCs w:val="16"/>
                <w:lang w:val="es-ES_tradnl"/>
              </w:rPr>
              <w:t>Datos sobre el rendimiento</w:t>
            </w:r>
          </w:p>
        </w:tc>
        <w:tc>
          <w:tcPr>
            <w:tcW w:w="507" w:type="pct"/>
            <w:shd w:val="clear" w:color="auto" w:fill="auto"/>
            <w:tcMar>
              <w:top w:w="110" w:type="dxa"/>
              <w:left w:w="58" w:type="dxa"/>
              <w:right w:w="58" w:type="dxa"/>
            </w:tcMar>
            <w:vAlign w:val="center"/>
          </w:tcPr>
          <w:p w:rsidR="00185608" w:rsidRPr="00A9616D" w:rsidRDefault="00185608" w:rsidP="00230FAA">
            <w:pPr>
              <w:keepNext/>
              <w:keepLines/>
              <w:jc w:val="center"/>
              <w:rPr>
                <w:b/>
                <w:bCs/>
                <w:sz w:val="16"/>
                <w:szCs w:val="16"/>
              </w:rPr>
            </w:pPr>
            <w:r w:rsidRPr="00A9616D">
              <w:rPr>
                <w:b/>
                <w:bCs/>
                <w:sz w:val="16"/>
                <w:szCs w:val="16"/>
                <w:lang w:val="es-ES_tradnl"/>
              </w:rPr>
              <w:t>Clave de colores</w:t>
            </w:r>
          </w:p>
        </w:tc>
      </w:tr>
      <w:tr w:rsidR="00185608" w:rsidRPr="00A9616D" w:rsidTr="00230FAA">
        <w:trPr>
          <w:trHeight w:val="1636"/>
        </w:trPr>
        <w:tc>
          <w:tcPr>
            <w:tcW w:w="1172" w:type="pct"/>
            <w:shd w:val="clear" w:color="auto" w:fill="auto"/>
            <w:tcMar>
              <w:left w:w="58" w:type="dxa"/>
              <w:right w:w="58" w:type="dxa"/>
            </w:tcMar>
          </w:tcPr>
          <w:p w:rsidR="00185608" w:rsidRPr="00A9616D" w:rsidRDefault="00185608" w:rsidP="00230FAA">
            <w:pPr>
              <w:rPr>
                <w:sz w:val="16"/>
                <w:szCs w:val="16"/>
              </w:rPr>
            </w:pPr>
            <w:r w:rsidRPr="00A9616D">
              <w:rPr>
                <w:sz w:val="16"/>
                <w:szCs w:val="16"/>
                <w:lang w:val="es-ES_tradnl"/>
              </w:rPr>
              <w:t>Los principios relativos al desarrollo incluidos en las recomendaciones de la A.D. se incorporan eficazmente en la labor de los programas de la OMPI</w:t>
            </w:r>
          </w:p>
        </w:tc>
        <w:tc>
          <w:tcPr>
            <w:tcW w:w="1319" w:type="pct"/>
            <w:shd w:val="clear" w:color="auto" w:fill="auto"/>
            <w:tcMar>
              <w:left w:w="58" w:type="dxa"/>
              <w:right w:w="58" w:type="dxa"/>
            </w:tcMar>
          </w:tcPr>
          <w:p w:rsidR="00185608" w:rsidRPr="006371DB" w:rsidRDefault="00185608" w:rsidP="00230FAA">
            <w:pPr>
              <w:rPr>
                <w:i/>
                <w:color w:val="002060"/>
                <w:sz w:val="16"/>
                <w:szCs w:val="16"/>
              </w:rPr>
            </w:pPr>
            <w:r w:rsidRPr="006371DB">
              <w:rPr>
                <w:i/>
                <w:color w:val="002060"/>
                <w:sz w:val="16"/>
                <w:szCs w:val="16"/>
                <w:lang w:val="es-ES_tradnl"/>
              </w:rPr>
              <w:t>Referencia actualizada a fines de 2015:</w:t>
            </w:r>
            <w:r w:rsidRPr="006371DB">
              <w:rPr>
                <w:i/>
                <w:color w:val="002060"/>
                <w:sz w:val="16"/>
                <w:szCs w:val="16"/>
              </w:rPr>
              <w:t xml:space="preserve">  </w:t>
            </w:r>
          </w:p>
          <w:p w:rsidR="00185608" w:rsidRPr="006371DB" w:rsidRDefault="00185608" w:rsidP="00230FAA">
            <w:pPr>
              <w:rPr>
                <w:color w:val="002060"/>
                <w:sz w:val="16"/>
                <w:szCs w:val="16"/>
              </w:rPr>
            </w:pPr>
            <w:r w:rsidRPr="006371DB">
              <w:rPr>
                <w:color w:val="002060"/>
                <w:sz w:val="16"/>
                <w:szCs w:val="16"/>
                <w:lang w:val="es-ES_tradnl"/>
              </w:rPr>
              <w:t>23 programas del presupuesto de 2014/15 reflejan la incorporación de actividades de la A.D. a la labor de la OMPI</w:t>
            </w:r>
          </w:p>
          <w:p w:rsidR="00185608" w:rsidRPr="00A9616D" w:rsidRDefault="00185608" w:rsidP="00230FAA">
            <w:pPr>
              <w:rPr>
                <w:sz w:val="16"/>
                <w:szCs w:val="16"/>
              </w:rPr>
            </w:pPr>
          </w:p>
          <w:p w:rsidR="00185608" w:rsidRPr="00A9616D" w:rsidRDefault="00185608" w:rsidP="00230FAA">
            <w:pPr>
              <w:rPr>
                <w:i/>
                <w:sz w:val="16"/>
                <w:szCs w:val="16"/>
                <w:lang w:bidi="th-TH"/>
              </w:rPr>
            </w:pPr>
            <w:r w:rsidRPr="00A9616D">
              <w:rPr>
                <w:i/>
                <w:sz w:val="16"/>
                <w:szCs w:val="16"/>
                <w:lang w:val="es-ES_tradnl" w:bidi="th-TH"/>
              </w:rPr>
              <w:t>Referencia original en el presupuesto de 2016/17:</w:t>
            </w:r>
            <w:r w:rsidRPr="00A9616D">
              <w:rPr>
                <w:i/>
                <w:sz w:val="16"/>
                <w:szCs w:val="16"/>
                <w:lang w:bidi="th-TH"/>
              </w:rPr>
              <w:t xml:space="preserve">  </w:t>
            </w:r>
          </w:p>
          <w:p w:rsidR="00185608" w:rsidRPr="00A9616D" w:rsidRDefault="00185608" w:rsidP="00230FAA">
            <w:pPr>
              <w:spacing w:after="60"/>
              <w:rPr>
                <w:sz w:val="16"/>
                <w:szCs w:val="16"/>
              </w:rPr>
            </w:pPr>
            <w:r w:rsidRPr="00A9616D">
              <w:rPr>
                <w:sz w:val="16"/>
                <w:szCs w:val="16"/>
                <w:lang w:val="es-ES_tradnl"/>
              </w:rPr>
              <w:t>n.d. (nuevo indicador de rendimiento)</w:t>
            </w:r>
          </w:p>
        </w:tc>
        <w:tc>
          <w:tcPr>
            <w:tcW w:w="829" w:type="pct"/>
            <w:shd w:val="clear" w:color="auto" w:fill="auto"/>
            <w:tcMar>
              <w:top w:w="110" w:type="dxa"/>
              <w:left w:w="58" w:type="dxa"/>
              <w:right w:w="58" w:type="dxa"/>
            </w:tcMar>
          </w:tcPr>
          <w:p w:rsidR="00185608" w:rsidRPr="00A9616D" w:rsidRDefault="00185608" w:rsidP="00230FAA">
            <w:pPr>
              <w:rPr>
                <w:sz w:val="16"/>
                <w:szCs w:val="16"/>
              </w:rPr>
            </w:pPr>
            <w:r w:rsidRPr="00A9616D">
              <w:rPr>
                <w:sz w:val="16"/>
                <w:szCs w:val="16"/>
                <w:lang w:val="es-ES_tradnl"/>
              </w:rPr>
              <w:t>Mayor integración de los principios incluidos en las 45 recomendaciones de la A.D. en los programas de la OMPI</w:t>
            </w:r>
          </w:p>
        </w:tc>
        <w:tc>
          <w:tcPr>
            <w:tcW w:w="1174" w:type="pct"/>
            <w:shd w:val="clear" w:color="auto" w:fill="FFFFFF"/>
            <w:tcMar>
              <w:top w:w="110" w:type="dxa"/>
              <w:left w:w="58" w:type="dxa"/>
              <w:right w:w="58" w:type="dxa"/>
            </w:tcMar>
          </w:tcPr>
          <w:p w:rsidR="00185608" w:rsidRPr="00A9616D" w:rsidRDefault="00185608" w:rsidP="00230FAA">
            <w:pPr>
              <w:rPr>
                <w:sz w:val="16"/>
                <w:szCs w:val="16"/>
              </w:rPr>
            </w:pPr>
            <w:r w:rsidRPr="00A9616D">
              <w:rPr>
                <w:sz w:val="16"/>
                <w:szCs w:val="16"/>
              </w:rPr>
              <w:t xml:space="preserve">- 12 programas participaron en la aplicación de las actividades del CDIP aprobadas; </w:t>
            </w:r>
          </w:p>
          <w:p w:rsidR="00185608" w:rsidRPr="00A9616D" w:rsidRDefault="00185608" w:rsidP="00230FAA">
            <w:pPr>
              <w:rPr>
                <w:sz w:val="16"/>
                <w:szCs w:val="16"/>
              </w:rPr>
            </w:pPr>
            <w:r w:rsidRPr="00A9616D">
              <w:rPr>
                <w:sz w:val="16"/>
                <w:szCs w:val="16"/>
              </w:rPr>
              <w:t xml:space="preserve">- 23 programas reflejaron la incorporación de actividades de la A.D. a su labor </w:t>
            </w:r>
          </w:p>
          <w:p w:rsidR="00185608" w:rsidRPr="00A9616D" w:rsidRDefault="00185608" w:rsidP="00230FAA">
            <w:pPr>
              <w:rPr>
                <w:sz w:val="16"/>
                <w:szCs w:val="16"/>
              </w:rPr>
            </w:pPr>
          </w:p>
        </w:tc>
        <w:tc>
          <w:tcPr>
            <w:tcW w:w="507" w:type="pct"/>
            <w:shd w:val="clear" w:color="auto" w:fill="auto"/>
            <w:tcMar>
              <w:top w:w="110" w:type="dxa"/>
              <w:left w:w="58" w:type="dxa"/>
              <w:right w:w="58" w:type="dxa"/>
            </w:tcMar>
          </w:tcPr>
          <w:p w:rsidR="00185608" w:rsidRPr="00A9616D" w:rsidRDefault="00185608" w:rsidP="00230FAA">
            <w:pPr>
              <w:keepNext/>
              <w:keepLines/>
              <w:jc w:val="center"/>
              <w:rPr>
                <w:b/>
                <w:sz w:val="16"/>
                <w:szCs w:val="16"/>
              </w:rPr>
            </w:pPr>
            <w:r w:rsidRPr="00A9616D">
              <w:rPr>
                <w:b/>
                <w:color w:val="00B050"/>
                <w:sz w:val="16"/>
                <w:szCs w:val="16"/>
                <w:lang w:val="es-ES_tradnl"/>
              </w:rPr>
              <w:t>Avanza</w:t>
            </w:r>
          </w:p>
        </w:tc>
      </w:tr>
      <w:tr w:rsidR="00185608" w:rsidRPr="00A9616D" w:rsidTr="00230FAA">
        <w:trPr>
          <w:trHeight w:val="1195"/>
        </w:trPr>
        <w:tc>
          <w:tcPr>
            <w:tcW w:w="1172" w:type="pct"/>
            <w:shd w:val="clear" w:color="auto" w:fill="auto"/>
            <w:tcMar>
              <w:left w:w="58" w:type="dxa"/>
              <w:right w:w="58" w:type="dxa"/>
            </w:tcMar>
          </w:tcPr>
          <w:p w:rsidR="00185608" w:rsidRPr="00A9616D" w:rsidRDefault="00185608" w:rsidP="00230FAA">
            <w:pPr>
              <w:rPr>
                <w:sz w:val="16"/>
                <w:szCs w:val="16"/>
              </w:rPr>
            </w:pPr>
            <w:r w:rsidRPr="00A9616D">
              <w:rPr>
                <w:sz w:val="16"/>
                <w:szCs w:val="16"/>
                <w:lang w:val="es-ES_tradnl"/>
              </w:rPr>
              <w:t>Seguimiento eficaz de la aplicación de las recomendaciones del examen independiente de la aplicación de las recomendaciones de la A.D.</w:t>
            </w:r>
          </w:p>
        </w:tc>
        <w:tc>
          <w:tcPr>
            <w:tcW w:w="1319" w:type="pct"/>
            <w:shd w:val="clear" w:color="auto" w:fill="auto"/>
            <w:tcMar>
              <w:left w:w="58" w:type="dxa"/>
              <w:right w:w="58" w:type="dxa"/>
            </w:tcMar>
          </w:tcPr>
          <w:p w:rsidR="00185608" w:rsidRPr="006371DB" w:rsidRDefault="00185608" w:rsidP="00230FAA">
            <w:pPr>
              <w:rPr>
                <w:i/>
                <w:color w:val="002060"/>
                <w:sz w:val="16"/>
                <w:szCs w:val="16"/>
              </w:rPr>
            </w:pPr>
            <w:r w:rsidRPr="006371DB">
              <w:rPr>
                <w:i/>
                <w:color w:val="002060"/>
                <w:sz w:val="16"/>
                <w:szCs w:val="16"/>
                <w:lang w:val="es-ES_tradnl"/>
              </w:rPr>
              <w:t>Referencia actualizada a fines de 2015:</w:t>
            </w:r>
            <w:r w:rsidRPr="006371DB">
              <w:rPr>
                <w:i/>
                <w:color w:val="002060"/>
                <w:sz w:val="16"/>
                <w:szCs w:val="16"/>
              </w:rPr>
              <w:t xml:space="preserve">  </w:t>
            </w:r>
          </w:p>
          <w:p w:rsidR="00185608" w:rsidRPr="006371DB" w:rsidRDefault="00185608" w:rsidP="00230FAA">
            <w:pPr>
              <w:rPr>
                <w:color w:val="002060"/>
                <w:sz w:val="16"/>
                <w:szCs w:val="16"/>
              </w:rPr>
            </w:pPr>
            <w:r w:rsidRPr="006371DB">
              <w:rPr>
                <w:color w:val="002060"/>
                <w:sz w:val="16"/>
                <w:szCs w:val="16"/>
              </w:rPr>
              <w:t>A fines de 2015 aún se estaba realizando el examen independiente de la A.D.</w:t>
            </w:r>
          </w:p>
          <w:p w:rsidR="00185608" w:rsidRPr="00A9616D" w:rsidRDefault="00185608" w:rsidP="00230FAA">
            <w:pPr>
              <w:rPr>
                <w:sz w:val="16"/>
                <w:szCs w:val="16"/>
              </w:rPr>
            </w:pPr>
          </w:p>
          <w:p w:rsidR="00185608" w:rsidRPr="00A9616D" w:rsidRDefault="00185608" w:rsidP="00230FAA">
            <w:pPr>
              <w:rPr>
                <w:i/>
                <w:sz w:val="16"/>
                <w:szCs w:val="16"/>
                <w:lang w:bidi="th-TH"/>
              </w:rPr>
            </w:pPr>
            <w:r w:rsidRPr="00A9616D">
              <w:rPr>
                <w:i/>
                <w:sz w:val="16"/>
                <w:szCs w:val="16"/>
                <w:lang w:val="es-ES_tradnl" w:bidi="th-TH"/>
              </w:rPr>
              <w:t>Referencia original en el presupuesto de 2016/17:</w:t>
            </w:r>
            <w:r w:rsidRPr="00A9616D">
              <w:rPr>
                <w:i/>
                <w:sz w:val="16"/>
                <w:szCs w:val="16"/>
                <w:lang w:bidi="th-TH"/>
              </w:rPr>
              <w:t xml:space="preserve">  </w:t>
            </w:r>
          </w:p>
          <w:p w:rsidR="00185608" w:rsidRPr="00A9616D" w:rsidRDefault="00185608" w:rsidP="00230FAA">
            <w:pPr>
              <w:rPr>
                <w:sz w:val="16"/>
                <w:szCs w:val="16"/>
              </w:rPr>
            </w:pPr>
            <w:r w:rsidRPr="00A9616D">
              <w:rPr>
                <w:sz w:val="16"/>
                <w:szCs w:val="16"/>
                <w:lang w:val="es-ES_tradnl"/>
              </w:rPr>
              <w:t>n.d. (nuevo indicador de rendimiento)</w:t>
            </w:r>
          </w:p>
        </w:tc>
        <w:tc>
          <w:tcPr>
            <w:tcW w:w="829" w:type="pct"/>
            <w:shd w:val="clear" w:color="auto" w:fill="auto"/>
            <w:tcMar>
              <w:top w:w="110" w:type="dxa"/>
              <w:left w:w="58" w:type="dxa"/>
              <w:right w:w="58" w:type="dxa"/>
            </w:tcMar>
          </w:tcPr>
          <w:p w:rsidR="00185608" w:rsidRPr="00A9616D" w:rsidRDefault="00185608" w:rsidP="00230FAA">
            <w:pPr>
              <w:rPr>
                <w:sz w:val="16"/>
                <w:szCs w:val="16"/>
              </w:rPr>
            </w:pPr>
            <w:r w:rsidRPr="00A9616D">
              <w:rPr>
                <w:sz w:val="16"/>
                <w:szCs w:val="16"/>
                <w:lang w:val="es-ES_tradnl"/>
              </w:rPr>
              <w:t>La OMPI dispone de un sistema eficaz para supervisar la aplicación de las recomendaciones resultantes del examen</w:t>
            </w:r>
          </w:p>
        </w:tc>
        <w:tc>
          <w:tcPr>
            <w:tcW w:w="1174" w:type="pct"/>
            <w:shd w:val="clear" w:color="auto" w:fill="FFFFFF"/>
            <w:tcMar>
              <w:top w:w="110" w:type="dxa"/>
              <w:left w:w="58" w:type="dxa"/>
              <w:right w:w="58" w:type="dxa"/>
            </w:tcMar>
          </w:tcPr>
          <w:p w:rsidR="00185608" w:rsidRPr="00A9616D" w:rsidRDefault="00185608" w:rsidP="00230FAA">
            <w:pPr>
              <w:spacing w:after="60"/>
              <w:rPr>
                <w:sz w:val="16"/>
                <w:szCs w:val="16"/>
              </w:rPr>
            </w:pPr>
            <w:r w:rsidRPr="00A9616D">
              <w:rPr>
                <w:sz w:val="16"/>
                <w:szCs w:val="16"/>
              </w:rPr>
              <w:t>En la 18ª sesión del CDIP se examinó y se tomó nota del examen independiente de la A.D.</w:t>
            </w:r>
            <w:r w:rsidRPr="00A9616D">
              <w:rPr>
                <w:rStyle w:val="FootnoteReference"/>
              </w:rPr>
              <w:footnoteReference w:id="47"/>
            </w:r>
            <w:r w:rsidRPr="00A9616D">
              <w:rPr>
                <w:sz w:val="16"/>
                <w:szCs w:val="16"/>
              </w:rPr>
              <w:t xml:space="preserve"> y se pidió a la Secretaría que preparara un documento con su respuesta a las recomendaciones que le fueron formuladas, incluidas las observaciones de los Estados miembros </w:t>
            </w:r>
          </w:p>
        </w:tc>
        <w:tc>
          <w:tcPr>
            <w:tcW w:w="507" w:type="pct"/>
            <w:shd w:val="clear" w:color="auto" w:fill="auto"/>
            <w:tcMar>
              <w:top w:w="110" w:type="dxa"/>
              <w:left w:w="58" w:type="dxa"/>
              <w:right w:w="58" w:type="dxa"/>
            </w:tcMar>
          </w:tcPr>
          <w:p w:rsidR="00185608" w:rsidRPr="00A9616D" w:rsidRDefault="00185608" w:rsidP="00230FAA">
            <w:pPr>
              <w:keepNext/>
              <w:keepLines/>
              <w:jc w:val="center"/>
              <w:rPr>
                <w:sz w:val="16"/>
                <w:szCs w:val="16"/>
              </w:rPr>
            </w:pPr>
            <w:r w:rsidRPr="00A9616D">
              <w:rPr>
                <w:b/>
                <w:color w:val="00B050"/>
                <w:sz w:val="16"/>
                <w:szCs w:val="16"/>
                <w:lang w:val="es-ES_tradnl"/>
              </w:rPr>
              <w:t>Avanza</w:t>
            </w:r>
          </w:p>
        </w:tc>
      </w:tr>
      <w:tr w:rsidR="00185608" w:rsidRPr="00A9616D" w:rsidTr="00230FAA">
        <w:trPr>
          <w:trHeight w:val="415"/>
        </w:trPr>
        <w:tc>
          <w:tcPr>
            <w:tcW w:w="1172" w:type="pct"/>
            <w:shd w:val="clear" w:color="auto" w:fill="auto"/>
            <w:tcMar>
              <w:left w:w="58" w:type="dxa"/>
              <w:right w:w="58" w:type="dxa"/>
            </w:tcMar>
          </w:tcPr>
          <w:p w:rsidR="00185608" w:rsidRPr="00A9616D" w:rsidRDefault="00185608" w:rsidP="00230FAA">
            <w:pPr>
              <w:rPr>
                <w:sz w:val="16"/>
                <w:szCs w:val="16"/>
              </w:rPr>
            </w:pPr>
            <w:r w:rsidRPr="00A9616D">
              <w:rPr>
                <w:sz w:val="16"/>
                <w:szCs w:val="16"/>
                <w:lang w:val="es-ES_tradnl"/>
              </w:rPr>
              <w:t>Mecanismo mejorado para la elaboración, aplicación, supervisión, evaluación y presentación de informes respecto de los nuevos proyectos y actividades de la A.D.</w:t>
            </w:r>
          </w:p>
        </w:tc>
        <w:tc>
          <w:tcPr>
            <w:tcW w:w="1319" w:type="pct"/>
            <w:shd w:val="clear" w:color="auto" w:fill="auto"/>
            <w:tcMar>
              <w:left w:w="58" w:type="dxa"/>
              <w:right w:w="58" w:type="dxa"/>
            </w:tcMar>
          </w:tcPr>
          <w:p w:rsidR="00185608" w:rsidRPr="006371DB" w:rsidRDefault="00185608" w:rsidP="00230FAA">
            <w:pPr>
              <w:rPr>
                <w:i/>
                <w:color w:val="002060"/>
                <w:sz w:val="16"/>
                <w:szCs w:val="16"/>
              </w:rPr>
            </w:pPr>
            <w:r w:rsidRPr="006371DB">
              <w:rPr>
                <w:i/>
                <w:color w:val="002060"/>
                <w:sz w:val="16"/>
                <w:szCs w:val="16"/>
                <w:lang w:val="es-ES_tradnl"/>
              </w:rPr>
              <w:t>Referencia actualizada a fines de 2015:</w:t>
            </w:r>
            <w:r w:rsidRPr="006371DB">
              <w:rPr>
                <w:i/>
                <w:color w:val="002060"/>
                <w:sz w:val="16"/>
                <w:szCs w:val="16"/>
              </w:rPr>
              <w:t xml:space="preserve">  </w:t>
            </w:r>
          </w:p>
          <w:p w:rsidR="00185608" w:rsidRPr="006371DB" w:rsidRDefault="00185608" w:rsidP="00230FAA">
            <w:pPr>
              <w:rPr>
                <w:color w:val="002060"/>
                <w:sz w:val="16"/>
                <w:szCs w:val="16"/>
                <w:lang w:bidi="th-TH"/>
              </w:rPr>
            </w:pPr>
            <w:r w:rsidRPr="006371DB">
              <w:rPr>
                <w:color w:val="002060"/>
                <w:sz w:val="16"/>
                <w:szCs w:val="16"/>
                <w:lang w:val="es-ES_tradnl" w:bidi="th-TH"/>
              </w:rPr>
              <w:t>Todos los programas pertinentes disponen de un sistema eficaz para la planificación, el seguimiento y la evaluación de la aplicación de las recomendaciones de la A.D.</w:t>
            </w:r>
          </w:p>
          <w:p w:rsidR="00185608" w:rsidRPr="00A9616D" w:rsidRDefault="00185608" w:rsidP="00230FAA">
            <w:pPr>
              <w:rPr>
                <w:i/>
                <w:sz w:val="16"/>
                <w:szCs w:val="16"/>
                <w:lang w:bidi="th-TH"/>
              </w:rPr>
            </w:pPr>
          </w:p>
          <w:p w:rsidR="00185608" w:rsidRPr="00A9616D" w:rsidRDefault="00185608" w:rsidP="00230FAA">
            <w:pPr>
              <w:rPr>
                <w:i/>
                <w:sz w:val="16"/>
                <w:szCs w:val="16"/>
                <w:lang w:bidi="th-TH"/>
              </w:rPr>
            </w:pPr>
            <w:r w:rsidRPr="00A9616D">
              <w:rPr>
                <w:i/>
                <w:sz w:val="16"/>
                <w:szCs w:val="16"/>
                <w:lang w:val="es-ES_tradnl" w:bidi="th-TH"/>
              </w:rPr>
              <w:t>Referencia original en el presupuesto de 2016/17:</w:t>
            </w:r>
            <w:r w:rsidRPr="00A9616D">
              <w:rPr>
                <w:i/>
                <w:sz w:val="16"/>
                <w:szCs w:val="16"/>
                <w:lang w:bidi="th-TH"/>
              </w:rPr>
              <w:t xml:space="preserve">  </w:t>
            </w:r>
          </w:p>
          <w:p w:rsidR="00185608" w:rsidRPr="00A9616D" w:rsidRDefault="00185608" w:rsidP="00230FAA">
            <w:pPr>
              <w:rPr>
                <w:sz w:val="16"/>
                <w:szCs w:val="16"/>
              </w:rPr>
            </w:pPr>
            <w:r w:rsidRPr="00A9616D">
              <w:rPr>
                <w:sz w:val="16"/>
                <w:szCs w:val="16"/>
                <w:lang w:val="es-ES_tradnl"/>
              </w:rPr>
              <w:t>n.d. (nuevo indicador de rendimiento)</w:t>
            </w:r>
          </w:p>
        </w:tc>
        <w:tc>
          <w:tcPr>
            <w:tcW w:w="829" w:type="pct"/>
            <w:shd w:val="clear" w:color="auto" w:fill="auto"/>
            <w:tcMar>
              <w:top w:w="110" w:type="dxa"/>
              <w:left w:w="58" w:type="dxa"/>
              <w:right w:w="58" w:type="dxa"/>
            </w:tcMar>
          </w:tcPr>
          <w:p w:rsidR="00185608" w:rsidRPr="00A9616D" w:rsidRDefault="00185608" w:rsidP="00230FAA">
            <w:pPr>
              <w:rPr>
                <w:sz w:val="16"/>
                <w:szCs w:val="16"/>
              </w:rPr>
            </w:pPr>
            <w:r w:rsidRPr="00A9616D">
              <w:rPr>
                <w:sz w:val="16"/>
                <w:szCs w:val="16"/>
                <w:lang w:val="es-ES_tradnl"/>
              </w:rPr>
              <w:t>Nuevo mecanismo que tiene en cuenta las recomendaciones resultantes de las evaluaciones de los proyectos de la A.D., examinados durante las sesiones 12ª, 13ª, 14ª y 15ª del CDIP</w:t>
            </w:r>
          </w:p>
        </w:tc>
        <w:tc>
          <w:tcPr>
            <w:tcW w:w="1174" w:type="pct"/>
            <w:shd w:val="clear" w:color="auto" w:fill="FFFFFF"/>
            <w:tcMar>
              <w:top w:w="110" w:type="dxa"/>
              <w:left w:w="58" w:type="dxa"/>
              <w:right w:w="58" w:type="dxa"/>
            </w:tcMar>
          </w:tcPr>
          <w:p w:rsidR="00185608" w:rsidRPr="00A9616D" w:rsidRDefault="00185608" w:rsidP="00230FAA">
            <w:pPr>
              <w:spacing w:after="60"/>
              <w:rPr>
                <w:sz w:val="16"/>
                <w:szCs w:val="16"/>
              </w:rPr>
            </w:pPr>
            <w:r w:rsidRPr="00A9616D">
              <w:rPr>
                <w:sz w:val="16"/>
                <w:szCs w:val="16"/>
                <w:lang w:val="es-ES_tradnl" w:bidi="th-TH"/>
              </w:rPr>
              <w:t>Todos los programas pertinentes disponen de un sistema eficaz para la planificación, el seguimiento y la evaluación de la aplicación de las recomendaciones de la A.D.</w:t>
            </w:r>
            <w:r w:rsidRPr="00A9616D">
              <w:rPr>
                <w:sz w:val="16"/>
                <w:szCs w:val="16"/>
              </w:rPr>
              <w:t xml:space="preserve"> </w:t>
            </w:r>
            <w:r w:rsidRPr="00A9616D">
              <w:rPr>
                <w:sz w:val="16"/>
                <w:szCs w:val="16"/>
                <w:lang w:val="es-ES_tradnl"/>
              </w:rPr>
              <w:t>que tiene en cuenta las recomendaciones resultantes de las evaluaciones de los proyectos de la A.D., examinados</w:t>
            </w:r>
            <w:r w:rsidRPr="00A9616D">
              <w:rPr>
                <w:sz w:val="16"/>
                <w:szCs w:val="16"/>
              </w:rPr>
              <w:t xml:space="preserve"> hasta la 18ª sesión del CDIP</w:t>
            </w:r>
          </w:p>
        </w:tc>
        <w:tc>
          <w:tcPr>
            <w:tcW w:w="507" w:type="pct"/>
            <w:shd w:val="clear" w:color="auto" w:fill="auto"/>
            <w:tcMar>
              <w:top w:w="110" w:type="dxa"/>
              <w:left w:w="58" w:type="dxa"/>
              <w:right w:w="58" w:type="dxa"/>
            </w:tcMar>
          </w:tcPr>
          <w:p w:rsidR="00185608" w:rsidRPr="00A9616D" w:rsidRDefault="00185608" w:rsidP="00230FAA">
            <w:pPr>
              <w:keepNext/>
              <w:keepLines/>
              <w:jc w:val="center"/>
              <w:rPr>
                <w:sz w:val="16"/>
                <w:szCs w:val="16"/>
              </w:rPr>
            </w:pPr>
            <w:r w:rsidRPr="00A9616D">
              <w:rPr>
                <w:b/>
                <w:color w:val="00B050"/>
                <w:sz w:val="16"/>
                <w:szCs w:val="16"/>
                <w:lang w:val="es-ES_tradnl"/>
              </w:rPr>
              <w:t>Avanza</w:t>
            </w:r>
          </w:p>
        </w:tc>
      </w:tr>
      <w:tr w:rsidR="00185608" w:rsidRPr="00A9616D" w:rsidTr="00230FAA">
        <w:trPr>
          <w:trHeight w:val="565"/>
        </w:trPr>
        <w:tc>
          <w:tcPr>
            <w:tcW w:w="5000" w:type="pct"/>
            <w:gridSpan w:val="5"/>
            <w:shd w:val="clear" w:color="auto" w:fill="C6D9F1" w:themeFill="text2" w:themeFillTint="33"/>
            <w:tcMar>
              <w:left w:w="58" w:type="dxa"/>
              <w:right w:w="58" w:type="dxa"/>
            </w:tcMar>
            <w:vAlign w:val="center"/>
          </w:tcPr>
          <w:p w:rsidR="00185608" w:rsidRPr="00A9616D" w:rsidRDefault="00185608" w:rsidP="00230FAA">
            <w:pPr>
              <w:keepNext/>
              <w:keepLines/>
              <w:tabs>
                <w:tab w:val="left" w:pos="1452"/>
              </w:tabs>
              <w:ind w:left="1701" w:hanging="1701"/>
              <w:rPr>
                <w:b/>
                <w:bCs/>
                <w:sz w:val="16"/>
                <w:szCs w:val="16"/>
              </w:rPr>
            </w:pPr>
            <w:r w:rsidRPr="00A9616D">
              <w:rPr>
                <w:b/>
                <w:bCs/>
                <w:sz w:val="16"/>
                <w:szCs w:val="16"/>
              </w:rPr>
              <w:lastRenderedPageBreak/>
              <w:t>Resultado previsto:</w:t>
            </w:r>
            <w:r w:rsidRPr="00A9616D">
              <w:rPr>
                <w:b/>
                <w:bCs/>
                <w:sz w:val="16"/>
                <w:szCs w:val="16"/>
              </w:rPr>
              <w:tab/>
            </w:r>
            <w:r w:rsidRPr="00A9616D">
              <w:rPr>
                <w:bCs/>
                <w:sz w:val="16"/>
                <w:szCs w:val="16"/>
                <w:lang w:val="es-ES_tradnl"/>
              </w:rPr>
              <w:t>III.5  Mejor comprensión de la Agenda para el Desarrollo por los Estados miembros, las OIG, la sociedad civil y demás partes interesadas</w:t>
            </w:r>
          </w:p>
        </w:tc>
      </w:tr>
      <w:tr w:rsidR="00185608" w:rsidRPr="00A9616D" w:rsidTr="00230FAA">
        <w:tc>
          <w:tcPr>
            <w:tcW w:w="1172" w:type="pct"/>
            <w:shd w:val="clear" w:color="auto" w:fill="auto"/>
            <w:tcMar>
              <w:left w:w="58" w:type="dxa"/>
              <w:right w:w="58" w:type="dxa"/>
            </w:tcMar>
            <w:vAlign w:val="center"/>
          </w:tcPr>
          <w:p w:rsidR="00185608" w:rsidRPr="00A9616D" w:rsidRDefault="00185608" w:rsidP="00230FAA">
            <w:pPr>
              <w:keepNext/>
              <w:rPr>
                <w:b/>
                <w:bCs/>
                <w:sz w:val="16"/>
                <w:szCs w:val="16"/>
              </w:rPr>
            </w:pPr>
            <w:r w:rsidRPr="00A9616D">
              <w:rPr>
                <w:b/>
                <w:bCs/>
                <w:sz w:val="16"/>
                <w:szCs w:val="16"/>
                <w:lang w:val="es-ES_tradnl"/>
              </w:rPr>
              <w:t>Indicadores de rendimiento</w:t>
            </w:r>
          </w:p>
        </w:tc>
        <w:tc>
          <w:tcPr>
            <w:tcW w:w="1319" w:type="pct"/>
            <w:shd w:val="clear" w:color="auto" w:fill="auto"/>
            <w:tcMar>
              <w:left w:w="58" w:type="dxa"/>
              <w:right w:w="58" w:type="dxa"/>
            </w:tcMar>
            <w:vAlign w:val="center"/>
          </w:tcPr>
          <w:p w:rsidR="00185608" w:rsidRPr="00A9616D" w:rsidRDefault="00185608" w:rsidP="00230FAA">
            <w:pPr>
              <w:keepNext/>
              <w:rPr>
                <w:b/>
                <w:bCs/>
                <w:sz w:val="16"/>
                <w:szCs w:val="16"/>
              </w:rPr>
            </w:pPr>
            <w:r w:rsidRPr="00A9616D">
              <w:rPr>
                <w:b/>
                <w:bCs/>
                <w:sz w:val="16"/>
                <w:szCs w:val="16"/>
                <w:lang w:val="es-ES_tradnl"/>
              </w:rPr>
              <w:t>Referencias de base</w:t>
            </w:r>
          </w:p>
        </w:tc>
        <w:tc>
          <w:tcPr>
            <w:tcW w:w="829" w:type="pct"/>
            <w:shd w:val="clear" w:color="auto" w:fill="auto"/>
            <w:tcMar>
              <w:top w:w="110" w:type="dxa"/>
              <w:left w:w="58" w:type="dxa"/>
              <w:right w:w="58" w:type="dxa"/>
            </w:tcMar>
            <w:vAlign w:val="center"/>
          </w:tcPr>
          <w:p w:rsidR="00185608" w:rsidRPr="00A9616D" w:rsidRDefault="00185608" w:rsidP="00230FAA">
            <w:pPr>
              <w:keepNext/>
              <w:rPr>
                <w:b/>
                <w:bCs/>
                <w:sz w:val="16"/>
                <w:szCs w:val="16"/>
              </w:rPr>
            </w:pPr>
            <w:r w:rsidRPr="00A9616D">
              <w:rPr>
                <w:b/>
                <w:bCs/>
                <w:sz w:val="16"/>
                <w:szCs w:val="16"/>
                <w:lang w:val="es-ES_tradnl"/>
              </w:rPr>
              <w:t>Objetivos</w:t>
            </w:r>
          </w:p>
        </w:tc>
        <w:tc>
          <w:tcPr>
            <w:tcW w:w="1174" w:type="pct"/>
            <w:shd w:val="clear" w:color="auto" w:fill="FFFFFF"/>
            <w:tcMar>
              <w:top w:w="110" w:type="dxa"/>
              <w:left w:w="58" w:type="dxa"/>
              <w:right w:w="58" w:type="dxa"/>
            </w:tcMar>
            <w:vAlign w:val="center"/>
          </w:tcPr>
          <w:p w:rsidR="00185608" w:rsidRPr="00A9616D" w:rsidRDefault="00185608" w:rsidP="00230FAA">
            <w:pPr>
              <w:keepNext/>
              <w:rPr>
                <w:b/>
                <w:bCs/>
                <w:sz w:val="16"/>
                <w:szCs w:val="16"/>
              </w:rPr>
            </w:pPr>
            <w:r w:rsidRPr="00A9616D">
              <w:rPr>
                <w:b/>
                <w:bCs/>
                <w:sz w:val="16"/>
                <w:szCs w:val="16"/>
                <w:lang w:val="es-ES_tradnl"/>
              </w:rPr>
              <w:t>Datos sobre el rendimiento</w:t>
            </w:r>
          </w:p>
        </w:tc>
        <w:tc>
          <w:tcPr>
            <w:tcW w:w="507" w:type="pct"/>
            <w:shd w:val="clear" w:color="auto" w:fill="auto"/>
            <w:tcMar>
              <w:top w:w="110" w:type="dxa"/>
              <w:left w:w="58" w:type="dxa"/>
              <w:right w:w="58" w:type="dxa"/>
            </w:tcMar>
            <w:vAlign w:val="center"/>
          </w:tcPr>
          <w:p w:rsidR="00185608" w:rsidRPr="00A9616D" w:rsidRDefault="00185608" w:rsidP="00230FAA">
            <w:pPr>
              <w:keepNext/>
              <w:keepLines/>
              <w:jc w:val="center"/>
              <w:rPr>
                <w:b/>
                <w:bCs/>
                <w:sz w:val="16"/>
                <w:szCs w:val="16"/>
              </w:rPr>
            </w:pPr>
            <w:r w:rsidRPr="00A9616D">
              <w:rPr>
                <w:b/>
                <w:bCs/>
                <w:sz w:val="16"/>
                <w:szCs w:val="16"/>
                <w:lang w:val="es-ES_tradnl"/>
              </w:rPr>
              <w:t>Clave de colores</w:t>
            </w:r>
          </w:p>
        </w:tc>
      </w:tr>
      <w:tr w:rsidR="00185608" w:rsidRPr="00A9616D" w:rsidTr="00230FAA">
        <w:trPr>
          <w:trHeight w:val="1438"/>
        </w:trPr>
        <w:tc>
          <w:tcPr>
            <w:tcW w:w="1172" w:type="pct"/>
            <w:shd w:val="clear" w:color="auto" w:fill="auto"/>
            <w:tcMar>
              <w:left w:w="58" w:type="dxa"/>
              <w:right w:w="58" w:type="dxa"/>
            </w:tcMar>
          </w:tcPr>
          <w:p w:rsidR="00185608" w:rsidRPr="00A9616D" w:rsidRDefault="00185608" w:rsidP="00230FAA">
            <w:pPr>
              <w:rPr>
                <w:sz w:val="16"/>
                <w:szCs w:val="16"/>
              </w:rPr>
            </w:pPr>
            <w:r w:rsidRPr="00A9616D">
              <w:rPr>
                <w:sz w:val="16"/>
                <w:szCs w:val="16"/>
                <w:lang w:val="es-ES_tradnl"/>
              </w:rPr>
              <w:t>Las actividades de asistencia técnica realizadas por la OMPI reflejan la dimensión relativa a la Agenda para el Desarrollo y los resultados de los proyectos de la A.D.</w:t>
            </w:r>
          </w:p>
        </w:tc>
        <w:tc>
          <w:tcPr>
            <w:tcW w:w="1319" w:type="pct"/>
            <w:shd w:val="clear" w:color="auto" w:fill="auto"/>
            <w:tcMar>
              <w:left w:w="58" w:type="dxa"/>
              <w:right w:w="58" w:type="dxa"/>
            </w:tcMar>
          </w:tcPr>
          <w:p w:rsidR="00185608" w:rsidRPr="006371DB" w:rsidRDefault="00185608" w:rsidP="00230FAA">
            <w:pPr>
              <w:rPr>
                <w:i/>
                <w:color w:val="002060"/>
                <w:sz w:val="16"/>
                <w:szCs w:val="16"/>
              </w:rPr>
            </w:pPr>
            <w:r w:rsidRPr="006371DB">
              <w:rPr>
                <w:i/>
                <w:color w:val="002060"/>
                <w:sz w:val="16"/>
                <w:szCs w:val="16"/>
                <w:lang w:val="es-ES_tradnl"/>
              </w:rPr>
              <w:t>Referencia actualizada a fines de 2015:</w:t>
            </w:r>
            <w:r w:rsidRPr="006371DB">
              <w:rPr>
                <w:i/>
                <w:color w:val="002060"/>
                <w:sz w:val="16"/>
                <w:szCs w:val="16"/>
              </w:rPr>
              <w:t xml:space="preserve">  </w:t>
            </w:r>
          </w:p>
          <w:p w:rsidR="00185608" w:rsidRPr="006371DB" w:rsidRDefault="00185608" w:rsidP="00230FAA">
            <w:pPr>
              <w:rPr>
                <w:color w:val="002060"/>
                <w:sz w:val="16"/>
                <w:szCs w:val="16"/>
                <w:lang w:bidi="th-TH"/>
              </w:rPr>
            </w:pPr>
            <w:r w:rsidRPr="006371DB">
              <w:rPr>
                <w:color w:val="002060"/>
                <w:sz w:val="16"/>
                <w:szCs w:val="16"/>
                <w:lang w:bidi="th-TH"/>
              </w:rPr>
              <w:t>No se dispone de un sistema de verificación</w:t>
            </w:r>
          </w:p>
          <w:p w:rsidR="00185608" w:rsidRPr="00A9616D" w:rsidRDefault="00185608" w:rsidP="00230FAA">
            <w:pPr>
              <w:rPr>
                <w:i/>
                <w:sz w:val="16"/>
                <w:szCs w:val="16"/>
                <w:lang w:bidi="th-TH"/>
              </w:rPr>
            </w:pPr>
          </w:p>
          <w:p w:rsidR="00185608" w:rsidRPr="00A9616D" w:rsidRDefault="00185608" w:rsidP="00230FAA">
            <w:pPr>
              <w:rPr>
                <w:i/>
                <w:sz w:val="16"/>
                <w:szCs w:val="16"/>
                <w:lang w:bidi="th-TH"/>
              </w:rPr>
            </w:pPr>
            <w:r w:rsidRPr="00A9616D">
              <w:rPr>
                <w:i/>
                <w:sz w:val="16"/>
                <w:szCs w:val="16"/>
                <w:lang w:val="es-ES_tradnl" w:bidi="th-TH"/>
              </w:rPr>
              <w:t>Referencia original en el presupuesto de 2016/17:</w:t>
            </w:r>
            <w:r w:rsidRPr="00A9616D">
              <w:rPr>
                <w:i/>
                <w:sz w:val="16"/>
                <w:szCs w:val="16"/>
                <w:lang w:bidi="th-TH"/>
              </w:rPr>
              <w:t xml:space="preserve">  </w:t>
            </w:r>
          </w:p>
          <w:p w:rsidR="00185608" w:rsidRPr="00A9616D" w:rsidRDefault="00185608" w:rsidP="00230FAA">
            <w:pPr>
              <w:rPr>
                <w:sz w:val="16"/>
                <w:szCs w:val="16"/>
              </w:rPr>
            </w:pPr>
            <w:r w:rsidRPr="00A9616D">
              <w:rPr>
                <w:sz w:val="16"/>
                <w:szCs w:val="16"/>
                <w:lang w:val="es-ES_tradnl"/>
              </w:rPr>
              <w:t>n.d. (nuevo indicador de rendimiento)</w:t>
            </w:r>
          </w:p>
        </w:tc>
        <w:tc>
          <w:tcPr>
            <w:tcW w:w="829" w:type="pct"/>
            <w:shd w:val="clear" w:color="auto" w:fill="auto"/>
            <w:tcMar>
              <w:top w:w="110" w:type="dxa"/>
              <w:left w:w="58" w:type="dxa"/>
              <w:right w:w="58" w:type="dxa"/>
            </w:tcMar>
          </w:tcPr>
          <w:p w:rsidR="00185608" w:rsidRPr="00A9616D" w:rsidRDefault="00185608" w:rsidP="00230FAA">
            <w:pPr>
              <w:spacing w:after="60"/>
              <w:rPr>
                <w:sz w:val="16"/>
                <w:szCs w:val="16"/>
              </w:rPr>
            </w:pPr>
            <w:r w:rsidRPr="00A9616D">
              <w:rPr>
                <w:sz w:val="16"/>
                <w:szCs w:val="16"/>
                <w:lang w:val="es-ES_tradnl"/>
              </w:rPr>
              <w:t>Se elabora un sistema que verifica que todas las actividades de asistencia técnica se realizan de conformidad con los principios de la A.D.</w:t>
            </w:r>
          </w:p>
        </w:tc>
        <w:tc>
          <w:tcPr>
            <w:tcW w:w="1174" w:type="pct"/>
            <w:shd w:val="clear" w:color="auto" w:fill="FFFFFF"/>
            <w:tcMar>
              <w:top w:w="110" w:type="dxa"/>
              <w:left w:w="58" w:type="dxa"/>
              <w:right w:w="58" w:type="dxa"/>
            </w:tcMar>
          </w:tcPr>
          <w:p w:rsidR="00185608" w:rsidRPr="00A9616D" w:rsidRDefault="00185608" w:rsidP="00230FAA">
            <w:pPr>
              <w:rPr>
                <w:sz w:val="16"/>
                <w:szCs w:val="16"/>
              </w:rPr>
            </w:pPr>
            <w:r w:rsidRPr="00A9616D">
              <w:rPr>
                <w:sz w:val="16"/>
                <w:szCs w:val="16"/>
                <w:lang w:bidi="th-TH"/>
              </w:rPr>
              <w:t>No se dispone de un sistema de verificación</w:t>
            </w:r>
          </w:p>
        </w:tc>
        <w:tc>
          <w:tcPr>
            <w:tcW w:w="507" w:type="pct"/>
            <w:shd w:val="clear" w:color="auto" w:fill="auto"/>
            <w:tcMar>
              <w:top w:w="110" w:type="dxa"/>
              <w:left w:w="58" w:type="dxa"/>
              <w:right w:w="58" w:type="dxa"/>
            </w:tcMar>
          </w:tcPr>
          <w:p w:rsidR="00185608" w:rsidRPr="00A9616D" w:rsidRDefault="00185608" w:rsidP="00230FAA">
            <w:pPr>
              <w:keepNext/>
              <w:keepLines/>
              <w:jc w:val="center"/>
              <w:rPr>
                <w:b/>
                <w:sz w:val="16"/>
                <w:szCs w:val="16"/>
              </w:rPr>
            </w:pPr>
            <w:r w:rsidRPr="00A9616D">
              <w:rPr>
                <w:b/>
                <w:color w:val="FF0000"/>
                <w:sz w:val="16"/>
                <w:szCs w:val="16"/>
                <w:lang w:val="es-ES_tradnl"/>
              </w:rPr>
              <w:t>No avanza</w:t>
            </w:r>
          </w:p>
        </w:tc>
      </w:tr>
      <w:tr w:rsidR="00185608" w:rsidRPr="00A9616D" w:rsidTr="00230FAA">
        <w:trPr>
          <w:trHeight w:val="1186"/>
        </w:trPr>
        <w:tc>
          <w:tcPr>
            <w:tcW w:w="1172" w:type="pct"/>
            <w:shd w:val="clear" w:color="auto" w:fill="auto"/>
            <w:tcMar>
              <w:left w:w="58" w:type="dxa"/>
              <w:right w:w="58" w:type="dxa"/>
            </w:tcMar>
          </w:tcPr>
          <w:p w:rsidR="00185608" w:rsidRPr="00A9616D" w:rsidRDefault="00185608" w:rsidP="00230FAA">
            <w:pPr>
              <w:rPr>
                <w:sz w:val="16"/>
                <w:szCs w:val="16"/>
              </w:rPr>
            </w:pPr>
            <w:r w:rsidRPr="00A9616D">
              <w:rPr>
                <w:sz w:val="16"/>
                <w:szCs w:val="16"/>
                <w:lang w:val="es-ES_tradnl"/>
              </w:rPr>
              <w:t>% de participantes satisfechos con los eventos sobre la Agenda de la OMPI para el Desarrollo dirigidos a los Estados miembros, la sociedad civil, las OIG y las partes interesadas</w:t>
            </w:r>
          </w:p>
        </w:tc>
        <w:tc>
          <w:tcPr>
            <w:tcW w:w="1319" w:type="pct"/>
            <w:shd w:val="clear" w:color="auto" w:fill="auto"/>
            <w:tcMar>
              <w:left w:w="58" w:type="dxa"/>
              <w:right w:w="58" w:type="dxa"/>
            </w:tcMar>
          </w:tcPr>
          <w:p w:rsidR="00185608" w:rsidRPr="006371DB" w:rsidRDefault="00185608" w:rsidP="00230FAA">
            <w:pPr>
              <w:rPr>
                <w:i/>
                <w:color w:val="002060"/>
                <w:sz w:val="16"/>
                <w:szCs w:val="16"/>
              </w:rPr>
            </w:pPr>
            <w:r w:rsidRPr="006371DB">
              <w:rPr>
                <w:i/>
                <w:color w:val="002060"/>
                <w:sz w:val="16"/>
                <w:szCs w:val="16"/>
                <w:lang w:val="es-ES_tradnl"/>
              </w:rPr>
              <w:t>Referencia actualizada a fines de 2015:</w:t>
            </w:r>
            <w:r w:rsidRPr="006371DB">
              <w:rPr>
                <w:i/>
                <w:color w:val="002060"/>
                <w:sz w:val="16"/>
                <w:szCs w:val="16"/>
              </w:rPr>
              <w:t xml:space="preserve">  </w:t>
            </w:r>
          </w:p>
          <w:p w:rsidR="00185608" w:rsidRPr="006371DB" w:rsidRDefault="00185608" w:rsidP="00230FAA">
            <w:pPr>
              <w:rPr>
                <w:color w:val="002060"/>
                <w:sz w:val="16"/>
                <w:szCs w:val="16"/>
                <w:lang w:bidi="th-TH"/>
              </w:rPr>
            </w:pPr>
            <w:r w:rsidRPr="006371DB">
              <w:rPr>
                <w:color w:val="002060"/>
                <w:sz w:val="16"/>
                <w:szCs w:val="16"/>
                <w:lang w:bidi="th-TH"/>
              </w:rPr>
              <w:t>78,57%</w:t>
            </w:r>
          </w:p>
          <w:p w:rsidR="00185608" w:rsidRPr="00A9616D" w:rsidRDefault="00185608" w:rsidP="00230FAA">
            <w:pPr>
              <w:rPr>
                <w:sz w:val="16"/>
                <w:szCs w:val="16"/>
              </w:rPr>
            </w:pPr>
          </w:p>
          <w:p w:rsidR="00185608" w:rsidRPr="00A9616D" w:rsidRDefault="00185608" w:rsidP="00230FAA">
            <w:pPr>
              <w:rPr>
                <w:i/>
                <w:sz w:val="16"/>
                <w:szCs w:val="16"/>
                <w:lang w:bidi="th-TH"/>
              </w:rPr>
            </w:pPr>
            <w:r w:rsidRPr="00A9616D">
              <w:rPr>
                <w:i/>
                <w:sz w:val="16"/>
                <w:szCs w:val="16"/>
                <w:lang w:val="es-ES_tradnl" w:bidi="th-TH"/>
              </w:rPr>
              <w:t>Referencia original en el presupuesto de 2016/2017:</w:t>
            </w:r>
            <w:r w:rsidRPr="00A9616D">
              <w:rPr>
                <w:i/>
                <w:sz w:val="16"/>
                <w:szCs w:val="16"/>
                <w:lang w:bidi="th-TH"/>
              </w:rPr>
              <w:t xml:space="preserve">  </w:t>
            </w:r>
          </w:p>
          <w:p w:rsidR="00185608" w:rsidRPr="00A9616D" w:rsidRDefault="00185608" w:rsidP="00230FAA">
            <w:pPr>
              <w:rPr>
                <w:sz w:val="16"/>
                <w:szCs w:val="16"/>
              </w:rPr>
            </w:pPr>
            <w:r w:rsidRPr="00A9616D">
              <w:rPr>
                <w:sz w:val="16"/>
                <w:szCs w:val="16"/>
                <w:lang w:val="es-ES_tradnl"/>
              </w:rPr>
              <w:t>n.d. en 2014 (según el informe sobre el rendimiento de los programas en 2014)</w:t>
            </w:r>
          </w:p>
        </w:tc>
        <w:tc>
          <w:tcPr>
            <w:tcW w:w="829" w:type="pct"/>
            <w:shd w:val="clear" w:color="auto" w:fill="auto"/>
            <w:tcMar>
              <w:top w:w="110" w:type="dxa"/>
              <w:left w:w="58" w:type="dxa"/>
              <w:right w:w="58" w:type="dxa"/>
            </w:tcMar>
          </w:tcPr>
          <w:p w:rsidR="00185608" w:rsidRPr="00A9616D" w:rsidRDefault="00185608" w:rsidP="00230FAA">
            <w:pPr>
              <w:rPr>
                <w:sz w:val="16"/>
                <w:szCs w:val="16"/>
              </w:rPr>
            </w:pPr>
            <w:r w:rsidRPr="00A9616D">
              <w:rPr>
                <w:sz w:val="16"/>
                <w:szCs w:val="16"/>
              </w:rPr>
              <w:t>80%</w:t>
            </w:r>
          </w:p>
        </w:tc>
        <w:tc>
          <w:tcPr>
            <w:tcW w:w="1174" w:type="pct"/>
            <w:shd w:val="clear" w:color="auto" w:fill="FFFFFF"/>
            <w:tcMar>
              <w:top w:w="110" w:type="dxa"/>
              <w:left w:w="58" w:type="dxa"/>
              <w:right w:w="58" w:type="dxa"/>
            </w:tcMar>
          </w:tcPr>
          <w:p w:rsidR="00185608" w:rsidRPr="00A9616D" w:rsidRDefault="00185608" w:rsidP="00230FAA">
            <w:pPr>
              <w:keepNext/>
              <w:keepLines/>
              <w:rPr>
                <w:sz w:val="16"/>
                <w:szCs w:val="16"/>
              </w:rPr>
            </w:pPr>
            <w:r w:rsidRPr="00A9616D">
              <w:rPr>
                <w:sz w:val="16"/>
                <w:szCs w:val="16"/>
              </w:rPr>
              <w:t>86,6%</w:t>
            </w:r>
          </w:p>
        </w:tc>
        <w:tc>
          <w:tcPr>
            <w:tcW w:w="507" w:type="pct"/>
            <w:shd w:val="clear" w:color="auto" w:fill="auto"/>
            <w:tcMar>
              <w:top w:w="110" w:type="dxa"/>
              <w:left w:w="58" w:type="dxa"/>
              <w:right w:w="58" w:type="dxa"/>
            </w:tcMar>
          </w:tcPr>
          <w:p w:rsidR="00185608" w:rsidRPr="00A9616D" w:rsidRDefault="00185608" w:rsidP="00230FAA">
            <w:pPr>
              <w:keepNext/>
              <w:keepLines/>
              <w:jc w:val="center"/>
              <w:rPr>
                <w:sz w:val="16"/>
                <w:szCs w:val="16"/>
              </w:rPr>
            </w:pPr>
            <w:r w:rsidRPr="00A9616D">
              <w:rPr>
                <w:b/>
                <w:color w:val="00B050"/>
                <w:sz w:val="16"/>
                <w:szCs w:val="16"/>
                <w:lang w:val="es-ES_tradnl"/>
              </w:rPr>
              <w:t>Avanza</w:t>
            </w:r>
          </w:p>
        </w:tc>
      </w:tr>
    </w:tbl>
    <w:p w:rsidR="00185608" w:rsidRPr="00A9616D" w:rsidRDefault="00185608" w:rsidP="00230FAA">
      <w:pPr>
        <w:rPr>
          <w:sz w:val="20"/>
        </w:rPr>
      </w:pPr>
    </w:p>
    <w:p w:rsidR="00185608" w:rsidRPr="00A9616D" w:rsidRDefault="00185608">
      <w:pPr>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185608" w:rsidRPr="00A9616D" w:rsidTr="00230FAA">
        <w:trPr>
          <w:trHeight w:val="423"/>
        </w:trPr>
        <w:tc>
          <w:tcPr>
            <w:tcW w:w="9179" w:type="dxa"/>
            <w:shd w:val="clear" w:color="auto" w:fill="C6D9F1" w:themeFill="text2" w:themeFillTint="33"/>
            <w:vAlign w:val="center"/>
          </w:tcPr>
          <w:p w:rsidR="00185608" w:rsidRPr="00A9616D" w:rsidRDefault="00185608" w:rsidP="00230FAA">
            <w:pPr>
              <w:keepNext/>
              <w:keepLines/>
              <w:jc w:val="center"/>
              <w:rPr>
                <w:b/>
                <w:sz w:val="20"/>
              </w:rPr>
            </w:pPr>
            <w:r w:rsidRPr="00A9616D">
              <w:rPr>
                <w:b/>
                <w:sz w:val="20"/>
              </w:rPr>
              <w:br w:type="page"/>
            </w:r>
            <w:r w:rsidRPr="00A9616D">
              <w:rPr>
                <w:b/>
                <w:sz w:val="20"/>
                <w:lang w:val="es-ES_tradnl"/>
              </w:rPr>
              <w:t>Utilización de los recursos para el programa 8</w:t>
            </w:r>
          </w:p>
        </w:tc>
      </w:tr>
    </w:tbl>
    <w:p w:rsidR="00185608" w:rsidRPr="00A9616D" w:rsidRDefault="00185608" w:rsidP="00230FAA">
      <w:pPr>
        <w:rPr>
          <w:sz w:val="20"/>
        </w:rPr>
      </w:pPr>
    </w:p>
    <w:p w:rsidR="00185608" w:rsidRPr="00A9616D" w:rsidRDefault="00185608" w:rsidP="00230FAA">
      <w:pPr>
        <w:pStyle w:val="NormalWeb"/>
        <w:keepNext/>
        <w:keepLines/>
        <w:spacing w:before="0" w:beforeAutospacing="0" w:after="0" w:afterAutospacing="0"/>
        <w:jc w:val="center"/>
        <w:rPr>
          <w:lang w:val="es-ES"/>
        </w:rPr>
      </w:pPr>
      <w:r w:rsidRPr="00A9616D">
        <w:rPr>
          <w:lang w:val="es-ES_tradnl"/>
        </w:rPr>
        <w:t>Presupuesto y gastos reales (por resultado)</w:t>
      </w:r>
    </w:p>
    <w:p w:rsidR="00185608" w:rsidRPr="00A9616D" w:rsidRDefault="00185608" w:rsidP="00230FAA">
      <w:pPr>
        <w:pStyle w:val="NormalWeb"/>
        <w:keepNext/>
        <w:keepLines/>
        <w:spacing w:before="0" w:beforeAutospacing="0" w:after="0" w:afterAutospacing="0"/>
        <w:jc w:val="center"/>
        <w:rPr>
          <w:i/>
          <w:iCs/>
          <w:sz w:val="16"/>
          <w:szCs w:val="16"/>
          <w:lang w:val="es-ES"/>
        </w:rPr>
      </w:pPr>
      <w:r w:rsidRPr="00A9616D">
        <w:rPr>
          <w:i/>
          <w:iCs/>
          <w:sz w:val="16"/>
          <w:szCs w:val="16"/>
          <w:lang w:val="es-ES_tradnl"/>
        </w:rPr>
        <w:t>(en miles de francos suizos)</w:t>
      </w:r>
    </w:p>
    <w:p w:rsidR="00185608" w:rsidRPr="00A9616D" w:rsidRDefault="00185608" w:rsidP="00230FAA">
      <w:pPr>
        <w:rPr>
          <w:sz w:val="20"/>
        </w:rPr>
      </w:pPr>
    </w:p>
    <w:tbl>
      <w:tblPr>
        <w:tblW w:w="8222" w:type="dxa"/>
        <w:jc w:val="center"/>
        <w:tblLook w:val="04A0" w:firstRow="1" w:lastRow="0" w:firstColumn="1" w:lastColumn="0" w:noHBand="0" w:noVBand="1"/>
      </w:tblPr>
      <w:tblGrid>
        <w:gridCol w:w="483"/>
        <w:gridCol w:w="4239"/>
        <w:gridCol w:w="1186"/>
        <w:gridCol w:w="1310"/>
        <w:gridCol w:w="1175"/>
      </w:tblGrid>
      <w:tr w:rsidR="00185608" w:rsidRPr="00A9616D" w:rsidTr="00230FAA">
        <w:trPr>
          <w:trHeight w:val="825"/>
          <w:jc w:val="center"/>
        </w:trPr>
        <w:tc>
          <w:tcPr>
            <w:tcW w:w="4690" w:type="dxa"/>
            <w:gridSpan w:val="2"/>
            <w:tcBorders>
              <w:top w:val="nil"/>
              <w:left w:val="nil"/>
              <w:bottom w:val="nil"/>
              <w:right w:val="nil"/>
            </w:tcBorders>
            <w:shd w:val="clear" w:color="000000" w:fill="C5D9F1"/>
            <w:noWrap/>
            <w:vAlign w:val="center"/>
            <w:hideMark/>
          </w:tcPr>
          <w:p w:rsidR="00185608" w:rsidRPr="00A9616D" w:rsidRDefault="00185608" w:rsidP="00230FAA">
            <w:pPr>
              <w:jc w:val="center"/>
              <w:rPr>
                <w:b/>
                <w:bCs/>
                <w:sz w:val="16"/>
                <w:szCs w:val="16"/>
              </w:rPr>
            </w:pPr>
            <w:r w:rsidRPr="00A9616D">
              <w:rPr>
                <w:b/>
                <w:bCs/>
                <w:sz w:val="16"/>
                <w:szCs w:val="16"/>
                <w:lang w:val="es-ES_tradnl"/>
              </w:rPr>
              <w:t>Número del resultado previsto y descripción</w:t>
            </w:r>
            <w:r w:rsidRPr="00A9616D">
              <w:rPr>
                <w:b/>
                <w:bCs/>
                <w:sz w:val="16"/>
                <w:szCs w:val="16"/>
              </w:rPr>
              <w:t xml:space="preserve"> </w:t>
            </w:r>
          </w:p>
        </w:tc>
        <w:tc>
          <w:tcPr>
            <w:tcW w:w="1168"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rPr>
              <w:t xml:space="preserve"> </w:t>
            </w:r>
            <w:r w:rsidRPr="00A9616D">
              <w:rPr>
                <w:b/>
                <w:bCs/>
                <w:sz w:val="16"/>
                <w:szCs w:val="16"/>
                <w:lang w:val="es-ES_tradnl"/>
              </w:rPr>
              <w:t>Presupuesto aprobado de 2016/17</w:t>
            </w:r>
            <w:r w:rsidRPr="00A9616D">
              <w:rPr>
                <w:b/>
                <w:bCs/>
                <w:sz w:val="16"/>
                <w:szCs w:val="16"/>
              </w:rPr>
              <w:t xml:space="preserve"> </w:t>
            </w:r>
          </w:p>
        </w:tc>
        <w:tc>
          <w:tcPr>
            <w:tcW w:w="1167"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rPr>
              <w:t xml:space="preserve"> </w:t>
            </w:r>
            <w:r w:rsidRPr="00A9616D">
              <w:rPr>
                <w:b/>
                <w:bCs/>
                <w:sz w:val="16"/>
                <w:szCs w:val="16"/>
                <w:lang w:val="es-ES_tradnl"/>
              </w:rPr>
              <w:t>Presupuesto de 2016/17 tras las transferencias</w:t>
            </w:r>
            <w:r w:rsidRPr="00A9616D">
              <w:rPr>
                <w:b/>
                <w:bCs/>
                <w:sz w:val="16"/>
                <w:szCs w:val="16"/>
              </w:rPr>
              <w:t xml:space="preserve"> </w:t>
            </w:r>
          </w:p>
        </w:tc>
        <w:tc>
          <w:tcPr>
            <w:tcW w:w="1175"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rPr>
              <w:t xml:space="preserve"> </w:t>
            </w:r>
            <w:r w:rsidRPr="00A9616D">
              <w:rPr>
                <w:b/>
                <w:bCs/>
                <w:sz w:val="16"/>
                <w:szCs w:val="16"/>
                <w:lang w:val="es-ES_tradnl"/>
              </w:rPr>
              <w:t>Gastos en 2016*</w:t>
            </w:r>
            <w:r w:rsidRPr="00A9616D">
              <w:rPr>
                <w:b/>
                <w:bCs/>
                <w:sz w:val="16"/>
                <w:szCs w:val="16"/>
              </w:rPr>
              <w:t xml:space="preserve"> </w:t>
            </w:r>
          </w:p>
        </w:tc>
      </w:tr>
      <w:tr w:rsidR="00185608" w:rsidRPr="00A9616D" w:rsidTr="00230FAA">
        <w:trPr>
          <w:trHeight w:val="630"/>
          <w:jc w:val="center"/>
        </w:trPr>
        <w:tc>
          <w:tcPr>
            <w:tcW w:w="451" w:type="dxa"/>
            <w:tcBorders>
              <w:top w:val="nil"/>
              <w:left w:val="nil"/>
              <w:bottom w:val="nil"/>
              <w:right w:val="nil"/>
            </w:tcBorders>
            <w:shd w:val="clear" w:color="auto" w:fill="auto"/>
            <w:noWrap/>
            <w:vAlign w:val="center"/>
            <w:hideMark/>
          </w:tcPr>
          <w:p w:rsidR="00185608" w:rsidRPr="00A9616D" w:rsidRDefault="00185608" w:rsidP="00230FAA">
            <w:pPr>
              <w:rPr>
                <w:sz w:val="16"/>
                <w:szCs w:val="16"/>
              </w:rPr>
            </w:pPr>
            <w:r w:rsidRPr="00A9616D">
              <w:rPr>
                <w:sz w:val="16"/>
                <w:szCs w:val="16"/>
              </w:rPr>
              <w:t>III.3</w:t>
            </w:r>
          </w:p>
        </w:tc>
        <w:tc>
          <w:tcPr>
            <w:tcW w:w="4239" w:type="dxa"/>
            <w:tcBorders>
              <w:top w:val="nil"/>
              <w:left w:val="nil"/>
              <w:bottom w:val="nil"/>
              <w:right w:val="nil"/>
            </w:tcBorders>
            <w:shd w:val="clear" w:color="auto" w:fill="auto"/>
            <w:vAlign w:val="center"/>
            <w:hideMark/>
          </w:tcPr>
          <w:p w:rsidR="00185608" w:rsidRPr="00A9616D" w:rsidRDefault="00185608" w:rsidP="00230FAA">
            <w:pPr>
              <w:rPr>
                <w:sz w:val="16"/>
                <w:szCs w:val="16"/>
              </w:rPr>
            </w:pPr>
            <w:r w:rsidRPr="00A9616D">
              <w:rPr>
                <w:sz w:val="16"/>
                <w:szCs w:val="16"/>
                <w:lang w:val="es-ES_tradnl"/>
              </w:rPr>
              <w:t>Incorporación de las recomendaciones de la Agenda para el Desarrollo en la labor de la OMPI</w:t>
            </w:r>
          </w:p>
        </w:tc>
        <w:tc>
          <w:tcPr>
            <w:tcW w:w="1168" w:type="dxa"/>
            <w:tcBorders>
              <w:top w:val="nil"/>
              <w:left w:val="nil"/>
              <w:bottom w:val="nil"/>
              <w:right w:val="nil"/>
            </w:tcBorders>
            <w:shd w:val="clear" w:color="auto" w:fill="auto"/>
            <w:noWrap/>
            <w:vAlign w:val="center"/>
            <w:hideMark/>
          </w:tcPr>
          <w:p w:rsidR="00185608" w:rsidRPr="00A9616D" w:rsidRDefault="00185608" w:rsidP="00230FAA">
            <w:pPr>
              <w:jc w:val="center"/>
              <w:rPr>
                <w:sz w:val="16"/>
                <w:szCs w:val="16"/>
              </w:rPr>
            </w:pPr>
            <w:r w:rsidRPr="00A9616D">
              <w:rPr>
                <w:sz w:val="16"/>
                <w:szCs w:val="16"/>
              </w:rPr>
              <w:t>2.278</w:t>
            </w:r>
          </w:p>
        </w:tc>
        <w:tc>
          <w:tcPr>
            <w:tcW w:w="1167" w:type="dxa"/>
            <w:tcBorders>
              <w:top w:val="nil"/>
              <w:left w:val="nil"/>
              <w:bottom w:val="nil"/>
              <w:right w:val="nil"/>
            </w:tcBorders>
            <w:shd w:val="clear" w:color="auto" w:fill="auto"/>
            <w:noWrap/>
            <w:vAlign w:val="center"/>
            <w:hideMark/>
          </w:tcPr>
          <w:p w:rsidR="00185608" w:rsidRPr="00A9616D" w:rsidRDefault="00185608" w:rsidP="00230FAA">
            <w:pPr>
              <w:jc w:val="center"/>
              <w:rPr>
                <w:sz w:val="16"/>
                <w:szCs w:val="16"/>
              </w:rPr>
            </w:pPr>
            <w:r w:rsidRPr="00A9616D">
              <w:rPr>
                <w:sz w:val="16"/>
                <w:szCs w:val="16"/>
              </w:rPr>
              <w:t>2.363</w:t>
            </w:r>
          </w:p>
        </w:tc>
        <w:tc>
          <w:tcPr>
            <w:tcW w:w="1175" w:type="dxa"/>
            <w:tcBorders>
              <w:top w:val="nil"/>
              <w:left w:val="nil"/>
              <w:bottom w:val="nil"/>
              <w:right w:val="nil"/>
            </w:tcBorders>
            <w:shd w:val="clear" w:color="auto" w:fill="auto"/>
            <w:noWrap/>
            <w:vAlign w:val="center"/>
            <w:hideMark/>
          </w:tcPr>
          <w:p w:rsidR="00185608" w:rsidRPr="00A9616D" w:rsidRDefault="00185608" w:rsidP="00230FAA">
            <w:pPr>
              <w:jc w:val="center"/>
              <w:rPr>
                <w:sz w:val="16"/>
                <w:szCs w:val="16"/>
              </w:rPr>
            </w:pPr>
            <w:r w:rsidRPr="00A9616D">
              <w:rPr>
                <w:sz w:val="16"/>
                <w:szCs w:val="16"/>
              </w:rPr>
              <w:t>1.008</w:t>
            </w:r>
          </w:p>
        </w:tc>
      </w:tr>
      <w:tr w:rsidR="00185608" w:rsidRPr="00A9616D" w:rsidTr="00230FAA">
        <w:trPr>
          <w:trHeight w:val="540"/>
          <w:jc w:val="center"/>
        </w:trPr>
        <w:tc>
          <w:tcPr>
            <w:tcW w:w="451" w:type="dxa"/>
            <w:tcBorders>
              <w:top w:val="nil"/>
              <w:left w:val="nil"/>
              <w:bottom w:val="nil"/>
              <w:right w:val="nil"/>
            </w:tcBorders>
            <w:shd w:val="clear" w:color="auto" w:fill="auto"/>
            <w:noWrap/>
            <w:vAlign w:val="center"/>
            <w:hideMark/>
          </w:tcPr>
          <w:p w:rsidR="00185608" w:rsidRPr="00A9616D" w:rsidRDefault="00185608" w:rsidP="00230FAA">
            <w:pPr>
              <w:rPr>
                <w:sz w:val="16"/>
                <w:szCs w:val="16"/>
              </w:rPr>
            </w:pPr>
            <w:r w:rsidRPr="00A9616D">
              <w:rPr>
                <w:sz w:val="16"/>
                <w:szCs w:val="16"/>
              </w:rPr>
              <w:t>III.5</w:t>
            </w:r>
          </w:p>
        </w:tc>
        <w:tc>
          <w:tcPr>
            <w:tcW w:w="4239" w:type="dxa"/>
            <w:tcBorders>
              <w:top w:val="nil"/>
              <w:left w:val="nil"/>
              <w:bottom w:val="nil"/>
              <w:right w:val="nil"/>
            </w:tcBorders>
            <w:shd w:val="clear" w:color="auto" w:fill="auto"/>
            <w:vAlign w:val="center"/>
            <w:hideMark/>
          </w:tcPr>
          <w:p w:rsidR="00185608" w:rsidRPr="00A9616D" w:rsidRDefault="00185608" w:rsidP="00230FAA">
            <w:pPr>
              <w:rPr>
                <w:sz w:val="16"/>
                <w:szCs w:val="16"/>
              </w:rPr>
            </w:pPr>
            <w:r w:rsidRPr="00A9616D">
              <w:rPr>
                <w:sz w:val="16"/>
                <w:szCs w:val="16"/>
                <w:lang w:val="es-ES_tradnl"/>
              </w:rPr>
              <w:t>Mejor comprensión de la Agenda para el Desarrollo por los Estados miembros, las OIG, la sociedad civil y demás partes interesadas</w:t>
            </w:r>
          </w:p>
        </w:tc>
        <w:tc>
          <w:tcPr>
            <w:tcW w:w="1168" w:type="dxa"/>
            <w:tcBorders>
              <w:top w:val="nil"/>
              <w:left w:val="nil"/>
              <w:bottom w:val="nil"/>
              <w:right w:val="nil"/>
            </w:tcBorders>
            <w:shd w:val="clear" w:color="auto" w:fill="auto"/>
            <w:noWrap/>
            <w:vAlign w:val="center"/>
            <w:hideMark/>
          </w:tcPr>
          <w:p w:rsidR="00185608" w:rsidRPr="00A9616D" w:rsidRDefault="00185608" w:rsidP="00230FAA">
            <w:pPr>
              <w:jc w:val="center"/>
              <w:rPr>
                <w:sz w:val="16"/>
                <w:szCs w:val="16"/>
              </w:rPr>
            </w:pPr>
            <w:r w:rsidRPr="00A9616D">
              <w:rPr>
                <w:sz w:val="16"/>
                <w:szCs w:val="16"/>
              </w:rPr>
              <w:t>1.393</w:t>
            </w:r>
          </w:p>
        </w:tc>
        <w:tc>
          <w:tcPr>
            <w:tcW w:w="1167" w:type="dxa"/>
            <w:tcBorders>
              <w:top w:val="nil"/>
              <w:left w:val="nil"/>
              <w:bottom w:val="nil"/>
              <w:right w:val="nil"/>
            </w:tcBorders>
            <w:shd w:val="clear" w:color="auto" w:fill="auto"/>
            <w:noWrap/>
            <w:vAlign w:val="center"/>
            <w:hideMark/>
          </w:tcPr>
          <w:p w:rsidR="00185608" w:rsidRPr="00A9616D" w:rsidRDefault="00185608" w:rsidP="00230FAA">
            <w:pPr>
              <w:jc w:val="center"/>
              <w:rPr>
                <w:sz w:val="16"/>
                <w:szCs w:val="16"/>
              </w:rPr>
            </w:pPr>
            <w:r w:rsidRPr="00A9616D">
              <w:rPr>
                <w:sz w:val="16"/>
                <w:szCs w:val="16"/>
              </w:rPr>
              <w:t>1.224</w:t>
            </w:r>
          </w:p>
        </w:tc>
        <w:tc>
          <w:tcPr>
            <w:tcW w:w="1175" w:type="dxa"/>
            <w:tcBorders>
              <w:top w:val="nil"/>
              <w:left w:val="nil"/>
              <w:bottom w:val="nil"/>
              <w:right w:val="nil"/>
            </w:tcBorders>
            <w:shd w:val="clear" w:color="auto" w:fill="auto"/>
            <w:noWrap/>
            <w:vAlign w:val="center"/>
            <w:hideMark/>
          </w:tcPr>
          <w:p w:rsidR="00185608" w:rsidRPr="00A9616D" w:rsidRDefault="00185608" w:rsidP="00230FAA">
            <w:pPr>
              <w:jc w:val="center"/>
              <w:rPr>
                <w:sz w:val="16"/>
                <w:szCs w:val="16"/>
              </w:rPr>
            </w:pPr>
            <w:r w:rsidRPr="00A9616D">
              <w:rPr>
                <w:sz w:val="16"/>
                <w:szCs w:val="16"/>
              </w:rPr>
              <w:t>636</w:t>
            </w:r>
          </w:p>
        </w:tc>
      </w:tr>
      <w:tr w:rsidR="00185608" w:rsidRPr="00A9616D" w:rsidTr="00230FAA">
        <w:trPr>
          <w:trHeight w:val="225"/>
          <w:jc w:val="center"/>
        </w:trPr>
        <w:tc>
          <w:tcPr>
            <w:tcW w:w="451" w:type="dxa"/>
            <w:tcBorders>
              <w:top w:val="nil"/>
              <w:left w:val="nil"/>
              <w:bottom w:val="nil"/>
              <w:right w:val="nil"/>
            </w:tcBorders>
            <w:shd w:val="clear" w:color="000000" w:fill="C5D9F1"/>
            <w:noWrap/>
            <w:vAlign w:val="bottom"/>
            <w:hideMark/>
          </w:tcPr>
          <w:p w:rsidR="00185608" w:rsidRPr="00A9616D" w:rsidRDefault="00185608" w:rsidP="00230FAA">
            <w:pPr>
              <w:rPr>
                <w:sz w:val="16"/>
                <w:szCs w:val="16"/>
              </w:rPr>
            </w:pPr>
            <w:r w:rsidRPr="00A9616D">
              <w:rPr>
                <w:sz w:val="16"/>
                <w:szCs w:val="16"/>
              </w:rPr>
              <w:t> </w:t>
            </w:r>
          </w:p>
        </w:tc>
        <w:tc>
          <w:tcPr>
            <w:tcW w:w="4239" w:type="dxa"/>
            <w:tcBorders>
              <w:top w:val="nil"/>
              <w:left w:val="nil"/>
              <w:bottom w:val="nil"/>
              <w:right w:val="nil"/>
            </w:tcBorders>
            <w:shd w:val="clear" w:color="000000" w:fill="C5D9F1"/>
            <w:noWrap/>
            <w:vAlign w:val="bottom"/>
            <w:hideMark/>
          </w:tcPr>
          <w:p w:rsidR="00185608" w:rsidRPr="00A9616D" w:rsidRDefault="00185608" w:rsidP="00230FAA">
            <w:pPr>
              <w:jc w:val="right"/>
              <w:rPr>
                <w:b/>
                <w:bCs/>
                <w:sz w:val="16"/>
                <w:szCs w:val="16"/>
              </w:rPr>
            </w:pPr>
            <w:r w:rsidRPr="00A9616D">
              <w:rPr>
                <w:b/>
                <w:bCs/>
                <w:sz w:val="16"/>
                <w:szCs w:val="16"/>
                <w:lang w:val="es-ES_tradnl"/>
              </w:rPr>
              <w:t>Total</w:t>
            </w:r>
          </w:p>
        </w:tc>
        <w:tc>
          <w:tcPr>
            <w:tcW w:w="1168" w:type="dxa"/>
            <w:tcBorders>
              <w:top w:val="nil"/>
              <w:left w:val="nil"/>
              <w:bottom w:val="nil"/>
              <w:right w:val="nil"/>
            </w:tcBorders>
            <w:shd w:val="clear" w:color="000000" w:fill="C5D9F1"/>
            <w:noWrap/>
            <w:vAlign w:val="center"/>
            <w:hideMark/>
          </w:tcPr>
          <w:p w:rsidR="00185608" w:rsidRPr="00A9616D" w:rsidRDefault="00185608" w:rsidP="00230FAA">
            <w:pPr>
              <w:jc w:val="center"/>
              <w:rPr>
                <w:sz w:val="16"/>
                <w:szCs w:val="16"/>
              </w:rPr>
            </w:pPr>
            <w:r w:rsidRPr="00A9616D">
              <w:rPr>
                <w:sz w:val="16"/>
                <w:szCs w:val="16"/>
              </w:rPr>
              <w:t>3.671</w:t>
            </w:r>
          </w:p>
        </w:tc>
        <w:tc>
          <w:tcPr>
            <w:tcW w:w="1167" w:type="dxa"/>
            <w:tcBorders>
              <w:top w:val="nil"/>
              <w:left w:val="nil"/>
              <w:bottom w:val="nil"/>
              <w:right w:val="nil"/>
            </w:tcBorders>
            <w:shd w:val="clear" w:color="000000" w:fill="C5D9F1"/>
            <w:noWrap/>
            <w:vAlign w:val="center"/>
            <w:hideMark/>
          </w:tcPr>
          <w:p w:rsidR="00185608" w:rsidRPr="00A9616D" w:rsidRDefault="00185608" w:rsidP="00230FAA">
            <w:pPr>
              <w:jc w:val="center"/>
              <w:rPr>
                <w:sz w:val="16"/>
                <w:szCs w:val="16"/>
              </w:rPr>
            </w:pPr>
            <w:r w:rsidRPr="00A9616D">
              <w:rPr>
                <w:sz w:val="16"/>
                <w:szCs w:val="16"/>
              </w:rPr>
              <w:t>3.587</w:t>
            </w:r>
          </w:p>
        </w:tc>
        <w:tc>
          <w:tcPr>
            <w:tcW w:w="1175" w:type="dxa"/>
            <w:tcBorders>
              <w:top w:val="nil"/>
              <w:left w:val="nil"/>
              <w:bottom w:val="nil"/>
              <w:right w:val="nil"/>
            </w:tcBorders>
            <w:shd w:val="clear" w:color="000000" w:fill="C5D9F1"/>
            <w:noWrap/>
            <w:vAlign w:val="center"/>
            <w:hideMark/>
          </w:tcPr>
          <w:p w:rsidR="00185608" w:rsidRPr="00A9616D" w:rsidRDefault="00185608" w:rsidP="00230FAA">
            <w:pPr>
              <w:jc w:val="center"/>
              <w:rPr>
                <w:sz w:val="16"/>
                <w:szCs w:val="16"/>
              </w:rPr>
            </w:pPr>
            <w:r w:rsidRPr="00A9616D">
              <w:rPr>
                <w:sz w:val="16"/>
                <w:szCs w:val="16"/>
              </w:rPr>
              <w:t>1.645</w:t>
            </w:r>
          </w:p>
        </w:tc>
      </w:tr>
      <w:tr w:rsidR="00185608" w:rsidRPr="00A9616D" w:rsidTr="00230FAA">
        <w:trPr>
          <w:trHeight w:val="330"/>
          <w:jc w:val="center"/>
        </w:trPr>
        <w:tc>
          <w:tcPr>
            <w:tcW w:w="7025" w:type="dxa"/>
            <w:gridSpan w:val="4"/>
            <w:tcBorders>
              <w:top w:val="nil"/>
              <w:left w:val="nil"/>
              <w:bottom w:val="nil"/>
              <w:right w:val="nil"/>
            </w:tcBorders>
            <w:shd w:val="clear" w:color="auto" w:fill="auto"/>
            <w:noWrap/>
            <w:vAlign w:val="center"/>
            <w:hideMark/>
          </w:tcPr>
          <w:p w:rsidR="00185608" w:rsidRPr="00A9616D" w:rsidRDefault="00185608" w:rsidP="00230FAA">
            <w:pPr>
              <w:rPr>
                <w:i/>
                <w:iCs/>
                <w:sz w:val="16"/>
                <w:szCs w:val="16"/>
              </w:rPr>
            </w:pPr>
            <w:r w:rsidRPr="00A9616D">
              <w:rPr>
                <w:i/>
                <w:iCs/>
                <w:sz w:val="16"/>
                <w:szCs w:val="16"/>
                <w:lang w:val="es-ES_tradnl"/>
              </w:rPr>
              <w:t>*Las cifras de gastos en 2016 son preliminares, a reserva de verificación por el Auditor Externo.</w:t>
            </w:r>
          </w:p>
        </w:tc>
        <w:tc>
          <w:tcPr>
            <w:tcW w:w="1175" w:type="dxa"/>
            <w:tcBorders>
              <w:top w:val="nil"/>
              <w:left w:val="nil"/>
              <w:bottom w:val="nil"/>
              <w:right w:val="nil"/>
            </w:tcBorders>
            <w:shd w:val="clear" w:color="auto" w:fill="auto"/>
            <w:noWrap/>
            <w:vAlign w:val="center"/>
            <w:hideMark/>
          </w:tcPr>
          <w:p w:rsidR="00185608" w:rsidRPr="00A9616D" w:rsidRDefault="00185608" w:rsidP="00230FAA">
            <w:pPr>
              <w:rPr>
                <w:sz w:val="16"/>
                <w:szCs w:val="16"/>
              </w:rPr>
            </w:pPr>
          </w:p>
        </w:tc>
      </w:tr>
    </w:tbl>
    <w:p w:rsidR="00185608" w:rsidRPr="00A9616D" w:rsidRDefault="00185608" w:rsidP="00230FAA">
      <w:pPr>
        <w:rPr>
          <w:b/>
          <w:sz w:val="20"/>
        </w:rPr>
      </w:pPr>
    </w:p>
    <w:p w:rsidR="00185608" w:rsidRPr="00A9616D" w:rsidRDefault="00185608" w:rsidP="00230FAA">
      <w:pPr>
        <w:pStyle w:val="NormalWeb"/>
        <w:keepNext/>
        <w:keepLines/>
        <w:spacing w:before="0" w:beforeAutospacing="0" w:after="0" w:afterAutospacing="0"/>
        <w:jc w:val="center"/>
        <w:rPr>
          <w:lang w:val="es-ES"/>
        </w:rPr>
      </w:pPr>
      <w:r w:rsidRPr="00A9616D">
        <w:rPr>
          <w:lang w:val="es-ES_tradnl"/>
        </w:rPr>
        <w:t>Presupuesto y gastos reales (de personal y no relativos a personal)</w:t>
      </w:r>
      <w:r w:rsidRPr="00A9616D">
        <w:rPr>
          <w:lang w:val="es-ES"/>
        </w:rPr>
        <w:t xml:space="preserve"> </w:t>
      </w:r>
    </w:p>
    <w:p w:rsidR="00185608" w:rsidRPr="00A9616D" w:rsidRDefault="00185608" w:rsidP="00230FAA">
      <w:pPr>
        <w:pStyle w:val="NormalWeb"/>
        <w:keepNext/>
        <w:keepLines/>
        <w:spacing w:before="0" w:beforeAutospacing="0" w:after="0" w:afterAutospacing="0"/>
        <w:jc w:val="center"/>
        <w:rPr>
          <w:i/>
          <w:iCs/>
          <w:sz w:val="16"/>
          <w:szCs w:val="16"/>
          <w:lang w:val="es-ES"/>
        </w:rPr>
      </w:pPr>
      <w:r w:rsidRPr="00A9616D">
        <w:rPr>
          <w:i/>
          <w:iCs/>
          <w:sz w:val="16"/>
          <w:szCs w:val="16"/>
          <w:lang w:val="es-ES_tradnl"/>
        </w:rPr>
        <w:t>(en miles de francos suizos)</w:t>
      </w:r>
    </w:p>
    <w:p w:rsidR="00185608" w:rsidRPr="00A9616D" w:rsidRDefault="00185608" w:rsidP="00230FAA">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185608" w:rsidRPr="00A9616D" w:rsidTr="00230FAA">
        <w:trPr>
          <w:trHeight w:val="720"/>
          <w:jc w:val="center"/>
        </w:trPr>
        <w:tc>
          <w:tcPr>
            <w:tcW w:w="2440" w:type="dxa"/>
            <w:tcBorders>
              <w:top w:val="nil"/>
              <w:left w:val="nil"/>
              <w:bottom w:val="nil"/>
              <w:right w:val="nil"/>
            </w:tcBorders>
            <w:shd w:val="clear" w:color="000000" w:fill="C5D9F1"/>
            <w:noWrap/>
            <w:vAlign w:val="center"/>
            <w:hideMark/>
          </w:tcPr>
          <w:p w:rsidR="00185608" w:rsidRPr="00A9616D" w:rsidRDefault="00185608" w:rsidP="00230FAA">
            <w:pPr>
              <w:rPr>
                <w:sz w:val="16"/>
                <w:szCs w:val="16"/>
              </w:rPr>
            </w:pPr>
            <w:r w:rsidRPr="00A9616D">
              <w:rPr>
                <w:sz w:val="16"/>
                <w:szCs w:val="16"/>
              </w:rPr>
              <w:t> </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lang w:val="es-ES_tradnl"/>
              </w:rPr>
              <w:t>Índice de utilización (%)</w:t>
            </w:r>
          </w:p>
        </w:tc>
      </w:tr>
      <w:tr w:rsidR="00185608" w:rsidRPr="00A9616D"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A9616D" w:rsidRDefault="00185608" w:rsidP="00230FAA">
            <w:pPr>
              <w:rPr>
                <w:sz w:val="16"/>
                <w:szCs w:val="16"/>
              </w:rPr>
            </w:pPr>
            <w:r w:rsidRPr="00A9616D">
              <w:rPr>
                <w:sz w:val="16"/>
                <w:szCs w:val="16"/>
                <w:lang w:val="es-ES_tradnl"/>
              </w:rPr>
              <w:t>Recursos de personal</w:t>
            </w:r>
            <w:r w:rsidRPr="00A9616D">
              <w:rPr>
                <w:sz w:val="16"/>
                <w:szCs w:val="16"/>
              </w:rPr>
              <w:t xml:space="preserve">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 xml:space="preserve">2.462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 xml:space="preserve">2.401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 xml:space="preserve">992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41%</w:t>
            </w:r>
          </w:p>
        </w:tc>
      </w:tr>
      <w:tr w:rsidR="00185608" w:rsidRPr="00A9616D"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A9616D" w:rsidRDefault="00185608" w:rsidP="00230FAA">
            <w:pPr>
              <w:rPr>
                <w:sz w:val="16"/>
                <w:szCs w:val="16"/>
              </w:rPr>
            </w:pPr>
            <w:r w:rsidRPr="00A9616D">
              <w:rPr>
                <w:sz w:val="16"/>
                <w:szCs w:val="16"/>
                <w:lang w:val="es-ES_tradnl"/>
              </w:rPr>
              <w:t>Recursos no relativos a personal</w:t>
            </w:r>
            <w:r w:rsidRPr="00A9616D">
              <w:rPr>
                <w:sz w:val="16"/>
                <w:szCs w:val="16"/>
              </w:rPr>
              <w:t xml:space="preserve">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 xml:space="preserve">1.209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 xml:space="preserve">1.186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 xml:space="preserve">652 </w:t>
            </w:r>
          </w:p>
        </w:tc>
        <w:tc>
          <w:tcPr>
            <w:tcW w:w="1420" w:type="dxa"/>
            <w:tcBorders>
              <w:top w:val="nil"/>
              <w:left w:val="nil"/>
              <w:bottom w:val="nil"/>
              <w:right w:val="nil"/>
            </w:tcBorders>
            <w:shd w:val="clear" w:color="auto" w:fill="auto"/>
            <w:vAlign w:val="center"/>
            <w:hideMark/>
          </w:tcPr>
          <w:p w:rsidR="00185608" w:rsidRPr="00A9616D" w:rsidRDefault="00185608" w:rsidP="00230FAA">
            <w:pPr>
              <w:jc w:val="center"/>
              <w:rPr>
                <w:sz w:val="16"/>
                <w:szCs w:val="16"/>
              </w:rPr>
            </w:pPr>
            <w:r w:rsidRPr="00A9616D">
              <w:rPr>
                <w:sz w:val="16"/>
                <w:szCs w:val="16"/>
              </w:rPr>
              <w:t>55%</w:t>
            </w:r>
          </w:p>
        </w:tc>
      </w:tr>
      <w:tr w:rsidR="00185608" w:rsidRPr="00A9616D" w:rsidTr="00230FAA">
        <w:trPr>
          <w:trHeight w:val="225"/>
          <w:jc w:val="center"/>
        </w:trPr>
        <w:tc>
          <w:tcPr>
            <w:tcW w:w="2440" w:type="dxa"/>
            <w:tcBorders>
              <w:top w:val="nil"/>
              <w:left w:val="nil"/>
              <w:bottom w:val="nil"/>
              <w:right w:val="nil"/>
            </w:tcBorders>
            <w:shd w:val="clear" w:color="000000" w:fill="C5D9F1"/>
            <w:noWrap/>
            <w:vAlign w:val="center"/>
            <w:hideMark/>
          </w:tcPr>
          <w:p w:rsidR="00185608" w:rsidRPr="00A9616D" w:rsidRDefault="00185608" w:rsidP="00230FAA">
            <w:pPr>
              <w:jc w:val="right"/>
              <w:rPr>
                <w:b/>
                <w:bCs/>
                <w:sz w:val="16"/>
                <w:szCs w:val="16"/>
              </w:rPr>
            </w:pPr>
            <w:r w:rsidRPr="00A9616D">
              <w:rPr>
                <w:b/>
                <w:bCs/>
                <w:sz w:val="16"/>
                <w:szCs w:val="16"/>
              </w:rPr>
              <w:t xml:space="preserve"> </w:t>
            </w:r>
            <w:r w:rsidRPr="00A9616D">
              <w:rPr>
                <w:b/>
                <w:bCs/>
                <w:sz w:val="16"/>
                <w:szCs w:val="16"/>
                <w:lang w:val="es-ES_tradnl"/>
              </w:rPr>
              <w:t>Total</w:t>
            </w:r>
            <w:r w:rsidRPr="00A9616D">
              <w:rPr>
                <w:b/>
                <w:bCs/>
                <w:sz w:val="16"/>
                <w:szCs w:val="16"/>
              </w:rPr>
              <w:t xml:space="preserve"> </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rPr>
              <w:t xml:space="preserve">3.671 </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rPr>
              <w:t xml:space="preserve">3.587 </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rPr>
              <w:t xml:space="preserve">1.645 </w:t>
            </w:r>
          </w:p>
        </w:tc>
        <w:tc>
          <w:tcPr>
            <w:tcW w:w="1420" w:type="dxa"/>
            <w:tcBorders>
              <w:top w:val="nil"/>
              <w:left w:val="nil"/>
              <w:bottom w:val="nil"/>
              <w:right w:val="nil"/>
            </w:tcBorders>
            <w:shd w:val="clear" w:color="000000" w:fill="C5D9F1"/>
            <w:vAlign w:val="center"/>
            <w:hideMark/>
          </w:tcPr>
          <w:p w:rsidR="00185608" w:rsidRPr="00A9616D" w:rsidRDefault="00185608" w:rsidP="00230FAA">
            <w:pPr>
              <w:jc w:val="center"/>
              <w:rPr>
                <w:b/>
                <w:bCs/>
                <w:sz w:val="16"/>
                <w:szCs w:val="16"/>
              </w:rPr>
            </w:pPr>
            <w:r w:rsidRPr="00A9616D">
              <w:rPr>
                <w:b/>
                <w:bCs/>
                <w:sz w:val="16"/>
                <w:szCs w:val="16"/>
              </w:rPr>
              <w:t>46%</w:t>
            </w:r>
          </w:p>
        </w:tc>
      </w:tr>
      <w:tr w:rsidR="00185608" w:rsidRPr="00A9616D" w:rsidTr="00230FAA">
        <w:trPr>
          <w:trHeight w:val="300"/>
          <w:jc w:val="center"/>
        </w:trPr>
        <w:tc>
          <w:tcPr>
            <w:tcW w:w="8120" w:type="dxa"/>
            <w:gridSpan w:val="5"/>
            <w:tcBorders>
              <w:top w:val="nil"/>
              <w:left w:val="nil"/>
              <w:bottom w:val="nil"/>
              <w:right w:val="nil"/>
            </w:tcBorders>
            <w:shd w:val="clear" w:color="auto" w:fill="auto"/>
            <w:noWrap/>
            <w:vAlign w:val="center"/>
            <w:hideMark/>
          </w:tcPr>
          <w:p w:rsidR="00185608" w:rsidRPr="00A9616D" w:rsidRDefault="00185608" w:rsidP="00230FAA">
            <w:pPr>
              <w:rPr>
                <w:i/>
                <w:iCs/>
                <w:sz w:val="16"/>
                <w:szCs w:val="16"/>
              </w:rPr>
            </w:pPr>
            <w:r w:rsidRPr="00A9616D">
              <w:rPr>
                <w:i/>
                <w:iCs/>
                <w:sz w:val="16"/>
                <w:szCs w:val="16"/>
              </w:rPr>
              <w:t xml:space="preserve"> </w:t>
            </w:r>
            <w:r w:rsidRPr="00A9616D">
              <w:rPr>
                <w:i/>
                <w:iCs/>
                <w:sz w:val="16"/>
                <w:szCs w:val="16"/>
                <w:lang w:val="es-ES_tradnl"/>
              </w:rPr>
              <w:t>*Las cifras de gastos en 2016 son preliminares, a reserva de verificación por el Auditor Externo</w:t>
            </w:r>
            <w:r w:rsidRPr="00A9616D">
              <w:rPr>
                <w:i/>
                <w:iCs/>
                <w:sz w:val="16"/>
                <w:szCs w:val="16"/>
              </w:rPr>
              <w:t>.</w:t>
            </w:r>
          </w:p>
          <w:p w:rsidR="00185608" w:rsidRPr="00A9616D" w:rsidRDefault="00185608" w:rsidP="00230FAA">
            <w:pPr>
              <w:rPr>
                <w:i/>
                <w:iCs/>
                <w:sz w:val="16"/>
                <w:szCs w:val="16"/>
              </w:rPr>
            </w:pPr>
          </w:p>
        </w:tc>
      </w:tr>
    </w:tbl>
    <w:p w:rsidR="00185608" w:rsidRPr="00A9616D" w:rsidRDefault="00185608" w:rsidP="00230FAA">
      <w:pPr>
        <w:keepNext/>
        <w:keepLines/>
        <w:ind w:left="567" w:right="424"/>
        <w:rPr>
          <w:i/>
          <w:sz w:val="16"/>
          <w:szCs w:val="16"/>
        </w:rPr>
      </w:pPr>
      <w:r w:rsidRPr="00A9616D">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185608" w:rsidRPr="00A9616D" w:rsidRDefault="00185608" w:rsidP="00230FAA">
      <w:pPr>
        <w:rPr>
          <w:sz w:val="20"/>
        </w:rPr>
      </w:pPr>
    </w:p>
    <w:p w:rsidR="00185608" w:rsidRPr="00A9616D" w:rsidRDefault="00185608" w:rsidP="00230FAA">
      <w:pPr>
        <w:jc w:val="both"/>
        <w:rPr>
          <w:sz w:val="20"/>
        </w:rPr>
      </w:pPr>
    </w:p>
    <w:p w:rsidR="00185608" w:rsidRPr="00A9616D" w:rsidRDefault="00185608" w:rsidP="00156844">
      <w:pPr>
        <w:keepNext/>
        <w:keepLines/>
        <w:jc w:val="both"/>
        <w:rPr>
          <w:sz w:val="20"/>
          <w:u w:val="single"/>
        </w:rPr>
      </w:pPr>
      <w:r w:rsidRPr="00A9616D">
        <w:rPr>
          <w:sz w:val="20"/>
          <w:lang w:val="es-ES_tradnl"/>
        </w:rPr>
        <w:lastRenderedPageBreak/>
        <w:t>A.</w:t>
      </w:r>
      <w:r w:rsidRPr="00A9616D">
        <w:rPr>
          <w:sz w:val="20"/>
          <w:lang w:val="es-ES_tradnl"/>
        </w:rPr>
        <w:tab/>
      </w:r>
      <w:r w:rsidRPr="00A9616D">
        <w:rPr>
          <w:sz w:val="20"/>
          <w:u w:val="single"/>
          <w:lang w:val="es-ES_tradnl"/>
        </w:rPr>
        <w:t>Presupuesto de 2016/17 tras las transferencias</w:t>
      </w:r>
    </w:p>
    <w:p w:rsidR="00185608" w:rsidRPr="00A9616D" w:rsidRDefault="00185608" w:rsidP="00156844">
      <w:pPr>
        <w:keepNext/>
        <w:keepLines/>
        <w:jc w:val="both"/>
        <w:rPr>
          <w:sz w:val="20"/>
        </w:rPr>
      </w:pPr>
    </w:p>
    <w:p w:rsidR="00185608" w:rsidRPr="00A9616D" w:rsidRDefault="00185608" w:rsidP="00156844">
      <w:pPr>
        <w:pStyle w:val="ListParagraph"/>
        <w:keepNext/>
        <w:keepLines/>
        <w:numPr>
          <w:ilvl w:val="0"/>
          <w:numId w:val="43"/>
        </w:numPr>
        <w:tabs>
          <w:tab w:val="left" w:pos="0"/>
          <w:tab w:val="left" w:pos="709"/>
        </w:tabs>
        <w:autoSpaceDE w:val="0"/>
        <w:autoSpaceDN w:val="0"/>
        <w:ind w:left="0" w:firstLine="0"/>
        <w:contextualSpacing/>
        <w:jc w:val="both"/>
        <w:rPr>
          <w:rFonts w:cs="Arial"/>
          <w:lang w:val="es-ES" w:eastAsia="zh-CN"/>
        </w:rPr>
      </w:pPr>
      <w:r w:rsidRPr="00A9616D">
        <w:rPr>
          <w:rFonts w:cs="Arial"/>
          <w:lang w:val="es-ES" w:eastAsia="zh-CN"/>
        </w:rPr>
        <w:t>El leve descenso de los recursos relativos a personal en comparación con el presupuesto aprobado para 2016/17 se debió a la transferencia de recursos (no relativos a personal) a las comunicaciones web para la migración de la base de datos sobre flexibilidades en el sistema de la P.I.  El leve descenso de los recursos no relativos a personal se debió a la transferencia de recursos para pasantías al programa 23 (Gestión y desarrollo de los recursos humanos), que lleva la gestión centralizada de las pasantías.  El leve aumento de los recursos en el resultado previsto III.3 (</w:t>
      </w:r>
      <w:r w:rsidRPr="00A9616D">
        <w:rPr>
          <w:rFonts w:cs="Arial"/>
          <w:bCs/>
          <w:lang w:val="es-ES_tradnl"/>
        </w:rPr>
        <w:t>Incorporación de las recomendaciones de la Agenda para el Desarrollo en la labor de la OMPI</w:t>
      </w:r>
      <w:r w:rsidRPr="00A9616D">
        <w:rPr>
          <w:rFonts w:cs="Arial"/>
          <w:lang w:val="es-ES" w:eastAsia="zh-CN"/>
        </w:rPr>
        <w:t xml:space="preserve">) refleja la redistribución interna de los recursos para eventos y actividades relacionados con el CDIP. </w:t>
      </w:r>
    </w:p>
    <w:p w:rsidR="00185608" w:rsidRPr="00A9616D" w:rsidRDefault="00185608" w:rsidP="00156844">
      <w:pPr>
        <w:keepNext/>
        <w:keepLines/>
        <w:jc w:val="both"/>
        <w:rPr>
          <w:sz w:val="20"/>
        </w:rPr>
      </w:pPr>
    </w:p>
    <w:p w:rsidR="00185608" w:rsidRPr="00A9616D" w:rsidRDefault="00185608" w:rsidP="00156844">
      <w:pPr>
        <w:keepNext/>
        <w:keepLines/>
        <w:jc w:val="both"/>
        <w:rPr>
          <w:sz w:val="20"/>
          <w:u w:val="single"/>
        </w:rPr>
      </w:pPr>
      <w:r w:rsidRPr="00A9616D">
        <w:rPr>
          <w:sz w:val="20"/>
          <w:lang w:val="es-ES_tradnl"/>
        </w:rPr>
        <w:t>B.</w:t>
      </w:r>
      <w:r w:rsidRPr="00A9616D">
        <w:rPr>
          <w:sz w:val="20"/>
          <w:lang w:val="es-ES_tradnl"/>
        </w:rPr>
        <w:tab/>
      </w:r>
      <w:r w:rsidRPr="00A9616D">
        <w:rPr>
          <w:sz w:val="20"/>
          <w:u w:val="single"/>
          <w:lang w:val="es-ES_tradnl"/>
        </w:rPr>
        <w:t>Utilización del presupuesto en 2016/17</w:t>
      </w:r>
    </w:p>
    <w:p w:rsidR="00185608" w:rsidRPr="0069450B" w:rsidRDefault="00185608" w:rsidP="00156844">
      <w:pPr>
        <w:keepNext/>
        <w:keepLines/>
        <w:jc w:val="both"/>
        <w:rPr>
          <w:sz w:val="20"/>
        </w:rPr>
      </w:pPr>
    </w:p>
    <w:p w:rsidR="00185608" w:rsidRPr="0069450B" w:rsidRDefault="00185608" w:rsidP="00156844">
      <w:pPr>
        <w:pStyle w:val="ListParagraph"/>
        <w:keepNext/>
        <w:keepLines/>
        <w:numPr>
          <w:ilvl w:val="0"/>
          <w:numId w:val="43"/>
        </w:numPr>
        <w:tabs>
          <w:tab w:val="left" w:pos="0"/>
          <w:tab w:val="left" w:pos="709"/>
        </w:tabs>
        <w:autoSpaceDE w:val="0"/>
        <w:autoSpaceDN w:val="0"/>
        <w:ind w:left="0" w:firstLine="0"/>
        <w:contextualSpacing/>
        <w:jc w:val="both"/>
        <w:rPr>
          <w:rFonts w:cs="Arial"/>
          <w:lang w:val="es-ES" w:eastAsia="zh-CN"/>
        </w:rPr>
      </w:pPr>
      <w:r w:rsidRPr="0069450B">
        <w:rPr>
          <w:rFonts w:cs="Arial"/>
          <w:lang w:val="es-ES" w:eastAsia="zh-CN"/>
        </w:rPr>
        <w:t>El gasto relativo al personal del programa se situó ligeramente por debajo del objetivo debido a la cobertura temporal de dos puestos vacantes.  El gasto de recursos no relativos a personal</w:t>
      </w:r>
      <w:r w:rsidRPr="0069450B">
        <w:rPr>
          <w:rFonts w:cs="Arial"/>
          <w:lang w:val="es-ES_tradnl" w:eastAsia="zh-CN"/>
        </w:rPr>
        <w:t xml:space="preserve"> se ha mantenido dentro de los límites establecidos (40-60%) durante el primer año del bienio.</w:t>
      </w:r>
    </w:p>
    <w:p w:rsidR="00185608" w:rsidRPr="0069450B" w:rsidRDefault="00185608" w:rsidP="00156844">
      <w:pPr>
        <w:pStyle w:val="ListParagraph"/>
        <w:keepNext/>
        <w:keepLines/>
        <w:tabs>
          <w:tab w:val="left" w:pos="0"/>
          <w:tab w:val="left" w:pos="709"/>
        </w:tabs>
        <w:autoSpaceDE w:val="0"/>
        <w:autoSpaceDN w:val="0"/>
        <w:ind w:left="0"/>
        <w:jc w:val="both"/>
        <w:rPr>
          <w:rFonts w:cs="Arial"/>
          <w:lang w:val="es-ES" w:eastAsia="zh-CN"/>
        </w:rPr>
      </w:pPr>
    </w:p>
    <w:p w:rsidR="00185608" w:rsidRPr="0069450B" w:rsidRDefault="00185608" w:rsidP="00156844">
      <w:pPr>
        <w:pStyle w:val="ListParagraph"/>
        <w:keepNext/>
        <w:keepLines/>
        <w:tabs>
          <w:tab w:val="left" w:pos="0"/>
          <w:tab w:val="left" w:pos="709"/>
        </w:tabs>
        <w:autoSpaceDE w:val="0"/>
        <w:autoSpaceDN w:val="0"/>
        <w:ind w:left="0"/>
        <w:jc w:val="both"/>
        <w:rPr>
          <w:rFonts w:cs="Arial"/>
          <w:lang w:val="es-ES" w:eastAsia="zh-CN"/>
        </w:rPr>
      </w:pPr>
    </w:p>
    <w:p w:rsidR="0069450B" w:rsidRDefault="0069450B">
      <w:pPr>
        <w:rPr>
          <w:b/>
          <w:bCs/>
          <w:iCs/>
        </w:rPr>
      </w:pPr>
      <w:r>
        <w:rPr>
          <w:b/>
          <w:bCs/>
          <w:iCs/>
        </w:rPr>
        <w:br w:type="page"/>
      </w:r>
    </w:p>
    <w:p w:rsidR="00185608" w:rsidRPr="00A63AD9" w:rsidRDefault="00185608" w:rsidP="0069450B">
      <w:pPr>
        <w:tabs>
          <w:tab w:val="left" w:pos="2410"/>
          <w:tab w:val="right" w:pos="9072"/>
        </w:tabs>
        <w:ind w:left="2410" w:hanging="2410"/>
        <w:outlineLvl w:val="1"/>
        <w:rPr>
          <w:b/>
          <w:bCs/>
          <w:iCs/>
        </w:rPr>
      </w:pPr>
      <w:bookmarkStart w:id="43" w:name="_Toc482711254"/>
      <w:r w:rsidRPr="00A63AD9">
        <w:rPr>
          <w:b/>
          <w:bCs/>
          <w:iCs/>
        </w:rPr>
        <w:lastRenderedPageBreak/>
        <w:t>PROGRAMA 9</w:t>
      </w:r>
      <w:r w:rsidRPr="00A63AD9">
        <w:rPr>
          <w:b/>
          <w:bCs/>
          <w:iCs/>
        </w:rPr>
        <w:tab/>
        <w:t>PAÍSES AFRICANOS, ÁRABES, DE AMÉRICA LATINA Y EL CARIBE, DE ASIA Y EL PACÍFICO, Y PAÍSES MENOS ADELANTADOS</w:t>
      </w:r>
      <w:bookmarkEnd w:id="43"/>
    </w:p>
    <w:p w:rsidR="00185608" w:rsidRPr="000A09A0" w:rsidRDefault="00185608" w:rsidP="000A09A0">
      <w:pPr>
        <w:rPr>
          <w:sz w:val="20"/>
        </w:rPr>
      </w:pPr>
    </w:p>
    <w:p w:rsidR="00185608" w:rsidRPr="00A63AD9" w:rsidRDefault="00185608" w:rsidP="00230FAA">
      <w:pPr>
        <w:tabs>
          <w:tab w:val="left" w:pos="2410"/>
        </w:tabs>
        <w:rPr>
          <w:b/>
          <w:sz w:val="20"/>
        </w:rPr>
      </w:pPr>
      <w:r w:rsidRPr="00A63AD9">
        <w:rPr>
          <w:b/>
          <w:sz w:val="20"/>
        </w:rPr>
        <w:t>Director de programa</w:t>
      </w:r>
      <w:r w:rsidRPr="00A63AD9">
        <w:rPr>
          <w:sz w:val="20"/>
        </w:rPr>
        <w:tab/>
      </w:r>
      <w:r w:rsidRPr="00A63AD9">
        <w:rPr>
          <w:b/>
          <w:sz w:val="20"/>
        </w:rPr>
        <w:t>Sr. M. Matus</w:t>
      </w:r>
    </w:p>
    <w:p w:rsidR="00185608" w:rsidRPr="000A09A0" w:rsidRDefault="00185608" w:rsidP="000A09A0">
      <w:pPr>
        <w:jc w:val="center"/>
        <w:rPr>
          <w:sz w:val="20"/>
        </w:rPr>
      </w:pPr>
      <w:bookmarkStart w:id="44" w:name="_Toc392610038"/>
      <w:r w:rsidRPr="00C00460">
        <w:rPr>
          <w:noProof/>
          <w:lang w:val="en-US" w:eastAsia="en-US"/>
        </w:rPr>
        <w:drawing>
          <wp:inline distT="0" distB="0" distL="0" distR="0" wp14:anchorId="6CAB001D" wp14:editId="77305298">
            <wp:extent cx="4533900" cy="2353854"/>
            <wp:effectExtent l="0" t="0" r="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4563799" cy="2369376"/>
                    </a:xfrm>
                    <a:prstGeom prst="rect">
                      <a:avLst/>
                    </a:prstGeom>
                    <a:noFill/>
                    <a:ln>
                      <a:noFill/>
                    </a:ln>
                  </pic:spPr>
                </pic:pic>
              </a:graphicData>
            </a:graphic>
          </wp:inline>
        </w:drawing>
      </w:r>
      <w:bookmarkEnd w:id="44"/>
    </w:p>
    <w:tbl>
      <w:tblPr>
        <w:tblW w:w="9211" w:type="dxa"/>
        <w:tblInd w:w="58" w:type="dxa"/>
        <w:tblLayout w:type="fixed"/>
        <w:tblCellMar>
          <w:left w:w="115" w:type="dxa"/>
          <w:right w:w="115" w:type="dxa"/>
        </w:tblCellMar>
        <w:tblLook w:val="0000" w:firstRow="0" w:lastRow="0" w:firstColumn="0" w:lastColumn="0" w:noHBand="0" w:noVBand="0"/>
      </w:tblPr>
      <w:tblGrid>
        <w:gridCol w:w="1996"/>
        <w:gridCol w:w="2257"/>
        <w:gridCol w:w="1700"/>
        <w:gridCol w:w="2271"/>
        <w:gridCol w:w="987"/>
      </w:tblGrid>
      <w:tr w:rsidR="00185608" w:rsidRPr="00A63AD9" w:rsidTr="00FF0B21">
        <w:trPr>
          <w:trHeight w:val="432"/>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tabs>
                <w:tab w:val="left" w:pos="1452"/>
              </w:tabs>
              <w:ind w:left="1701" w:hanging="1701"/>
              <w:rPr>
                <w:b/>
                <w:bCs/>
                <w:sz w:val="16"/>
                <w:szCs w:val="16"/>
              </w:rPr>
            </w:pPr>
            <w:r w:rsidRPr="00A63AD9">
              <w:rPr>
                <w:b/>
                <w:bCs/>
                <w:sz w:val="16"/>
                <w:szCs w:val="16"/>
              </w:rPr>
              <w:t>Resultado previsto:</w:t>
            </w:r>
            <w:r w:rsidRPr="00A63AD9">
              <w:rPr>
                <w:b/>
                <w:bCs/>
                <w:sz w:val="16"/>
                <w:szCs w:val="16"/>
              </w:rPr>
              <w:tab/>
            </w:r>
            <w:r w:rsidRPr="00A63AD9">
              <w:rPr>
                <w:bCs/>
                <w:sz w:val="16"/>
                <w:szCs w:val="16"/>
              </w:rPr>
              <w:t>I.2  Marcos de P.I. adaptados y equilibrados en el ámbito legislativo, regulador y de política</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 de base</w:t>
            </w:r>
          </w:p>
        </w:tc>
        <w:tc>
          <w:tcPr>
            <w:tcW w:w="923" w:type="pct"/>
            <w:shd w:val="clear" w:color="auto" w:fill="auto"/>
            <w:tcMar>
              <w:top w:w="110" w:type="dxa"/>
              <w:left w:w="58" w:type="dxa"/>
              <w:right w:w="58" w:type="dxa"/>
            </w:tcMar>
            <w:vAlign w:val="center"/>
          </w:tcPr>
          <w:p w:rsidR="00185608" w:rsidRPr="00A63AD9" w:rsidRDefault="00185608" w:rsidP="00230FAA">
            <w:pPr>
              <w:tabs>
                <w:tab w:val="left" w:pos="290"/>
              </w:tabs>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FF0B21">
        <w:trPr>
          <w:trHeight w:val="5281"/>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o% de países que han formulado comentarios positivos sobre el asesoramiento legislativo y de política de la OMPI</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lang w:bidi="th-TH"/>
              </w:rPr>
            </w:pPr>
            <w:r w:rsidRPr="00A751F0">
              <w:rPr>
                <w:color w:val="002060"/>
                <w:sz w:val="16"/>
                <w:szCs w:val="16"/>
                <w:lang w:bidi="th-TH"/>
              </w:rPr>
              <w:t xml:space="preserve">En 2014/15:  </w:t>
            </w:r>
          </w:p>
          <w:p w:rsidR="00185608" w:rsidRPr="00A751F0" w:rsidRDefault="00185608" w:rsidP="00185608">
            <w:pPr>
              <w:pStyle w:val="ListParagraph"/>
              <w:numPr>
                <w:ilvl w:val="0"/>
                <w:numId w:val="47"/>
              </w:numPr>
              <w:spacing w:after="60"/>
              <w:ind w:left="216" w:hanging="216"/>
              <w:rPr>
                <w:color w:val="002060"/>
                <w:sz w:val="16"/>
                <w:szCs w:val="16"/>
                <w:lang w:val="es-ES" w:bidi="th-TH"/>
              </w:rPr>
            </w:pPr>
            <w:r w:rsidRPr="00A751F0">
              <w:rPr>
                <w:color w:val="002060"/>
                <w:sz w:val="16"/>
                <w:szCs w:val="16"/>
                <w:lang w:val="es-ES" w:bidi="th-TH"/>
              </w:rPr>
              <w:t>7 encuestados manifestaron un 94% de índice de satisfacción con el asesoramiento ofrecido (África-3;  región árabe-1;  Asia y el Pacífico-2; América Latina y el Caribe-1) (Programa 1)</w:t>
            </w:r>
          </w:p>
          <w:p w:rsidR="00185608" w:rsidRPr="00A751F0" w:rsidRDefault="00185608" w:rsidP="00185608">
            <w:pPr>
              <w:pStyle w:val="ListParagraph"/>
              <w:numPr>
                <w:ilvl w:val="0"/>
                <w:numId w:val="47"/>
              </w:numPr>
              <w:spacing w:after="60"/>
              <w:ind w:left="216" w:hanging="216"/>
              <w:rPr>
                <w:color w:val="002060"/>
                <w:sz w:val="16"/>
                <w:szCs w:val="16"/>
                <w:lang w:val="es-ES" w:bidi="th-TH"/>
              </w:rPr>
            </w:pPr>
            <w:r w:rsidRPr="00A751F0">
              <w:rPr>
                <w:rFonts w:cs="Arial"/>
                <w:color w:val="002060"/>
                <w:sz w:val="16"/>
                <w:szCs w:val="16"/>
                <w:lang w:val="es-ES" w:bidi="th-TH"/>
              </w:rPr>
              <w:t xml:space="preserve">10 encuestados procedentes de 8 países manifestaron un 100% de satisfacción con el asesoramiento ofrecido </w:t>
            </w:r>
            <w:r w:rsidRPr="00A751F0">
              <w:rPr>
                <w:color w:val="002060"/>
                <w:sz w:val="16"/>
                <w:szCs w:val="16"/>
                <w:lang w:val="es-ES" w:bidi="th-TH"/>
              </w:rPr>
              <w:t xml:space="preserve">(África-1;  Asia y el Pacífico-7;  América Latina y el Caribe-2 )  </w:t>
            </w:r>
            <w:r w:rsidRPr="00A751F0">
              <w:rPr>
                <w:rFonts w:cs="Arial"/>
                <w:color w:val="002060"/>
                <w:sz w:val="16"/>
                <w:szCs w:val="16"/>
                <w:lang w:val="es-ES" w:bidi="th-TH"/>
              </w:rPr>
              <w:t>(Programa 2)</w:t>
            </w:r>
          </w:p>
          <w:p w:rsidR="00185608" w:rsidRPr="00A751F0" w:rsidRDefault="00185608" w:rsidP="00185608">
            <w:pPr>
              <w:pStyle w:val="ListParagraph"/>
              <w:numPr>
                <w:ilvl w:val="0"/>
                <w:numId w:val="47"/>
              </w:numPr>
              <w:ind w:left="216" w:hanging="216"/>
              <w:rPr>
                <w:color w:val="002060"/>
                <w:sz w:val="16"/>
                <w:szCs w:val="16"/>
                <w:lang w:val="es-ES" w:bidi="th-TH"/>
              </w:rPr>
            </w:pPr>
            <w:r w:rsidRPr="00A751F0">
              <w:rPr>
                <w:rFonts w:cs="Arial"/>
                <w:color w:val="002060"/>
                <w:sz w:val="16"/>
                <w:szCs w:val="16"/>
                <w:lang w:val="es-ES" w:bidi="th-TH"/>
              </w:rPr>
              <w:t xml:space="preserve">13 encuestados manifestaron un 100% de satisfacción con el asesoramiento ofrecido </w:t>
            </w:r>
            <w:r w:rsidRPr="00A751F0">
              <w:rPr>
                <w:color w:val="002060"/>
                <w:sz w:val="16"/>
                <w:szCs w:val="16"/>
                <w:lang w:val="es-ES" w:bidi="th-TH"/>
              </w:rPr>
              <w:t>(África-3;  región árabe-3;  Asia y el Pacífico-4;  América Latina y el Pacífico-3 )</w:t>
            </w:r>
            <w:r w:rsidRPr="00A751F0">
              <w:rPr>
                <w:rFonts w:cs="Arial"/>
                <w:color w:val="002060"/>
                <w:sz w:val="16"/>
                <w:szCs w:val="16"/>
                <w:lang w:val="es-ES" w:bidi="th-TH"/>
              </w:rPr>
              <w:t xml:space="preserve"> (Programa 3)</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spacing w:after="240"/>
              <w:rPr>
                <w:sz w:val="16"/>
                <w:szCs w:val="16"/>
              </w:rPr>
            </w:pPr>
            <w:r w:rsidRPr="00A63AD9">
              <w:rPr>
                <w:sz w:val="16"/>
                <w:szCs w:val="16"/>
              </w:rPr>
              <w:t>El desglose regional se establecerá en coordinación con los programas 1, 2, 3 y 4</w:t>
            </w:r>
          </w:p>
        </w:tc>
        <w:tc>
          <w:tcPr>
            <w:tcW w:w="923" w:type="pct"/>
            <w:shd w:val="clear" w:color="auto" w:fill="auto"/>
            <w:tcMar>
              <w:top w:w="110" w:type="dxa"/>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Objetivo actualizado:  </w:t>
            </w:r>
          </w:p>
          <w:p w:rsidR="00185608" w:rsidRPr="00A751F0" w:rsidRDefault="00185608" w:rsidP="00230FAA">
            <w:pPr>
              <w:rPr>
                <w:color w:val="002060"/>
                <w:sz w:val="16"/>
                <w:szCs w:val="16"/>
              </w:rPr>
            </w:pPr>
            <w:r w:rsidRPr="00A751F0">
              <w:rPr>
                <w:color w:val="002060"/>
                <w:sz w:val="16"/>
                <w:szCs w:val="16"/>
              </w:rPr>
              <w:t>90%</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Objetivo original en el presupuesto 2016/17:  </w:t>
            </w:r>
          </w:p>
          <w:p w:rsidR="00185608" w:rsidRPr="00A63AD9" w:rsidRDefault="00185608" w:rsidP="00185608">
            <w:pPr>
              <w:numPr>
                <w:ilvl w:val="0"/>
                <w:numId w:val="44"/>
              </w:numPr>
              <w:ind w:left="0" w:hanging="114"/>
              <w:rPr>
                <w:sz w:val="16"/>
                <w:szCs w:val="16"/>
              </w:rPr>
            </w:pPr>
            <w:r w:rsidRPr="00A63AD9">
              <w:rPr>
                <w:sz w:val="16"/>
                <w:szCs w:val="16"/>
              </w:rPr>
              <w:t>África (90%)</w:t>
            </w:r>
          </w:p>
          <w:p w:rsidR="00185608" w:rsidRPr="00A63AD9" w:rsidRDefault="00185608" w:rsidP="00185608">
            <w:pPr>
              <w:numPr>
                <w:ilvl w:val="0"/>
                <w:numId w:val="44"/>
              </w:numPr>
              <w:ind w:left="0" w:hanging="114"/>
              <w:rPr>
                <w:sz w:val="16"/>
                <w:szCs w:val="16"/>
              </w:rPr>
            </w:pPr>
            <w:r w:rsidRPr="00A63AD9">
              <w:rPr>
                <w:sz w:val="16"/>
                <w:szCs w:val="16"/>
              </w:rPr>
              <w:t>Países árabes (90%)</w:t>
            </w:r>
          </w:p>
          <w:p w:rsidR="00185608" w:rsidRPr="00A63AD9" w:rsidRDefault="00185608" w:rsidP="00185608">
            <w:pPr>
              <w:numPr>
                <w:ilvl w:val="0"/>
                <w:numId w:val="44"/>
              </w:numPr>
              <w:ind w:left="0" w:hanging="114"/>
              <w:rPr>
                <w:sz w:val="16"/>
                <w:szCs w:val="16"/>
              </w:rPr>
            </w:pPr>
            <w:r w:rsidRPr="00A63AD9">
              <w:rPr>
                <w:sz w:val="16"/>
                <w:szCs w:val="16"/>
              </w:rPr>
              <w:t>Asia y el Pacífico (90%)</w:t>
            </w:r>
          </w:p>
          <w:p w:rsidR="00185608" w:rsidRPr="00A63AD9" w:rsidRDefault="00185608" w:rsidP="00185608">
            <w:pPr>
              <w:numPr>
                <w:ilvl w:val="0"/>
                <w:numId w:val="44"/>
              </w:numPr>
              <w:ind w:left="0" w:hanging="114"/>
              <w:rPr>
                <w:sz w:val="16"/>
                <w:szCs w:val="16"/>
              </w:rPr>
            </w:pPr>
            <w:r w:rsidRPr="00A63AD9">
              <w:rPr>
                <w:sz w:val="16"/>
                <w:szCs w:val="16"/>
              </w:rPr>
              <w:t>América Latina y el Caribe (90%)</w:t>
            </w:r>
          </w:p>
        </w:tc>
        <w:tc>
          <w:tcPr>
            <w:tcW w:w="1233" w:type="pct"/>
            <w:shd w:val="clear" w:color="auto" w:fill="FFFFFF"/>
            <w:tcMar>
              <w:top w:w="110" w:type="dxa"/>
              <w:left w:w="58" w:type="dxa"/>
              <w:right w:w="58" w:type="dxa"/>
            </w:tcMar>
          </w:tcPr>
          <w:p w:rsidR="00185608" w:rsidRPr="00A63AD9" w:rsidRDefault="00185608" w:rsidP="00230FAA">
            <w:pPr>
              <w:tabs>
                <w:tab w:val="left" w:pos="209"/>
              </w:tabs>
              <w:rPr>
                <w:sz w:val="16"/>
                <w:szCs w:val="16"/>
              </w:rPr>
            </w:pPr>
            <w:r w:rsidRPr="00A63AD9">
              <w:rPr>
                <w:sz w:val="16"/>
                <w:szCs w:val="16"/>
              </w:rPr>
              <w:t>-</w:t>
            </w:r>
            <w:r w:rsidRPr="00A63AD9">
              <w:rPr>
                <w:sz w:val="16"/>
                <w:szCs w:val="16"/>
              </w:rPr>
              <w:tab/>
              <w:t>7 encuestados manifestaron un 100% de satisfacción con el asesoramiento ofrecido (África-1;  región árabe-1;  Asia y el Pacífico-2;  América Latina y el Caribe-3) (Programa 1)</w:t>
            </w:r>
          </w:p>
          <w:p w:rsidR="00185608" w:rsidRPr="00A63AD9" w:rsidRDefault="00185608" w:rsidP="00230FAA">
            <w:pPr>
              <w:rPr>
                <w:sz w:val="16"/>
                <w:szCs w:val="16"/>
              </w:rPr>
            </w:pPr>
          </w:p>
          <w:p w:rsidR="00185608" w:rsidRPr="00A63AD9" w:rsidRDefault="00185608" w:rsidP="00230FAA">
            <w:pPr>
              <w:tabs>
                <w:tab w:val="left" w:pos="220"/>
              </w:tabs>
              <w:rPr>
                <w:sz w:val="16"/>
                <w:szCs w:val="16"/>
              </w:rPr>
            </w:pPr>
            <w:r w:rsidRPr="00A63AD9">
              <w:rPr>
                <w:sz w:val="16"/>
                <w:szCs w:val="16"/>
              </w:rPr>
              <w:t>-</w:t>
            </w:r>
            <w:r w:rsidRPr="00A63AD9">
              <w:rPr>
                <w:sz w:val="16"/>
                <w:szCs w:val="16"/>
              </w:rPr>
              <w:tab/>
              <w:t>2 encuestados manifestaron un 100% de satisfacción con el asesoramiento ofrecido (África-1;  América Latina y el Caribe-1)  (Programa 2)</w:t>
            </w:r>
          </w:p>
          <w:p w:rsidR="00185608" w:rsidRPr="00A63AD9" w:rsidRDefault="00185608" w:rsidP="00230FAA">
            <w:pPr>
              <w:rPr>
                <w:sz w:val="16"/>
                <w:szCs w:val="16"/>
              </w:rPr>
            </w:pPr>
          </w:p>
          <w:p w:rsidR="00185608" w:rsidRPr="00A63AD9" w:rsidRDefault="00185608" w:rsidP="00230FAA">
            <w:pPr>
              <w:tabs>
                <w:tab w:val="left" w:pos="253"/>
              </w:tabs>
              <w:rPr>
                <w:sz w:val="16"/>
                <w:szCs w:val="16"/>
              </w:rPr>
            </w:pPr>
            <w:r w:rsidRPr="00A63AD9">
              <w:rPr>
                <w:sz w:val="16"/>
                <w:szCs w:val="16"/>
              </w:rPr>
              <w:t>-</w:t>
            </w:r>
            <w:r w:rsidRPr="00A63AD9">
              <w:rPr>
                <w:sz w:val="16"/>
                <w:szCs w:val="16"/>
              </w:rPr>
              <w:tab/>
              <w:t>13 encuestados manifestaron un 100% de satisfacción con el asesoramiento ofrecido (África-2;    Asia y el Pacífico-7;  América Latina y el Caribe-4) (Programa 3)</w:t>
            </w: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ind w:right="123"/>
              <w:jc w:val="center"/>
              <w:rPr>
                <w:b/>
                <w:sz w:val="16"/>
                <w:szCs w:val="16"/>
              </w:rPr>
            </w:pPr>
          </w:p>
        </w:tc>
      </w:tr>
      <w:tr w:rsidR="00185608" w:rsidRPr="00A63AD9" w:rsidTr="00FF0B21">
        <w:trPr>
          <w:trHeight w:val="432"/>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keepNext/>
              <w:keepLines/>
              <w:tabs>
                <w:tab w:val="left" w:pos="1452"/>
              </w:tabs>
              <w:ind w:left="1701" w:hanging="1701"/>
              <w:rPr>
                <w:b/>
                <w:bCs/>
                <w:sz w:val="16"/>
                <w:szCs w:val="16"/>
              </w:rPr>
            </w:pPr>
            <w:r w:rsidRPr="00A63AD9">
              <w:rPr>
                <w:b/>
                <w:bCs/>
                <w:sz w:val="16"/>
                <w:szCs w:val="16"/>
              </w:rPr>
              <w:lastRenderedPageBreak/>
              <w:t>Resultado previsto:</w:t>
            </w:r>
            <w:r w:rsidRPr="00A63AD9">
              <w:rPr>
                <w:b/>
                <w:bCs/>
                <w:sz w:val="16"/>
                <w:szCs w:val="16"/>
              </w:rPr>
              <w:tab/>
            </w:r>
            <w:r w:rsidRPr="00A63AD9">
              <w:rPr>
                <w:bCs/>
                <w:sz w:val="16"/>
                <w:szCs w:val="16"/>
              </w:rPr>
              <w:t>II.1  Mayor y más eficaz utilización del Sistema del PCT para presentar solicitudes internacionales de patentes</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Referencia de base</w:t>
            </w:r>
          </w:p>
        </w:tc>
        <w:tc>
          <w:tcPr>
            <w:tcW w:w="923" w:type="pct"/>
            <w:shd w:val="clear" w:color="auto" w:fill="auto"/>
            <w:tcMar>
              <w:top w:w="110" w:type="dxa"/>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keepNext/>
              <w:keepLines/>
              <w:jc w:val="center"/>
              <w:rPr>
                <w:b/>
                <w:bCs/>
                <w:sz w:val="16"/>
                <w:szCs w:val="16"/>
              </w:rPr>
            </w:pPr>
            <w:r w:rsidRPr="00A63AD9">
              <w:rPr>
                <w:b/>
                <w:bCs/>
                <w:sz w:val="16"/>
                <w:szCs w:val="16"/>
              </w:rPr>
              <w:t>Clave de colores</w:t>
            </w:r>
          </w:p>
        </w:tc>
      </w:tr>
      <w:tr w:rsidR="00185608" w:rsidRPr="00A63AD9" w:rsidTr="00FF0B21">
        <w:trPr>
          <w:trHeight w:val="1425"/>
        </w:trPr>
        <w:tc>
          <w:tcPr>
            <w:tcW w:w="1083" w:type="pct"/>
            <w:shd w:val="clear" w:color="auto" w:fill="auto"/>
            <w:tcMar>
              <w:left w:w="58" w:type="dxa"/>
              <w:right w:w="58" w:type="dxa"/>
            </w:tcMar>
          </w:tcPr>
          <w:p w:rsidR="00185608" w:rsidRPr="00A63AD9" w:rsidRDefault="00185608" w:rsidP="00230FAA">
            <w:pPr>
              <w:keepNext/>
              <w:keepLines/>
              <w:rPr>
                <w:sz w:val="16"/>
                <w:szCs w:val="16"/>
              </w:rPr>
            </w:pPr>
            <w:r w:rsidRPr="00A63AD9">
              <w:rPr>
                <w:sz w:val="16"/>
                <w:szCs w:val="16"/>
              </w:rPr>
              <w:t>N.º de solicitudes PCT procedentes de países en desarrollo y PMA</w:t>
            </w:r>
          </w:p>
        </w:tc>
        <w:tc>
          <w:tcPr>
            <w:tcW w:w="1225" w:type="pct"/>
            <w:shd w:val="clear" w:color="auto" w:fill="auto"/>
            <w:tcMar>
              <w:left w:w="58" w:type="dxa"/>
              <w:right w:w="58" w:type="dxa"/>
            </w:tcMar>
          </w:tcPr>
          <w:p w:rsidR="00185608" w:rsidRPr="00A751F0" w:rsidRDefault="00185608" w:rsidP="00230FAA">
            <w:pPr>
              <w:keepNext/>
              <w:keepLines/>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keepNext/>
              <w:keepLines/>
              <w:rPr>
                <w:color w:val="002060"/>
                <w:sz w:val="16"/>
                <w:szCs w:val="16"/>
              </w:rPr>
            </w:pPr>
            <w:r w:rsidRPr="00A751F0">
              <w:rPr>
                <w:color w:val="002060"/>
                <w:sz w:val="16"/>
                <w:szCs w:val="16"/>
              </w:rPr>
              <w:t>49.524 (2015)</w:t>
            </w:r>
          </w:p>
          <w:p w:rsidR="00185608" w:rsidRPr="00A751F0" w:rsidRDefault="00185608" w:rsidP="00185608">
            <w:pPr>
              <w:keepNext/>
              <w:keepLines/>
              <w:numPr>
                <w:ilvl w:val="0"/>
                <w:numId w:val="44"/>
              </w:numPr>
              <w:ind w:left="122" w:hanging="122"/>
              <w:rPr>
                <w:color w:val="002060"/>
                <w:sz w:val="16"/>
                <w:szCs w:val="16"/>
              </w:rPr>
            </w:pPr>
            <w:r w:rsidRPr="00A751F0">
              <w:rPr>
                <w:color w:val="002060"/>
                <w:sz w:val="16"/>
                <w:szCs w:val="16"/>
              </w:rPr>
              <w:t>África (374)</w:t>
            </w:r>
          </w:p>
          <w:p w:rsidR="00185608" w:rsidRPr="00A751F0" w:rsidRDefault="00185608" w:rsidP="00185608">
            <w:pPr>
              <w:keepNext/>
              <w:keepLines/>
              <w:numPr>
                <w:ilvl w:val="0"/>
                <w:numId w:val="44"/>
              </w:numPr>
              <w:ind w:left="122" w:hanging="122"/>
              <w:rPr>
                <w:color w:val="002060"/>
                <w:sz w:val="16"/>
                <w:szCs w:val="16"/>
              </w:rPr>
            </w:pPr>
            <w:r w:rsidRPr="00A751F0">
              <w:rPr>
                <w:color w:val="002060"/>
                <w:sz w:val="16"/>
                <w:szCs w:val="16"/>
              </w:rPr>
              <w:t>Países árabes (507)</w:t>
            </w:r>
          </w:p>
          <w:p w:rsidR="00185608" w:rsidRPr="00A751F0" w:rsidRDefault="00185608" w:rsidP="00185608">
            <w:pPr>
              <w:keepNext/>
              <w:keepLines/>
              <w:numPr>
                <w:ilvl w:val="0"/>
                <w:numId w:val="44"/>
              </w:numPr>
              <w:ind w:left="122" w:hanging="122"/>
              <w:rPr>
                <w:color w:val="002060"/>
                <w:sz w:val="16"/>
                <w:szCs w:val="16"/>
              </w:rPr>
            </w:pPr>
            <w:r w:rsidRPr="00A751F0">
              <w:rPr>
                <w:color w:val="002060"/>
                <w:sz w:val="16"/>
                <w:szCs w:val="16"/>
              </w:rPr>
              <w:t>Asia y el Pacífico (47.284)</w:t>
            </w:r>
          </w:p>
          <w:p w:rsidR="00185608" w:rsidRPr="00A751F0" w:rsidRDefault="00185608" w:rsidP="00185608">
            <w:pPr>
              <w:keepNext/>
              <w:keepLines/>
              <w:numPr>
                <w:ilvl w:val="0"/>
                <w:numId w:val="44"/>
              </w:numPr>
              <w:ind w:left="122" w:hanging="122"/>
              <w:rPr>
                <w:color w:val="002060"/>
                <w:sz w:val="16"/>
                <w:szCs w:val="16"/>
              </w:rPr>
            </w:pPr>
            <w:r w:rsidRPr="00A751F0">
              <w:rPr>
                <w:color w:val="002060"/>
                <w:sz w:val="16"/>
                <w:szCs w:val="16"/>
              </w:rPr>
              <w:t>América Latina y el Caribe (1.359)</w:t>
            </w:r>
          </w:p>
          <w:p w:rsidR="00185608" w:rsidRPr="00A63AD9" w:rsidRDefault="00185608" w:rsidP="00230FAA">
            <w:pPr>
              <w:keepNext/>
              <w:keepLines/>
              <w:rPr>
                <w:sz w:val="16"/>
                <w:szCs w:val="16"/>
              </w:rPr>
            </w:pPr>
          </w:p>
          <w:p w:rsidR="00185608" w:rsidRPr="00A63AD9" w:rsidRDefault="00185608" w:rsidP="00230FAA">
            <w:pPr>
              <w:keepNext/>
              <w:keepLines/>
              <w:rPr>
                <w:sz w:val="16"/>
                <w:szCs w:val="16"/>
              </w:rPr>
            </w:pPr>
          </w:p>
          <w:p w:rsidR="00185608" w:rsidRPr="00A63AD9" w:rsidRDefault="00185608" w:rsidP="00230FAA">
            <w:pPr>
              <w:keepNext/>
              <w:keepLines/>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keepNext/>
              <w:keepLines/>
              <w:rPr>
                <w:sz w:val="16"/>
                <w:szCs w:val="16"/>
              </w:rPr>
            </w:pPr>
            <w:r w:rsidRPr="00A63AD9">
              <w:rPr>
                <w:sz w:val="16"/>
                <w:szCs w:val="16"/>
              </w:rPr>
              <w:t>43.972 (2014)</w:t>
            </w:r>
          </w:p>
          <w:p w:rsidR="00185608" w:rsidRPr="00A63AD9" w:rsidRDefault="00185608" w:rsidP="00185608">
            <w:pPr>
              <w:keepNext/>
              <w:keepLines/>
              <w:numPr>
                <w:ilvl w:val="0"/>
                <w:numId w:val="44"/>
              </w:numPr>
              <w:ind w:left="122" w:hanging="122"/>
              <w:rPr>
                <w:sz w:val="16"/>
                <w:szCs w:val="16"/>
              </w:rPr>
            </w:pPr>
            <w:r w:rsidRPr="00A63AD9">
              <w:rPr>
                <w:sz w:val="16"/>
                <w:szCs w:val="16"/>
              </w:rPr>
              <w:t>África (352)</w:t>
            </w:r>
          </w:p>
          <w:p w:rsidR="00185608" w:rsidRPr="00A63AD9" w:rsidRDefault="00185608" w:rsidP="00185608">
            <w:pPr>
              <w:keepNext/>
              <w:keepLines/>
              <w:numPr>
                <w:ilvl w:val="0"/>
                <w:numId w:val="44"/>
              </w:numPr>
              <w:ind w:left="122" w:hanging="122"/>
              <w:rPr>
                <w:sz w:val="16"/>
                <w:szCs w:val="16"/>
              </w:rPr>
            </w:pPr>
            <w:r w:rsidRPr="00A63AD9">
              <w:rPr>
                <w:sz w:val="16"/>
                <w:szCs w:val="16"/>
              </w:rPr>
              <w:t>Países árabes (616)</w:t>
            </w:r>
          </w:p>
          <w:p w:rsidR="00185608" w:rsidRPr="00A63AD9" w:rsidRDefault="00185608" w:rsidP="00185608">
            <w:pPr>
              <w:keepNext/>
              <w:keepLines/>
              <w:numPr>
                <w:ilvl w:val="0"/>
                <w:numId w:val="44"/>
              </w:numPr>
              <w:ind w:left="122" w:hanging="122"/>
              <w:rPr>
                <w:sz w:val="16"/>
                <w:szCs w:val="16"/>
              </w:rPr>
            </w:pPr>
            <w:r w:rsidRPr="00A63AD9">
              <w:rPr>
                <w:sz w:val="16"/>
                <w:szCs w:val="16"/>
              </w:rPr>
              <w:t>Asia y el Pacífico (41.569)</w:t>
            </w:r>
          </w:p>
          <w:p w:rsidR="00185608" w:rsidRPr="00A63AD9" w:rsidRDefault="00185608" w:rsidP="00185608">
            <w:pPr>
              <w:keepNext/>
              <w:keepLines/>
              <w:numPr>
                <w:ilvl w:val="0"/>
                <w:numId w:val="44"/>
              </w:numPr>
              <w:spacing w:after="240"/>
              <w:ind w:left="122" w:hanging="122"/>
              <w:rPr>
                <w:sz w:val="16"/>
                <w:szCs w:val="16"/>
              </w:rPr>
            </w:pPr>
            <w:r w:rsidRPr="00A63AD9">
              <w:rPr>
                <w:sz w:val="16"/>
                <w:szCs w:val="16"/>
              </w:rPr>
              <w:t>América Latina y el Caribe (1.412)</w:t>
            </w:r>
          </w:p>
        </w:tc>
        <w:tc>
          <w:tcPr>
            <w:tcW w:w="923" w:type="pct"/>
            <w:shd w:val="clear" w:color="auto" w:fill="auto"/>
            <w:tcMar>
              <w:top w:w="110" w:type="dxa"/>
              <w:left w:w="58" w:type="dxa"/>
              <w:right w:w="58" w:type="dxa"/>
            </w:tcMar>
          </w:tcPr>
          <w:p w:rsidR="00185608" w:rsidRPr="00A63AD9" w:rsidRDefault="00185608" w:rsidP="00185608">
            <w:pPr>
              <w:keepNext/>
              <w:keepLines/>
              <w:numPr>
                <w:ilvl w:val="0"/>
                <w:numId w:val="44"/>
              </w:numPr>
              <w:ind w:left="0" w:hanging="114"/>
              <w:rPr>
                <w:sz w:val="16"/>
                <w:szCs w:val="16"/>
              </w:rPr>
            </w:pPr>
          </w:p>
          <w:p w:rsidR="00185608" w:rsidRPr="00A63AD9" w:rsidRDefault="00185608" w:rsidP="00185608">
            <w:pPr>
              <w:keepNext/>
              <w:keepLines/>
              <w:numPr>
                <w:ilvl w:val="0"/>
                <w:numId w:val="44"/>
              </w:numPr>
              <w:ind w:left="0" w:hanging="114"/>
              <w:rPr>
                <w:sz w:val="16"/>
                <w:szCs w:val="16"/>
              </w:rPr>
            </w:pPr>
            <w:r w:rsidRPr="00A63AD9">
              <w:rPr>
                <w:sz w:val="16"/>
                <w:szCs w:val="16"/>
              </w:rPr>
              <w:t>África (mantener la misma cifra)</w:t>
            </w:r>
          </w:p>
          <w:p w:rsidR="00185608" w:rsidRPr="00A63AD9" w:rsidRDefault="00185608" w:rsidP="00185608">
            <w:pPr>
              <w:keepNext/>
              <w:keepLines/>
              <w:numPr>
                <w:ilvl w:val="0"/>
                <w:numId w:val="44"/>
              </w:numPr>
              <w:ind w:left="0" w:hanging="114"/>
              <w:rPr>
                <w:sz w:val="16"/>
                <w:szCs w:val="16"/>
              </w:rPr>
            </w:pPr>
            <w:r w:rsidRPr="00A63AD9">
              <w:rPr>
                <w:sz w:val="16"/>
                <w:szCs w:val="16"/>
              </w:rPr>
              <w:t>Países árabes (2% por año)</w:t>
            </w:r>
          </w:p>
          <w:p w:rsidR="00185608" w:rsidRPr="00A63AD9" w:rsidRDefault="00185608" w:rsidP="00185608">
            <w:pPr>
              <w:keepNext/>
              <w:keepLines/>
              <w:numPr>
                <w:ilvl w:val="0"/>
                <w:numId w:val="44"/>
              </w:numPr>
              <w:ind w:left="0" w:hanging="114"/>
              <w:rPr>
                <w:sz w:val="16"/>
                <w:szCs w:val="16"/>
              </w:rPr>
            </w:pPr>
            <w:r w:rsidRPr="00A63AD9">
              <w:rPr>
                <w:sz w:val="16"/>
                <w:szCs w:val="16"/>
              </w:rPr>
              <w:t>Asia y el Pacífico (2,5% por año)</w:t>
            </w:r>
          </w:p>
          <w:p w:rsidR="00185608" w:rsidRPr="00A63AD9" w:rsidRDefault="00185608" w:rsidP="00185608">
            <w:pPr>
              <w:keepNext/>
              <w:keepLines/>
              <w:numPr>
                <w:ilvl w:val="0"/>
                <w:numId w:val="44"/>
              </w:numPr>
              <w:ind w:left="0" w:hanging="114"/>
              <w:rPr>
                <w:sz w:val="16"/>
                <w:szCs w:val="16"/>
              </w:rPr>
            </w:pPr>
            <w:r w:rsidRPr="00A63AD9">
              <w:rPr>
                <w:sz w:val="16"/>
                <w:szCs w:val="16"/>
              </w:rPr>
              <w:t>América Latina y el Caribe (1,5% por año)</w:t>
            </w:r>
          </w:p>
          <w:p w:rsidR="00185608" w:rsidRPr="00A63AD9" w:rsidRDefault="00185608" w:rsidP="00230FAA">
            <w:pPr>
              <w:keepNext/>
              <w:keepLines/>
              <w:rPr>
                <w:sz w:val="16"/>
                <w:szCs w:val="16"/>
              </w:rPr>
            </w:pPr>
          </w:p>
        </w:tc>
        <w:tc>
          <w:tcPr>
            <w:tcW w:w="1233" w:type="pct"/>
            <w:shd w:val="clear" w:color="auto" w:fill="FFFFFF"/>
            <w:tcMar>
              <w:top w:w="110" w:type="dxa"/>
              <w:left w:w="58" w:type="dxa"/>
              <w:right w:w="58" w:type="dxa"/>
            </w:tcMar>
          </w:tcPr>
          <w:p w:rsidR="00185608" w:rsidRPr="00A63AD9" w:rsidRDefault="00185608" w:rsidP="00230FAA">
            <w:pPr>
              <w:keepNext/>
              <w:keepLines/>
              <w:rPr>
                <w:sz w:val="16"/>
                <w:szCs w:val="16"/>
              </w:rPr>
            </w:pPr>
            <w:r w:rsidRPr="00A63AD9">
              <w:rPr>
                <w:sz w:val="16"/>
                <w:szCs w:val="16"/>
              </w:rPr>
              <w:t>63.957 solicitudes</w:t>
            </w:r>
          </w:p>
          <w:p w:rsidR="00185608" w:rsidRPr="00A63AD9" w:rsidRDefault="00185608" w:rsidP="00185608">
            <w:pPr>
              <w:keepNext/>
              <w:keepLines/>
              <w:numPr>
                <w:ilvl w:val="0"/>
                <w:numId w:val="44"/>
              </w:numPr>
              <w:spacing w:after="120"/>
              <w:ind w:left="115" w:hanging="115"/>
              <w:rPr>
                <w:sz w:val="16"/>
                <w:szCs w:val="16"/>
              </w:rPr>
            </w:pPr>
            <w:r w:rsidRPr="00A63AD9">
              <w:rPr>
                <w:sz w:val="16"/>
                <w:szCs w:val="16"/>
              </w:rPr>
              <w:t>África (327)</w:t>
            </w:r>
          </w:p>
          <w:p w:rsidR="00185608" w:rsidRPr="00A63AD9" w:rsidRDefault="00185608" w:rsidP="00185608">
            <w:pPr>
              <w:keepNext/>
              <w:keepLines/>
              <w:numPr>
                <w:ilvl w:val="0"/>
                <w:numId w:val="44"/>
              </w:numPr>
              <w:spacing w:after="120"/>
              <w:ind w:left="115" w:hanging="115"/>
              <w:rPr>
                <w:sz w:val="16"/>
                <w:szCs w:val="16"/>
              </w:rPr>
            </w:pPr>
            <w:r w:rsidRPr="00A63AD9">
              <w:rPr>
                <w:sz w:val="16"/>
                <w:szCs w:val="16"/>
              </w:rPr>
              <w:t>Países árabes (517)</w:t>
            </w:r>
          </w:p>
          <w:p w:rsidR="00185608" w:rsidRPr="00A63AD9" w:rsidRDefault="00185608" w:rsidP="00185608">
            <w:pPr>
              <w:keepNext/>
              <w:keepLines/>
              <w:numPr>
                <w:ilvl w:val="0"/>
                <w:numId w:val="44"/>
              </w:numPr>
              <w:spacing w:after="120"/>
              <w:ind w:left="115" w:hanging="115"/>
              <w:rPr>
                <w:sz w:val="16"/>
                <w:szCs w:val="16"/>
              </w:rPr>
            </w:pPr>
            <w:r w:rsidRPr="00A63AD9">
              <w:rPr>
                <w:sz w:val="16"/>
                <w:szCs w:val="16"/>
              </w:rPr>
              <w:t>Asia y el Pacífico (61.629)</w:t>
            </w:r>
          </w:p>
          <w:p w:rsidR="00185608" w:rsidRPr="00A63AD9" w:rsidRDefault="00185608" w:rsidP="00185608">
            <w:pPr>
              <w:keepNext/>
              <w:keepLines/>
              <w:numPr>
                <w:ilvl w:val="0"/>
                <w:numId w:val="44"/>
              </w:numPr>
              <w:ind w:left="122" w:hanging="122"/>
              <w:rPr>
                <w:sz w:val="16"/>
                <w:szCs w:val="16"/>
              </w:rPr>
            </w:pPr>
            <w:r w:rsidRPr="00A63AD9">
              <w:rPr>
                <w:sz w:val="16"/>
                <w:szCs w:val="16"/>
              </w:rPr>
              <w:t>América Latina y el Caribe (1.484)</w:t>
            </w:r>
          </w:p>
          <w:p w:rsidR="00185608" w:rsidRPr="00A63AD9" w:rsidRDefault="00185608" w:rsidP="00230FAA">
            <w:pPr>
              <w:keepNext/>
              <w:keepLines/>
              <w:rPr>
                <w:sz w:val="16"/>
                <w:szCs w:val="16"/>
              </w:rPr>
            </w:pPr>
          </w:p>
        </w:tc>
        <w:tc>
          <w:tcPr>
            <w:tcW w:w="535" w:type="pct"/>
            <w:shd w:val="clear" w:color="auto" w:fill="auto"/>
            <w:tcMar>
              <w:top w:w="110" w:type="dxa"/>
              <w:left w:w="58" w:type="dxa"/>
              <w:right w:w="58" w:type="dxa"/>
            </w:tcMar>
          </w:tcPr>
          <w:p w:rsidR="00185608" w:rsidRPr="00A63AD9" w:rsidRDefault="00185608" w:rsidP="00230FAA">
            <w:pPr>
              <w:keepNext/>
              <w:keepLines/>
              <w:jc w:val="center"/>
              <w:rPr>
                <w:b/>
                <w:sz w:val="16"/>
                <w:szCs w:val="16"/>
              </w:rPr>
            </w:pPr>
          </w:p>
          <w:p w:rsidR="00185608" w:rsidRPr="00A63AD9" w:rsidRDefault="00185608" w:rsidP="00230FAA">
            <w:pPr>
              <w:keepNext/>
              <w:keepLines/>
              <w:spacing w:after="120"/>
              <w:jc w:val="center"/>
              <w:rPr>
                <w:b/>
                <w:sz w:val="16"/>
                <w:szCs w:val="16"/>
              </w:rPr>
            </w:pPr>
            <w:r w:rsidRPr="00A63AD9">
              <w:rPr>
                <w:b/>
                <w:color w:val="FF0000"/>
                <w:sz w:val="16"/>
                <w:szCs w:val="16"/>
              </w:rPr>
              <w:t>No avanza</w:t>
            </w:r>
          </w:p>
          <w:p w:rsidR="00185608" w:rsidRPr="00A63AD9" w:rsidRDefault="00185608" w:rsidP="00230FAA">
            <w:pPr>
              <w:keepNext/>
              <w:keepLines/>
              <w:spacing w:after="120"/>
              <w:jc w:val="center"/>
              <w:rPr>
                <w:b/>
                <w:sz w:val="16"/>
                <w:szCs w:val="16"/>
              </w:rPr>
            </w:pPr>
            <w:r w:rsidRPr="00A63AD9">
              <w:rPr>
                <w:b/>
                <w:color w:val="00B050"/>
                <w:sz w:val="16"/>
                <w:szCs w:val="16"/>
              </w:rPr>
              <w:t>Avanza</w:t>
            </w:r>
          </w:p>
          <w:p w:rsidR="00185608" w:rsidRPr="00A63AD9" w:rsidRDefault="00185608" w:rsidP="00230FAA">
            <w:pPr>
              <w:keepNext/>
              <w:keepLines/>
              <w:spacing w:after="120"/>
              <w:jc w:val="center"/>
              <w:rPr>
                <w:b/>
                <w:sz w:val="16"/>
                <w:szCs w:val="16"/>
              </w:rPr>
            </w:pPr>
            <w:r w:rsidRPr="00A63AD9">
              <w:rPr>
                <w:b/>
                <w:color w:val="00B050"/>
                <w:sz w:val="16"/>
                <w:szCs w:val="16"/>
              </w:rPr>
              <w:t>Avanza</w:t>
            </w:r>
          </w:p>
          <w:p w:rsidR="00185608" w:rsidRPr="00A63AD9" w:rsidRDefault="00185608" w:rsidP="00230FAA">
            <w:pPr>
              <w:keepNext/>
              <w:keepLines/>
              <w:spacing w:after="120"/>
              <w:jc w:val="center"/>
              <w:rPr>
                <w:b/>
                <w:sz w:val="16"/>
                <w:szCs w:val="16"/>
              </w:rPr>
            </w:pPr>
            <w:r w:rsidRPr="00A63AD9">
              <w:rPr>
                <w:b/>
                <w:color w:val="00B050"/>
                <w:sz w:val="16"/>
                <w:szCs w:val="16"/>
              </w:rPr>
              <w:t>Avanza</w:t>
            </w:r>
          </w:p>
          <w:p w:rsidR="00185608" w:rsidRPr="00A63AD9" w:rsidRDefault="00185608" w:rsidP="00230FAA">
            <w:pPr>
              <w:keepNext/>
              <w:keepLines/>
              <w:jc w:val="center"/>
              <w:rPr>
                <w:b/>
                <w:sz w:val="16"/>
                <w:szCs w:val="16"/>
              </w:rPr>
            </w:pPr>
          </w:p>
        </w:tc>
      </w:tr>
      <w:tr w:rsidR="00185608" w:rsidRPr="00A63AD9" w:rsidTr="00FF0B21">
        <w:trPr>
          <w:trHeight w:val="432"/>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tabs>
                <w:tab w:val="left" w:pos="1452"/>
              </w:tabs>
              <w:ind w:left="1701" w:hanging="1701"/>
              <w:rPr>
                <w:b/>
                <w:bCs/>
                <w:sz w:val="16"/>
                <w:szCs w:val="16"/>
              </w:rPr>
            </w:pPr>
            <w:r w:rsidRPr="00A63AD9">
              <w:rPr>
                <w:b/>
                <w:bCs/>
                <w:sz w:val="16"/>
                <w:szCs w:val="16"/>
              </w:rPr>
              <w:t>Resultado previsto:</w:t>
            </w:r>
            <w:r w:rsidRPr="00A63AD9">
              <w:rPr>
                <w:b/>
                <w:bCs/>
                <w:sz w:val="16"/>
                <w:szCs w:val="16"/>
              </w:rPr>
              <w:tab/>
            </w:r>
            <w:r w:rsidRPr="00A63AD9">
              <w:rPr>
                <w:bCs/>
                <w:sz w:val="16"/>
                <w:szCs w:val="16"/>
              </w:rPr>
              <w:t>II.4  Mayor y más eficaz utilización del Sistema de La Haya, entre otros por los países en desarrollo y los PMA</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 de base</w:t>
            </w:r>
          </w:p>
        </w:tc>
        <w:tc>
          <w:tcPr>
            <w:tcW w:w="923" w:type="pct"/>
            <w:shd w:val="clear" w:color="auto" w:fill="auto"/>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FF0B21">
        <w:trPr>
          <w:trHeight w:val="1582"/>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de solicitudes de La Haya procedentes de los países en desarrollo y PMA</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604 (2015)</w:t>
            </w:r>
          </w:p>
          <w:p w:rsidR="00185608" w:rsidRPr="00A751F0" w:rsidRDefault="00185608" w:rsidP="00185608">
            <w:pPr>
              <w:numPr>
                <w:ilvl w:val="0"/>
                <w:numId w:val="44"/>
              </w:numPr>
              <w:ind w:left="0" w:hanging="219"/>
              <w:rPr>
                <w:color w:val="002060"/>
                <w:sz w:val="16"/>
                <w:szCs w:val="16"/>
              </w:rPr>
            </w:pPr>
            <w:r w:rsidRPr="00A751F0">
              <w:rPr>
                <w:color w:val="002060"/>
                <w:sz w:val="16"/>
                <w:szCs w:val="16"/>
              </w:rPr>
              <w:t>África (4)</w:t>
            </w:r>
          </w:p>
          <w:p w:rsidR="00185608" w:rsidRPr="00A751F0" w:rsidRDefault="00185608" w:rsidP="00185608">
            <w:pPr>
              <w:numPr>
                <w:ilvl w:val="0"/>
                <w:numId w:val="44"/>
              </w:numPr>
              <w:ind w:left="0" w:hanging="219"/>
              <w:rPr>
                <w:color w:val="002060"/>
                <w:sz w:val="16"/>
                <w:szCs w:val="16"/>
              </w:rPr>
            </w:pPr>
            <w:r w:rsidRPr="00A751F0">
              <w:rPr>
                <w:color w:val="002060"/>
                <w:sz w:val="16"/>
                <w:szCs w:val="16"/>
              </w:rPr>
              <w:t>Países árabes (8)</w:t>
            </w:r>
          </w:p>
          <w:p w:rsidR="00185608" w:rsidRPr="00A751F0" w:rsidRDefault="00185608" w:rsidP="00230FAA">
            <w:pPr>
              <w:rPr>
                <w:color w:val="002060"/>
                <w:sz w:val="16"/>
                <w:szCs w:val="16"/>
              </w:rPr>
            </w:pPr>
            <w:r w:rsidRPr="00A751F0">
              <w:rPr>
                <w:color w:val="002060"/>
                <w:sz w:val="16"/>
                <w:szCs w:val="16"/>
              </w:rPr>
              <w:t>Asia y el Pacífico (590)</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rPr>
                <w:sz w:val="16"/>
                <w:szCs w:val="16"/>
              </w:rPr>
            </w:pPr>
            <w:r w:rsidRPr="00A63AD9">
              <w:rPr>
                <w:sz w:val="16"/>
                <w:szCs w:val="16"/>
              </w:rPr>
              <w:t>105 (2014)</w:t>
            </w:r>
          </w:p>
          <w:p w:rsidR="00185608" w:rsidRPr="00A63AD9" w:rsidRDefault="00185608" w:rsidP="00185608">
            <w:pPr>
              <w:numPr>
                <w:ilvl w:val="0"/>
                <w:numId w:val="44"/>
              </w:numPr>
              <w:ind w:left="0" w:hanging="219"/>
              <w:rPr>
                <w:sz w:val="16"/>
                <w:szCs w:val="16"/>
              </w:rPr>
            </w:pPr>
            <w:r w:rsidRPr="00A63AD9">
              <w:rPr>
                <w:sz w:val="16"/>
                <w:szCs w:val="16"/>
              </w:rPr>
              <w:t>África (5)</w:t>
            </w:r>
          </w:p>
          <w:p w:rsidR="00185608" w:rsidRPr="00A63AD9" w:rsidRDefault="00185608" w:rsidP="00185608">
            <w:pPr>
              <w:numPr>
                <w:ilvl w:val="0"/>
                <w:numId w:val="44"/>
              </w:numPr>
              <w:ind w:left="0" w:hanging="219"/>
              <w:rPr>
                <w:sz w:val="16"/>
                <w:szCs w:val="16"/>
              </w:rPr>
            </w:pPr>
            <w:r w:rsidRPr="00A63AD9">
              <w:rPr>
                <w:sz w:val="16"/>
                <w:szCs w:val="16"/>
              </w:rPr>
              <w:t>Países árabes (6)</w:t>
            </w:r>
          </w:p>
          <w:p w:rsidR="00185608" w:rsidRPr="00A63AD9" w:rsidRDefault="00185608" w:rsidP="00185608">
            <w:pPr>
              <w:numPr>
                <w:ilvl w:val="0"/>
                <w:numId w:val="44"/>
              </w:numPr>
              <w:spacing w:after="240"/>
              <w:ind w:left="0" w:hanging="219"/>
              <w:rPr>
                <w:sz w:val="16"/>
                <w:szCs w:val="16"/>
              </w:rPr>
            </w:pPr>
            <w:r w:rsidRPr="00A63AD9">
              <w:rPr>
                <w:sz w:val="16"/>
                <w:szCs w:val="16"/>
              </w:rPr>
              <w:t>Asia y el Pacífico (94)</w:t>
            </w:r>
          </w:p>
        </w:tc>
        <w:tc>
          <w:tcPr>
            <w:tcW w:w="923" w:type="pct"/>
            <w:shd w:val="clear" w:color="auto" w:fill="auto"/>
            <w:tcMar>
              <w:top w:w="110" w:type="dxa"/>
              <w:left w:w="58" w:type="dxa"/>
              <w:right w:w="58" w:type="dxa"/>
            </w:tcMar>
          </w:tcPr>
          <w:p w:rsidR="00185608" w:rsidRPr="00A63AD9" w:rsidRDefault="00185608" w:rsidP="00185608">
            <w:pPr>
              <w:numPr>
                <w:ilvl w:val="0"/>
                <w:numId w:val="44"/>
              </w:numPr>
              <w:ind w:left="0" w:hanging="114"/>
              <w:rPr>
                <w:sz w:val="16"/>
                <w:szCs w:val="16"/>
              </w:rPr>
            </w:pPr>
            <w:r w:rsidRPr="00A63AD9">
              <w:rPr>
                <w:sz w:val="16"/>
                <w:szCs w:val="16"/>
              </w:rPr>
              <w:t>África (mantener la cifra)</w:t>
            </w:r>
          </w:p>
          <w:p w:rsidR="00185608" w:rsidRPr="00A63AD9" w:rsidRDefault="00185608" w:rsidP="00185608">
            <w:pPr>
              <w:numPr>
                <w:ilvl w:val="0"/>
                <w:numId w:val="44"/>
              </w:numPr>
              <w:ind w:left="0" w:hanging="114"/>
              <w:rPr>
                <w:sz w:val="16"/>
                <w:szCs w:val="16"/>
              </w:rPr>
            </w:pPr>
            <w:r w:rsidRPr="00A63AD9">
              <w:rPr>
                <w:sz w:val="16"/>
                <w:szCs w:val="16"/>
              </w:rPr>
              <w:t>Países árabes (mantener la cifra)</w:t>
            </w:r>
          </w:p>
          <w:p w:rsidR="00185608" w:rsidRPr="00A63AD9" w:rsidRDefault="00185608" w:rsidP="00185608">
            <w:pPr>
              <w:numPr>
                <w:ilvl w:val="0"/>
                <w:numId w:val="44"/>
              </w:numPr>
              <w:ind w:left="0" w:hanging="114"/>
              <w:rPr>
                <w:sz w:val="16"/>
                <w:szCs w:val="16"/>
              </w:rPr>
            </w:pPr>
            <w:r w:rsidRPr="00A63AD9">
              <w:rPr>
                <w:sz w:val="16"/>
                <w:szCs w:val="16"/>
              </w:rPr>
              <w:t>Asia y el Pacífico (10% por año)</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1.362 solicitudes</w:t>
            </w:r>
          </w:p>
          <w:p w:rsidR="00185608" w:rsidRPr="00A63AD9" w:rsidRDefault="00185608" w:rsidP="00185608">
            <w:pPr>
              <w:numPr>
                <w:ilvl w:val="0"/>
                <w:numId w:val="44"/>
              </w:numPr>
              <w:spacing w:after="120"/>
              <w:ind w:left="209" w:hanging="180"/>
              <w:rPr>
                <w:sz w:val="16"/>
                <w:szCs w:val="16"/>
              </w:rPr>
            </w:pPr>
            <w:r w:rsidRPr="00A63AD9">
              <w:rPr>
                <w:sz w:val="16"/>
                <w:szCs w:val="16"/>
              </w:rPr>
              <w:t>África (5)</w:t>
            </w:r>
          </w:p>
          <w:p w:rsidR="00185608" w:rsidRPr="00A63AD9" w:rsidRDefault="00185608" w:rsidP="00185608">
            <w:pPr>
              <w:numPr>
                <w:ilvl w:val="0"/>
                <w:numId w:val="44"/>
              </w:numPr>
              <w:spacing w:after="120"/>
              <w:ind w:left="209" w:hanging="180"/>
              <w:rPr>
                <w:sz w:val="16"/>
                <w:szCs w:val="16"/>
              </w:rPr>
            </w:pPr>
            <w:r w:rsidRPr="00A63AD9">
              <w:rPr>
                <w:sz w:val="16"/>
                <w:szCs w:val="16"/>
              </w:rPr>
              <w:t>Países árabes (6)</w:t>
            </w:r>
          </w:p>
          <w:p w:rsidR="00185608" w:rsidRPr="00A63AD9" w:rsidRDefault="00185608" w:rsidP="00185608">
            <w:pPr>
              <w:numPr>
                <w:ilvl w:val="0"/>
                <w:numId w:val="44"/>
              </w:numPr>
              <w:spacing w:after="120"/>
              <w:ind w:left="209" w:hanging="180"/>
              <w:rPr>
                <w:sz w:val="16"/>
                <w:szCs w:val="16"/>
              </w:rPr>
            </w:pPr>
            <w:r w:rsidRPr="00A63AD9">
              <w:rPr>
                <w:sz w:val="16"/>
                <w:szCs w:val="16"/>
              </w:rPr>
              <w:t>Asia y el Pacífico (1.351)</w:t>
            </w: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p>
          <w:p w:rsidR="00185608" w:rsidRPr="00A63AD9" w:rsidRDefault="00185608" w:rsidP="00230FAA">
            <w:pPr>
              <w:spacing w:after="120"/>
              <w:jc w:val="center"/>
              <w:rPr>
                <w:b/>
                <w:sz w:val="16"/>
                <w:szCs w:val="16"/>
              </w:rPr>
            </w:pPr>
            <w:r w:rsidRPr="00A63AD9">
              <w:rPr>
                <w:b/>
                <w:color w:val="00B050"/>
                <w:sz w:val="16"/>
                <w:szCs w:val="16"/>
              </w:rPr>
              <w:t>Avanza</w:t>
            </w:r>
          </w:p>
          <w:p w:rsidR="00185608" w:rsidRPr="00A63AD9" w:rsidRDefault="00185608" w:rsidP="00230FAA">
            <w:pPr>
              <w:spacing w:after="120"/>
              <w:jc w:val="center"/>
              <w:rPr>
                <w:b/>
                <w:sz w:val="16"/>
                <w:szCs w:val="16"/>
              </w:rPr>
            </w:pPr>
            <w:r w:rsidRPr="00A63AD9">
              <w:rPr>
                <w:b/>
                <w:color w:val="FF0000"/>
                <w:sz w:val="16"/>
                <w:szCs w:val="16"/>
              </w:rPr>
              <w:t>No avanza</w:t>
            </w:r>
          </w:p>
          <w:p w:rsidR="00185608" w:rsidRPr="00A63AD9" w:rsidRDefault="00185608" w:rsidP="00230FAA">
            <w:pPr>
              <w:spacing w:after="120"/>
              <w:jc w:val="center"/>
              <w:rPr>
                <w:b/>
                <w:sz w:val="16"/>
                <w:szCs w:val="16"/>
              </w:rPr>
            </w:pPr>
            <w:r w:rsidRPr="00A63AD9">
              <w:rPr>
                <w:b/>
                <w:color w:val="00B050"/>
                <w:sz w:val="16"/>
                <w:szCs w:val="16"/>
              </w:rPr>
              <w:t>Avanza</w:t>
            </w:r>
          </w:p>
        </w:tc>
      </w:tr>
      <w:tr w:rsidR="00185608" w:rsidRPr="00A63AD9" w:rsidTr="00FF0B21">
        <w:trPr>
          <w:trHeight w:val="432"/>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tabs>
                <w:tab w:val="left" w:pos="1452"/>
              </w:tabs>
              <w:ind w:left="1701" w:hanging="1701"/>
              <w:rPr>
                <w:b/>
                <w:bCs/>
                <w:sz w:val="16"/>
                <w:szCs w:val="16"/>
              </w:rPr>
            </w:pPr>
            <w:r w:rsidRPr="00A63AD9">
              <w:rPr>
                <w:b/>
                <w:bCs/>
                <w:sz w:val="16"/>
                <w:szCs w:val="16"/>
              </w:rPr>
              <w:t>Resultado previsto:</w:t>
            </w:r>
            <w:r w:rsidRPr="00A63AD9">
              <w:rPr>
                <w:b/>
                <w:bCs/>
                <w:sz w:val="16"/>
                <w:szCs w:val="16"/>
              </w:rPr>
              <w:tab/>
            </w:r>
            <w:r w:rsidRPr="00A63AD9">
              <w:rPr>
                <w:bCs/>
                <w:sz w:val="16"/>
                <w:szCs w:val="16"/>
              </w:rPr>
              <w:t>II.6  Mayor y más eficaz utilización del Sistema de Madrid, entre otros por los países en desarrollo y los PMA</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 de base</w:t>
            </w:r>
          </w:p>
        </w:tc>
        <w:tc>
          <w:tcPr>
            <w:tcW w:w="923" w:type="pct"/>
            <w:shd w:val="clear" w:color="auto" w:fill="auto"/>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FF0B21">
        <w:trPr>
          <w:trHeight w:val="331"/>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de solicitudes del Sistema de Madrid procedentes de países en desarrollo y PMA</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4.130 (2015)</w:t>
            </w:r>
          </w:p>
          <w:p w:rsidR="00185608" w:rsidRPr="00A751F0" w:rsidRDefault="00185608" w:rsidP="00185608">
            <w:pPr>
              <w:numPr>
                <w:ilvl w:val="0"/>
                <w:numId w:val="44"/>
              </w:numPr>
              <w:ind w:left="0" w:hanging="219"/>
              <w:rPr>
                <w:color w:val="002060"/>
                <w:sz w:val="16"/>
                <w:szCs w:val="16"/>
              </w:rPr>
            </w:pPr>
            <w:r w:rsidRPr="00A751F0">
              <w:rPr>
                <w:color w:val="002060"/>
                <w:sz w:val="16"/>
                <w:szCs w:val="16"/>
              </w:rPr>
              <w:t>África (52)</w:t>
            </w:r>
          </w:p>
          <w:p w:rsidR="00185608" w:rsidRPr="00A751F0" w:rsidRDefault="00185608" w:rsidP="00185608">
            <w:pPr>
              <w:numPr>
                <w:ilvl w:val="0"/>
                <w:numId w:val="44"/>
              </w:numPr>
              <w:ind w:left="0" w:hanging="219"/>
              <w:rPr>
                <w:color w:val="002060"/>
                <w:sz w:val="16"/>
                <w:szCs w:val="16"/>
              </w:rPr>
            </w:pPr>
            <w:r w:rsidRPr="00A751F0">
              <w:rPr>
                <w:color w:val="002060"/>
                <w:sz w:val="16"/>
                <w:szCs w:val="16"/>
              </w:rPr>
              <w:t>Países árabes (191)</w:t>
            </w:r>
          </w:p>
          <w:p w:rsidR="00185608" w:rsidRPr="00A751F0" w:rsidRDefault="00185608" w:rsidP="00185608">
            <w:pPr>
              <w:numPr>
                <w:ilvl w:val="0"/>
                <w:numId w:val="44"/>
              </w:numPr>
              <w:ind w:left="0" w:hanging="219"/>
              <w:rPr>
                <w:color w:val="002060"/>
                <w:sz w:val="16"/>
                <w:szCs w:val="16"/>
              </w:rPr>
            </w:pPr>
            <w:r w:rsidRPr="00A751F0">
              <w:rPr>
                <w:color w:val="002060"/>
                <w:sz w:val="16"/>
                <w:szCs w:val="16"/>
              </w:rPr>
              <w:t>Asia y el Pacífico (3.668)</w:t>
            </w:r>
          </w:p>
          <w:p w:rsidR="00185608" w:rsidRPr="00A751F0" w:rsidRDefault="00185608" w:rsidP="00230FAA">
            <w:pPr>
              <w:rPr>
                <w:color w:val="002060"/>
                <w:sz w:val="16"/>
                <w:szCs w:val="16"/>
              </w:rPr>
            </w:pPr>
            <w:r w:rsidRPr="00A751F0">
              <w:rPr>
                <w:color w:val="002060"/>
                <w:sz w:val="16"/>
                <w:szCs w:val="16"/>
              </w:rPr>
              <w:t>América Latina y el Caribe (219)</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rPr>
                <w:sz w:val="16"/>
                <w:szCs w:val="16"/>
              </w:rPr>
            </w:pPr>
            <w:r w:rsidRPr="00A63AD9">
              <w:rPr>
                <w:sz w:val="16"/>
                <w:szCs w:val="16"/>
              </w:rPr>
              <w:t>3.629 (2014)</w:t>
            </w:r>
          </w:p>
          <w:p w:rsidR="00185608" w:rsidRPr="00A63AD9" w:rsidRDefault="00185608" w:rsidP="00185608">
            <w:pPr>
              <w:numPr>
                <w:ilvl w:val="0"/>
                <w:numId w:val="44"/>
              </w:numPr>
              <w:ind w:left="0" w:hanging="219"/>
              <w:rPr>
                <w:sz w:val="16"/>
                <w:szCs w:val="16"/>
              </w:rPr>
            </w:pPr>
            <w:r w:rsidRPr="00A63AD9">
              <w:rPr>
                <w:sz w:val="16"/>
                <w:szCs w:val="16"/>
              </w:rPr>
              <w:t>África (18)</w:t>
            </w:r>
          </w:p>
          <w:p w:rsidR="00185608" w:rsidRPr="00A63AD9" w:rsidRDefault="00185608" w:rsidP="00185608">
            <w:pPr>
              <w:numPr>
                <w:ilvl w:val="0"/>
                <w:numId w:val="44"/>
              </w:numPr>
              <w:ind w:left="0" w:hanging="219"/>
              <w:rPr>
                <w:sz w:val="16"/>
                <w:szCs w:val="16"/>
              </w:rPr>
            </w:pPr>
            <w:r w:rsidRPr="00A63AD9">
              <w:rPr>
                <w:sz w:val="16"/>
                <w:szCs w:val="16"/>
              </w:rPr>
              <w:t>Países árabes (122)</w:t>
            </w:r>
          </w:p>
          <w:p w:rsidR="00185608" w:rsidRPr="00A63AD9" w:rsidRDefault="00185608" w:rsidP="00185608">
            <w:pPr>
              <w:numPr>
                <w:ilvl w:val="0"/>
                <w:numId w:val="44"/>
              </w:numPr>
              <w:ind w:left="0" w:hanging="219"/>
              <w:rPr>
                <w:sz w:val="16"/>
                <w:szCs w:val="16"/>
              </w:rPr>
            </w:pPr>
            <w:r w:rsidRPr="00A63AD9">
              <w:rPr>
                <w:sz w:val="16"/>
                <w:szCs w:val="16"/>
              </w:rPr>
              <w:t>Asia y el Pacífico (3.338)</w:t>
            </w:r>
          </w:p>
          <w:p w:rsidR="00185608" w:rsidRPr="00A63AD9" w:rsidRDefault="00185608" w:rsidP="00185608">
            <w:pPr>
              <w:numPr>
                <w:ilvl w:val="0"/>
                <w:numId w:val="44"/>
              </w:numPr>
              <w:spacing w:after="240"/>
              <w:ind w:left="0" w:hanging="219"/>
              <w:rPr>
                <w:sz w:val="16"/>
                <w:szCs w:val="16"/>
              </w:rPr>
            </w:pPr>
            <w:r w:rsidRPr="00A63AD9">
              <w:rPr>
                <w:sz w:val="16"/>
                <w:szCs w:val="16"/>
              </w:rPr>
              <w:t>América Latina y el Caribe (151)</w:t>
            </w:r>
          </w:p>
        </w:tc>
        <w:tc>
          <w:tcPr>
            <w:tcW w:w="923" w:type="pct"/>
            <w:shd w:val="clear" w:color="auto" w:fill="auto"/>
            <w:tcMar>
              <w:top w:w="110" w:type="dxa"/>
              <w:left w:w="58" w:type="dxa"/>
              <w:right w:w="58" w:type="dxa"/>
            </w:tcMar>
          </w:tcPr>
          <w:p w:rsidR="00185608" w:rsidRPr="00A63AD9" w:rsidRDefault="00185608" w:rsidP="00185608">
            <w:pPr>
              <w:numPr>
                <w:ilvl w:val="0"/>
                <w:numId w:val="44"/>
              </w:numPr>
              <w:ind w:left="0" w:hanging="114"/>
              <w:rPr>
                <w:sz w:val="16"/>
                <w:szCs w:val="16"/>
              </w:rPr>
            </w:pPr>
            <w:r w:rsidRPr="00A63AD9">
              <w:rPr>
                <w:sz w:val="16"/>
                <w:szCs w:val="16"/>
              </w:rPr>
              <w:t>África (mantener la cifra)</w:t>
            </w:r>
          </w:p>
          <w:p w:rsidR="00185608" w:rsidRPr="00A63AD9" w:rsidRDefault="00185608" w:rsidP="00185608">
            <w:pPr>
              <w:numPr>
                <w:ilvl w:val="0"/>
                <w:numId w:val="44"/>
              </w:numPr>
              <w:ind w:left="0" w:hanging="114"/>
              <w:rPr>
                <w:sz w:val="16"/>
                <w:szCs w:val="16"/>
              </w:rPr>
            </w:pPr>
            <w:r w:rsidRPr="00A63AD9">
              <w:rPr>
                <w:sz w:val="16"/>
                <w:szCs w:val="16"/>
              </w:rPr>
              <w:t>Países árabes (mantener la cifra)</w:t>
            </w:r>
          </w:p>
          <w:p w:rsidR="00185608" w:rsidRPr="00A63AD9" w:rsidRDefault="00185608" w:rsidP="00185608">
            <w:pPr>
              <w:numPr>
                <w:ilvl w:val="0"/>
                <w:numId w:val="44"/>
              </w:numPr>
              <w:ind w:left="0" w:hanging="114"/>
              <w:rPr>
                <w:sz w:val="16"/>
                <w:szCs w:val="16"/>
              </w:rPr>
            </w:pPr>
            <w:r w:rsidRPr="00A63AD9">
              <w:rPr>
                <w:sz w:val="16"/>
                <w:szCs w:val="16"/>
              </w:rPr>
              <w:t>Asia y el Pacífico (5% por año)</w:t>
            </w:r>
          </w:p>
          <w:p w:rsidR="00185608" w:rsidRPr="00A63AD9" w:rsidRDefault="00185608" w:rsidP="00185608">
            <w:pPr>
              <w:numPr>
                <w:ilvl w:val="0"/>
                <w:numId w:val="44"/>
              </w:numPr>
              <w:ind w:left="0" w:hanging="114"/>
              <w:rPr>
                <w:sz w:val="16"/>
                <w:szCs w:val="16"/>
              </w:rPr>
            </w:pPr>
            <w:r w:rsidRPr="00A63AD9">
              <w:rPr>
                <w:sz w:val="16"/>
                <w:szCs w:val="16"/>
              </w:rPr>
              <w:t>América Latina y el Caribe (10% por año)</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5.479  solicitudes</w:t>
            </w:r>
          </w:p>
          <w:p w:rsidR="00185608" w:rsidRPr="00A63AD9" w:rsidRDefault="00185608" w:rsidP="00185608">
            <w:pPr>
              <w:numPr>
                <w:ilvl w:val="0"/>
                <w:numId w:val="44"/>
              </w:numPr>
              <w:spacing w:after="120"/>
              <w:ind w:left="209" w:hanging="180"/>
              <w:rPr>
                <w:sz w:val="16"/>
                <w:szCs w:val="16"/>
              </w:rPr>
            </w:pPr>
            <w:r w:rsidRPr="00A63AD9">
              <w:rPr>
                <w:sz w:val="16"/>
                <w:szCs w:val="16"/>
              </w:rPr>
              <w:t>África (38)</w:t>
            </w:r>
          </w:p>
          <w:p w:rsidR="00185608" w:rsidRPr="00A63AD9" w:rsidRDefault="00185608" w:rsidP="00185608">
            <w:pPr>
              <w:numPr>
                <w:ilvl w:val="0"/>
                <w:numId w:val="44"/>
              </w:numPr>
              <w:spacing w:after="120"/>
              <w:ind w:left="209" w:hanging="180"/>
              <w:rPr>
                <w:sz w:val="16"/>
                <w:szCs w:val="16"/>
              </w:rPr>
            </w:pPr>
            <w:r w:rsidRPr="00A63AD9">
              <w:rPr>
                <w:sz w:val="16"/>
                <w:szCs w:val="16"/>
              </w:rPr>
              <w:t>Países árabes (178)</w:t>
            </w:r>
          </w:p>
          <w:p w:rsidR="00185608" w:rsidRPr="00A63AD9" w:rsidRDefault="00185608" w:rsidP="00185608">
            <w:pPr>
              <w:numPr>
                <w:ilvl w:val="0"/>
                <w:numId w:val="44"/>
              </w:numPr>
              <w:spacing w:after="120"/>
              <w:ind w:left="209" w:hanging="180"/>
              <w:rPr>
                <w:sz w:val="16"/>
                <w:szCs w:val="16"/>
              </w:rPr>
            </w:pPr>
            <w:r w:rsidRPr="00A63AD9">
              <w:rPr>
                <w:sz w:val="16"/>
                <w:szCs w:val="16"/>
              </w:rPr>
              <w:t>Asia y el Pacífico (5.075)</w:t>
            </w:r>
          </w:p>
          <w:p w:rsidR="00185608" w:rsidRPr="00A63AD9" w:rsidRDefault="00185608" w:rsidP="00185608">
            <w:pPr>
              <w:numPr>
                <w:ilvl w:val="0"/>
                <w:numId w:val="44"/>
              </w:numPr>
              <w:spacing w:after="120"/>
              <w:ind w:left="209" w:hanging="180"/>
              <w:rPr>
                <w:sz w:val="16"/>
                <w:szCs w:val="16"/>
              </w:rPr>
            </w:pPr>
            <w:r w:rsidRPr="00A63AD9">
              <w:rPr>
                <w:sz w:val="16"/>
                <w:szCs w:val="16"/>
              </w:rPr>
              <w:t>América Latina y el Caribe  (188)</w:t>
            </w: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185608" w:rsidP="00230FAA">
            <w:pPr>
              <w:ind w:right="-57"/>
              <w:jc w:val="center"/>
              <w:rPr>
                <w:b/>
                <w:sz w:val="16"/>
                <w:szCs w:val="16"/>
              </w:rPr>
            </w:pPr>
          </w:p>
          <w:p w:rsidR="00185608" w:rsidRPr="00A63AD9" w:rsidRDefault="00185608" w:rsidP="00230FAA">
            <w:pPr>
              <w:spacing w:after="120"/>
              <w:jc w:val="center"/>
              <w:rPr>
                <w:b/>
                <w:sz w:val="16"/>
                <w:szCs w:val="16"/>
              </w:rPr>
            </w:pPr>
            <w:r w:rsidRPr="00A63AD9">
              <w:rPr>
                <w:b/>
                <w:color w:val="FF0000"/>
                <w:sz w:val="16"/>
                <w:szCs w:val="16"/>
              </w:rPr>
              <w:t>No avanza</w:t>
            </w:r>
          </w:p>
          <w:p w:rsidR="00185608" w:rsidRPr="00A63AD9" w:rsidRDefault="00185608" w:rsidP="00230FAA">
            <w:pPr>
              <w:spacing w:after="120"/>
              <w:jc w:val="center"/>
              <w:rPr>
                <w:b/>
                <w:sz w:val="16"/>
                <w:szCs w:val="16"/>
              </w:rPr>
            </w:pPr>
            <w:r w:rsidRPr="00A63AD9">
              <w:rPr>
                <w:b/>
                <w:color w:val="FF0000"/>
                <w:sz w:val="16"/>
                <w:szCs w:val="16"/>
              </w:rPr>
              <w:t>No avanza</w:t>
            </w:r>
          </w:p>
          <w:p w:rsidR="00185608" w:rsidRPr="00A63AD9" w:rsidRDefault="00185608" w:rsidP="00230FAA">
            <w:pPr>
              <w:spacing w:after="120"/>
              <w:jc w:val="center"/>
              <w:rPr>
                <w:b/>
                <w:sz w:val="16"/>
                <w:szCs w:val="16"/>
              </w:rPr>
            </w:pPr>
            <w:r w:rsidRPr="00A63AD9">
              <w:rPr>
                <w:b/>
                <w:color w:val="00B050"/>
                <w:sz w:val="16"/>
                <w:szCs w:val="16"/>
              </w:rPr>
              <w:t>Avanza</w:t>
            </w:r>
          </w:p>
          <w:p w:rsidR="00185608" w:rsidRPr="00A63AD9" w:rsidRDefault="00185608" w:rsidP="00230FAA">
            <w:pPr>
              <w:jc w:val="center"/>
              <w:rPr>
                <w:b/>
                <w:sz w:val="16"/>
                <w:szCs w:val="16"/>
              </w:rPr>
            </w:pPr>
          </w:p>
          <w:p w:rsidR="00185608" w:rsidRPr="00A63AD9" w:rsidRDefault="00185608" w:rsidP="00230FAA">
            <w:pPr>
              <w:spacing w:after="120"/>
              <w:jc w:val="center"/>
              <w:rPr>
                <w:b/>
                <w:sz w:val="16"/>
                <w:szCs w:val="16"/>
              </w:rPr>
            </w:pPr>
            <w:r w:rsidRPr="00A63AD9">
              <w:rPr>
                <w:b/>
                <w:color w:val="FF0000"/>
                <w:sz w:val="16"/>
                <w:szCs w:val="16"/>
              </w:rPr>
              <w:t>No avanza</w:t>
            </w:r>
          </w:p>
        </w:tc>
      </w:tr>
      <w:tr w:rsidR="00185608" w:rsidRPr="00A63AD9" w:rsidTr="00FF0B21">
        <w:trPr>
          <w:trHeight w:val="432"/>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keepNext/>
              <w:keepLines/>
              <w:tabs>
                <w:tab w:val="left" w:pos="1452"/>
              </w:tabs>
              <w:ind w:left="1701" w:hanging="1701"/>
              <w:rPr>
                <w:b/>
                <w:bCs/>
                <w:sz w:val="16"/>
                <w:szCs w:val="16"/>
              </w:rPr>
            </w:pPr>
            <w:r w:rsidRPr="00A63AD9">
              <w:rPr>
                <w:b/>
                <w:bCs/>
                <w:sz w:val="16"/>
                <w:szCs w:val="16"/>
              </w:rPr>
              <w:lastRenderedPageBreak/>
              <w:t>Resultado previsto:</w:t>
            </w:r>
            <w:r w:rsidRPr="00A63AD9">
              <w:rPr>
                <w:b/>
                <w:bCs/>
                <w:sz w:val="16"/>
                <w:szCs w:val="16"/>
              </w:rPr>
              <w:tab/>
            </w:r>
            <w:r w:rsidRPr="00A63AD9">
              <w:rPr>
                <w:bCs/>
                <w:sz w:val="16"/>
                <w:szCs w:val="16"/>
              </w:rPr>
              <w:t>II.10  Mayor y más eficaz utilización del Sistema de Lisboa, entre otros por los países en desarrollo y los PMA</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Referencia de base</w:t>
            </w:r>
          </w:p>
        </w:tc>
        <w:tc>
          <w:tcPr>
            <w:tcW w:w="923" w:type="pct"/>
            <w:shd w:val="clear" w:color="auto" w:fill="auto"/>
            <w:tcMar>
              <w:top w:w="110" w:type="dxa"/>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keepNext/>
              <w:keepLines/>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keepNext/>
              <w:keepLines/>
              <w:jc w:val="center"/>
              <w:rPr>
                <w:b/>
                <w:bCs/>
                <w:sz w:val="16"/>
                <w:szCs w:val="16"/>
              </w:rPr>
            </w:pPr>
            <w:r w:rsidRPr="00A63AD9">
              <w:rPr>
                <w:b/>
                <w:bCs/>
                <w:sz w:val="16"/>
                <w:szCs w:val="16"/>
              </w:rPr>
              <w:t>Clave de colores</w:t>
            </w:r>
          </w:p>
        </w:tc>
      </w:tr>
      <w:tr w:rsidR="00185608" w:rsidRPr="00A63AD9" w:rsidTr="00FF0B21">
        <w:trPr>
          <w:trHeight w:val="255"/>
        </w:trPr>
        <w:tc>
          <w:tcPr>
            <w:tcW w:w="1083" w:type="pct"/>
            <w:shd w:val="clear" w:color="auto" w:fill="auto"/>
            <w:tcMar>
              <w:left w:w="58" w:type="dxa"/>
              <w:right w:w="58" w:type="dxa"/>
            </w:tcMar>
          </w:tcPr>
          <w:p w:rsidR="00185608" w:rsidRPr="00A63AD9" w:rsidRDefault="00185608" w:rsidP="00230FAA">
            <w:pPr>
              <w:keepNext/>
              <w:keepLines/>
              <w:rPr>
                <w:sz w:val="16"/>
                <w:szCs w:val="16"/>
              </w:rPr>
            </w:pPr>
            <w:r w:rsidRPr="00A63AD9">
              <w:rPr>
                <w:sz w:val="16"/>
                <w:szCs w:val="16"/>
              </w:rPr>
              <w:t>N.º de registros internacionales de países en desarrollo y PMA en vigor en virtud del Sistema de Lisboa (con respecto al N.º total)</w:t>
            </w:r>
          </w:p>
        </w:tc>
        <w:tc>
          <w:tcPr>
            <w:tcW w:w="1225" w:type="pct"/>
            <w:shd w:val="clear" w:color="auto" w:fill="auto"/>
            <w:tcMar>
              <w:left w:w="58" w:type="dxa"/>
              <w:right w:w="58" w:type="dxa"/>
            </w:tcMar>
          </w:tcPr>
          <w:p w:rsidR="00185608" w:rsidRPr="00A751F0" w:rsidRDefault="00185608" w:rsidP="00230FAA">
            <w:pPr>
              <w:keepNext/>
              <w:keepLines/>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keepNext/>
              <w:keepLines/>
              <w:rPr>
                <w:color w:val="002060"/>
                <w:sz w:val="16"/>
                <w:szCs w:val="16"/>
              </w:rPr>
            </w:pPr>
            <w:r w:rsidRPr="00A751F0">
              <w:rPr>
                <w:color w:val="002060"/>
                <w:sz w:val="16"/>
                <w:szCs w:val="16"/>
              </w:rPr>
              <w:t xml:space="preserve">95 de 931:  </w:t>
            </w:r>
          </w:p>
          <w:p w:rsidR="00185608" w:rsidRPr="00A751F0" w:rsidRDefault="00185608" w:rsidP="00185608">
            <w:pPr>
              <w:keepNext/>
              <w:keepLines/>
              <w:numPr>
                <w:ilvl w:val="0"/>
                <w:numId w:val="44"/>
              </w:numPr>
              <w:ind w:left="0" w:hanging="219"/>
              <w:rPr>
                <w:color w:val="002060"/>
                <w:sz w:val="16"/>
                <w:szCs w:val="16"/>
              </w:rPr>
            </w:pPr>
            <w:r w:rsidRPr="00A751F0">
              <w:rPr>
                <w:color w:val="002060"/>
                <w:sz w:val="16"/>
                <w:szCs w:val="16"/>
              </w:rPr>
              <w:t xml:space="preserve"> Países árabes (14), Asia y el Pacífico (38), América Latina y el Caribe (43)</w:t>
            </w:r>
          </w:p>
          <w:p w:rsidR="00185608" w:rsidRPr="00A63AD9" w:rsidRDefault="00185608" w:rsidP="00230FAA">
            <w:pPr>
              <w:keepNext/>
              <w:keepLines/>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keepNext/>
              <w:keepLines/>
              <w:rPr>
                <w:sz w:val="16"/>
                <w:szCs w:val="16"/>
              </w:rPr>
            </w:pPr>
            <w:r w:rsidRPr="00A63AD9">
              <w:rPr>
                <w:sz w:val="16"/>
                <w:szCs w:val="16"/>
              </w:rPr>
              <w:t xml:space="preserve">78 de 896:  </w:t>
            </w:r>
          </w:p>
          <w:p w:rsidR="00185608" w:rsidRPr="00A63AD9" w:rsidRDefault="00185608" w:rsidP="00185608">
            <w:pPr>
              <w:keepNext/>
              <w:keepLines/>
              <w:numPr>
                <w:ilvl w:val="0"/>
                <w:numId w:val="44"/>
              </w:numPr>
              <w:ind w:left="0" w:hanging="219"/>
              <w:rPr>
                <w:sz w:val="16"/>
                <w:szCs w:val="16"/>
              </w:rPr>
            </w:pPr>
            <w:r w:rsidRPr="00A63AD9">
              <w:rPr>
                <w:sz w:val="16"/>
                <w:szCs w:val="16"/>
              </w:rPr>
              <w:t>Países árabes (14)</w:t>
            </w:r>
          </w:p>
          <w:p w:rsidR="00185608" w:rsidRPr="00A63AD9" w:rsidRDefault="00185608" w:rsidP="00185608">
            <w:pPr>
              <w:keepNext/>
              <w:keepLines/>
              <w:numPr>
                <w:ilvl w:val="0"/>
                <w:numId w:val="44"/>
              </w:numPr>
              <w:ind w:left="0" w:hanging="219"/>
              <w:rPr>
                <w:sz w:val="16"/>
                <w:szCs w:val="16"/>
              </w:rPr>
            </w:pPr>
            <w:r w:rsidRPr="00A63AD9">
              <w:rPr>
                <w:sz w:val="16"/>
                <w:szCs w:val="16"/>
              </w:rPr>
              <w:t>Asia y el Pacífico (22)</w:t>
            </w:r>
          </w:p>
          <w:p w:rsidR="00185608" w:rsidRPr="00A63AD9" w:rsidRDefault="00185608" w:rsidP="00185608">
            <w:pPr>
              <w:keepNext/>
              <w:keepLines/>
              <w:numPr>
                <w:ilvl w:val="0"/>
                <w:numId w:val="44"/>
              </w:numPr>
              <w:ind w:left="0" w:hanging="219"/>
              <w:rPr>
                <w:sz w:val="16"/>
                <w:szCs w:val="16"/>
              </w:rPr>
            </w:pPr>
            <w:r w:rsidRPr="00A63AD9">
              <w:rPr>
                <w:sz w:val="16"/>
                <w:szCs w:val="16"/>
              </w:rPr>
              <w:t>América Latina y el Caribe (42)</w:t>
            </w:r>
          </w:p>
          <w:p w:rsidR="00185608" w:rsidRPr="00A63AD9" w:rsidRDefault="00185608" w:rsidP="00230FAA">
            <w:pPr>
              <w:keepNext/>
              <w:keepLines/>
              <w:spacing w:after="240"/>
              <w:rPr>
                <w:sz w:val="16"/>
                <w:szCs w:val="16"/>
              </w:rPr>
            </w:pPr>
            <w:r w:rsidRPr="00A63AD9">
              <w:rPr>
                <w:sz w:val="16"/>
                <w:szCs w:val="16"/>
              </w:rPr>
              <w:t>(Marzo de 2015)</w:t>
            </w:r>
          </w:p>
        </w:tc>
        <w:tc>
          <w:tcPr>
            <w:tcW w:w="923" w:type="pct"/>
            <w:shd w:val="clear" w:color="auto" w:fill="auto"/>
            <w:tcMar>
              <w:top w:w="110" w:type="dxa"/>
              <w:left w:w="58" w:type="dxa"/>
              <w:right w:w="58" w:type="dxa"/>
            </w:tcMar>
          </w:tcPr>
          <w:p w:rsidR="003A6012" w:rsidRPr="00A751F0" w:rsidRDefault="003A6012" w:rsidP="003A6012">
            <w:pPr>
              <w:rPr>
                <w:i/>
                <w:color w:val="002060"/>
                <w:sz w:val="16"/>
                <w:szCs w:val="16"/>
              </w:rPr>
            </w:pPr>
            <w:r w:rsidRPr="00A751F0">
              <w:rPr>
                <w:i/>
                <w:color w:val="002060"/>
                <w:sz w:val="16"/>
                <w:szCs w:val="16"/>
              </w:rPr>
              <w:t xml:space="preserve">Objetivo actualizado:  </w:t>
            </w:r>
          </w:p>
          <w:p w:rsidR="00185608" w:rsidRPr="00A63AD9" w:rsidRDefault="003A6012" w:rsidP="003A6012">
            <w:pPr>
              <w:keepNext/>
              <w:keepLines/>
              <w:rPr>
                <w:sz w:val="16"/>
                <w:szCs w:val="16"/>
              </w:rPr>
            </w:pPr>
            <w:r>
              <w:rPr>
                <w:color w:val="002060"/>
                <w:sz w:val="16"/>
                <w:szCs w:val="16"/>
              </w:rPr>
              <w:t>10</w:t>
            </w:r>
            <w:r w:rsidRPr="00A751F0">
              <w:rPr>
                <w:color w:val="002060"/>
                <w:sz w:val="16"/>
                <w:szCs w:val="16"/>
              </w:rPr>
              <w:t>0</w:t>
            </w:r>
            <w:r>
              <w:rPr>
                <w:color w:val="002060"/>
                <w:sz w:val="16"/>
                <w:szCs w:val="16"/>
              </w:rPr>
              <w:t xml:space="preserve"> (de 971)</w:t>
            </w:r>
            <w:r>
              <w:rPr>
                <w:color w:val="002060"/>
                <w:sz w:val="16"/>
                <w:szCs w:val="16"/>
              </w:rPr>
              <w:br/>
            </w:r>
            <w:r>
              <w:rPr>
                <w:color w:val="002060"/>
                <w:sz w:val="16"/>
                <w:szCs w:val="16"/>
              </w:rPr>
              <w:br/>
            </w:r>
            <w:r w:rsidRPr="003A6012">
              <w:rPr>
                <w:i/>
                <w:sz w:val="16"/>
                <w:szCs w:val="16"/>
              </w:rPr>
              <w:t xml:space="preserve">Objetivo original </w:t>
            </w:r>
            <w:proofErr w:type="spellStart"/>
            <w:r w:rsidRPr="003A6012">
              <w:rPr>
                <w:i/>
                <w:sz w:val="16"/>
                <w:szCs w:val="16"/>
              </w:rPr>
              <w:t>presup</w:t>
            </w:r>
            <w:proofErr w:type="spellEnd"/>
            <w:r w:rsidRPr="003A6012">
              <w:rPr>
                <w:i/>
                <w:sz w:val="16"/>
                <w:szCs w:val="16"/>
              </w:rPr>
              <w:t>. 2016/17:</w:t>
            </w:r>
            <w:r w:rsidRPr="003A6012">
              <w:rPr>
                <w:sz w:val="16"/>
                <w:szCs w:val="16"/>
              </w:rPr>
              <w:t xml:space="preserve"> </w:t>
            </w:r>
            <w:r w:rsidRPr="003A6012">
              <w:rPr>
                <w:sz w:val="16"/>
                <w:szCs w:val="16"/>
              </w:rPr>
              <w:br/>
              <w:t>90 (de 950)</w:t>
            </w:r>
          </w:p>
        </w:tc>
        <w:tc>
          <w:tcPr>
            <w:tcW w:w="1233" w:type="pct"/>
            <w:shd w:val="clear" w:color="auto" w:fill="FFFFFF"/>
            <w:tcMar>
              <w:top w:w="110" w:type="dxa"/>
              <w:left w:w="58" w:type="dxa"/>
              <w:right w:w="58" w:type="dxa"/>
            </w:tcMar>
          </w:tcPr>
          <w:p w:rsidR="00185608" w:rsidRPr="00A63AD9" w:rsidRDefault="00185608" w:rsidP="00230FAA">
            <w:pPr>
              <w:keepNext/>
              <w:keepLines/>
              <w:rPr>
                <w:rFonts w:eastAsiaTheme="minorEastAsia"/>
                <w:sz w:val="16"/>
                <w:szCs w:val="16"/>
                <w:lang w:eastAsia="ja-JP"/>
              </w:rPr>
            </w:pPr>
            <w:r w:rsidRPr="00A63AD9">
              <w:rPr>
                <w:rFonts w:eastAsiaTheme="minorEastAsia"/>
                <w:sz w:val="16"/>
                <w:szCs w:val="16"/>
                <w:lang w:eastAsia="ja-JP"/>
              </w:rPr>
              <w:t>95 (de 1.020):</w:t>
            </w:r>
          </w:p>
          <w:p w:rsidR="00185608" w:rsidRPr="00A63AD9" w:rsidRDefault="00185608" w:rsidP="00185608">
            <w:pPr>
              <w:keepNext/>
              <w:keepLines/>
              <w:numPr>
                <w:ilvl w:val="0"/>
                <w:numId w:val="44"/>
              </w:numPr>
              <w:ind w:left="209" w:hanging="180"/>
              <w:rPr>
                <w:sz w:val="16"/>
                <w:szCs w:val="16"/>
              </w:rPr>
            </w:pPr>
            <w:r w:rsidRPr="00A63AD9">
              <w:rPr>
                <w:sz w:val="16"/>
                <w:szCs w:val="16"/>
              </w:rPr>
              <w:t>Países árabes (14)</w:t>
            </w:r>
          </w:p>
          <w:p w:rsidR="00185608" w:rsidRPr="00A63AD9" w:rsidRDefault="00185608" w:rsidP="00185608">
            <w:pPr>
              <w:keepNext/>
              <w:keepLines/>
              <w:numPr>
                <w:ilvl w:val="0"/>
                <w:numId w:val="44"/>
              </w:numPr>
              <w:ind w:left="209" w:hanging="180"/>
              <w:rPr>
                <w:rFonts w:eastAsiaTheme="minorEastAsia"/>
                <w:sz w:val="16"/>
                <w:szCs w:val="16"/>
                <w:lang w:eastAsia="ja-JP"/>
              </w:rPr>
            </w:pPr>
            <w:r w:rsidRPr="00A63AD9">
              <w:rPr>
                <w:rFonts w:eastAsiaTheme="minorEastAsia"/>
                <w:sz w:val="16"/>
                <w:szCs w:val="16"/>
                <w:lang w:eastAsia="ja-JP"/>
              </w:rPr>
              <w:t>Asia y el Pacífico (38)</w:t>
            </w:r>
          </w:p>
          <w:p w:rsidR="00185608" w:rsidRPr="00A63AD9" w:rsidRDefault="00185608" w:rsidP="00185608">
            <w:pPr>
              <w:keepNext/>
              <w:keepLines/>
              <w:numPr>
                <w:ilvl w:val="0"/>
                <w:numId w:val="44"/>
              </w:numPr>
              <w:ind w:left="209" w:hanging="180"/>
              <w:rPr>
                <w:sz w:val="16"/>
                <w:szCs w:val="16"/>
              </w:rPr>
            </w:pPr>
            <w:r w:rsidRPr="00A63AD9">
              <w:rPr>
                <w:sz w:val="16"/>
                <w:szCs w:val="16"/>
              </w:rPr>
              <w:t>América Latina y el Caribe  (43)</w:t>
            </w:r>
          </w:p>
          <w:p w:rsidR="00185608" w:rsidRPr="00A63AD9" w:rsidRDefault="00185608" w:rsidP="00230FAA">
            <w:pPr>
              <w:keepNext/>
              <w:keepLines/>
              <w:rPr>
                <w:sz w:val="16"/>
                <w:szCs w:val="16"/>
              </w:rPr>
            </w:pPr>
          </w:p>
        </w:tc>
        <w:tc>
          <w:tcPr>
            <w:tcW w:w="535" w:type="pct"/>
            <w:shd w:val="clear" w:color="auto" w:fill="auto"/>
            <w:tcMar>
              <w:top w:w="110" w:type="dxa"/>
              <w:left w:w="58" w:type="dxa"/>
              <w:right w:w="58" w:type="dxa"/>
            </w:tcMar>
          </w:tcPr>
          <w:p w:rsidR="00185608" w:rsidRPr="00A63AD9" w:rsidRDefault="003A6012" w:rsidP="00230FAA">
            <w:pPr>
              <w:keepNext/>
              <w:keepLines/>
              <w:jc w:val="center"/>
              <w:rPr>
                <w:b/>
                <w:sz w:val="16"/>
                <w:szCs w:val="16"/>
              </w:rPr>
            </w:pPr>
            <w:r w:rsidRPr="00A63AD9">
              <w:rPr>
                <w:b/>
                <w:color w:val="FF0000"/>
                <w:sz w:val="16"/>
                <w:szCs w:val="16"/>
              </w:rPr>
              <w:t>No avanza</w:t>
            </w:r>
          </w:p>
        </w:tc>
      </w:tr>
      <w:tr w:rsidR="00185608" w:rsidRPr="00A63AD9" w:rsidTr="00FF0B21">
        <w:trPr>
          <w:trHeight w:val="432"/>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keepNext/>
              <w:tabs>
                <w:tab w:val="left" w:pos="1452"/>
              </w:tabs>
              <w:ind w:left="1701" w:hanging="1701"/>
              <w:rPr>
                <w:b/>
                <w:bCs/>
                <w:sz w:val="16"/>
                <w:szCs w:val="16"/>
              </w:rPr>
            </w:pPr>
            <w:r w:rsidRPr="00A63AD9">
              <w:rPr>
                <w:b/>
                <w:bCs/>
                <w:sz w:val="16"/>
                <w:szCs w:val="16"/>
              </w:rPr>
              <w:t>Resultado previsto:</w:t>
            </w:r>
            <w:r w:rsidRPr="00A63AD9">
              <w:rPr>
                <w:b/>
                <w:bCs/>
                <w:sz w:val="16"/>
                <w:szCs w:val="16"/>
              </w:rPr>
              <w:tab/>
            </w:r>
            <w:r w:rsidRPr="00A63AD9">
              <w:rPr>
                <w:bCs/>
                <w:sz w:val="16"/>
                <w:szCs w:val="16"/>
              </w:rPr>
              <w:t>III.1  Estrategias y planes nacionales de innovación y de P.I. que estén en sintonía con los objetivos nacionales de desarrollo</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Referencias de base</w:t>
            </w:r>
          </w:p>
        </w:tc>
        <w:tc>
          <w:tcPr>
            <w:tcW w:w="923" w:type="pct"/>
            <w:shd w:val="clear" w:color="auto" w:fill="auto"/>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FF0B21">
        <w:trPr>
          <w:trHeight w:val="1150"/>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de países que está elaborando estrategias nacionales de P.I.</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3A6012" w:rsidP="00230FAA">
            <w:pPr>
              <w:rPr>
                <w:color w:val="002060"/>
                <w:sz w:val="16"/>
                <w:szCs w:val="16"/>
              </w:rPr>
            </w:pPr>
            <w:r>
              <w:rPr>
                <w:color w:val="002060"/>
                <w:sz w:val="16"/>
                <w:szCs w:val="16"/>
              </w:rPr>
              <w:t>África:  8</w:t>
            </w:r>
          </w:p>
          <w:p w:rsidR="00185608" w:rsidRPr="00A751F0" w:rsidRDefault="00185608" w:rsidP="00230FAA">
            <w:pPr>
              <w:rPr>
                <w:color w:val="002060"/>
                <w:sz w:val="16"/>
                <w:szCs w:val="16"/>
                <w:lang w:bidi="th-TH"/>
              </w:rPr>
            </w:pPr>
            <w:r w:rsidRPr="00A751F0">
              <w:rPr>
                <w:color w:val="002060"/>
                <w:sz w:val="16"/>
                <w:szCs w:val="16"/>
                <w:lang w:bidi="th-TH"/>
              </w:rPr>
              <w:t>Países árabes:  2</w:t>
            </w:r>
          </w:p>
          <w:p w:rsidR="00185608" w:rsidRPr="00A751F0" w:rsidRDefault="00185608" w:rsidP="00230FAA">
            <w:pPr>
              <w:rPr>
                <w:color w:val="002060"/>
                <w:sz w:val="16"/>
                <w:szCs w:val="16"/>
                <w:lang w:bidi="th-TH"/>
              </w:rPr>
            </w:pPr>
            <w:r w:rsidRPr="00A751F0">
              <w:rPr>
                <w:color w:val="002060"/>
                <w:sz w:val="16"/>
                <w:szCs w:val="16"/>
                <w:lang w:bidi="th-TH"/>
              </w:rPr>
              <w:t>Asia y el Pacífico: 10</w:t>
            </w:r>
          </w:p>
          <w:p w:rsidR="00185608" w:rsidRPr="00A751F0" w:rsidRDefault="00185608" w:rsidP="00230FAA">
            <w:pPr>
              <w:rPr>
                <w:color w:val="002060"/>
                <w:sz w:val="16"/>
                <w:szCs w:val="16"/>
                <w:lang w:bidi="th-TH"/>
              </w:rPr>
            </w:pPr>
            <w:r w:rsidRPr="00A751F0">
              <w:rPr>
                <w:color w:val="002060"/>
                <w:sz w:val="16"/>
                <w:szCs w:val="16"/>
                <w:lang w:bidi="th-TH"/>
              </w:rPr>
              <w:t>América Latina y el Caribe: 7</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185608">
            <w:pPr>
              <w:numPr>
                <w:ilvl w:val="0"/>
                <w:numId w:val="44"/>
              </w:numPr>
              <w:ind w:left="0" w:hanging="219"/>
              <w:rPr>
                <w:sz w:val="16"/>
                <w:szCs w:val="16"/>
              </w:rPr>
            </w:pPr>
            <w:r w:rsidRPr="00A63AD9">
              <w:rPr>
                <w:sz w:val="16"/>
                <w:szCs w:val="16"/>
              </w:rPr>
              <w:t>África (24 en total)</w:t>
            </w:r>
          </w:p>
          <w:p w:rsidR="00185608" w:rsidRPr="00A63AD9" w:rsidRDefault="00185608" w:rsidP="00185608">
            <w:pPr>
              <w:numPr>
                <w:ilvl w:val="0"/>
                <w:numId w:val="44"/>
              </w:numPr>
              <w:ind w:left="0" w:hanging="219"/>
              <w:rPr>
                <w:sz w:val="16"/>
                <w:szCs w:val="16"/>
              </w:rPr>
            </w:pPr>
            <w:r w:rsidRPr="00A63AD9">
              <w:rPr>
                <w:sz w:val="16"/>
                <w:szCs w:val="16"/>
              </w:rPr>
              <w:t>Países árabes (4 en 2014)</w:t>
            </w:r>
          </w:p>
          <w:p w:rsidR="00185608" w:rsidRPr="00A63AD9" w:rsidRDefault="00185608" w:rsidP="00185608">
            <w:pPr>
              <w:numPr>
                <w:ilvl w:val="0"/>
                <w:numId w:val="44"/>
              </w:numPr>
              <w:ind w:left="0" w:hanging="219"/>
              <w:rPr>
                <w:sz w:val="16"/>
                <w:szCs w:val="16"/>
              </w:rPr>
            </w:pPr>
            <w:r w:rsidRPr="00A63AD9">
              <w:rPr>
                <w:sz w:val="16"/>
                <w:szCs w:val="16"/>
              </w:rPr>
              <w:t>Asia y el Pacífico (14 en total)</w:t>
            </w:r>
          </w:p>
          <w:p w:rsidR="00185608" w:rsidRPr="00A63AD9" w:rsidRDefault="00185608" w:rsidP="00185608">
            <w:pPr>
              <w:numPr>
                <w:ilvl w:val="0"/>
                <w:numId w:val="44"/>
              </w:numPr>
              <w:spacing w:after="240"/>
              <w:ind w:left="0" w:hanging="219"/>
              <w:rPr>
                <w:sz w:val="16"/>
                <w:szCs w:val="16"/>
              </w:rPr>
            </w:pPr>
            <w:r w:rsidRPr="00A63AD9">
              <w:rPr>
                <w:sz w:val="16"/>
                <w:szCs w:val="16"/>
              </w:rPr>
              <w:t>América Latina y el Caribe (12 en total)</w:t>
            </w:r>
          </w:p>
        </w:tc>
        <w:tc>
          <w:tcPr>
            <w:tcW w:w="923" w:type="pct"/>
            <w:shd w:val="clear" w:color="auto" w:fill="auto"/>
            <w:tcMar>
              <w:top w:w="110" w:type="dxa"/>
              <w:left w:w="58" w:type="dxa"/>
              <w:right w:w="58" w:type="dxa"/>
            </w:tcMar>
          </w:tcPr>
          <w:p w:rsidR="00185608" w:rsidRPr="00A63AD9" w:rsidRDefault="00185608" w:rsidP="00185608">
            <w:pPr>
              <w:numPr>
                <w:ilvl w:val="0"/>
                <w:numId w:val="44"/>
              </w:numPr>
              <w:ind w:left="0" w:hanging="114"/>
              <w:rPr>
                <w:sz w:val="16"/>
                <w:szCs w:val="16"/>
              </w:rPr>
            </w:pPr>
            <w:r w:rsidRPr="00A63AD9">
              <w:rPr>
                <w:sz w:val="16"/>
                <w:szCs w:val="16"/>
              </w:rPr>
              <w:t>África (3 más)</w:t>
            </w:r>
          </w:p>
          <w:p w:rsidR="00185608" w:rsidRPr="00A63AD9" w:rsidRDefault="00185608" w:rsidP="00185608">
            <w:pPr>
              <w:numPr>
                <w:ilvl w:val="0"/>
                <w:numId w:val="44"/>
              </w:numPr>
              <w:ind w:left="0" w:hanging="114"/>
              <w:rPr>
                <w:sz w:val="16"/>
                <w:szCs w:val="16"/>
              </w:rPr>
            </w:pPr>
            <w:r w:rsidRPr="00A63AD9">
              <w:rPr>
                <w:sz w:val="16"/>
                <w:szCs w:val="16"/>
              </w:rPr>
              <w:t>Países árabes (4 más)</w:t>
            </w:r>
          </w:p>
          <w:p w:rsidR="00185608" w:rsidRPr="00A63AD9" w:rsidRDefault="00185608" w:rsidP="00185608">
            <w:pPr>
              <w:numPr>
                <w:ilvl w:val="0"/>
                <w:numId w:val="44"/>
              </w:numPr>
              <w:ind w:left="0" w:hanging="114"/>
              <w:rPr>
                <w:sz w:val="16"/>
                <w:szCs w:val="16"/>
              </w:rPr>
            </w:pPr>
            <w:r w:rsidRPr="00A63AD9">
              <w:rPr>
                <w:sz w:val="16"/>
                <w:szCs w:val="16"/>
              </w:rPr>
              <w:t>Asia y el Pacífico (4 más)</w:t>
            </w:r>
          </w:p>
          <w:p w:rsidR="00185608" w:rsidRPr="00A63AD9" w:rsidRDefault="00185608" w:rsidP="00185608">
            <w:pPr>
              <w:numPr>
                <w:ilvl w:val="0"/>
                <w:numId w:val="44"/>
              </w:numPr>
              <w:ind w:left="0" w:hanging="114"/>
              <w:rPr>
                <w:sz w:val="16"/>
                <w:szCs w:val="16"/>
              </w:rPr>
            </w:pPr>
            <w:r w:rsidRPr="00A63AD9">
              <w:rPr>
                <w:sz w:val="16"/>
                <w:szCs w:val="16"/>
              </w:rPr>
              <w:t>América Latina y el Caribe (5 más)</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África (3 más):  Guinea, Guinea Bissau, Namibia</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Países árabes (2 más):  Djibouti, Jordania</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Asia y el Pacífico (2 más):  Indonesia, República Democrática Popular Lao</w:t>
            </w:r>
          </w:p>
          <w:p w:rsidR="00185608" w:rsidRPr="00A63AD9" w:rsidRDefault="00185608" w:rsidP="00230FAA">
            <w:pPr>
              <w:rPr>
                <w:sz w:val="16"/>
                <w:szCs w:val="16"/>
              </w:rPr>
            </w:pPr>
            <w:r w:rsidRPr="00A63AD9">
              <w:rPr>
                <w:sz w:val="16"/>
                <w:szCs w:val="16"/>
              </w:rPr>
              <w:t xml:space="preserve">   </w:t>
            </w:r>
          </w:p>
          <w:p w:rsidR="00185608" w:rsidRPr="00A63AD9" w:rsidRDefault="00185608" w:rsidP="00230FAA">
            <w:pPr>
              <w:rPr>
                <w:sz w:val="16"/>
                <w:szCs w:val="16"/>
              </w:rPr>
            </w:pPr>
            <w:r w:rsidRPr="00A63AD9">
              <w:rPr>
                <w:sz w:val="16"/>
                <w:szCs w:val="16"/>
              </w:rPr>
              <w:t>América Latina y el Caribe (4 más):</w:t>
            </w:r>
            <w:r w:rsidR="003A6012">
              <w:rPr>
                <w:sz w:val="16"/>
                <w:szCs w:val="16"/>
              </w:rPr>
              <w:t xml:space="preserve">  Belice, Dominica, Jamaica, Para</w:t>
            </w:r>
            <w:r w:rsidRPr="00A63AD9">
              <w:rPr>
                <w:sz w:val="16"/>
                <w:szCs w:val="16"/>
              </w:rPr>
              <w:t>guay</w:t>
            </w: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rPr>
                <w:b/>
                <w:sz w:val="16"/>
                <w:szCs w:val="16"/>
              </w:rPr>
            </w:pPr>
          </w:p>
          <w:p w:rsidR="00185608" w:rsidRPr="00A63AD9" w:rsidRDefault="00185608" w:rsidP="00230FAA">
            <w:pPr>
              <w:tabs>
                <w:tab w:val="left" w:pos="145"/>
              </w:tabs>
              <w:rPr>
                <w:b/>
                <w:sz w:val="16"/>
                <w:szCs w:val="16"/>
              </w:rPr>
            </w:pPr>
          </w:p>
          <w:p w:rsidR="00185608" w:rsidRPr="00A63AD9" w:rsidRDefault="00185608" w:rsidP="00230FAA">
            <w:pPr>
              <w:tabs>
                <w:tab w:val="left" w:pos="145"/>
              </w:tabs>
              <w:jc w:val="center"/>
              <w:rPr>
                <w:b/>
                <w:sz w:val="16"/>
                <w:szCs w:val="16"/>
              </w:rPr>
            </w:pPr>
            <w:r w:rsidRPr="00A63AD9">
              <w:rPr>
                <w:b/>
                <w:color w:val="00B050"/>
                <w:sz w:val="16"/>
                <w:szCs w:val="16"/>
              </w:rPr>
              <w:t>Avanza</w:t>
            </w:r>
          </w:p>
          <w:p w:rsidR="00185608" w:rsidRPr="00A63AD9" w:rsidRDefault="00185608" w:rsidP="00230FAA">
            <w:pPr>
              <w:tabs>
                <w:tab w:val="left" w:pos="145"/>
              </w:tabs>
              <w:rPr>
                <w:b/>
                <w:sz w:val="16"/>
                <w:szCs w:val="16"/>
              </w:rPr>
            </w:pPr>
          </w:p>
          <w:p w:rsidR="00185608" w:rsidRPr="00A63AD9" w:rsidRDefault="00185608" w:rsidP="00230FAA">
            <w:pPr>
              <w:tabs>
                <w:tab w:val="left" w:pos="145"/>
              </w:tabs>
              <w:rPr>
                <w:b/>
                <w:sz w:val="16"/>
                <w:szCs w:val="16"/>
              </w:rPr>
            </w:pPr>
          </w:p>
          <w:p w:rsidR="00185608" w:rsidRPr="00A63AD9" w:rsidRDefault="00185608" w:rsidP="00230FAA">
            <w:pPr>
              <w:tabs>
                <w:tab w:val="left" w:pos="145"/>
              </w:tabs>
              <w:jc w:val="center"/>
              <w:rPr>
                <w:b/>
                <w:sz w:val="16"/>
                <w:szCs w:val="16"/>
              </w:rPr>
            </w:pPr>
            <w:r w:rsidRPr="00A63AD9">
              <w:rPr>
                <w:b/>
                <w:color w:val="00B050"/>
                <w:sz w:val="16"/>
                <w:szCs w:val="16"/>
              </w:rPr>
              <w:t>Avanza</w:t>
            </w:r>
          </w:p>
          <w:p w:rsidR="00185608" w:rsidRPr="00A63AD9" w:rsidRDefault="00185608" w:rsidP="00230FAA">
            <w:pPr>
              <w:tabs>
                <w:tab w:val="left" w:pos="145"/>
              </w:tabs>
              <w:jc w:val="center"/>
              <w:rPr>
                <w:b/>
                <w:sz w:val="16"/>
                <w:szCs w:val="16"/>
              </w:rPr>
            </w:pPr>
          </w:p>
          <w:p w:rsidR="00185608" w:rsidRPr="00A63AD9" w:rsidRDefault="00185608" w:rsidP="00230FAA">
            <w:pPr>
              <w:tabs>
                <w:tab w:val="left" w:pos="145"/>
              </w:tabs>
              <w:jc w:val="center"/>
              <w:rPr>
                <w:b/>
                <w:sz w:val="16"/>
                <w:szCs w:val="16"/>
              </w:rPr>
            </w:pPr>
          </w:p>
          <w:p w:rsidR="00185608" w:rsidRPr="00A63AD9" w:rsidRDefault="00185608" w:rsidP="00230FAA">
            <w:pPr>
              <w:tabs>
                <w:tab w:val="left" w:pos="145"/>
              </w:tabs>
              <w:rPr>
                <w:b/>
                <w:sz w:val="16"/>
                <w:szCs w:val="16"/>
              </w:rPr>
            </w:pPr>
          </w:p>
          <w:p w:rsidR="00185608" w:rsidRPr="00A63AD9" w:rsidRDefault="00185608" w:rsidP="00230FAA">
            <w:pPr>
              <w:tabs>
                <w:tab w:val="left" w:pos="145"/>
              </w:tabs>
              <w:jc w:val="center"/>
              <w:rPr>
                <w:b/>
                <w:sz w:val="16"/>
                <w:szCs w:val="16"/>
              </w:rPr>
            </w:pPr>
            <w:r w:rsidRPr="00A63AD9">
              <w:rPr>
                <w:b/>
                <w:color w:val="00B050"/>
                <w:sz w:val="16"/>
                <w:szCs w:val="16"/>
              </w:rPr>
              <w:t>Avanza</w:t>
            </w:r>
          </w:p>
        </w:tc>
      </w:tr>
      <w:tr w:rsidR="00185608" w:rsidRPr="00A63AD9" w:rsidTr="00FF0B21">
        <w:trPr>
          <w:trHeight w:val="1582"/>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de países que han adoptado estrategias nacionales de innovación y de P.I.</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 xml:space="preserve">África (21 en total) </w:t>
            </w:r>
          </w:p>
          <w:p w:rsidR="00185608" w:rsidRPr="00A751F0" w:rsidRDefault="00185608" w:rsidP="00230FAA">
            <w:pPr>
              <w:rPr>
                <w:color w:val="002060"/>
                <w:sz w:val="16"/>
                <w:szCs w:val="16"/>
                <w:lang w:bidi="th-TH"/>
              </w:rPr>
            </w:pPr>
            <w:r w:rsidRPr="00A751F0">
              <w:rPr>
                <w:color w:val="002060"/>
                <w:sz w:val="16"/>
                <w:szCs w:val="16"/>
                <w:lang w:bidi="th-TH"/>
              </w:rPr>
              <w:t>Países árabes (2 en total)</w:t>
            </w:r>
          </w:p>
          <w:p w:rsidR="00185608" w:rsidRPr="00A751F0" w:rsidRDefault="00185608" w:rsidP="00230FAA">
            <w:pPr>
              <w:rPr>
                <w:color w:val="002060"/>
                <w:sz w:val="16"/>
                <w:szCs w:val="16"/>
              </w:rPr>
            </w:pPr>
            <w:r w:rsidRPr="00A751F0">
              <w:rPr>
                <w:color w:val="002060"/>
                <w:sz w:val="16"/>
                <w:szCs w:val="16"/>
                <w:lang w:bidi="th-TH"/>
              </w:rPr>
              <w:t>Asia y el Pacífico (7 en total)</w:t>
            </w:r>
            <w:r w:rsidRPr="00A751F0">
              <w:rPr>
                <w:rStyle w:val="FootnoteReference"/>
                <w:color w:val="002060"/>
                <w:lang w:bidi="th-TH"/>
              </w:rPr>
              <w:footnoteReference w:id="48"/>
            </w:r>
            <w:r w:rsidRPr="00A751F0">
              <w:rPr>
                <w:color w:val="002060"/>
                <w:sz w:val="16"/>
                <w:szCs w:val="16"/>
                <w:lang w:bidi="th-TH"/>
              </w:rPr>
              <w:t xml:space="preserve"> </w:t>
            </w:r>
          </w:p>
          <w:p w:rsidR="00185608" w:rsidRPr="00A751F0" w:rsidRDefault="00185608" w:rsidP="00230FAA">
            <w:pPr>
              <w:rPr>
                <w:color w:val="002060"/>
                <w:sz w:val="16"/>
                <w:szCs w:val="16"/>
                <w:lang w:bidi="th-TH"/>
              </w:rPr>
            </w:pPr>
            <w:r w:rsidRPr="00A751F0">
              <w:rPr>
                <w:color w:val="002060"/>
                <w:sz w:val="16"/>
                <w:szCs w:val="16"/>
                <w:lang w:bidi="th-TH"/>
              </w:rPr>
              <w:t>América Latina y el Caribe (7 en total)</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185608">
            <w:pPr>
              <w:numPr>
                <w:ilvl w:val="0"/>
                <w:numId w:val="44"/>
              </w:numPr>
              <w:ind w:left="0" w:hanging="219"/>
              <w:rPr>
                <w:sz w:val="16"/>
                <w:szCs w:val="16"/>
              </w:rPr>
            </w:pPr>
            <w:r w:rsidRPr="00A63AD9">
              <w:rPr>
                <w:sz w:val="16"/>
                <w:szCs w:val="16"/>
              </w:rPr>
              <w:t>África (21 en total)</w:t>
            </w:r>
          </w:p>
          <w:p w:rsidR="00185608" w:rsidRPr="00A63AD9" w:rsidRDefault="00185608" w:rsidP="00185608">
            <w:pPr>
              <w:numPr>
                <w:ilvl w:val="0"/>
                <w:numId w:val="44"/>
              </w:numPr>
              <w:ind w:left="0" w:hanging="219"/>
              <w:rPr>
                <w:sz w:val="16"/>
                <w:szCs w:val="16"/>
              </w:rPr>
            </w:pPr>
            <w:r w:rsidRPr="00A63AD9">
              <w:rPr>
                <w:sz w:val="16"/>
                <w:szCs w:val="16"/>
              </w:rPr>
              <w:t>Países árabes (2 en total)</w:t>
            </w:r>
          </w:p>
          <w:p w:rsidR="00185608" w:rsidRPr="00A63AD9" w:rsidRDefault="00185608" w:rsidP="00185608">
            <w:pPr>
              <w:numPr>
                <w:ilvl w:val="0"/>
                <w:numId w:val="44"/>
              </w:numPr>
              <w:ind w:left="0" w:hanging="219"/>
              <w:rPr>
                <w:sz w:val="16"/>
                <w:szCs w:val="16"/>
              </w:rPr>
            </w:pPr>
            <w:r w:rsidRPr="00A63AD9">
              <w:rPr>
                <w:sz w:val="16"/>
                <w:szCs w:val="16"/>
              </w:rPr>
              <w:t>Asia y el Pacífico (8 en total)</w:t>
            </w:r>
          </w:p>
          <w:p w:rsidR="00185608" w:rsidRPr="00A63AD9" w:rsidRDefault="00185608" w:rsidP="00185608">
            <w:pPr>
              <w:numPr>
                <w:ilvl w:val="0"/>
                <w:numId w:val="44"/>
              </w:numPr>
              <w:spacing w:after="240"/>
              <w:ind w:left="0" w:hanging="219"/>
              <w:rPr>
                <w:sz w:val="16"/>
                <w:szCs w:val="16"/>
              </w:rPr>
            </w:pPr>
            <w:r w:rsidRPr="00A63AD9">
              <w:rPr>
                <w:sz w:val="16"/>
                <w:szCs w:val="16"/>
              </w:rPr>
              <w:t>América Latina y el Caribe (6 en total)</w:t>
            </w:r>
          </w:p>
        </w:tc>
        <w:tc>
          <w:tcPr>
            <w:tcW w:w="923" w:type="pct"/>
            <w:shd w:val="clear" w:color="auto" w:fill="auto"/>
            <w:tcMar>
              <w:top w:w="110" w:type="dxa"/>
              <w:left w:w="58" w:type="dxa"/>
              <w:right w:w="58" w:type="dxa"/>
            </w:tcMar>
          </w:tcPr>
          <w:p w:rsidR="00185608" w:rsidRPr="00A63AD9" w:rsidRDefault="00185608" w:rsidP="00185608">
            <w:pPr>
              <w:numPr>
                <w:ilvl w:val="0"/>
                <w:numId w:val="44"/>
              </w:numPr>
              <w:ind w:left="0" w:hanging="114"/>
              <w:rPr>
                <w:sz w:val="16"/>
                <w:szCs w:val="16"/>
              </w:rPr>
            </w:pPr>
            <w:r w:rsidRPr="00A63AD9">
              <w:rPr>
                <w:sz w:val="16"/>
                <w:szCs w:val="16"/>
              </w:rPr>
              <w:t>África (8 más)</w:t>
            </w:r>
          </w:p>
          <w:p w:rsidR="00185608" w:rsidRPr="00A63AD9" w:rsidRDefault="00185608" w:rsidP="00185608">
            <w:pPr>
              <w:numPr>
                <w:ilvl w:val="0"/>
                <w:numId w:val="44"/>
              </w:numPr>
              <w:ind w:left="0" w:hanging="114"/>
              <w:rPr>
                <w:sz w:val="16"/>
                <w:szCs w:val="16"/>
              </w:rPr>
            </w:pPr>
            <w:r w:rsidRPr="00A63AD9">
              <w:rPr>
                <w:sz w:val="16"/>
                <w:szCs w:val="16"/>
              </w:rPr>
              <w:t>Países árabes (2 más)</w:t>
            </w:r>
          </w:p>
          <w:p w:rsidR="00185608" w:rsidRPr="00A63AD9" w:rsidRDefault="00185608" w:rsidP="00185608">
            <w:pPr>
              <w:numPr>
                <w:ilvl w:val="0"/>
                <w:numId w:val="44"/>
              </w:numPr>
              <w:ind w:left="0" w:hanging="114"/>
              <w:rPr>
                <w:sz w:val="16"/>
                <w:szCs w:val="16"/>
              </w:rPr>
            </w:pPr>
            <w:r w:rsidRPr="00A63AD9">
              <w:rPr>
                <w:sz w:val="16"/>
                <w:szCs w:val="16"/>
              </w:rPr>
              <w:t>Asia y el Pacífico (7 más)</w:t>
            </w:r>
          </w:p>
          <w:p w:rsidR="00185608" w:rsidRPr="00A63AD9" w:rsidRDefault="00185608" w:rsidP="00185608">
            <w:pPr>
              <w:numPr>
                <w:ilvl w:val="0"/>
                <w:numId w:val="44"/>
              </w:numPr>
              <w:ind w:left="0" w:hanging="114"/>
              <w:rPr>
                <w:sz w:val="16"/>
                <w:szCs w:val="16"/>
              </w:rPr>
            </w:pPr>
            <w:r w:rsidRPr="00A63AD9">
              <w:rPr>
                <w:sz w:val="16"/>
                <w:szCs w:val="16"/>
              </w:rPr>
              <w:t>América Latina y el Caribe (2 más)</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África (4 más):  Gambia, Guinea, Namibia, Sierra Leona</w:t>
            </w:r>
          </w:p>
          <w:p w:rsidR="00185608" w:rsidRPr="00A63AD9" w:rsidRDefault="00185608" w:rsidP="00230FAA">
            <w:pPr>
              <w:rPr>
                <w:sz w:val="16"/>
                <w:szCs w:val="16"/>
              </w:rPr>
            </w:pPr>
            <w:r w:rsidRPr="00A63AD9">
              <w:rPr>
                <w:sz w:val="16"/>
                <w:szCs w:val="16"/>
              </w:rPr>
              <w:t>(25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Países árabes (ninguno nuevo)</w:t>
            </w:r>
          </w:p>
          <w:p w:rsidR="00185608" w:rsidRPr="00A63AD9" w:rsidRDefault="00185608" w:rsidP="00230FAA">
            <w:pPr>
              <w:rPr>
                <w:sz w:val="16"/>
                <w:szCs w:val="16"/>
              </w:rPr>
            </w:pPr>
            <w:r w:rsidRPr="00A63AD9">
              <w:rPr>
                <w:sz w:val="16"/>
                <w:szCs w:val="16"/>
              </w:rPr>
              <w:t>(2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Asia y el Pacífico (ninguno nuevo)</w:t>
            </w:r>
          </w:p>
          <w:p w:rsidR="00185608" w:rsidRPr="00A63AD9" w:rsidRDefault="00185608" w:rsidP="00230FAA">
            <w:pPr>
              <w:rPr>
                <w:sz w:val="16"/>
                <w:szCs w:val="16"/>
              </w:rPr>
            </w:pPr>
            <w:r w:rsidRPr="00A63AD9">
              <w:rPr>
                <w:sz w:val="16"/>
                <w:szCs w:val="16"/>
              </w:rPr>
              <w:t xml:space="preserve">(7 en total) </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América Latina y el Caribe (1más):  Chile</w:t>
            </w:r>
          </w:p>
          <w:p w:rsidR="00185608" w:rsidRPr="00A63AD9" w:rsidRDefault="00185608" w:rsidP="00230FAA">
            <w:pPr>
              <w:rPr>
                <w:sz w:val="16"/>
                <w:szCs w:val="16"/>
              </w:rPr>
            </w:pPr>
            <w:r w:rsidRPr="00A63AD9">
              <w:rPr>
                <w:sz w:val="16"/>
                <w:szCs w:val="16"/>
              </w:rPr>
              <w:t>(8 en total)</w:t>
            </w:r>
          </w:p>
          <w:p w:rsidR="00185608" w:rsidRPr="00A63AD9" w:rsidRDefault="00185608" w:rsidP="00230FAA">
            <w:pPr>
              <w:rPr>
                <w:sz w:val="16"/>
                <w:szCs w:val="16"/>
              </w:rPr>
            </w:pPr>
          </w:p>
          <w:p w:rsidR="00185608" w:rsidRPr="00A63AD9" w:rsidRDefault="00185608" w:rsidP="00230FAA">
            <w:pPr>
              <w:spacing w:after="240"/>
              <w:rPr>
                <w:sz w:val="16"/>
                <w:szCs w:val="16"/>
              </w:rPr>
            </w:pPr>
            <w:r w:rsidRPr="00A63AD9">
              <w:rPr>
                <w:sz w:val="16"/>
                <w:szCs w:val="16"/>
              </w:rPr>
              <w:t>20 PMA incluidos en el desglose regional precedente</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sz w:val="16"/>
                <w:szCs w:val="16"/>
              </w:rPr>
              <w:t xml:space="preserve"> </w:t>
            </w:r>
            <w:r w:rsidRPr="00A63AD9">
              <w:rPr>
                <w:b/>
                <w:color w:val="00B050"/>
                <w:sz w:val="16"/>
                <w:szCs w:val="16"/>
              </w:rPr>
              <w:t>Avanza</w:t>
            </w:r>
            <w:r w:rsidRPr="00A63AD9" w:rsidDel="00A363E3">
              <w:rPr>
                <w:b/>
                <w:sz w:val="16"/>
                <w:szCs w:val="16"/>
              </w:rPr>
              <w:t xml:space="preserve"> </w:t>
            </w:r>
          </w:p>
          <w:p w:rsidR="00185608" w:rsidRPr="00A63AD9" w:rsidRDefault="00185608" w:rsidP="00230FAA">
            <w:pPr>
              <w:jc w:val="cente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jc w:val="center"/>
              <w:rPr>
                <w:b/>
                <w:sz w:val="16"/>
                <w:szCs w:val="16"/>
              </w:rPr>
            </w:pPr>
            <w:r w:rsidRPr="00A63AD9">
              <w:rPr>
                <w:b/>
                <w:color w:val="FF0000"/>
                <w:sz w:val="16"/>
                <w:szCs w:val="16"/>
              </w:rPr>
              <w:t>No avanza</w:t>
            </w:r>
          </w:p>
          <w:p w:rsidR="00185608" w:rsidRPr="00A63AD9" w:rsidRDefault="00185608" w:rsidP="00230FAA">
            <w:pP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r w:rsidRPr="00A63AD9">
              <w:rPr>
                <w:b/>
                <w:color w:val="FF0000"/>
                <w:sz w:val="16"/>
                <w:szCs w:val="16"/>
              </w:rPr>
              <w:t>No avanza</w:t>
            </w: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jc w:val="center"/>
              <w:rPr>
                <w:b/>
                <w:sz w:val="16"/>
                <w:szCs w:val="16"/>
              </w:rPr>
            </w:pPr>
            <w:r w:rsidRPr="00A63AD9">
              <w:rPr>
                <w:b/>
                <w:color w:val="00B050"/>
                <w:sz w:val="16"/>
                <w:szCs w:val="16"/>
              </w:rPr>
              <w:t>Avanza</w:t>
            </w:r>
          </w:p>
        </w:tc>
      </w:tr>
      <w:tr w:rsidR="00185608" w:rsidRPr="00A63AD9" w:rsidTr="00FF0B21">
        <w:trPr>
          <w:trHeight w:val="1265"/>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de países que están aplicando estrategias nacionales de innovación y de P.I. y planes de desarrollo de la P.I.</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África (21 en total)</w:t>
            </w:r>
          </w:p>
          <w:p w:rsidR="00185608" w:rsidRPr="00A751F0" w:rsidRDefault="00185608" w:rsidP="00230FAA">
            <w:pPr>
              <w:rPr>
                <w:color w:val="002060"/>
                <w:sz w:val="16"/>
                <w:szCs w:val="16"/>
                <w:lang w:bidi="th-TH"/>
              </w:rPr>
            </w:pPr>
            <w:r w:rsidRPr="00A751F0">
              <w:rPr>
                <w:color w:val="002060"/>
                <w:sz w:val="16"/>
                <w:szCs w:val="16"/>
                <w:lang w:bidi="th-TH"/>
              </w:rPr>
              <w:t>Países árabes (2 en total)</w:t>
            </w:r>
          </w:p>
          <w:p w:rsidR="00185608" w:rsidRPr="00A751F0" w:rsidRDefault="00185608" w:rsidP="00230FAA">
            <w:pPr>
              <w:rPr>
                <w:color w:val="002060"/>
                <w:sz w:val="16"/>
                <w:szCs w:val="16"/>
              </w:rPr>
            </w:pPr>
            <w:r w:rsidRPr="00A751F0">
              <w:rPr>
                <w:color w:val="002060"/>
                <w:sz w:val="16"/>
                <w:szCs w:val="16"/>
              </w:rPr>
              <w:t>Asia y el Pacífico (5 en total)</w:t>
            </w:r>
          </w:p>
          <w:p w:rsidR="00185608" w:rsidRPr="00A751F0" w:rsidRDefault="00185608" w:rsidP="00230FAA">
            <w:pPr>
              <w:rPr>
                <w:color w:val="002060"/>
                <w:sz w:val="16"/>
                <w:szCs w:val="16"/>
                <w:lang w:bidi="th-TH"/>
              </w:rPr>
            </w:pPr>
            <w:r w:rsidRPr="00A751F0">
              <w:rPr>
                <w:color w:val="002060"/>
                <w:sz w:val="16"/>
                <w:szCs w:val="16"/>
                <w:lang w:bidi="th-TH"/>
              </w:rPr>
              <w:t>América Latina y el Caribe (5 en total)</w:t>
            </w:r>
          </w:p>
          <w:p w:rsidR="00185608" w:rsidRDefault="00185608" w:rsidP="00230FAA">
            <w:pPr>
              <w:rPr>
                <w:sz w:val="16"/>
                <w:szCs w:val="16"/>
              </w:rPr>
            </w:pPr>
          </w:p>
          <w:p w:rsidR="003A6012" w:rsidRPr="00A63AD9" w:rsidRDefault="003A6012"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185608">
            <w:pPr>
              <w:numPr>
                <w:ilvl w:val="0"/>
                <w:numId w:val="44"/>
              </w:numPr>
              <w:ind w:left="0" w:hanging="219"/>
              <w:rPr>
                <w:sz w:val="16"/>
                <w:szCs w:val="16"/>
              </w:rPr>
            </w:pPr>
            <w:r w:rsidRPr="00A63AD9">
              <w:rPr>
                <w:sz w:val="16"/>
                <w:szCs w:val="16"/>
              </w:rPr>
              <w:t>África (21 en total)</w:t>
            </w:r>
          </w:p>
          <w:p w:rsidR="00185608" w:rsidRPr="00A63AD9" w:rsidRDefault="00185608" w:rsidP="00185608">
            <w:pPr>
              <w:numPr>
                <w:ilvl w:val="0"/>
                <w:numId w:val="44"/>
              </w:numPr>
              <w:ind w:left="0" w:hanging="219"/>
              <w:rPr>
                <w:sz w:val="16"/>
                <w:szCs w:val="16"/>
              </w:rPr>
            </w:pPr>
            <w:r w:rsidRPr="00A63AD9">
              <w:rPr>
                <w:sz w:val="16"/>
                <w:szCs w:val="16"/>
              </w:rPr>
              <w:t>Países árabes (2 en total)</w:t>
            </w:r>
          </w:p>
          <w:p w:rsidR="00185608" w:rsidRPr="00A63AD9" w:rsidRDefault="00185608" w:rsidP="00185608">
            <w:pPr>
              <w:numPr>
                <w:ilvl w:val="0"/>
                <w:numId w:val="44"/>
              </w:numPr>
              <w:ind w:left="0" w:hanging="219"/>
              <w:rPr>
                <w:sz w:val="16"/>
                <w:szCs w:val="16"/>
              </w:rPr>
            </w:pPr>
            <w:r w:rsidRPr="00A63AD9">
              <w:rPr>
                <w:sz w:val="16"/>
                <w:szCs w:val="16"/>
              </w:rPr>
              <w:t>Asia y el Pacífico (4 en total)</w:t>
            </w:r>
          </w:p>
          <w:p w:rsidR="00185608" w:rsidRPr="00A63AD9" w:rsidRDefault="00185608" w:rsidP="00185608">
            <w:pPr>
              <w:numPr>
                <w:ilvl w:val="0"/>
                <w:numId w:val="44"/>
              </w:numPr>
              <w:spacing w:after="240"/>
              <w:ind w:left="0" w:hanging="219"/>
              <w:rPr>
                <w:sz w:val="16"/>
                <w:szCs w:val="16"/>
              </w:rPr>
            </w:pPr>
            <w:r w:rsidRPr="00A63AD9">
              <w:rPr>
                <w:sz w:val="16"/>
                <w:szCs w:val="16"/>
              </w:rPr>
              <w:t>América Latina y el Caribe (6 en total)</w:t>
            </w:r>
          </w:p>
        </w:tc>
        <w:tc>
          <w:tcPr>
            <w:tcW w:w="923" w:type="pct"/>
            <w:shd w:val="clear" w:color="auto" w:fill="auto"/>
            <w:tcMar>
              <w:top w:w="110" w:type="dxa"/>
              <w:left w:w="58" w:type="dxa"/>
              <w:right w:w="58" w:type="dxa"/>
            </w:tcMar>
          </w:tcPr>
          <w:p w:rsidR="00185608" w:rsidRPr="00A63AD9" w:rsidRDefault="00185608" w:rsidP="00185608">
            <w:pPr>
              <w:numPr>
                <w:ilvl w:val="0"/>
                <w:numId w:val="44"/>
              </w:numPr>
              <w:ind w:left="0" w:hanging="114"/>
              <w:rPr>
                <w:sz w:val="16"/>
                <w:szCs w:val="16"/>
              </w:rPr>
            </w:pPr>
            <w:r w:rsidRPr="00A63AD9">
              <w:rPr>
                <w:sz w:val="16"/>
                <w:szCs w:val="16"/>
              </w:rPr>
              <w:lastRenderedPageBreak/>
              <w:t>África (8 más)</w:t>
            </w:r>
          </w:p>
          <w:p w:rsidR="00185608" w:rsidRPr="00A63AD9" w:rsidRDefault="00185608" w:rsidP="00185608">
            <w:pPr>
              <w:numPr>
                <w:ilvl w:val="0"/>
                <w:numId w:val="44"/>
              </w:numPr>
              <w:ind w:left="0" w:hanging="114"/>
              <w:rPr>
                <w:sz w:val="16"/>
                <w:szCs w:val="16"/>
              </w:rPr>
            </w:pPr>
            <w:r w:rsidRPr="00A63AD9">
              <w:rPr>
                <w:sz w:val="16"/>
                <w:szCs w:val="16"/>
              </w:rPr>
              <w:t>Países árabes (2 más)</w:t>
            </w:r>
          </w:p>
          <w:p w:rsidR="00185608" w:rsidRPr="00A63AD9" w:rsidRDefault="00185608" w:rsidP="00185608">
            <w:pPr>
              <w:numPr>
                <w:ilvl w:val="0"/>
                <w:numId w:val="44"/>
              </w:numPr>
              <w:ind w:left="0" w:hanging="114"/>
              <w:rPr>
                <w:sz w:val="16"/>
                <w:szCs w:val="16"/>
              </w:rPr>
            </w:pPr>
            <w:r w:rsidRPr="00A63AD9">
              <w:rPr>
                <w:sz w:val="16"/>
                <w:szCs w:val="16"/>
              </w:rPr>
              <w:t>Asia y el Pacífico (7 más)</w:t>
            </w:r>
          </w:p>
          <w:p w:rsidR="00185608" w:rsidRPr="00A63AD9" w:rsidRDefault="00185608" w:rsidP="00185608">
            <w:pPr>
              <w:numPr>
                <w:ilvl w:val="0"/>
                <w:numId w:val="44"/>
              </w:numPr>
              <w:ind w:left="0" w:hanging="114"/>
              <w:rPr>
                <w:sz w:val="16"/>
                <w:szCs w:val="16"/>
              </w:rPr>
            </w:pPr>
            <w:r w:rsidRPr="00A63AD9">
              <w:rPr>
                <w:sz w:val="16"/>
                <w:szCs w:val="16"/>
              </w:rPr>
              <w:t>América Latina y el Caribe (2 más)</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 xml:space="preserve">África (6 más):  </w:t>
            </w:r>
          </w:p>
          <w:p w:rsidR="00185608" w:rsidRPr="00A63AD9" w:rsidRDefault="00185608" w:rsidP="00230FAA">
            <w:pPr>
              <w:rPr>
                <w:sz w:val="16"/>
                <w:szCs w:val="16"/>
              </w:rPr>
            </w:pPr>
            <w:r w:rsidRPr="00A63AD9">
              <w:rPr>
                <w:sz w:val="16"/>
                <w:szCs w:val="16"/>
              </w:rPr>
              <w:t>Benin, Congo, Madagascar, Malawi, Swazilandia, Zimbabwe</w:t>
            </w:r>
          </w:p>
          <w:p w:rsidR="00185608" w:rsidRPr="00A63AD9" w:rsidRDefault="00185608" w:rsidP="00230FAA">
            <w:pPr>
              <w:rPr>
                <w:sz w:val="16"/>
                <w:szCs w:val="16"/>
              </w:rPr>
            </w:pPr>
            <w:r w:rsidRPr="00A63AD9">
              <w:rPr>
                <w:sz w:val="16"/>
                <w:szCs w:val="16"/>
              </w:rPr>
              <w:t>(27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Países árabes (ninguno nuevo)</w:t>
            </w:r>
          </w:p>
          <w:p w:rsidR="00185608" w:rsidRPr="00A63AD9" w:rsidRDefault="00185608" w:rsidP="00230FAA">
            <w:pPr>
              <w:rPr>
                <w:sz w:val="16"/>
                <w:szCs w:val="16"/>
              </w:rPr>
            </w:pPr>
            <w:r w:rsidRPr="00A63AD9">
              <w:rPr>
                <w:sz w:val="16"/>
                <w:szCs w:val="16"/>
              </w:rPr>
              <w:lastRenderedPageBreak/>
              <w:t>(2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 xml:space="preserve">Asia y el Pacífico (4 más):  Brunei Darussalam, Camboya, Fiji, Mongolia) </w:t>
            </w:r>
          </w:p>
          <w:p w:rsidR="00185608" w:rsidRPr="00A63AD9" w:rsidRDefault="00185608" w:rsidP="00230FAA">
            <w:pPr>
              <w:rPr>
                <w:sz w:val="16"/>
                <w:szCs w:val="16"/>
              </w:rPr>
            </w:pPr>
            <w:r w:rsidRPr="00A63AD9">
              <w:rPr>
                <w:sz w:val="16"/>
                <w:szCs w:val="16"/>
              </w:rPr>
              <w:t>(9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América Latina y el Caribe (</w:t>
            </w:r>
            <w:r w:rsidR="003A6012">
              <w:rPr>
                <w:sz w:val="16"/>
                <w:szCs w:val="16"/>
              </w:rPr>
              <w:t xml:space="preserve">Saint </w:t>
            </w:r>
            <w:proofErr w:type="spellStart"/>
            <w:r w:rsidR="003A6012">
              <w:rPr>
                <w:sz w:val="16"/>
                <w:szCs w:val="16"/>
              </w:rPr>
              <w:t>Kitts</w:t>
            </w:r>
            <w:proofErr w:type="spellEnd"/>
            <w:r w:rsidR="003A6012">
              <w:rPr>
                <w:sz w:val="16"/>
                <w:szCs w:val="16"/>
              </w:rPr>
              <w:t xml:space="preserve"> y </w:t>
            </w:r>
            <w:proofErr w:type="spellStart"/>
            <w:r w:rsidR="003A6012">
              <w:rPr>
                <w:sz w:val="16"/>
                <w:szCs w:val="16"/>
              </w:rPr>
              <w:t>Nevis</w:t>
            </w:r>
            <w:proofErr w:type="spellEnd"/>
            <w:r w:rsidRPr="00A63AD9">
              <w:rPr>
                <w:sz w:val="16"/>
                <w:szCs w:val="16"/>
              </w:rPr>
              <w:t>)</w:t>
            </w:r>
          </w:p>
          <w:p w:rsidR="00185608" w:rsidRPr="00A63AD9" w:rsidRDefault="003A6012" w:rsidP="00230FAA">
            <w:pPr>
              <w:rPr>
                <w:sz w:val="16"/>
                <w:szCs w:val="16"/>
              </w:rPr>
            </w:pPr>
            <w:r>
              <w:rPr>
                <w:sz w:val="16"/>
                <w:szCs w:val="16"/>
              </w:rPr>
              <w:t>(6</w:t>
            </w:r>
            <w:r w:rsidR="00185608" w:rsidRPr="00A63AD9">
              <w:rPr>
                <w:sz w:val="16"/>
                <w:szCs w:val="16"/>
              </w:rPr>
              <w:t xml:space="preserve">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20 PMA incluidos en el desglose regional precedente</w:t>
            </w:r>
            <w:r w:rsidRPr="00A63AD9">
              <w:rPr>
                <w:sz w:val="16"/>
                <w:szCs w:val="16"/>
              </w:rPr>
              <w:br/>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lastRenderedPageBreak/>
              <w:t>Avanza</w:t>
            </w: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jc w:val="center"/>
              <w:rPr>
                <w:b/>
                <w:sz w:val="16"/>
                <w:szCs w:val="16"/>
              </w:rPr>
            </w:pPr>
            <w:r w:rsidRPr="00A63AD9">
              <w:rPr>
                <w:b/>
                <w:color w:val="FF0000"/>
                <w:sz w:val="16"/>
                <w:szCs w:val="16"/>
              </w:rPr>
              <w:t>No avanza</w:t>
            </w: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jc w:val="cente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3A6012" w:rsidP="00230FAA">
            <w:pPr>
              <w:jc w:val="center"/>
              <w:rPr>
                <w:b/>
                <w:sz w:val="16"/>
                <w:szCs w:val="16"/>
              </w:rPr>
            </w:pPr>
            <w:r w:rsidRPr="00A63AD9">
              <w:rPr>
                <w:b/>
                <w:color w:val="00B050"/>
                <w:sz w:val="16"/>
                <w:szCs w:val="16"/>
              </w:rPr>
              <w:t>Avanza</w:t>
            </w:r>
          </w:p>
        </w:tc>
      </w:tr>
      <w:tr w:rsidR="00185608" w:rsidRPr="00A63AD9" w:rsidTr="00FF0B21">
        <w:trPr>
          <w:trHeight w:val="648"/>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tabs>
                <w:tab w:val="left" w:pos="1452"/>
              </w:tabs>
              <w:ind w:left="1701" w:hanging="1701"/>
              <w:rPr>
                <w:b/>
                <w:bCs/>
                <w:sz w:val="16"/>
                <w:szCs w:val="16"/>
              </w:rPr>
            </w:pPr>
            <w:r w:rsidRPr="00A63AD9">
              <w:rPr>
                <w:b/>
                <w:bCs/>
                <w:sz w:val="16"/>
                <w:szCs w:val="16"/>
              </w:rPr>
              <w:lastRenderedPageBreak/>
              <w:t>Resultado previsto:</w:t>
            </w:r>
            <w:r w:rsidRPr="00A63AD9">
              <w:rPr>
                <w:b/>
                <w:bCs/>
                <w:sz w:val="16"/>
                <w:szCs w:val="16"/>
              </w:rPr>
              <w:tab/>
            </w:r>
            <w:r w:rsidRPr="00A63AD9">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185608" w:rsidRPr="00A63AD9" w:rsidTr="00FF0B21">
        <w:trPr>
          <w:trHeight w:val="144"/>
        </w:trPr>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Referencias de base</w:t>
            </w:r>
          </w:p>
        </w:tc>
        <w:tc>
          <w:tcPr>
            <w:tcW w:w="923" w:type="pct"/>
            <w:shd w:val="clear" w:color="auto" w:fill="auto"/>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FF0B21">
        <w:trPr>
          <w:trHeight w:val="700"/>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 de participantes en eventos de la OMPI que expresan satisfacción con el contenido y la organización de dichos eventos</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lang w:bidi="th-TH"/>
              </w:rPr>
            </w:pPr>
            <w:r w:rsidRPr="00A751F0">
              <w:rPr>
                <w:color w:val="002060"/>
                <w:sz w:val="16"/>
                <w:szCs w:val="16"/>
                <w:lang w:bidi="th-TH"/>
              </w:rPr>
              <w:t>África (75%)</w:t>
            </w:r>
          </w:p>
          <w:p w:rsidR="00185608" w:rsidRPr="00A751F0" w:rsidRDefault="00185608" w:rsidP="00230FAA">
            <w:pPr>
              <w:rPr>
                <w:color w:val="002060"/>
                <w:sz w:val="16"/>
                <w:szCs w:val="16"/>
                <w:lang w:bidi="th-TH"/>
              </w:rPr>
            </w:pPr>
            <w:r w:rsidRPr="00A751F0">
              <w:rPr>
                <w:color w:val="002060"/>
                <w:sz w:val="16"/>
                <w:szCs w:val="16"/>
                <w:lang w:bidi="th-TH"/>
              </w:rPr>
              <w:t>Países árabes (90%)</w:t>
            </w:r>
          </w:p>
          <w:p w:rsidR="00185608" w:rsidRPr="00A751F0" w:rsidRDefault="00185608" w:rsidP="00230FAA">
            <w:pPr>
              <w:rPr>
                <w:color w:val="002060"/>
                <w:sz w:val="16"/>
                <w:szCs w:val="16"/>
                <w:lang w:bidi="th-TH"/>
              </w:rPr>
            </w:pPr>
            <w:r w:rsidRPr="00A751F0">
              <w:rPr>
                <w:color w:val="002060"/>
                <w:sz w:val="16"/>
                <w:szCs w:val="16"/>
                <w:lang w:bidi="th-TH"/>
              </w:rPr>
              <w:t>Asia y el Pacífico (95%)</w:t>
            </w:r>
          </w:p>
          <w:p w:rsidR="00185608" w:rsidRPr="00A751F0" w:rsidRDefault="00185608" w:rsidP="00230FAA">
            <w:pPr>
              <w:rPr>
                <w:color w:val="002060"/>
                <w:sz w:val="16"/>
                <w:szCs w:val="16"/>
                <w:lang w:bidi="th-TH"/>
              </w:rPr>
            </w:pPr>
            <w:r w:rsidRPr="00A751F0">
              <w:rPr>
                <w:color w:val="002060"/>
                <w:sz w:val="16"/>
                <w:szCs w:val="16"/>
                <w:lang w:bidi="th-TH"/>
              </w:rPr>
              <w:t xml:space="preserve">América Latina y el Caribe (80%) </w:t>
            </w:r>
          </w:p>
          <w:p w:rsidR="00185608" w:rsidRPr="00A751F0" w:rsidRDefault="00185608" w:rsidP="00230FAA">
            <w:pPr>
              <w:rPr>
                <w:color w:val="002060"/>
                <w:sz w:val="16"/>
                <w:szCs w:val="16"/>
                <w:lang w:bidi="th-TH"/>
              </w:rPr>
            </w:pPr>
            <w:r w:rsidRPr="00A751F0">
              <w:rPr>
                <w:color w:val="002060"/>
                <w:sz w:val="16"/>
                <w:szCs w:val="16"/>
                <w:lang w:bidi="th-TH"/>
              </w:rPr>
              <w:t xml:space="preserve">PMA (85%) </w:t>
            </w: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185608">
            <w:pPr>
              <w:numPr>
                <w:ilvl w:val="0"/>
                <w:numId w:val="44"/>
              </w:numPr>
              <w:ind w:left="0" w:hanging="219"/>
              <w:rPr>
                <w:sz w:val="16"/>
                <w:szCs w:val="16"/>
              </w:rPr>
            </w:pPr>
            <w:r w:rsidRPr="00A63AD9">
              <w:rPr>
                <w:sz w:val="16"/>
                <w:szCs w:val="16"/>
              </w:rPr>
              <w:t>África (70%)</w:t>
            </w:r>
          </w:p>
          <w:p w:rsidR="00185608" w:rsidRPr="00A63AD9" w:rsidRDefault="00185608" w:rsidP="00185608">
            <w:pPr>
              <w:numPr>
                <w:ilvl w:val="0"/>
                <w:numId w:val="44"/>
              </w:numPr>
              <w:ind w:left="0" w:hanging="219"/>
              <w:rPr>
                <w:sz w:val="16"/>
                <w:szCs w:val="16"/>
              </w:rPr>
            </w:pPr>
            <w:r w:rsidRPr="00A63AD9">
              <w:rPr>
                <w:sz w:val="16"/>
                <w:szCs w:val="16"/>
              </w:rPr>
              <w:t>Países árabes (no hay datos para 2014; se pondrá en marcha el sistema en 2015)</w:t>
            </w:r>
          </w:p>
          <w:p w:rsidR="00185608" w:rsidRPr="00A63AD9" w:rsidRDefault="00185608" w:rsidP="00185608">
            <w:pPr>
              <w:numPr>
                <w:ilvl w:val="0"/>
                <w:numId w:val="44"/>
              </w:numPr>
              <w:ind w:left="0" w:hanging="219"/>
              <w:rPr>
                <w:sz w:val="16"/>
                <w:szCs w:val="16"/>
              </w:rPr>
            </w:pPr>
            <w:r w:rsidRPr="00A63AD9">
              <w:rPr>
                <w:sz w:val="16"/>
                <w:szCs w:val="16"/>
              </w:rPr>
              <w:t>Asia y el Pacífico (92)</w:t>
            </w:r>
            <w:r w:rsidRPr="00A63AD9">
              <w:rPr>
                <w:sz w:val="16"/>
                <w:szCs w:val="16"/>
              </w:rPr>
              <w:br/>
              <w:t xml:space="preserve">América Latina y el Caribe </w:t>
            </w:r>
          </w:p>
          <w:p w:rsidR="00185608" w:rsidRPr="00A63AD9" w:rsidRDefault="00185608" w:rsidP="00230FAA">
            <w:pPr>
              <w:rPr>
                <w:sz w:val="16"/>
                <w:szCs w:val="16"/>
              </w:rPr>
            </w:pPr>
            <w:r w:rsidRPr="00A63AD9">
              <w:rPr>
                <w:sz w:val="16"/>
                <w:szCs w:val="16"/>
              </w:rPr>
              <w:t>(no hay datos para 2014; se pondrá en marcha el sistema en 2015)</w:t>
            </w:r>
          </w:p>
          <w:p w:rsidR="00185608" w:rsidRPr="00A63AD9" w:rsidRDefault="00185608" w:rsidP="00185608">
            <w:pPr>
              <w:numPr>
                <w:ilvl w:val="0"/>
                <w:numId w:val="44"/>
              </w:numPr>
              <w:spacing w:after="240"/>
              <w:ind w:left="0" w:hanging="219"/>
              <w:rPr>
                <w:sz w:val="16"/>
                <w:szCs w:val="16"/>
              </w:rPr>
            </w:pPr>
            <w:r w:rsidRPr="00A63AD9">
              <w:rPr>
                <w:sz w:val="16"/>
                <w:szCs w:val="16"/>
              </w:rPr>
              <w:t>PMA (90%)</w:t>
            </w:r>
          </w:p>
        </w:tc>
        <w:tc>
          <w:tcPr>
            <w:tcW w:w="923" w:type="pct"/>
            <w:shd w:val="clear" w:color="auto" w:fill="auto"/>
            <w:tcMar>
              <w:top w:w="110" w:type="dxa"/>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Objetivo actualizado:  </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África (75%)</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Países árabes (90%)</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Asia y el Pacífico (95%).</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América Latina y el Caribe (85%)</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PMA (85%)</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Objetivo original en el presupuesto 2016/17:  </w:t>
            </w:r>
          </w:p>
          <w:p w:rsidR="00185608" w:rsidRPr="00A63AD9" w:rsidRDefault="00185608" w:rsidP="00185608">
            <w:pPr>
              <w:numPr>
                <w:ilvl w:val="0"/>
                <w:numId w:val="44"/>
              </w:numPr>
              <w:ind w:left="0" w:hanging="114"/>
              <w:rPr>
                <w:sz w:val="16"/>
                <w:szCs w:val="16"/>
              </w:rPr>
            </w:pPr>
            <w:r w:rsidRPr="00A63AD9">
              <w:rPr>
                <w:sz w:val="16"/>
                <w:szCs w:val="16"/>
              </w:rPr>
              <w:t>África (70%)</w:t>
            </w:r>
          </w:p>
          <w:p w:rsidR="00185608" w:rsidRPr="00A63AD9" w:rsidRDefault="00185608" w:rsidP="00185608">
            <w:pPr>
              <w:numPr>
                <w:ilvl w:val="0"/>
                <w:numId w:val="44"/>
              </w:numPr>
              <w:ind w:left="0" w:hanging="114"/>
              <w:rPr>
                <w:sz w:val="16"/>
                <w:szCs w:val="16"/>
              </w:rPr>
            </w:pPr>
            <w:r w:rsidRPr="00A63AD9">
              <w:rPr>
                <w:sz w:val="16"/>
                <w:szCs w:val="16"/>
              </w:rPr>
              <w:t>Países árabes (70%)</w:t>
            </w:r>
          </w:p>
          <w:p w:rsidR="00185608" w:rsidRPr="00A63AD9" w:rsidRDefault="00185608" w:rsidP="00185608">
            <w:pPr>
              <w:numPr>
                <w:ilvl w:val="0"/>
                <w:numId w:val="44"/>
              </w:numPr>
              <w:ind w:left="0" w:hanging="114"/>
              <w:rPr>
                <w:sz w:val="16"/>
                <w:szCs w:val="16"/>
              </w:rPr>
            </w:pPr>
            <w:r w:rsidRPr="00A63AD9">
              <w:rPr>
                <w:sz w:val="16"/>
                <w:szCs w:val="16"/>
              </w:rPr>
              <w:t>Asia y el Pacífico (70%)</w:t>
            </w:r>
          </w:p>
          <w:p w:rsidR="00185608" w:rsidRPr="00A63AD9" w:rsidRDefault="00185608" w:rsidP="00185608">
            <w:pPr>
              <w:numPr>
                <w:ilvl w:val="0"/>
                <w:numId w:val="44"/>
              </w:numPr>
              <w:ind w:left="0" w:hanging="114"/>
              <w:rPr>
                <w:sz w:val="16"/>
                <w:szCs w:val="16"/>
              </w:rPr>
            </w:pPr>
            <w:r w:rsidRPr="00A63AD9">
              <w:rPr>
                <w:sz w:val="16"/>
                <w:szCs w:val="16"/>
              </w:rPr>
              <w:t>América Latina y el Caribe (85%)</w:t>
            </w:r>
          </w:p>
          <w:p w:rsidR="00185608" w:rsidRPr="00A63AD9" w:rsidRDefault="00185608" w:rsidP="00185608">
            <w:pPr>
              <w:numPr>
                <w:ilvl w:val="0"/>
                <w:numId w:val="44"/>
              </w:numPr>
              <w:spacing w:after="240"/>
              <w:ind w:left="0" w:hanging="114"/>
              <w:rPr>
                <w:sz w:val="16"/>
                <w:szCs w:val="16"/>
              </w:rPr>
            </w:pPr>
            <w:r w:rsidRPr="00A63AD9">
              <w:rPr>
                <w:sz w:val="16"/>
                <w:szCs w:val="16"/>
              </w:rPr>
              <w:t>PMA (70%)</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África (</w:t>
            </w:r>
            <w:r w:rsidR="00696FB6">
              <w:rPr>
                <w:sz w:val="16"/>
                <w:szCs w:val="16"/>
              </w:rPr>
              <w:t>datos solo parcialmente disponibles</w:t>
            </w:r>
            <w:r w:rsidRPr="00A63AD9">
              <w:rPr>
                <w:sz w:val="16"/>
                <w:szCs w:val="16"/>
              </w:rPr>
              <w:t>)</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Países árabes (</w:t>
            </w:r>
            <w:r w:rsidR="00696FB6">
              <w:rPr>
                <w:sz w:val="16"/>
                <w:szCs w:val="16"/>
              </w:rPr>
              <w:t>datos solo parcialmente disponibles</w:t>
            </w:r>
            <w:r w:rsidRPr="00A63AD9">
              <w:rPr>
                <w:sz w:val="16"/>
                <w:szCs w:val="16"/>
              </w:rPr>
              <w:t>)</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Asia y el Pacífico (99%)</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América Latina y el Caribe (</w:t>
            </w:r>
            <w:r w:rsidR="00696FB6">
              <w:rPr>
                <w:sz w:val="16"/>
                <w:szCs w:val="16"/>
              </w:rPr>
              <w:t>datos solo parcialmente disponibles</w:t>
            </w:r>
            <w:r w:rsidRPr="00A63AD9">
              <w:rPr>
                <w:sz w:val="16"/>
                <w:szCs w:val="16"/>
              </w:rPr>
              <w:t xml:space="preserve">) </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PMA (95%)</w:t>
            </w:r>
          </w:p>
        </w:tc>
        <w:tc>
          <w:tcPr>
            <w:tcW w:w="535" w:type="pct"/>
            <w:shd w:val="clear" w:color="auto" w:fill="auto"/>
            <w:tcMar>
              <w:top w:w="110" w:type="dxa"/>
              <w:left w:w="58" w:type="dxa"/>
              <w:right w:w="58" w:type="dxa"/>
            </w:tcMar>
          </w:tcPr>
          <w:p w:rsidR="00185608" w:rsidRPr="00A63AD9" w:rsidRDefault="00696FB6" w:rsidP="00230FAA">
            <w:pPr>
              <w:jc w:val="center"/>
              <w:rPr>
                <w:b/>
                <w:sz w:val="16"/>
                <w:szCs w:val="16"/>
              </w:rPr>
            </w:pPr>
            <w:r w:rsidRPr="00A63AD9">
              <w:rPr>
                <w:b/>
                <w:color w:val="808080"/>
                <w:sz w:val="15"/>
                <w:szCs w:val="15"/>
              </w:rPr>
              <w:t>No mensurable</w:t>
            </w:r>
          </w:p>
          <w:p w:rsidR="00185608" w:rsidRPr="00A63AD9" w:rsidRDefault="00185608" w:rsidP="00230FAA">
            <w:pPr>
              <w:jc w:val="center"/>
              <w:rPr>
                <w:b/>
                <w:sz w:val="16"/>
                <w:szCs w:val="16"/>
              </w:rPr>
            </w:pPr>
          </w:p>
          <w:p w:rsidR="00185608" w:rsidRPr="00A63AD9" w:rsidRDefault="00696FB6" w:rsidP="00230FAA">
            <w:pPr>
              <w:jc w:val="center"/>
              <w:rPr>
                <w:b/>
                <w:sz w:val="16"/>
                <w:szCs w:val="16"/>
              </w:rPr>
            </w:pPr>
            <w:r w:rsidRPr="00A63AD9">
              <w:rPr>
                <w:b/>
                <w:color w:val="808080"/>
                <w:sz w:val="15"/>
                <w:szCs w:val="15"/>
              </w:rPr>
              <w:t>No mensurable</w:t>
            </w:r>
          </w:p>
          <w:p w:rsidR="00185608" w:rsidRPr="00A63AD9" w:rsidRDefault="00185608" w:rsidP="00230FAA">
            <w:pPr>
              <w:jc w:val="cente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jc w:val="center"/>
              <w:rPr>
                <w:b/>
                <w:sz w:val="16"/>
                <w:szCs w:val="16"/>
              </w:rPr>
            </w:pPr>
          </w:p>
          <w:p w:rsidR="00185608" w:rsidRPr="00A63AD9" w:rsidRDefault="00185608" w:rsidP="00230FAA">
            <w:pPr>
              <w:jc w:val="center"/>
              <w:rPr>
                <w:b/>
                <w:sz w:val="15"/>
                <w:szCs w:val="15"/>
              </w:rPr>
            </w:pPr>
            <w:r w:rsidRPr="00A63AD9">
              <w:rPr>
                <w:b/>
                <w:color w:val="808080"/>
                <w:sz w:val="15"/>
                <w:szCs w:val="15"/>
              </w:rPr>
              <w:t>No mensurable</w:t>
            </w:r>
          </w:p>
          <w:p w:rsidR="00185608" w:rsidRDefault="00185608" w:rsidP="00230FAA">
            <w:pPr>
              <w:rPr>
                <w:b/>
                <w:sz w:val="16"/>
                <w:szCs w:val="16"/>
              </w:rPr>
            </w:pPr>
          </w:p>
          <w:p w:rsidR="00696FB6" w:rsidRPr="00A63AD9" w:rsidRDefault="00696FB6" w:rsidP="00230FAA">
            <w:pP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tc>
      </w:tr>
      <w:tr w:rsidR="00185608" w:rsidRPr="00A63AD9" w:rsidTr="00FF0B21">
        <w:trPr>
          <w:trHeight w:val="705"/>
        </w:trPr>
        <w:tc>
          <w:tcPr>
            <w:tcW w:w="1083" w:type="pct"/>
            <w:shd w:val="clear" w:color="auto" w:fill="auto"/>
            <w:tcMar>
              <w:left w:w="58" w:type="dxa"/>
              <w:right w:w="58" w:type="dxa"/>
            </w:tcMar>
          </w:tcPr>
          <w:p w:rsidR="00185608" w:rsidRPr="00A63AD9" w:rsidRDefault="00185608" w:rsidP="00230FAA">
            <w:pPr>
              <w:spacing w:after="240"/>
              <w:rPr>
                <w:sz w:val="16"/>
                <w:szCs w:val="16"/>
              </w:rPr>
            </w:pPr>
            <w:r w:rsidRPr="00A63AD9">
              <w:rPr>
                <w:sz w:val="16"/>
                <w:szCs w:val="16"/>
              </w:rPr>
              <w:t>% de participantes en talleres de la OMPI que aplican las capacidades adquiridas en su labor/empresa</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lang w:bidi="th-TH"/>
              </w:rPr>
            </w:pPr>
            <w:r w:rsidRPr="00A751F0">
              <w:rPr>
                <w:color w:val="002060"/>
                <w:sz w:val="16"/>
                <w:szCs w:val="16"/>
                <w:lang w:bidi="th-TH"/>
              </w:rPr>
              <w:t>África (70%)</w:t>
            </w:r>
          </w:p>
          <w:p w:rsidR="00185608" w:rsidRPr="00A751F0" w:rsidRDefault="00185608" w:rsidP="00230FAA">
            <w:pPr>
              <w:rPr>
                <w:color w:val="002060"/>
                <w:sz w:val="16"/>
                <w:szCs w:val="16"/>
                <w:lang w:bidi="th-TH"/>
              </w:rPr>
            </w:pPr>
            <w:r w:rsidRPr="00A751F0">
              <w:rPr>
                <w:color w:val="002060"/>
                <w:sz w:val="16"/>
                <w:szCs w:val="16"/>
                <w:lang w:bidi="th-TH"/>
              </w:rPr>
              <w:t>Países árabes:  no disponible</w:t>
            </w:r>
            <w:r w:rsidRPr="00A751F0">
              <w:rPr>
                <w:rStyle w:val="FootnoteReference"/>
                <w:color w:val="002060"/>
                <w:lang w:bidi="th-TH"/>
              </w:rPr>
              <w:footnoteReference w:id="49"/>
            </w:r>
          </w:p>
          <w:p w:rsidR="00185608" w:rsidRPr="00A751F0" w:rsidRDefault="00185608" w:rsidP="00230FAA">
            <w:pPr>
              <w:rPr>
                <w:color w:val="002060"/>
                <w:sz w:val="16"/>
                <w:szCs w:val="16"/>
                <w:lang w:bidi="th-TH"/>
              </w:rPr>
            </w:pPr>
            <w:r w:rsidRPr="00A751F0">
              <w:rPr>
                <w:color w:val="002060"/>
                <w:sz w:val="16"/>
                <w:szCs w:val="16"/>
                <w:lang w:bidi="th-TH"/>
              </w:rPr>
              <w:t>Asia y el Pacífico (91%)</w:t>
            </w:r>
          </w:p>
          <w:p w:rsidR="00185608" w:rsidRPr="00A751F0" w:rsidRDefault="00185608" w:rsidP="00230FAA">
            <w:pPr>
              <w:rPr>
                <w:color w:val="002060"/>
                <w:sz w:val="16"/>
                <w:szCs w:val="16"/>
                <w:lang w:bidi="th-TH"/>
              </w:rPr>
            </w:pPr>
            <w:r w:rsidRPr="00A751F0">
              <w:rPr>
                <w:color w:val="002060"/>
                <w:sz w:val="16"/>
                <w:szCs w:val="16"/>
                <w:lang w:bidi="th-TH"/>
              </w:rPr>
              <w:t>América Latina y el Caribe (90%)</w:t>
            </w:r>
          </w:p>
          <w:p w:rsidR="00185608" w:rsidRPr="00A751F0" w:rsidRDefault="00185608" w:rsidP="00230FAA">
            <w:pPr>
              <w:rPr>
                <w:color w:val="002060"/>
                <w:sz w:val="16"/>
                <w:szCs w:val="16"/>
                <w:lang w:bidi="th-TH"/>
              </w:rPr>
            </w:pPr>
            <w:r w:rsidRPr="00A751F0">
              <w:rPr>
                <w:color w:val="002060"/>
                <w:sz w:val="16"/>
                <w:szCs w:val="16"/>
                <w:lang w:bidi="th-TH"/>
              </w:rPr>
              <w:t>PMA (90%)</w:t>
            </w:r>
          </w:p>
          <w:p w:rsidR="00185608" w:rsidRPr="00A63AD9" w:rsidRDefault="00185608" w:rsidP="00230FAA">
            <w:pPr>
              <w:rPr>
                <w:i/>
                <w:sz w:val="16"/>
                <w:szCs w:val="16"/>
                <w:u w:val="single"/>
                <w:lang w:bidi="th-TH"/>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185608">
            <w:pPr>
              <w:numPr>
                <w:ilvl w:val="0"/>
                <w:numId w:val="44"/>
              </w:numPr>
              <w:ind w:left="0" w:hanging="219"/>
              <w:rPr>
                <w:sz w:val="16"/>
                <w:szCs w:val="16"/>
              </w:rPr>
            </w:pPr>
            <w:r w:rsidRPr="00A63AD9">
              <w:rPr>
                <w:sz w:val="16"/>
                <w:szCs w:val="16"/>
              </w:rPr>
              <w:t>África (70%)</w:t>
            </w:r>
          </w:p>
          <w:p w:rsidR="00185608" w:rsidRPr="00A63AD9" w:rsidRDefault="00185608" w:rsidP="00185608">
            <w:pPr>
              <w:numPr>
                <w:ilvl w:val="0"/>
                <w:numId w:val="44"/>
              </w:numPr>
              <w:ind w:left="0" w:hanging="219"/>
              <w:rPr>
                <w:sz w:val="16"/>
                <w:szCs w:val="16"/>
              </w:rPr>
            </w:pPr>
            <w:r w:rsidRPr="00A63AD9">
              <w:rPr>
                <w:sz w:val="16"/>
                <w:szCs w:val="16"/>
              </w:rPr>
              <w:t>Países árabes (no hay datos para 2014; se pondrá en marcha el sistema en 2015)</w:t>
            </w:r>
          </w:p>
          <w:p w:rsidR="00185608" w:rsidRPr="00A63AD9" w:rsidRDefault="00185608" w:rsidP="00185608">
            <w:pPr>
              <w:numPr>
                <w:ilvl w:val="0"/>
                <w:numId w:val="44"/>
              </w:numPr>
              <w:ind w:left="0" w:hanging="219"/>
              <w:rPr>
                <w:sz w:val="16"/>
                <w:szCs w:val="16"/>
              </w:rPr>
            </w:pPr>
            <w:r w:rsidRPr="00A63AD9">
              <w:rPr>
                <w:sz w:val="16"/>
                <w:szCs w:val="16"/>
              </w:rPr>
              <w:t>Asia y el Pacífico (89%)</w:t>
            </w:r>
            <w:r w:rsidRPr="00A63AD9">
              <w:rPr>
                <w:sz w:val="16"/>
                <w:szCs w:val="16"/>
              </w:rPr>
              <w:br/>
              <w:t xml:space="preserve">América Latina y el Caribe </w:t>
            </w:r>
          </w:p>
          <w:p w:rsidR="00185608" w:rsidRPr="00A63AD9" w:rsidRDefault="00185608" w:rsidP="00230FAA">
            <w:pPr>
              <w:rPr>
                <w:sz w:val="16"/>
                <w:szCs w:val="16"/>
              </w:rPr>
            </w:pPr>
            <w:r w:rsidRPr="00A63AD9">
              <w:rPr>
                <w:sz w:val="16"/>
                <w:szCs w:val="16"/>
              </w:rPr>
              <w:t>(no hay datos para 2014; se pondrá en marcha el sistema en 2015)</w:t>
            </w:r>
          </w:p>
          <w:p w:rsidR="00185608" w:rsidRPr="00A63AD9" w:rsidRDefault="00185608" w:rsidP="00185608">
            <w:pPr>
              <w:numPr>
                <w:ilvl w:val="0"/>
                <w:numId w:val="44"/>
              </w:numPr>
              <w:spacing w:after="240"/>
              <w:ind w:left="0" w:hanging="219"/>
              <w:rPr>
                <w:sz w:val="16"/>
                <w:szCs w:val="16"/>
              </w:rPr>
            </w:pPr>
            <w:r w:rsidRPr="00A63AD9">
              <w:rPr>
                <w:sz w:val="16"/>
                <w:szCs w:val="16"/>
              </w:rPr>
              <w:t>PMA (95%)</w:t>
            </w:r>
          </w:p>
        </w:tc>
        <w:tc>
          <w:tcPr>
            <w:tcW w:w="923" w:type="pct"/>
            <w:shd w:val="clear" w:color="auto" w:fill="auto"/>
            <w:tcMar>
              <w:top w:w="110" w:type="dxa"/>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Objetivo actualizado:  </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África (70%)</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Países árabes (50%)</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Asia y el Pacífico (91%).</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América Latina y el Caribe (90%)</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PMA (90%)</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Objetivo original en el presupuesto 2016/17:  </w:t>
            </w:r>
          </w:p>
          <w:p w:rsidR="00185608" w:rsidRPr="00A63AD9" w:rsidRDefault="00185608" w:rsidP="00185608">
            <w:pPr>
              <w:numPr>
                <w:ilvl w:val="0"/>
                <w:numId w:val="44"/>
              </w:numPr>
              <w:ind w:left="0" w:hanging="114"/>
              <w:rPr>
                <w:sz w:val="16"/>
                <w:szCs w:val="16"/>
              </w:rPr>
            </w:pPr>
            <w:r w:rsidRPr="00A63AD9">
              <w:rPr>
                <w:sz w:val="16"/>
                <w:szCs w:val="16"/>
              </w:rPr>
              <w:t>África (70%)</w:t>
            </w:r>
          </w:p>
          <w:p w:rsidR="00185608" w:rsidRPr="00A63AD9" w:rsidRDefault="00185608" w:rsidP="00185608">
            <w:pPr>
              <w:numPr>
                <w:ilvl w:val="0"/>
                <w:numId w:val="44"/>
              </w:numPr>
              <w:ind w:left="0" w:hanging="114"/>
              <w:rPr>
                <w:sz w:val="16"/>
                <w:szCs w:val="16"/>
              </w:rPr>
            </w:pPr>
            <w:r w:rsidRPr="00A63AD9">
              <w:rPr>
                <w:sz w:val="16"/>
                <w:szCs w:val="16"/>
              </w:rPr>
              <w:t>Países árabes (50%)</w:t>
            </w:r>
          </w:p>
          <w:p w:rsidR="00185608" w:rsidRPr="00A63AD9" w:rsidRDefault="00185608" w:rsidP="00185608">
            <w:pPr>
              <w:numPr>
                <w:ilvl w:val="0"/>
                <w:numId w:val="44"/>
              </w:numPr>
              <w:ind w:left="0" w:hanging="114"/>
              <w:rPr>
                <w:sz w:val="16"/>
                <w:szCs w:val="16"/>
              </w:rPr>
            </w:pPr>
            <w:r w:rsidRPr="00A63AD9">
              <w:rPr>
                <w:sz w:val="16"/>
                <w:szCs w:val="16"/>
              </w:rPr>
              <w:t>Asia y el Pacífico (70%)</w:t>
            </w:r>
          </w:p>
          <w:p w:rsidR="00185608" w:rsidRPr="00A63AD9" w:rsidRDefault="00185608" w:rsidP="00185608">
            <w:pPr>
              <w:numPr>
                <w:ilvl w:val="0"/>
                <w:numId w:val="44"/>
              </w:numPr>
              <w:ind w:left="0" w:hanging="114"/>
              <w:rPr>
                <w:sz w:val="16"/>
                <w:szCs w:val="16"/>
              </w:rPr>
            </w:pPr>
            <w:r w:rsidRPr="00A63AD9">
              <w:rPr>
                <w:sz w:val="16"/>
                <w:szCs w:val="16"/>
              </w:rPr>
              <w:t>América Latina y el Caribe (45%)</w:t>
            </w:r>
          </w:p>
          <w:p w:rsidR="00185608" w:rsidRPr="00A63AD9" w:rsidRDefault="00185608" w:rsidP="00185608">
            <w:pPr>
              <w:numPr>
                <w:ilvl w:val="0"/>
                <w:numId w:val="44"/>
              </w:numPr>
              <w:ind w:left="0" w:hanging="114"/>
              <w:rPr>
                <w:sz w:val="16"/>
                <w:szCs w:val="16"/>
              </w:rPr>
            </w:pPr>
            <w:r w:rsidRPr="00A63AD9">
              <w:rPr>
                <w:sz w:val="16"/>
                <w:szCs w:val="16"/>
              </w:rPr>
              <w:t>PMA (50%)</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África (</w:t>
            </w:r>
            <w:r w:rsidR="00696FB6">
              <w:rPr>
                <w:sz w:val="16"/>
                <w:szCs w:val="16"/>
              </w:rPr>
              <w:t>datos solo parcialmente disponibles</w:t>
            </w:r>
            <w:r w:rsidRPr="00A63AD9">
              <w:rPr>
                <w:sz w:val="16"/>
                <w:szCs w:val="16"/>
              </w:rPr>
              <w:t>)</w:t>
            </w:r>
          </w:p>
          <w:p w:rsidR="00185608" w:rsidRPr="00A63AD9" w:rsidRDefault="00185608" w:rsidP="00230FAA">
            <w:pPr>
              <w:rPr>
                <w:sz w:val="16"/>
                <w:szCs w:val="16"/>
              </w:rPr>
            </w:pPr>
          </w:p>
          <w:p w:rsidR="00185608" w:rsidRPr="00A63AD9" w:rsidRDefault="00696FB6" w:rsidP="00230FAA">
            <w:pPr>
              <w:rPr>
                <w:sz w:val="16"/>
                <w:szCs w:val="16"/>
              </w:rPr>
            </w:pPr>
            <w:r>
              <w:rPr>
                <w:sz w:val="16"/>
                <w:szCs w:val="16"/>
              </w:rPr>
              <w:t>Países árabes (datos solo parcialmente disponibles</w:t>
            </w:r>
            <w:r w:rsidR="00185608" w:rsidRPr="00A63AD9">
              <w:rPr>
                <w:sz w:val="16"/>
                <w:szCs w:val="16"/>
              </w:rPr>
              <w:t>)</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Asia y el Pacífico (96%)</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América Latina y el Caribe (</w:t>
            </w:r>
            <w:r w:rsidR="00696FB6">
              <w:rPr>
                <w:sz w:val="16"/>
                <w:szCs w:val="16"/>
              </w:rPr>
              <w:t>datos solo parcialmente disponibles</w:t>
            </w:r>
            <w:r w:rsidRPr="00A63AD9">
              <w:rPr>
                <w:sz w:val="16"/>
                <w:szCs w:val="16"/>
              </w:rPr>
              <w:t xml:space="preserve">) </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 xml:space="preserve">PMA (85%) </w:t>
            </w: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696FB6" w:rsidP="00230FAA">
            <w:pPr>
              <w:jc w:val="center"/>
              <w:rPr>
                <w:b/>
                <w:sz w:val="16"/>
                <w:szCs w:val="16"/>
              </w:rPr>
            </w:pPr>
            <w:r w:rsidRPr="00A63AD9">
              <w:rPr>
                <w:b/>
                <w:color w:val="808080"/>
                <w:sz w:val="15"/>
                <w:szCs w:val="15"/>
              </w:rPr>
              <w:t>No mensurable</w:t>
            </w:r>
          </w:p>
          <w:p w:rsidR="00185608" w:rsidRPr="00A63AD9" w:rsidRDefault="00185608" w:rsidP="00230FAA">
            <w:pPr>
              <w:rPr>
                <w:b/>
                <w:sz w:val="16"/>
                <w:szCs w:val="16"/>
              </w:rPr>
            </w:pPr>
          </w:p>
          <w:p w:rsidR="00185608" w:rsidRPr="00A63AD9" w:rsidRDefault="00696FB6" w:rsidP="00230FAA">
            <w:pPr>
              <w:jc w:val="center"/>
              <w:rPr>
                <w:b/>
                <w:sz w:val="16"/>
                <w:szCs w:val="16"/>
              </w:rPr>
            </w:pPr>
            <w:r w:rsidRPr="00A63AD9">
              <w:rPr>
                <w:b/>
                <w:color w:val="808080"/>
                <w:sz w:val="15"/>
                <w:szCs w:val="15"/>
              </w:rPr>
              <w:t>No mensurable</w:t>
            </w:r>
          </w:p>
          <w:p w:rsidR="00185608" w:rsidRPr="00A63AD9" w:rsidRDefault="00185608" w:rsidP="00230FAA">
            <w:pP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rPr>
                <w:b/>
                <w:sz w:val="16"/>
                <w:szCs w:val="16"/>
              </w:rPr>
            </w:pPr>
          </w:p>
          <w:p w:rsidR="00185608" w:rsidRPr="00A63AD9" w:rsidRDefault="00185608" w:rsidP="00230FAA">
            <w:pPr>
              <w:jc w:val="center"/>
              <w:rPr>
                <w:b/>
                <w:sz w:val="15"/>
                <w:szCs w:val="15"/>
              </w:rPr>
            </w:pPr>
            <w:r w:rsidRPr="00A63AD9">
              <w:rPr>
                <w:b/>
                <w:color w:val="808080"/>
                <w:sz w:val="15"/>
                <w:szCs w:val="15"/>
              </w:rPr>
              <w:t>No mensurable</w:t>
            </w:r>
          </w:p>
          <w:p w:rsidR="00185608" w:rsidRDefault="00185608" w:rsidP="00230FAA">
            <w:pPr>
              <w:rPr>
                <w:b/>
                <w:sz w:val="16"/>
                <w:szCs w:val="16"/>
              </w:rPr>
            </w:pPr>
          </w:p>
          <w:p w:rsidR="00696FB6" w:rsidRPr="00A63AD9" w:rsidRDefault="00696FB6" w:rsidP="00230FAA">
            <w:pPr>
              <w:rPr>
                <w:b/>
                <w:sz w:val="16"/>
                <w:szCs w:val="16"/>
              </w:rPr>
            </w:pPr>
          </w:p>
          <w:p w:rsidR="00185608" w:rsidRPr="00A63AD9" w:rsidRDefault="00185608" w:rsidP="00230FAA">
            <w:pPr>
              <w:jc w:val="center"/>
              <w:rPr>
                <w:b/>
                <w:sz w:val="16"/>
                <w:szCs w:val="16"/>
              </w:rPr>
            </w:pPr>
            <w:r w:rsidRPr="00A63AD9">
              <w:rPr>
                <w:b/>
                <w:color w:val="FF0000"/>
                <w:sz w:val="16"/>
                <w:szCs w:val="16"/>
              </w:rPr>
              <w:t>No avanza</w:t>
            </w:r>
          </w:p>
        </w:tc>
      </w:tr>
      <w:tr w:rsidR="00185608" w:rsidRPr="00A63AD9" w:rsidTr="00FF0B21">
        <w:trPr>
          <w:trHeight w:val="1582"/>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lastRenderedPageBreak/>
              <w:t>% de expertos nacionales y regionales de P.I. que participan como expertos en eventos de la OMPI</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lang w:bidi="th-TH"/>
              </w:rPr>
            </w:pPr>
            <w:r w:rsidRPr="00A751F0">
              <w:rPr>
                <w:color w:val="002060"/>
                <w:sz w:val="16"/>
                <w:szCs w:val="16"/>
                <w:lang w:bidi="th-TH"/>
              </w:rPr>
              <w:t>África (75%)</w:t>
            </w:r>
          </w:p>
          <w:p w:rsidR="00185608" w:rsidRPr="00A751F0" w:rsidRDefault="00185608" w:rsidP="00230FAA">
            <w:pPr>
              <w:rPr>
                <w:color w:val="002060"/>
                <w:sz w:val="16"/>
                <w:szCs w:val="16"/>
                <w:lang w:bidi="th-TH"/>
              </w:rPr>
            </w:pPr>
            <w:r w:rsidRPr="00A751F0">
              <w:rPr>
                <w:color w:val="002060"/>
                <w:sz w:val="16"/>
                <w:szCs w:val="16"/>
                <w:lang w:bidi="th-TH"/>
              </w:rPr>
              <w:t>Países árabes (55%)</w:t>
            </w:r>
          </w:p>
          <w:p w:rsidR="00185608" w:rsidRPr="00A751F0" w:rsidRDefault="00185608" w:rsidP="00230FAA">
            <w:pPr>
              <w:rPr>
                <w:color w:val="002060"/>
                <w:sz w:val="16"/>
                <w:szCs w:val="16"/>
                <w:lang w:bidi="th-TH"/>
              </w:rPr>
            </w:pPr>
            <w:r w:rsidRPr="00A751F0">
              <w:rPr>
                <w:color w:val="002060"/>
                <w:sz w:val="16"/>
                <w:szCs w:val="16"/>
                <w:lang w:bidi="th-TH"/>
              </w:rPr>
              <w:t>Asia y el Pacífico (66%)</w:t>
            </w:r>
          </w:p>
          <w:p w:rsidR="00185608" w:rsidRPr="00A751F0" w:rsidRDefault="00185608" w:rsidP="00230FAA">
            <w:pPr>
              <w:rPr>
                <w:color w:val="002060"/>
                <w:sz w:val="16"/>
                <w:szCs w:val="16"/>
                <w:lang w:bidi="th-TH"/>
              </w:rPr>
            </w:pPr>
            <w:r w:rsidRPr="00A751F0">
              <w:rPr>
                <w:color w:val="002060"/>
                <w:sz w:val="16"/>
                <w:szCs w:val="16"/>
                <w:lang w:bidi="th-TH"/>
              </w:rPr>
              <w:t xml:space="preserve">América Latina y el Caribe (80%) </w:t>
            </w:r>
          </w:p>
          <w:p w:rsidR="00185608" w:rsidRPr="00A751F0" w:rsidRDefault="00185608" w:rsidP="00230FAA">
            <w:pPr>
              <w:rPr>
                <w:color w:val="002060"/>
                <w:sz w:val="16"/>
                <w:szCs w:val="16"/>
                <w:lang w:bidi="th-TH"/>
              </w:rPr>
            </w:pPr>
            <w:r w:rsidRPr="00A751F0">
              <w:rPr>
                <w:color w:val="002060"/>
                <w:sz w:val="16"/>
                <w:szCs w:val="16"/>
                <w:lang w:bidi="th-TH"/>
              </w:rPr>
              <w:t>PMA (85%)</w:t>
            </w: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185608">
            <w:pPr>
              <w:numPr>
                <w:ilvl w:val="0"/>
                <w:numId w:val="44"/>
              </w:numPr>
              <w:ind w:left="0" w:hanging="219"/>
              <w:rPr>
                <w:sz w:val="16"/>
                <w:szCs w:val="16"/>
              </w:rPr>
            </w:pPr>
            <w:r w:rsidRPr="00A63AD9">
              <w:rPr>
                <w:sz w:val="16"/>
                <w:szCs w:val="16"/>
              </w:rPr>
              <w:t>África (80%)</w:t>
            </w:r>
          </w:p>
          <w:p w:rsidR="00185608" w:rsidRPr="00A63AD9" w:rsidRDefault="00185608" w:rsidP="00185608">
            <w:pPr>
              <w:numPr>
                <w:ilvl w:val="0"/>
                <w:numId w:val="44"/>
              </w:numPr>
              <w:ind w:left="0" w:hanging="219"/>
              <w:rPr>
                <w:sz w:val="16"/>
                <w:szCs w:val="16"/>
              </w:rPr>
            </w:pPr>
            <w:r w:rsidRPr="00A63AD9">
              <w:rPr>
                <w:sz w:val="16"/>
                <w:szCs w:val="16"/>
              </w:rPr>
              <w:t>Países árabes (35%)</w:t>
            </w:r>
          </w:p>
          <w:p w:rsidR="00185608" w:rsidRPr="00A63AD9" w:rsidRDefault="00185608" w:rsidP="00185608">
            <w:pPr>
              <w:numPr>
                <w:ilvl w:val="0"/>
                <w:numId w:val="44"/>
              </w:numPr>
              <w:ind w:left="0" w:hanging="219"/>
              <w:rPr>
                <w:sz w:val="16"/>
                <w:szCs w:val="16"/>
              </w:rPr>
            </w:pPr>
            <w:r w:rsidRPr="00A63AD9">
              <w:rPr>
                <w:sz w:val="16"/>
                <w:szCs w:val="16"/>
              </w:rPr>
              <w:t>Asia y el Pacífico (71%).</w:t>
            </w:r>
          </w:p>
          <w:p w:rsidR="00185608" w:rsidRPr="00A63AD9" w:rsidRDefault="00185608" w:rsidP="00185608">
            <w:pPr>
              <w:numPr>
                <w:ilvl w:val="0"/>
                <w:numId w:val="44"/>
              </w:numPr>
              <w:ind w:left="0" w:hanging="219"/>
              <w:rPr>
                <w:sz w:val="16"/>
                <w:szCs w:val="16"/>
              </w:rPr>
            </w:pPr>
            <w:r w:rsidRPr="00A63AD9">
              <w:rPr>
                <w:sz w:val="16"/>
                <w:szCs w:val="16"/>
              </w:rPr>
              <w:t>América Latina y el Caribe  (80%)</w:t>
            </w:r>
          </w:p>
          <w:p w:rsidR="00185608" w:rsidRPr="00A63AD9" w:rsidRDefault="00185608" w:rsidP="00185608">
            <w:pPr>
              <w:numPr>
                <w:ilvl w:val="0"/>
                <w:numId w:val="44"/>
              </w:numPr>
              <w:ind w:left="0" w:hanging="219"/>
              <w:rPr>
                <w:sz w:val="16"/>
                <w:szCs w:val="16"/>
              </w:rPr>
            </w:pPr>
            <w:r w:rsidRPr="00A63AD9">
              <w:rPr>
                <w:sz w:val="16"/>
                <w:szCs w:val="16"/>
              </w:rPr>
              <w:t>PMA (95%)</w:t>
            </w:r>
          </w:p>
        </w:tc>
        <w:tc>
          <w:tcPr>
            <w:tcW w:w="923" w:type="pct"/>
            <w:shd w:val="clear" w:color="auto" w:fill="auto"/>
            <w:tcMar>
              <w:top w:w="110" w:type="dxa"/>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Objetivo actualizado:  </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África (85%)</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Países árabes (55%)</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Asia y el Pacífico (66%).</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América Latina y el Caribe (80%)</w:t>
            </w:r>
          </w:p>
          <w:p w:rsidR="00185608" w:rsidRPr="00A751F0" w:rsidRDefault="00185608" w:rsidP="00185608">
            <w:pPr>
              <w:numPr>
                <w:ilvl w:val="0"/>
                <w:numId w:val="44"/>
              </w:numPr>
              <w:ind w:left="0" w:hanging="114"/>
              <w:rPr>
                <w:color w:val="002060"/>
                <w:sz w:val="16"/>
                <w:szCs w:val="16"/>
              </w:rPr>
            </w:pPr>
            <w:r w:rsidRPr="00A751F0">
              <w:rPr>
                <w:color w:val="002060"/>
                <w:sz w:val="16"/>
                <w:szCs w:val="16"/>
              </w:rPr>
              <w:t>PMA (85%)</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Objetivo original en el presupuesto 2016/17:  </w:t>
            </w:r>
          </w:p>
          <w:p w:rsidR="00185608" w:rsidRPr="00A63AD9" w:rsidRDefault="00185608" w:rsidP="00185608">
            <w:pPr>
              <w:numPr>
                <w:ilvl w:val="0"/>
                <w:numId w:val="44"/>
              </w:numPr>
              <w:ind w:left="0" w:hanging="114"/>
              <w:rPr>
                <w:sz w:val="16"/>
                <w:szCs w:val="16"/>
              </w:rPr>
            </w:pPr>
            <w:r w:rsidRPr="00A63AD9">
              <w:rPr>
                <w:sz w:val="16"/>
                <w:szCs w:val="16"/>
              </w:rPr>
              <w:t>África (85%)</w:t>
            </w:r>
          </w:p>
          <w:p w:rsidR="00185608" w:rsidRPr="00A63AD9" w:rsidRDefault="00185608" w:rsidP="00185608">
            <w:pPr>
              <w:numPr>
                <w:ilvl w:val="0"/>
                <w:numId w:val="44"/>
              </w:numPr>
              <w:ind w:left="0" w:hanging="114"/>
              <w:rPr>
                <w:sz w:val="16"/>
                <w:szCs w:val="16"/>
              </w:rPr>
            </w:pPr>
            <w:r w:rsidRPr="00A63AD9">
              <w:rPr>
                <w:sz w:val="16"/>
                <w:szCs w:val="16"/>
              </w:rPr>
              <w:t>Países árabes (55%)</w:t>
            </w:r>
          </w:p>
          <w:p w:rsidR="00185608" w:rsidRPr="00A63AD9" w:rsidRDefault="00185608" w:rsidP="00185608">
            <w:pPr>
              <w:numPr>
                <w:ilvl w:val="0"/>
                <w:numId w:val="44"/>
              </w:numPr>
              <w:ind w:left="0" w:hanging="114"/>
              <w:rPr>
                <w:sz w:val="16"/>
                <w:szCs w:val="16"/>
              </w:rPr>
            </w:pPr>
            <w:r w:rsidRPr="00A63AD9">
              <w:rPr>
                <w:sz w:val="16"/>
                <w:szCs w:val="16"/>
              </w:rPr>
              <w:t>Asia y el Pacífico (40%)</w:t>
            </w:r>
          </w:p>
          <w:p w:rsidR="00185608" w:rsidRPr="00A63AD9" w:rsidRDefault="00185608" w:rsidP="00185608">
            <w:pPr>
              <w:numPr>
                <w:ilvl w:val="0"/>
                <w:numId w:val="44"/>
              </w:numPr>
              <w:ind w:left="0" w:hanging="114"/>
              <w:rPr>
                <w:sz w:val="16"/>
                <w:szCs w:val="16"/>
              </w:rPr>
            </w:pPr>
            <w:r w:rsidRPr="00A63AD9">
              <w:rPr>
                <w:sz w:val="16"/>
                <w:szCs w:val="16"/>
              </w:rPr>
              <w:t>América Latina y el Caribe (80%)</w:t>
            </w:r>
          </w:p>
          <w:p w:rsidR="00185608" w:rsidRPr="00A63AD9" w:rsidRDefault="00185608" w:rsidP="00185608">
            <w:pPr>
              <w:numPr>
                <w:ilvl w:val="0"/>
                <w:numId w:val="44"/>
              </w:numPr>
              <w:spacing w:after="240"/>
              <w:ind w:left="0" w:hanging="114"/>
              <w:rPr>
                <w:sz w:val="16"/>
                <w:szCs w:val="16"/>
              </w:rPr>
            </w:pPr>
            <w:r w:rsidRPr="00A63AD9">
              <w:rPr>
                <w:sz w:val="16"/>
                <w:szCs w:val="16"/>
              </w:rPr>
              <w:t>PMA (70%)</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África (85%)</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Países árabes (55%)</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Asia y el Pacífico (29%)</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América Latina y el Caribe (85%)</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 xml:space="preserve">PMA (75%) </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rPr>
                <w:b/>
                <w:sz w:val="16"/>
                <w:szCs w:val="16"/>
              </w:rPr>
            </w:pPr>
          </w:p>
          <w:p w:rsidR="00185608" w:rsidRPr="00A63AD9" w:rsidRDefault="00185608" w:rsidP="00230FAA">
            <w:pPr>
              <w:jc w:val="center"/>
              <w:rPr>
                <w:b/>
                <w:sz w:val="16"/>
                <w:szCs w:val="16"/>
              </w:rPr>
            </w:pPr>
            <w:r w:rsidRPr="00A63AD9">
              <w:rPr>
                <w:b/>
                <w:color w:val="FF0000"/>
                <w:sz w:val="16"/>
                <w:szCs w:val="16"/>
              </w:rPr>
              <w:t>No avanza</w:t>
            </w:r>
            <w:r w:rsidRPr="00A63AD9" w:rsidDel="00F5511C">
              <w:rPr>
                <w:b/>
                <w:sz w:val="16"/>
                <w:szCs w:val="16"/>
              </w:rPr>
              <w:t xml:space="preserve"> </w:t>
            </w:r>
          </w:p>
          <w:p w:rsidR="00185608" w:rsidRPr="00A63AD9" w:rsidRDefault="00185608" w:rsidP="00230FAA">
            <w:pPr>
              <w:jc w:val="cente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jc w:val="center"/>
              <w:rPr>
                <w:b/>
                <w:sz w:val="16"/>
                <w:szCs w:val="16"/>
              </w:rPr>
            </w:pPr>
          </w:p>
          <w:p w:rsidR="00185608" w:rsidRPr="00A63AD9" w:rsidRDefault="00185608" w:rsidP="00230FAA">
            <w:pPr>
              <w:rPr>
                <w:b/>
                <w:sz w:val="16"/>
                <w:szCs w:val="16"/>
              </w:rPr>
            </w:pPr>
          </w:p>
          <w:p w:rsidR="00185608" w:rsidRPr="00A63AD9" w:rsidRDefault="00185608" w:rsidP="00230FAA">
            <w:pPr>
              <w:jc w:val="center"/>
              <w:rPr>
                <w:sz w:val="16"/>
                <w:szCs w:val="16"/>
              </w:rPr>
            </w:pPr>
            <w:r w:rsidRPr="00A63AD9">
              <w:rPr>
                <w:b/>
                <w:color w:val="FF0000"/>
                <w:sz w:val="16"/>
                <w:szCs w:val="16"/>
              </w:rPr>
              <w:t>No avanza</w:t>
            </w:r>
            <w:r w:rsidRPr="00A63AD9" w:rsidDel="00F5511C">
              <w:rPr>
                <w:b/>
                <w:sz w:val="16"/>
                <w:szCs w:val="16"/>
              </w:rPr>
              <w:t xml:space="preserve"> </w:t>
            </w:r>
          </w:p>
        </w:tc>
      </w:tr>
      <w:tr w:rsidR="00185608" w:rsidRPr="00A63AD9" w:rsidTr="00FF0B21">
        <w:trPr>
          <w:trHeight w:val="565"/>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tabs>
                <w:tab w:val="left" w:pos="1452"/>
              </w:tabs>
              <w:ind w:left="1701" w:hanging="1701"/>
              <w:rPr>
                <w:b/>
                <w:bCs/>
                <w:sz w:val="16"/>
                <w:szCs w:val="16"/>
              </w:rPr>
            </w:pPr>
            <w:r w:rsidRPr="00A63AD9">
              <w:rPr>
                <w:b/>
                <w:bCs/>
                <w:sz w:val="16"/>
                <w:szCs w:val="16"/>
              </w:rPr>
              <w:t>Resultado previsto:</w:t>
            </w:r>
            <w:r w:rsidRPr="00A63AD9">
              <w:rPr>
                <w:b/>
                <w:bCs/>
                <w:sz w:val="16"/>
                <w:szCs w:val="16"/>
              </w:rPr>
              <w:tab/>
            </w:r>
            <w:r w:rsidRPr="00A63AD9">
              <w:rPr>
                <w:bCs/>
                <w:sz w:val="16"/>
                <w:szCs w:val="16"/>
              </w:rPr>
              <w:t>III.4  Fortalecimiento de los mecanismos y de los programas de cooperación conforme a las necesidades de los países en desarrollo, PMA y países con economías en transición</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 de base</w:t>
            </w:r>
          </w:p>
        </w:tc>
        <w:tc>
          <w:tcPr>
            <w:tcW w:w="923" w:type="pct"/>
            <w:shd w:val="clear" w:color="auto" w:fill="auto"/>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FF0B21">
        <w:trPr>
          <w:trHeight w:val="174"/>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de acuerdos, proyectos, programas nacionales, subregionales, regionales e interregionales de cooperación y alianzas para fomentar el uso eficaz de los sistemas de P.I. mediante el intercambio de prácticas óptimas</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lang w:bidi="th-TH"/>
              </w:rPr>
            </w:pPr>
            <w:r w:rsidRPr="00A751F0">
              <w:rPr>
                <w:color w:val="002060"/>
                <w:sz w:val="16"/>
                <w:szCs w:val="16"/>
                <w:lang w:bidi="th-TH"/>
              </w:rPr>
              <w:t>África (2)</w:t>
            </w:r>
          </w:p>
          <w:p w:rsidR="00185608" w:rsidRPr="00A751F0" w:rsidRDefault="00185608" w:rsidP="00230FAA">
            <w:pPr>
              <w:rPr>
                <w:color w:val="002060"/>
                <w:sz w:val="16"/>
                <w:szCs w:val="16"/>
                <w:lang w:bidi="th-TH"/>
              </w:rPr>
            </w:pPr>
            <w:r w:rsidRPr="00A751F0">
              <w:rPr>
                <w:color w:val="002060"/>
                <w:sz w:val="16"/>
                <w:szCs w:val="16"/>
                <w:lang w:bidi="th-TH"/>
              </w:rPr>
              <w:t>Países árabes (1)</w:t>
            </w:r>
          </w:p>
          <w:p w:rsidR="00185608" w:rsidRPr="00A751F0" w:rsidRDefault="00185608" w:rsidP="00230FAA">
            <w:pPr>
              <w:rPr>
                <w:color w:val="002060"/>
                <w:sz w:val="16"/>
                <w:szCs w:val="16"/>
                <w:lang w:bidi="th-TH"/>
              </w:rPr>
            </w:pPr>
            <w:r w:rsidRPr="00A751F0">
              <w:rPr>
                <w:color w:val="002060"/>
                <w:sz w:val="16"/>
                <w:szCs w:val="16"/>
                <w:lang w:bidi="th-TH"/>
              </w:rPr>
              <w:t>Asia y el Pacífico (1)</w:t>
            </w:r>
          </w:p>
          <w:p w:rsidR="00185608" w:rsidRPr="00A751F0" w:rsidRDefault="00185608" w:rsidP="00230FAA">
            <w:pPr>
              <w:rPr>
                <w:color w:val="002060"/>
                <w:sz w:val="16"/>
                <w:szCs w:val="16"/>
              </w:rPr>
            </w:pPr>
            <w:r w:rsidRPr="00A751F0">
              <w:rPr>
                <w:color w:val="002060"/>
                <w:sz w:val="16"/>
                <w:szCs w:val="16"/>
              </w:rPr>
              <w:t>América Latina y el Caribe (9) proyectos en curso</w:t>
            </w:r>
          </w:p>
          <w:p w:rsidR="00185608" w:rsidRPr="00A63AD9" w:rsidRDefault="00185608" w:rsidP="00230FAA">
            <w:pPr>
              <w:rPr>
                <w:i/>
                <w:sz w:val="16"/>
                <w:szCs w:val="16"/>
                <w:u w:val="single"/>
                <w:lang w:bidi="th-TH"/>
              </w:rPr>
            </w:pPr>
          </w:p>
          <w:p w:rsidR="00185608" w:rsidRPr="00A63AD9" w:rsidRDefault="00185608" w:rsidP="00230FAA">
            <w:pPr>
              <w:rPr>
                <w:i/>
                <w:sz w:val="16"/>
                <w:szCs w:val="16"/>
                <w:u w:val="single"/>
                <w:lang w:bidi="th-TH"/>
              </w:rPr>
            </w:pPr>
          </w:p>
          <w:p w:rsidR="00185608" w:rsidRPr="00A63AD9" w:rsidRDefault="00185608" w:rsidP="00230FAA">
            <w:pPr>
              <w:rPr>
                <w:i/>
                <w:sz w:val="16"/>
                <w:szCs w:val="16"/>
                <w:lang w:bidi="th-TH"/>
              </w:rPr>
            </w:pPr>
            <w:r w:rsidRPr="00A63AD9">
              <w:rPr>
                <w:i/>
                <w:sz w:val="16"/>
                <w:szCs w:val="16"/>
                <w:lang w:bidi="th-TH"/>
              </w:rPr>
              <w:t>Referencia original en el presupuesto de 2016/17:</w:t>
            </w:r>
          </w:p>
          <w:p w:rsidR="00185608" w:rsidRPr="00A63AD9" w:rsidRDefault="00185608" w:rsidP="00185608">
            <w:pPr>
              <w:numPr>
                <w:ilvl w:val="0"/>
                <w:numId w:val="44"/>
              </w:numPr>
              <w:ind w:left="0" w:hanging="219"/>
              <w:rPr>
                <w:sz w:val="16"/>
                <w:szCs w:val="16"/>
              </w:rPr>
            </w:pPr>
            <w:r w:rsidRPr="00A63AD9">
              <w:rPr>
                <w:sz w:val="16"/>
                <w:szCs w:val="16"/>
              </w:rPr>
              <w:t>África (1 en 2014)</w:t>
            </w:r>
          </w:p>
          <w:p w:rsidR="00185608" w:rsidRPr="00A63AD9" w:rsidRDefault="00185608" w:rsidP="00185608">
            <w:pPr>
              <w:numPr>
                <w:ilvl w:val="0"/>
                <w:numId w:val="44"/>
              </w:numPr>
              <w:ind w:left="0" w:hanging="219"/>
              <w:rPr>
                <w:sz w:val="16"/>
                <w:szCs w:val="16"/>
              </w:rPr>
            </w:pPr>
            <w:r w:rsidRPr="00A63AD9">
              <w:rPr>
                <w:sz w:val="16"/>
                <w:szCs w:val="16"/>
              </w:rPr>
              <w:t>Países árabes (1 en 2014)</w:t>
            </w:r>
          </w:p>
          <w:p w:rsidR="00185608" w:rsidRPr="00A63AD9" w:rsidRDefault="00185608" w:rsidP="00185608">
            <w:pPr>
              <w:numPr>
                <w:ilvl w:val="0"/>
                <w:numId w:val="44"/>
              </w:numPr>
              <w:ind w:left="0" w:hanging="219"/>
              <w:rPr>
                <w:sz w:val="16"/>
                <w:szCs w:val="16"/>
              </w:rPr>
            </w:pPr>
            <w:r w:rsidRPr="00A63AD9">
              <w:rPr>
                <w:sz w:val="16"/>
                <w:szCs w:val="16"/>
              </w:rPr>
              <w:t>Asia y el Pacífico (2 en 2014)</w:t>
            </w:r>
          </w:p>
          <w:p w:rsidR="00185608" w:rsidRPr="00A63AD9" w:rsidRDefault="00185608" w:rsidP="00185608">
            <w:pPr>
              <w:numPr>
                <w:ilvl w:val="0"/>
                <w:numId w:val="44"/>
              </w:numPr>
              <w:ind w:left="0" w:hanging="219"/>
              <w:rPr>
                <w:sz w:val="16"/>
                <w:szCs w:val="16"/>
              </w:rPr>
            </w:pPr>
            <w:r w:rsidRPr="00A63AD9">
              <w:rPr>
                <w:sz w:val="16"/>
                <w:szCs w:val="16"/>
              </w:rPr>
              <w:t>América Latina y el Caribe (6 en 2014)</w:t>
            </w:r>
          </w:p>
          <w:p w:rsidR="00185608" w:rsidRPr="00A63AD9" w:rsidRDefault="00185608" w:rsidP="00185608">
            <w:pPr>
              <w:numPr>
                <w:ilvl w:val="0"/>
                <w:numId w:val="44"/>
              </w:numPr>
              <w:spacing w:after="240"/>
              <w:ind w:left="0" w:hanging="219"/>
              <w:rPr>
                <w:sz w:val="16"/>
                <w:szCs w:val="16"/>
              </w:rPr>
            </w:pPr>
            <w:r w:rsidRPr="00A63AD9">
              <w:rPr>
                <w:sz w:val="16"/>
                <w:szCs w:val="16"/>
              </w:rPr>
              <w:t>PMA:  1 programa regional/subregional, 4 programas nacionales (2014)</w:t>
            </w:r>
          </w:p>
        </w:tc>
        <w:tc>
          <w:tcPr>
            <w:tcW w:w="923" w:type="pct"/>
            <w:shd w:val="clear" w:color="auto" w:fill="auto"/>
            <w:tcMar>
              <w:top w:w="110" w:type="dxa"/>
              <w:left w:w="58" w:type="dxa"/>
              <w:right w:w="58" w:type="dxa"/>
            </w:tcMar>
          </w:tcPr>
          <w:p w:rsidR="00185608" w:rsidRPr="00A63AD9" w:rsidRDefault="00185608" w:rsidP="00185608">
            <w:pPr>
              <w:numPr>
                <w:ilvl w:val="0"/>
                <w:numId w:val="44"/>
              </w:numPr>
              <w:ind w:left="0" w:hanging="114"/>
              <w:rPr>
                <w:sz w:val="16"/>
                <w:szCs w:val="16"/>
              </w:rPr>
            </w:pPr>
            <w:r w:rsidRPr="00A63AD9">
              <w:rPr>
                <w:sz w:val="16"/>
                <w:szCs w:val="16"/>
              </w:rPr>
              <w:t>África (2 más)</w:t>
            </w:r>
          </w:p>
          <w:p w:rsidR="00185608" w:rsidRPr="00A63AD9" w:rsidRDefault="00185608" w:rsidP="00185608">
            <w:pPr>
              <w:numPr>
                <w:ilvl w:val="0"/>
                <w:numId w:val="44"/>
              </w:numPr>
              <w:ind w:left="0" w:hanging="114"/>
              <w:rPr>
                <w:sz w:val="16"/>
                <w:szCs w:val="16"/>
              </w:rPr>
            </w:pPr>
            <w:r w:rsidRPr="00A63AD9">
              <w:rPr>
                <w:sz w:val="16"/>
                <w:szCs w:val="16"/>
              </w:rPr>
              <w:t>Países árabes (2 más)</w:t>
            </w:r>
          </w:p>
          <w:p w:rsidR="00185608" w:rsidRPr="00A63AD9" w:rsidRDefault="00185608" w:rsidP="00185608">
            <w:pPr>
              <w:numPr>
                <w:ilvl w:val="0"/>
                <w:numId w:val="44"/>
              </w:numPr>
              <w:ind w:left="0" w:hanging="114"/>
              <w:rPr>
                <w:sz w:val="16"/>
                <w:szCs w:val="16"/>
              </w:rPr>
            </w:pPr>
            <w:r w:rsidRPr="00A63AD9">
              <w:rPr>
                <w:sz w:val="16"/>
                <w:szCs w:val="16"/>
              </w:rPr>
              <w:t>Asia y el Pacífico (1 más)</w:t>
            </w:r>
          </w:p>
          <w:p w:rsidR="00185608" w:rsidRPr="00A63AD9" w:rsidRDefault="00185608" w:rsidP="00185608">
            <w:pPr>
              <w:numPr>
                <w:ilvl w:val="0"/>
                <w:numId w:val="44"/>
              </w:numPr>
              <w:ind w:left="0" w:hanging="114"/>
              <w:rPr>
                <w:sz w:val="16"/>
                <w:szCs w:val="16"/>
              </w:rPr>
            </w:pPr>
            <w:r w:rsidRPr="00A63AD9">
              <w:rPr>
                <w:sz w:val="16"/>
                <w:szCs w:val="16"/>
              </w:rPr>
              <w:t>América Latina y el Caribe (4 más)</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 xml:space="preserve">PMA:  </w:t>
            </w:r>
          </w:p>
          <w:p w:rsidR="00185608" w:rsidRPr="00A63AD9" w:rsidRDefault="00185608" w:rsidP="00185608">
            <w:pPr>
              <w:numPr>
                <w:ilvl w:val="0"/>
                <w:numId w:val="44"/>
              </w:numPr>
              <w:ind w:left="0" w:hanging="114"/>
              <w:rPr>
                <w:sz w:val="16"/>
                <w:szCs w:val="16"/>
              </w:rPr>
            </w:pPr>
            <w:r w:rsidRPr="00A63AD9">
              <w:rPr>
                <w:sz w:val="16"/>
                <w:szCs w:val="16"/>
              </w:rPr>
              <w:t xml:space="preserve">3 programas regionales /subregionales, </w:t>
            </w:r>
          </w:p>
          <w:p w:rsidR="00185608" w:rsidRPr="00A63AD9" w:rsidRDefault="00185608" w:rsidP="00185608">
            <w:pPr>
              <w:numPr>
                <w:ilvl w:val="0"/>
                <w:numId w:val="44"/>
              </w:numPr>
              <w:ind w:left="0" w:hanging="114"/>
              <w:rPr>
                <w:sz w:val="16"/>
                <w:szCs w:val="16"/>
              </w:rPr>
            </w:pPr>
            <w:r w:rsidRPr="00A63AD9">
              <w:rPr>
                <w:sz w:val="16"/>
                <w:szCs w:val="16"/>
              </w:rPr>
              <w:t>8 programas nacionales</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 xml:space="preserve">África:  Avances en el establecimiento de 2 nuevos memorandos de entendimiento que se espera llevar a término en 2017:  </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Nueva Alianza para el Desarrollo de África (NEPAD)</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Comunidad Económica de los Estados de África Occidental (ECOWAS)</w:t>
            </w:r>
          </w:p>
          <w:p w:rsidR="00185608" w:rsidRPr="00A63AD9" w:rsidRDefault="00185608" w:rsidP="00230FAA">
            <w:pPr>
              <w:rPr>
                <w:sz w:val="16"/>
                <w:szCs w:val="16"/>
              </w:rPr>
            </w:pPr>
            <w:r w:rsidRPr="00A63AD9">
              <w:rPr>
                <w:sz w:val="16"/>
                <w:szCs w:val="16"/>
              </w:rPr>
              <w:t>(2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Región árabe: 3 nuevos memorandos de entendimiento</w:t>
            </w:r>
          </w:p>
          <w:p w:rsidR="00185608" w:rsidRPr="002F663B" w:rsidRDefault="00185608" w:rsidP="00185608">
            <w:pPr>
              <w:pStyle w:val="ListParagraph"/>
              <w:numPr>
                <w:ilvl w:val="0"/>
                <w:numId w:val="51"/>
              </w:numPr>
              <w:ind w:hanging="151"/>
              <w:rPr>
                <w:sz w:val="16"/>
                <w:szCs w:val="16"/>
              </w:rPr>
            </w:pPr>
            <w:r w:rsidRPr="002F663B">
              <w:rPr>
                <w:i/>
                <w:sz w:val="16"/>
                <w:szCs w:val="16"/>
              </w:rPr>
              <w:t>Central Organization for Standardization and Quality Control</w:t>
            </w:r>
            <w:r w:rsidRPr="002F663B">
              <w:rPr>
                <w:sz w:val="16"/>
                <w:szCs w:val="16"/>
              </w:rPr>
              <w:t xml:space="preserve"> (COSCQ)</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Oficina Marroquí de la Propiedad Industrial y Comercial (OMPIC)</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Administraciones Públicas de Industrias de la Artesanía (PACI)</w:t>
            </w:r>
          </w:p>
          <w:p w:rsidR="00185608" w:rsidRPr="00A63AD9" w:rsidRDefault="00185608" w:rsidP="00230FAA">
            <w:pPr>
              <w:rPr>
                <w:sz w:val="16"/>
                <w:szCs w:val="16"/>
              </w:rPr>
            </w:pPr>
            <w:r w:rsidRPr="00A63AD9">
              <w:rPr>
                <w:sz w:val="16"/>
                <w:szCs w:val="16"/>
              </w:rPr>
              <w:t>(4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 xml:space="preserve">Asia y el Pacífico (10) </w:t>
            </w:r>
          </w:p>
          <w:p w:rsidR="00185608" w:rsidRPr="00A63AD9" w:rsidRDefault="00185608" w:rsidP="00185608">
            <w:pPr>
              <w:pStyle w:val="ListParagraph"/>
              <w:numPr>
                <w:ilvl w:val="0"/>
                <w:numId w:val="50"/>
              </w:numPr>
              <w:ind w:left="209" w:hanging="180"/>
              <w:rPr>
                <w:rFonts w:cs="Arial"/>
                <w:sz w:val="16"/>
                <w:szCs w:val="16"/>
                <w:lang w:val="es-ES"/>
              </w:rPr>
            </w:pPr>
            <w:r w:rsidRPr="00A63AD9">
              <w:rPr>
                <w:sz w:val="16"/>
                <w:szCs w:val="16"/>
                <w:lang w:val="es-ES"/>
              </w:rPr>
              <w:t>Iniciación de un proyecto piloto sobre la elaboración de planes nacionales</w:t>
            </w:r>
            <w:r w:rsidRPr="00A63AD9">
              <w:rPr>
                <w:rFonts w:cs="Arial"/>
                <w:sz w:val="16"/>
                <w:szCs w:val="16"/>
                <w:lang w:val="es-ES"/>
              </w:rPr>
              <w:t xml:space="preserve"> (Tailandia)</w:t>
            </w:r>
          </w:p>
          <w:p w:rsidR="00185608" w:rsidRPr="00A63AD9" w:rsidRDefault="00185608" w:rsidP="00185608">
            <w:pPr>
              <w:pStyle w:val="ListParagraph"/>
              <w:numPr>
                <w:ilvl w:val="0"/>
                <w:numId w:val="50"/>
              </w:numPr>
              <w:ind w:left="209" w:hanging="180"/>
              <w:rPr>
                <w:rFonts w:cs="Arial"/>
                <w:sz w:val="16"/>
                <w:szCs w:val="16"/>
                <w:lang w:val="es-ES"/>
              </w:rPr>
            </w:pPr>
            <w:r w:rsidRPr="00A63AD9">
              <w:rPr>
                <w:rFonts w:cs="Arial"/>
                <w:sz w:val="16"/>
                <w:szCs w:val="16"/>
                <w:lang w:val="es-ES"/>
              </w:rPr>
              <w:t>Iniciación de 3 proyectos para evaluar la situación de las Oficinas de P.I. (Filipinas, Sri Lanka, Tailandia)</w:t>
            </w:r>
          </w:p>
          <w:p w:rsidR="00185608" w:rsidRPr="00A63AD9" w:rsidRDefault="00185608" w:rsidP="00185608">
            <w:pPr>
              <w:pStyle w:val="ListParagraph"/>
              <w:numPr>
                <w:ilvl w:val="0"/>
                <w:numId w:val="50"/>
              </w:numPr>
              <w:ind w:left="209" w:hanging="180"/>
              <w:rPr>
                <w:rFonts w:cs="Arial"/>
                <w:sz w:val="16"/>
                <w:szCs w:val="16"/>
                <w:lang w:val="es-ES"/>
              </w:rPr>
            </w:pPr>
            <w:r w:rsidRPr="00A63AD9">
              <w:rPr>
                <w:rFonts w:cs="Arial"/>
                <w:sz w:val="16"/>
                <w:szCs w:val="16"/>
                <w:lang w:val="es-ES"/>
              </w:rPr>
              <w:t>Iniciación de 4 proyectos sobre la facilitación del entorno de P.I. (transferencia de tecnología) (Filipinas, Malasia, Sri Lanka, Tailandia)</w:t>
            </w:r>
          </w:p>
          <w:p w:rsidR="00185608" w:rsidRDefault="00185608" w:rsidP="00185608">
            <w:pPr>
              <w:pStyle w:val="ListParagraph"/>
              <w:numPr>
                <w:ilvl w:val="0"/>
                <w:numId w:val="50"/>
              </w:numPr>
              <w:ind w:left="209" w:hanging="180"/>
              <w:rPr>
                <w:rFonts w:cs="Arial"/>
                <w:sz w:val="16"/>
                <w:szCs w:val="16"/>
                <w:lang w:val="es-ES"/>
              </w:rPr>
            </w:pPr>
            <w:r w:rsidRPr="00A63AD9">
              <w:rPr>
                <w:sz w:val="16"/>
                <w:szCs w:val="16"/>
                <w:lang w:val="es-ES"/>
              </w:rPr>
              <w:t xml:space="preserve">2 Conferencias de Directores de las Oficinas de P.I. (HIPOC) (1 para los Estados miembros de la ASEAN y la SAARC; 1 para </w:t>
            </w:r>
            <w:r w:rsidRPr="00A63AD9">
              <w:rPr>
                <w:rFonts w:cs="Arial"/>
                <w:sz w:val="16"/>
                <w:szCs w:val="16"/>
                <w:lang w:val="es-ES"/>
              </w:rPr>
              <w:t xml:space="preserve">los países insulares </w:t>
            </w:r>
            <w:r w:rsidRPr="00A63AD9">
              <w:rPr>
                <w:rFonts w:cs="Arial"/>
                <w:sz w:val="16"/>
                <w:szCs w:val="16"/>
                <w:lang w:val="es-ES"/>
              </w:rPr>
              <w:lastRenderedPageBreak/>
              <w:t xml:space="preserve">del Pacífico) </w:t>
            </w:r>
          </w:p>
          <w:p w:rsidR="00696FB6" w:rsidRPr="00A63AD9" w:rsidRDefault="00696FB6" w:rsidP="00696FB6">
            <w:pPr>
              <w:pStyle w:val="ListParagraph"/>
              <w:ind w:left="82"/>
              <w:rPr>
                <w:rFonts w:cs="Arial"/>
                <w:sz w:val="16"/>
                <w:szCs w:val="16"/>
                <w:lang w:val="es-ES"/>
              </w:rPr>
            </w:pPr>
            <w:r>
              <w:rPr>
                <w:rFonts w:cs="Arial"/>
                <w:sz w:val="16"/>
                <w:szCs w:val="16"/>
                <w:lang w:val="es-ES"/>
              </w:rPr>
              <w:t>(11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 xml:space="preserve">América Latina y el Caribe:  ejecución de 2 nuevos proyectos </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Desarrollo de una base de datos mundial (OMPI-JURIS) sobre las decisiones judiciales de P.I. de mayor incidencia (proyecto piloto en los países de América Latina)</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Elaboración de un manual sobre procedimientos y examen de marcas (Comunidad del Caribe)</w:t>
            </w:r>
          </w:p>
          <w:p w:rsidR="00185608" w:rsidRPr="00A63AD9" w:rsidRDefault="00185608" w:rsidP="00230FAA">
            <w:pPr>
              <w:rPr>
                <w:sz w:val="16"/>
                <w:szCs w:val="16"/>
              </w:rPr>
            </w:pPr>
            <w:r w:rsidRPr="00A63AD9">
              <w:rPr>
                <w:sz w:val="16"/>
                <w:szCs w:val="16"/>
              </w:rPr>
              <w:t>7 proyectos en curso</w:t>
            </w:r>
            <w:r w:rsidRPr="00A63AD9">
              <w:rPr>
                <w:rStyle w:val="FootnoteReference"/>
              </w:rPr>
              <w:footnoteReference w:id="50"/>
            </w:r>
          </w:p>
          <w:p w:rsidR="00185608" w:rsidRPr="00A63AD9" w:rsidRDefault="00185608" w:rsidP="00230FAA">
            <w:pPr>
              <w:rPr>
                <w:sz w:val="16"/>
                <w:szCs w:val="16"/>
              </w:rPr>
            </w:pPr>
            <w:r w:rsidRPr="00A63AD9">
              <w:rPr>
                <w:sz w:val="16"/>
                <w:szCs w:val="16"/>
              </w:rPr>
              <w:t>(11 proyectos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 xml:space="preserve">PMA:  8 programas </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4 programas OMPI-Sida (</w:t>
            </w:r>
            <w:r w:rsidRPr="00A63AD9">
              <w:rPr>
                <w:i/>
                <w:sz w:val="16"/>
                <w:szCs w:val="16"/>
                <w:lang w:val="es-ES"/>
              </w:rPr>
              <w:t>Swedish International Development Cooperation Agency</w:t>
            </w:r>
            <w:r w:rsidRPr="00A63AD9">
              <w:rPr>
                <w:sz w:val="16"/>
                <w:szCs w:val="16"/>
                <w:lang w:val="es-ES"/>
              </w:rPr>
              <w:t>) de formación y asesoramiento para los PMA</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1 programa OMPI-UNESCO para PMA</w:t>
            </w:r>
          </w:p>
          <w:p w:rsidR="00185608" w:rsidRPr="00A63AD9" w:rsidRDefault="00185608" w:rsidP="00185608">
            <w:pPr>
              <w:pStyle w:val="ListParagraph"/>
              <w:numPr>
                <w:ilvl w:val="0"/>
                <w:numId w:val="51"/>
              </w:numPr>
              <w:ind w:hanging="151"/>
              <w:rPr>
                <w:sz w:val="16"/>
                <w:szCs w:val="16"/>
                <w:lang w:val="es-ES"/>
              </w:rPr>
            </w:pPr>
            <w:r w:rsidRPr="00A63AD9">
              <w:rPr>
                <w:sz w:val="16"/>
                <w:szCs w:val="16"/>
                <w:lang w:val="es-ES"/>
              </w:rPr>
              <w:t>2 programas nacionales (Fortalecimiento de la capacidad tecnológica para el sector de la miel (Zambia);  Consulta nacional sobre el fortalecimiento de capacidades de P.I. en las instituciones (Nepal)</w:t>
            </w:r>
          </w:p>
          <w:p w:rsidR="00185608" w:rsidRPr="00A63AD9" w:rsidRDefault="00185608" w:rsidP="00185608">
            <w:pPr>
              <w:pStyle w:val="ListParagraph"/>
              <w:numPr>
                <w:ilvl w:val="0"/>
                <w:numId w:val="51"/>
              </w:numPr>
              <w:spacing w:after="240"/>
              <w:ind w:hanging="151"/>
              <w:rPr>
                <w:sz w:val="16"/>
                <w:szCs w:val="16"/>
                <w:lang w:val="es-ES"/>
              </w:rPr>
            </w:pPr>
            <w:r w:rsidRPr="00A63AD9">
              <w:rPr>
                <w:sz w:val="16"/>
                <w:szCs w:val="16"/>
                <w:lang w:val="es-ES"/>
              </w:rPr>
              <w:t>1 programa OMPI-CESPAP ONU para PMA en Asia y el Pacífico</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lastRenderedPageBreak/>
              <w:t>Avanza</w:t>
            </w:r>
          </w:p>
          <w:p w:rsidR="00185608" w:rsidRPr="00A63AD9" w:rsidRDefault="00185608" w:rsidP="00230FAA">
            <w:pPr>
              <w:jc w:val="cente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rPr>
                <w:b/>
                <w:sz w:val="16"/>
                <w:szCs w:val="16"/>
              </w:rPr>
            </w:pPr>
          </w:p>
          <w:p w:rsidR="00185608" w:rsidRPr="00A63AD9" w:rsidRDefault="00185608" w:rsidP="00230FAA">
            <w:pPr>
              <w:jc w:val="center"/>
              <w:rPr>
                <w:b/>
                <w:sz w:val="16"/>
                <w:szCs w:val="16"/>
              </w:rPr>
            </w:pPr>
          </w:p>
          <w:p w:rsidR="00185608" w:rsidRDefault="00185608" w:rsidP="00230FAA">
            <w:pPr>
              <w:jc w:val="center"/>
              <w:rPr>
                <w:b/>
                <w:sz w:val="16"/>
                <w:szCs w:val="16"/>
              </w:rPr>
            </w:pPr>
          </w:p>
          <w:p w:rsidR="00696FB6" w:rsidRDefault="00696FB6" w:rsidP="00230FAA">
            <w:pPr>
              <w:jc w:val="center"/>
              <w:rPr>
                <w:b/>
                <w:sz w:val="16"/>
                <w:szCs w:val="16"/>
              </w:rPr>
            </w:pPr>
          </w:p>
          <w:p w:rsidR="00696FB6" w:rsidRPr="00A63AD9" w:rsidRDefault="00696FB6"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jc w:val="center"/>
              <w:rPr>
                <w:b/>
                <w:sz w:val="16"/>
                <w:szCs w:val="16"/>
              </w:rPr>
            </w:pPr>
          </w:p>
          <w:p w:rsidR="00185608" w:rsidRPr="00A63AD9" w:rsidRDefault="00185608" w:rsidP="00230FAA">
            <w:pPr>
              <w:rPr>
                <w:b/>
                <w:sz w:val="16"/>
                <w:szCs w:val="16"/>
              </w:rPr>
            </w:pPr>
          </w:p>
          <w:p w:rsidR="00185608" w:rsidRPr="00A63AD9" w:rsidRDefault="00185608" w:rsidP="00230FAA">
            <w:pPr>
              <w:jc w:val="center"/>
              <w:rPr>
                <w:b/>
                <w:sz w:val="16"/>
                <w:szCs w:val="16"/>
              </w:rPr>
            </w:pPr>
          </w:p>
          <w:p w:rsidR="00185608" w:rsidRDefault="00185608" w:rsidP="00230FAA">
            <w:pPr>
              <w:jc w:val="center"/>
              <w:rPr>
                <w:b/>
                <w:sz w:val="16"/>
                <w:szCs w:val="16"/>
              </w:rPr>
            </w:pPr>
          </w:p>
          <w:p w:rsidR="00696FB6" w:rsidRDefault="00696FB6" w:rsidP="00230FAA">
            <w:pPr>
              <w:jc w:val="center"/>
              <w:rPr>
                <w:b/>
                <w:sz w:val="16"/>
                <w:szCs w:val="16"/>
              </w:rPr>
            </w:pPr>
          </w:p>
          <w:p w:rsidR="00696FB6" w:rsidRDefault="00696FB6" w:rsidP="00230FAA">
            <w:pPr>
              <w:jc w:val="center"/>
              <w:rPr>
                <w:b/>
                <w:sz w:val="16"/>
                <w:szCs w:val="16"/>
              </w:rPr>
            </w:pPr>
          </w:p>
          <w:p w:rsidR="00696FB6" w:rsidRPr="00A63AD9" w:rsidRDefault="00696FB6"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Default="00185608" w:rsidP="00230FAA">
            <w:pPr>
              <w:jc w:val="center"/>
              <w:rPr>
                <w:b/>
                <w:sz w:val="16"/>
                <w:szCs w:val="16"/>
              </w:rPr>
            </w:pPr>
          </w:p>
          <w:p w:rsidR="00696FB6" w:rsidRDefault="00696FB6" w:rsidP="00230FAA">
            <w:pPr>
              <w:jc w:val="center"/>
              <w:rPr>
                <w:b/>
                <w:sz w:val="16"/>
                <w:szCs w:val="16"/>
              </w:rPr>
            </w:pPr>
          </w:p>
          <w:p w:rsidR="00696FB6" w:rsidRDefault="00696FB6" w:rsidP="00230FAA">
            <w:pPr>
              <w:jc w:val="center"/>
              <w:rPr>
                <w:b/>
                <w:sz w:val="16"/>
                <w:szCs w:val="16"/>
              </w:rPr>
            </w:pPr>
          </w:p>
          <w:p w:rsidR="00696FB6" w:rsidRDefault="00696FB6" w:rsidP="00230FAA">
            <w:pPr>
              <w:jc w:val="center"/>
              <w:rPr>
                <w:b/>
                <w:sz w:val="16"/>
                <w:szCs w:val="16"/>
              </w:rPr>
            </w:pPr>
          </w:p>
          <w:p w:rsidR="00696FB6" w:rsidRPr="00A63AD9" w:rsidRDefault="00696FB6"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r w:rsidRPr="00A63AD9">
              <w:rPr>
                <w:b/>
                <w:color w:val="00B050"/>
                <w:sz w:val="16"/>
                <w:szCs w:val="16"/>
              </w:rPr>
              <w:t>Avanza</w:t>
            </w: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Default="00185608" w:rsidP="00230FAA">
            <w:pPr>
              <w:jc w:val="center"/>
              <w:rPr>
                <w:b/>
                <w:sz w:val="16"/>
                <w:szCs w:val="16"/>
              </w:rPr>
            </w:pPr>
          </w:p>
          <w:p w:rsidR="00696FB6" w:rsidRDefault="00696FB6" w:rsidP="00230FAA">
            <w:pPr>
              <w:jc w:val="center"/>
              <w:rPr>
                <w:b/>
                <w:sz w:val="16"/>
                <w:szCs w:val="16"/>
              </w:rPr>
            </w:pPr>
          </w:p>
          <w:p w:rsidR="00696FB6" w:rsidRDefault="00696FB6" w:rsidP="00230FAA">
            <w:pPr>
              <w:jc w:val="center"/>
              <w:rPr>
                <w:b/>
                <w:sz w:val="16"/>
                <w:szCs w:val="16"/>
              </w:rPr>
            </w:pPr>
          </w:p>
          <w:p w:rsidR="00696FB6" w:rsidRDefault="00696FB6"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p>
          <w:p w:rsidR="00185608" w:rsidRPr="00A63AD9" w:rsidRDefault="00185608" w:rsidP="00230FAA">
            <w:pPr>
              <w:jc w:val="center"/>
              <w:rPr>
                <w:b/>
                <w:sz w:val="16"/>
                <w:szCs w:val="16"/>
              </w:rPr>
            </w:pPr>
            <w:r w:rsidRPr="00A63AD9">
              <w:rPr>
                <w:b/>
                <w:color w:val="00B050"/>
                <w:sz w:val="16"/>
                <w:szCs w:val="16"/>
              </w:rPr>
              <w:t>Avanza</w:t>
            </w:r>
          </w:p>
        </w:tc>
      </w:tr>
      <w:tr w:rsidR="00185608" w:rsidRPr="00A63AD9" w:rsidTr="00FF0B21">
        <w:trPr>
          <w:trHeight w:val="565"/>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tabs>
                <w:tab w:val="left" w:pos="1452"/>
              </w:tabs>
              <w:ind w:left="1701" w:hanging="1701"/>
              <w:rPr>
                <w:b/>
                <w:bCs/>
                <w:sz w:val="16"/>
                <w:szCs w:val="16"/>
              </w:rPr>
            </w:pPr>
            <w:r w:rsidRPr="00A63AD9">
              <w:rPr>
                <w:b/>
                <w:bCs/>
                <w:sz w:val="16"/>
                <w:szCs w:val="16"/>
              </w:rPr>
              <w:lastRenderedPageBreak/>
              <w:t>Resultado previsto:</w:t>
            </w:r>
            <w:r w:rsidRPr="00A63AD9">
              <w:rPr>
                <w:b/>
                <w:bCs/>
                <w:sz w:val="16"/>
                <w:szCs w:val="16"/>
              </w:rPr>
              <w:tab/>
            </w:r>
            <w:r w:rsidRPr="00A63AD9">
              <w:rPr>
                <w:bCs/>
                <w:sz w:val="16"/>
                <w:szCs w:val="16"/>
              </w:rPr>
              <w:t>IV.2  Mejora del acceso y uso de información de P.I. por parte de instituciones de P.I. y el público para fomentar la innovación y la creatividad</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Referencias de base</w:t>
            </w:r>
          </w:p>
        </w:tc>
        <w:tc>
          <w:tcPr>
            <w:tcW w:w="923" w:type="pct"/>
            <w:shd w:val="clear" w:color="auto" w:fill="auto"/>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FF0B21">
        <w:trPr>
          <w:trHeight w:val="443"/>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N.º de redes nacionales de CATI sostenibles (cifras totales)</w:t>
            </w:r>
            <w:r w:rsidRPr="00A63AD9">
              <w:rPr>
                <w:rStyle w:val="FootnoteReference"/>
              </w:rPr>
              <w:footnoteReference w:id="51"/>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 xml:space="preserve">23 redes nacionales sostenibles de 50 creadas oficialmente (en total): </w:t>
            </w:r>
          </w:p>
          <w:p w:rsidR="00185608" w:rsidRPr="00A751F0" w:rsidRDefault="00185608" w:rsidP="00230FAA">
            <w:pPr>
              <w:rPr>
                <w:color w:val="002060"/>
                <w:sz w:val="16"/>
                <w:szCs w:val="16"/>
              </w:rPr>
            </w:pPr>
          </w:p>
          <w:p w:rsidR="00185608" w:rsidRPr="00A751F0" w:rsidRDefault="00185608" w:rsidP="00230FAA">
            <w:pPr>
              <w:rPr>
                <w:color w:val="002060"/>
                <w:sz w:val="16"/>
                <w:szCs w:val="16"/>
              </w:rPr>
            </w:pPr>
            <w:r w:rsidRPr="00A751F0">
              <w:rPr>
                <w:color w:val="002060"/>
                <w:sz w:val="16"/>
                <w:szCs w:val="16"/>
              </w:rPr>
              <w:t>Nivel de desarrollo 1</w:t>
            </w:r>
          </w:p>
          <w:p w:rsidR="00185608" w:rsidRPr="00A751F0" w:rsidRDefault="00185608" w:rsidP="00230FAA">
            <w:pPr>
              <w:rPr>
                <w:color w:val="002060"/>
                <w:sz w:val="16"/>
                <w:szCs w:val="16"/>
              </w:rPr>
            </w:pPr>
            <w:r w:rsidRPr="00A751F0">
              <w:rPr>
                <w:color w:val="002060"/>
                <w:sz w:val="16"/>
                <w:szCs w:val="16"/>
              </w:rPr>
              <w:t>África (8 países, de las que 6 en PMA)</w:t>
            </w:r>
          </w:p>
          <w:p w:rsidR="00185608" w:rsidRPr="00A751F0" w:rsidRDefault="00185608" w:rsidP="00230FAA">
            <w:pPr>
              <w:rPr>
                <w:color w:val="002060"/>
                <w:sz w:val="16"/>
                <w:szCs w:val="16"/>
              </w:rPr>
            </w:pPr>
            <w:r w:rsidRPr="00A751F0">
              <w:rPr>
                <w:color w:val="002060"/>
                <w:sz w:val="16"/>
                <w:szCs w:val="16"/>
              </w:rPr>
              <w:t>Países árabes (1)</w:t>
            </w:r>
          </w:p>
          <w:p w:rsidR="00185608" w:rsidRPr="00A751F0" w:rsidRDefault="00185608" w:rsidP="00230FAA">
            <w:pPr>
              <w:rPr>
                <w:color w:val="002060"/>
                <w:sz w:val="16"/>
                <w:szCs w:val="16"/>
              </w:rPr>
            </w:pPr>
            <w:r w:rsidRPr="00A751F0">
              <w:rPr>
                <w:color w:val="002060"/>
                <w:sz w:val="16"/>
                <w:szCs w:val="16"/>
              </w:rPr>
              <w:t>Asia y el Pacífico (3)</w:t>
            </w:r>
          </w:p>
          <w:p w:rsidR="00185608" w:rsidRPr="00A751F0" w:rsidRDefault="00185608" w:rsidP="00230FAA">
            <w:pPr>
              <w:rPr>
                <w:color w:val="002060"/>
                <w:sz w:val="16"/>
                <w:szCs w:val="16"/>
              </w:rPr>
            </w:pPr>
            <w:r w:rsidRPr="00A751F0">
              <w:rPr>
                <w:color w:val="002060"/>
                <w:sz w:val="16"/>
                <w:szCs w:val="16"/>
              </w:rPr>
              <w:t>América Latina y el Caribe (5)</w:t>
            </w:r>
          </w:p>
          <w:p w:rsidR="00185608" w:rsidRPr="00A751F0" w:rsidRDefault="00185608" w:rsidP="00230FAA">
            <w:pPr>
              <w:rPr>
                <w:color w:val="002060"/>
                <w:sz w:val="16"/>
                <w:szCs w:val="16"/>
              </w:rPr>
            </w:pPr>
            <w:r w:rsidRPr="00A751F0">
              <w:rPr>
                <w:color w:val="002060"/>
                <w:sz w:val="16"/>
                <w:szCs w:val="16"/>
              </w:rPr>
              <w:t>(17 en total)</w:t>
            </w:r>
          </w:p>
          <w:p w:rsidR="00185608" w:rsidRPr="00A751F0" w:rsidRDefault="00185608" w:rsidP="00230FAA">
            <w:pPr>
              <w:rPr>
                <w:color w:val="002060"/>
                <w:sz w:val="16"/>
                <w:szCs w:val="16"/>
              </w:rPr>
            </w:pPr>
          </w:p>
          <w:p w:rsidR="00185608" w:rsidRPr="00A751F0" w:rsidRDefault="00185608" w:rsidP="00230FAA">
            <w:pPr>
              <w:rPr>
                <w:color w:val="002060"/>
                <w:sz w:val="16"/>
                <w:szCs w:val="16"/>
              </w:rPr>
            </w:pPr>
            <w:r w:rsidRPr="00A751F0">
              <w:rPr>
                <w:color w:val="002060"/>
                <w:sz w:val="16"/>
                <w:szCs w:val="16"/>
              </w:rPr>
              <w:t>Nivel de desarrollo 2</w:t>
            </w:r>
          </w:p>
          <w:p w:rsidR="00185608" w:rsidRPr="00A751F0" w:rsidRDefault="00185608" w:rsidP="00230FAA">
            <w:pPr>
              <w:rPr>
                <w:color w:val="002060"/>
                <w:sz w:val="16"/>
                <w:szCs w:val="16"/>
              </w:rPr>
            </w:pPr>
            <w:r w:rsidRPr="00A751F0">
              <w:rPr>
                <w:color w:val="002060"/>
                <w:sz w:val="16"/>
                <w:szCs w:val="16"/>
              </w:rPr>
              <w:t>África (2 de las que 1 en PMA)</w:t>
            </w:r>
          </w:p>
          <w:p w:rsidR="00185608" w:rsidRPr="00A751F0" w:rsidRDefault="00185608" w:rsidP="00230FAA">
            <w:pPr>
              <w:rPr>
                <w:color w:val="002060"/>
                <w:sz w:val="16"/>
                <w:szCs w:val="16"/>
              </w:rPr>
            </w:pPr>
            <w:r w:rsidRPr="00A751F0">
              <w:rPr>
                <w:color w:val="002060"/>
                <w:sz w:val="16"/>
                <w:szCs w:val="16"/>
              </w:rPr>
              <w:t>Países árabes (0)</w:t>
            </w:r>
          </w:p>
          <w:p w:rsidR="00185608" w:rsidRPr="00A751F0" w:rsidRDefault="00185608" w:rsidP="00230FAA">
            <w:pPr>
              <w:rPr>
                <w:color w:val="002060"/>
                <w:sz w:val="16"/>
                <w:szCs w:val="16"/>
              </w:rPr>
            </w:pPr>
            <w:r w:rsidRPr="00A751F0">
              <w:rPr>
                <w:color w:val="002060"/>
                <w:sz w:val="16"/>
                <w:szCs w:val="16"/>
              </w:rPr>
              <w:t>Asia y el Pacífico (0)</w:t>
            </w:r>
          </w:p>
          <w:p w:rsidR="00185608" w:rsidRPr="00A751F0" w:rsidRDefault="00185608" w:rsidP="00230FAA">
            <w:pPr>
              <w:rPr>
                <w:color w:val="002060"/>
                <w:sz w:val="16"/>
                <w:szCs w:val="16"/>
              </w:rPr>
            </w:pPr>
            <w:r w:rsidRPr="00A751F0">
              <w:rPr>
                <w:color w:val="002060"/>
                <w:sz w:val="16"/>
                <w:szCs w:val="16"/>
              </w:rPr>
              <w:t>América Latina y el Caribe (2)</w:t>
            </w:r>
          </w:p>
          <w:p w:rsidR="00185608" w:rsidRPr="00A751F0" w:rsidRDefault="00185608" w:rsidP="00230FAA">
            <w:pPr>
              <w:rPr>
                <w:color w:val="002060"/>
                <w:sz w:val="16"/>
                <w:szCs w:val="16"/>
              </w:rPr>
            </w:pPr>
            <w:r w:rsidRPr="00A751F0">
              <w:rPr>
                <w:color w:val="002060"/>
                <w:sz w:val="16"/>
                <w:szCs w:val="16"/>
              </w:rPr>
              <w:t>(4 en total)</w:t>
            </w:r>
          </w:p>
          <w:p w:rsidR="00185608" w:rsidRPr="00A751F0" w:rsidRDefault="00185608" w:rsidP="00230FAA">
            <w:pPr>
              <w:rPr>
                <w:color w:val="002060"/>
                <w:sz w:val="16"/>
                <w:szCs w:val="16"/>
              </w:rPr>
            </w:pPr>
          </w:p>
          <w:p w:rsidR="00185608" w:rsidRPr="00A751F0" w:rsidRDefault="00185608" w:rsidP="00230FAA">
            <w:pPr>
              <w:rPr>
                <w:color w:val="002060"/>
                <w:sz w:val="16"/>
                <w:szCs w:val="16"/>
              </w:rPr>
            </w:pPr>
            <w:r w:rsidRPr="00A751F0">
              <w:rPr>
                <w:color w:val="002060"/>
                <w:sz w:val="16"/>
                <w:szCs w:val="16"/>
              </w:rPr>
              <w:t>Nivel de desarrollo 3, incluida la prestación</w:t>
            </w:r>
            <w:r w:rsidR="00FF0B21">
              <w:rPr>
                <w:color w:val="002060"/>
                <w:sz w:val="16"/>
                <w:szCs w:val="16"/>
              </w:rPr>
              <w:t xml:space="preserve"> de servicios de valor añadido</w:t>
            </w:r>
            <w:r w:rsidRPr="00A751F0">
              <w:rPr>
                <w:color w:val="002060"/>
                <w:sz w:val="16"/>
                <w:szCs w:val="16"/>
              </w:rPr>
              <w:t>:</w:t>
            </w:r>
            <w:r w:rsidR="00FF0B21">
              <w:rPr>
                <w:rStyle w:val="FootnoteReference"/>
                <w:color w:val="002060"/>
                <w:sz w:val="16"/>
                <w:szCs w:val="16"/>
              </w:rPr>
              <w:footnoteReference w:id="52"/>
            </w:r>
          </w:p>
          <w:p w:rsidR="00185608" w:rsidRPr="00A751F0" w:rsidRDefault="00185608" w:rsidP="00230FAA">
            <w:pPr>
              <w:rPr>
                <w:color w:val="002060"/>
                <w:sz w:val="16"/>
                <w:szCs w:val="16"/>
              </w:rPr>
            </w:pPr>
            <w:r w:rsidRPr="00A751F0">
              <w:rPr>
                <w:color w:val="002060"/>
                <w:sz w:val="16"/>
                <w:szCs w:val="16"/>
              </w:rPr>
              <w:t>África (0)</w:t>
            </w:r>
          </w:p>
          <w:p w:rsidR="00185608" w:rsidRPr="00A751F0" w:rsidRDefault="00185608" w:rsidP="00230FAA">
            <w:pPr>
              <w:rPr>
                <w:color w:val="002060"/>
                <w:sz w:val="16"/>
                <w:szCs w:val="16"/>
              </w:rPr>
            </w:pPr>
            <w:r w:rsidRPr="00A751F0">
              <w:rPr>
                <w:color w:val="002060"/>
                <w:sz w:val="16"/>
                <w:szCs w:val="16"/>
              </w:rPr>
              <w:t>Países árabes (1)</w:t>
            </w:r>
          </w:p>
          <w:p w:rsidR="00185608" w:rsidRPr="00A751F0" w:rsidRDefault="00185608" w:rsidP="00230FAA">
            <w:pPr>
              <w:rPr>
                <w:color w:val="002060"/>
                <w:sz w:val="16"/>
                <w:szCs w:val="16"/>
              </w:rPr>
            </w:pPr>
            <w:r w:rsidRPr="00A751F0">
              <w:rPr>
                <w:color w:val="002060"/>
                <w:sz w:val="16"/>
                <w:szCs w:val="16"/>
              </w:rPr>
              <w:t>Asia y el Pacífico (1)</w:t>
            </w:r>
          </w:p>
          <w:p w:rsidR="00185608" w:rsidRPr="00A751F0" w:rsidRDefault="00185608" w:rsidP="00230FAA">
            <w:pPr>
              <w:rPr>
                <w:color w:val="002060"/>
                <w:sz w:val="16"/>
                <w:szCs w:val="16"/>
              </w:rPr>
            </w:pPr>
            <w:r w:rsidRPr="00A751F0">
              <w:rPr>
                <w:color w:val="002060"/>
                <w:sz w:val="16"/>
                <w:szCs w:val="16"/>
              </w:rPr>
              <w:t>América Latina y el Caribe (0)</w:t>
            </w:r>
          </w:p>
          <w:p w:rsidR="00185608" w:rsidRPr="00A751F0" w:rsidRDefault="00185608" w:rsidP="00230FAA">
            <w:pPr>
              <w:rPr>
                <w:color w:val="002060"/>
                <w:sz w:val="16"/>
                <w:szCs w:val="16"/>
              </w:rPr>
            </w:pPr>
            <w:r w:rsidRPr="00A751F0">
              <w:rPr>
                <w:color w:val="002060"/>
                <w:sz w:val="16"/>
                <w:szCs w:val="16"/>
              </w:rPr>
              <w:t>(2 en total)</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185608">
            <w:pPr>
              <w:numPr>
                <w:ilvl w:val="0"/>
                <w:numId w:val="44"/>
              </w:numPr>
              <w:ind w:left="0" w:hanging="219"/>
              <w:rPr>
                <w:sz w:val="16"/>
                <w:szCs w:val="16"/>
              </w:rPr>
            </w:pPr>
            <w:r w:rsidRPr="00A63AD9">
              <w:rPr>
                <w:sz w:val="16"/>
                <w:szCs w:val="16"/>
              </w:rPr>
              <w:t>África (9)</w:t>
            </w:r>
          </w:p>
          <w:p w:rsidR="00185608" w:rsidRPr="00A63AD9" w:rsidRDefault="00185608" w:rsidP="00185608">
            <w:pPr>
              <w:numPr>
                <w:ilvl w:val="0"/>
                <w:numId w:val="44"/>
              </w:numPr>
              <w:ind w:left="0" w:hanging="219"/>
              <w:rPr>
                <w:sz w:val="16"/>
                <w:szCs w:val="16"/>
              </w:rPr>
            </w:pPr>
            <w:r w:rsidRPr="00A63AD9">
              <w:rPr>
                <w:sz w:val="16"/>
                <w:szCs w:val="16"/>
              </w:rPr>
              <w:t>Países árabes (2)</w:t>
            </w:r>
          </w:p>
          <w:p w:rsidR="00185608" w:rsidRPr="00A63AD9" w:rsidRDefault="00185608" w:rsidP="00185608">
            <w:pPr>
              <w:numPr>
                <w:ilvl w:val="0"/>
                <w:numId w:val="44"/>
              </w:numPr>
              <w:ind w:left="0" w:hanging="219"/>
              <w:rPr>
                <w:sz w:val="16"/>
                <w:szCs w:val="16"/>
              </w:rPr>
            </w:pPr>
            <w:r w:rsidRPr="00A63AD9">
              <w:rPr>
                <w:sz w:val="16"/>
                <w:szCs w:val="16"/>
              </w:rPr>
              <w:t>Asia y el Pacífico (3)</w:t>
            </w:r>
          </w:p>
          <w:p w:rsidR="00185608" w:rsidRPr="00A63AD9" w:rsidRDefault="00185608" w:rsidP="00185608">
            <w:pPr>
              <w:numPr>
                <w:ilvl w:val="0"/>
                <w:numId w:val="44"/>
              </w:numPr>
              <w:spacing w:after="240"/>
              <w:ind w:left="0" w:hanging="219"/>
              <w:rPr>
                <w:sz w:val="16"/>
                <w:szCs w:val="16"/>
              </w:rPr>
            </w:pPr>
            <w:r w:rsidRPr="00A63AD9">
              <w:rPr>
                <w:sz w:val="16"/>
                <w:szCs w:val="16"/>
              </w:rPr>
              <w:t>América Latina y el Caribe (5)</w:t>
            </w:r>
          </w:p>
        </w:tc>
        <w:tc>
          <w:tcPr>
            <w:tcW w:w="923" w:type="pct"/>
            <w:shd w:val="clear" w:color="auto" w:fill="auto"/>
            <w:tcMar>
              <w:top w:w="110" w:type="dxa"/>
              <w:left w:w="58" w:type="dxa"/>
              <w:right w:w="58" w:type="dxa"/>
            </w:tcMar>
          </w:tcPr>
          <w:p w:rsidR="00185608" w:rsidRPr="00A63AD9" w:rsidRDefault="00185608" w:rsidP="00FF0B21">
            <w:pPr>
              <w:numPr>
                <w:ilvl w:val="0"/>
                <w:numId w:val="44"/>
              </w:numPr>
              <w:ind w:left="84" w:hanging="198"/>
              <w:rPr>
                <w:sz w:val="16"/>
                <w:szCs w:val="16"/>
              </w:rPr>
            </w:pPr>
            <w:r w:rsidRPr="00A63AD9">
              <w:rPr>
                <w:sz w:val="16"/>
                <w:szCs w:val="16"/>
              </w:rPr>
              <w:lastRenderedPageBreak/>
              <w:t>África (11)</w:t>
            </w:r>
          </w:p>
          <w:p w:rsidR="00185608" w:rsidRPr="00A63AD9" w:rsidRDefault="00185608" w:rsidP="00FF0B21">
            <w:pPr>
              <w:numPr>
                <w:ilvl w:val="0"/>
                <w:numId w:val="44"/>
              </w:numPr>
              <w:ind w:left="84" w:hanging="198"/>
              <w:rPr>
                <w:sz w:val="16"/>
                <w:szCs w:val="16"/>
              </w:rPr>
            </w:pPr>
            <w:r w:rsidRPr="00A63AD9">
              <w:rPr>
                <w:sz w:val="16"/>
                <w:szCs w:val="16"/>
              </w:rPr>
              <w:t>Países árabes (4)</w:t>
            </w:r>
          </w:p>
          <w:p w:rsidR="00185608" w:rsidRPr="00A63AD9" w:rsidRDefault="00185608" w:rsidP="00FF0B21">
            <w:pPr>
              <w:numPr>
                <w:ilvl w:val="0"/>
                <w:numId w:val="44"/>
              </w:numPr>
              <w:ind w:left="84" w:hanging="198"/>
              <w:rPr>
                <w:sz w:val="16"/>
                <w:szCs w:val="16"/>
              </w:rPr>
            </w:pPr>
            <w:r w:rsidRPr="00A63AD9">
              <w:rPr>
                <w:sz w:val="16"/>
                <w:szCs w:val="16"/>
              </w:rPr>
              <w:t>Asia y el Pacífico (5).</w:t>
            </w:r>
          </w:p>
          <w:p w:rsidR="00185608" w:rsidRPr="00A63AD9" w:rsidRDefault="00185608" w:rsidP="00FF0B21">
            <w:pPr>
              <w:numPr>
                <w:ilvl w:val="0"/>
                <w:numId w:val="44"/>
              </w:numPr>
              <w:ind w:left="84" w:hanging="198"/>
              <w:rPr>
                <w:sz w:val="16"/>
                <w:szCs w:val="16"/>
              </w:rPr>
            </w:pPr>
            <w:r w:rsidRPr="00A63AD9">
              <w:rPr>
                <w:sz w:val="16"/>
                <w:szCs w:val="16"/>
              </w:rPr>
              <w:t xml:space="preserve">América Latina y el </w:t>
            </w:r>
            <w:r w:rsidRPr="00A63AD9">
              <w:rPr>
                <w:sz w:val="16"/>
                <w:szCs w:val="16"/>
              </w:rPr>
              <w:lastRenderedPageBreak/>
              <w:t>Caribe (8)</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lastRenderedPageBreak/>
              <w:t>27 redes nacionales sostenibles (en total a fines de 2016)</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Nivel de desarrollo 1</w:t>
            </w:r>
          </w:p>
          <w:p w:rsidR="00185608" w:rsidRPr="00A63AD9" w:rsidRDefault="00185608" w:rsidP="00230FAA">
            <w:pPr>
              <w:rPr>
                <w:sz w:val="16"/>
                <w:szCs w:val="16"/>
              </w:rPr>
            </w:pPr>
            <w:r w:rsidRPr="00A63AD9">
              <w:rPr>
                <w:sz w:val="16"/>
                <w:szCs w:val="16"/>
              </w:rPr>
              <w:lastRenderedPageBreak/>
              <w:t>África (3 de las que 1 en PMA)</w:t>
            </w:r>
          </w:p>
          <w:p w:rsidR="00185608" w:rsidRPr="00A63AD9" w:rsidRDefault="00185608" w:rsidP="00230FAA">
            <w:pPr>
              <w:rPr>
                <w:sz w:val="16"/>
                <w:szCs w:val="16"/>
              </w:rPr>
            </w:pPr>
            <w:r w:rsidRPr="00A63AD9">
              <w:rPr>
                <w:sz w:val="16"/>
                <w:szCs w:val="16"/>
              </w:rPr>
              <w:t>Asia y el Pacífico (2)</w:t>
            </w:r>
          </w:p>
          <w:p w:rsidR="00185608" w:rsidRPr="00A63AD9" w:rsidRDefault="00185608" w:rsidP="00230FAA">
            <w:pPr>
              <w:rPr>
                <w:sz w:val="16"/>
                <w:szCs w:val="16"/>
              </w:rPr>
            </w:pPr>
            <w:r w:rsidRPr="00A63AD9">
              <w:rPr>
                <w:sz w:val="16"/>
                <w:szCs w:val="16"/>
              </w:rPr>
              <w:t>América Latina y el Caribe (2)</w:t>
            </w:r>
          </w:p>
          <w:p w:rsidR="00185608" w:rsidRPr="00A63AD9" w:rsidRDefault="00185608" w:rsidP="00230FAA">
            <w:pPr>
              <w:rPr>
                <w:sz w:val="16"/>
                <w:szCs w:val="16"/>
              </w:rPr>
            </w:pPr>
            <w:r w:rsidRPr="00A63AD9">
              <w:rPr>
                <w:sz w:val="16"/>
                <w:szCs w:val="16"/>
              </w:rPr>
              <w:t>(7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Nivel de desarrollo 2</w:t>
            </w:r>
          </w:p>
          <w:p w:rsidR="00185608" w:rsidRPr="00A63AD9" w:rsidRDefault="00185608" w:rsidP="00230FAA">
            <w:pPr>
              <w:rPr>
                <w:sz w:val="16"/>
                <w:szCs w:val="16"/>
              </w:rPr>
            </w:pPr>
            <w:r w:rsidRPr="00A63AD9">
              <w:rPr>
                <w:sz w:val="16"/>
                <w:szCs w:val="16"/>
              </w:rPr>
              <w:t>África (8 de las que 6 en PMA)</w:t>
            </w:r>
          </w:p>
          <w:p w:rsidR="00185608" w:rsidRPr="00A63AD9" w:rsidRDefault="00185608" w:rsidP="00230FAA">
            <w:pPr>
              <w:rPr>
                <w:sz w:val="16"/>
                <w:szCs w:val="16"/>
              </w:rPr>
            </w:pPr>
            <w:r w:rsidRPr="00A63AD9">
              <w:rPr>
                <w:sz w:val="16"/>
                <w:szCs w:val="16"/>
              </w:rPr>
              <w:t>Países árabes (1)</w:t>
            </w:r>
          </w:p>
          <w:p w:rsidR="00185608" w:rsidRPr="00A63AD9" w:rsidRDefault="00185608" w:rsidP="00230FAA">
            <w:pPr>
              <w:rPr>
                <w:sz w:val="16"/>
                <w:szCs w:val="16"/>
              </w:rPr>
            </w:pPr>
            <w:r w:rsidRPr="00A63AD9">
              <w:rPr>
                <w:sz w:val="16"/>
                <w:szCs w:val="16"/>
              </w:rPr>
              <w:t>Asia y el Pacífico (2)</w:t>
            </w:r>
          </w:p>
          <w:p w:rsidR="00185608" w:rsidRPr="00A63AD9" w:rsidRDefault="00185608" w:rsidP="00230FAA">
            <w:pPr>
              <w:rPr>
                <w:sz w:val="16"/>
                <w:szCs w:val="16"/>
              </w:rPr>
            </w:pPr>
            <w:r w:rsidRPr="00A63AD9">
              <w:rPr>
                <w:sz w:val="16"/>
                <w:szCs w:val="16"/>
              </w:rPr>
              <w:t>América Latina y el Caribe (4)</w:t>
            </w:r>
          </w:p>
          <w:p w:rsidR="00185608" w:rsidRPr="00A63AD9" w:rsidRDefault="00185608" w:rsidP="00230FAA">
            <w:pPr>
              <w:rPr>
                <w:sz w:val="16"/>
                <w:szCs w:val="16"/>
              </w:rPr>
            </w:pPr>
            <w:r w:rsidRPr="00A63AD9">
              <w:rPr>
                <w:sz w:val="16"/>
                <w:szCs w:val="16"/>
              </w:rPr>
              <w:t>(15 en total)</w:t>
            </w:r>
          </w:p>
          <w:p w:rsidR="00185608" w:rsidRPr="00A63AD9" w:rsidRDefault="00185608" w:rsidP="00230FAA">
            <w:pPr>
              <w:rPr>
                <w:sz w:val="16"/>
                <w:szCs w:val="16"/>
              </w:rPr>
            </w:pPr>
          </w:p>
          <w:p w:rsidR="00185608" w:rsidRPr="00A63AD9" w:rsidRDefault="00185608" w:rsidP="00230FAA">
            <w:pPr>
              <w:rPr>
                <w:sz w:val="16"/>
                <w:szCs w:val="16"/>
              </w:rPr>
            </w:pPr>
            <w:r w:rsidRPr="00A63AD9">
              <w:rPr>
                <w:sz w:val="16"/>
                <w:szCs w:val="16"/>
              </w:rPr>
              <w:t>Nivel de desarrollo 3, incluida la prestació</w:t>
            </w:r>
            <w:r w:rsidR="00FF0B21">
              <w:rPr>
                <w:sz w:val="16"/>
                <w:szCs w:val="16"/>
              </w:rPr>
              <w:t>n de servicios de valor añadido</w:t>
            </w:r>
            <w:r w:rsidRPr="00A63AD9">
              <w:rPr>
                <w:sz w:val="16"/>
                <w:szCs w:val="16"/>
              </w:rPr>
              <w:t>:</w:t>
            </w:r>
            <w:r w:rsidR="00FF0B21">
              <w:rPr>
                <w:rStyle w:val="FootnoteReference"/>
                <w:sz w:val="16"/>
                <w:szCs w:val="16"/>
              </w:rPr>
              <w:footnoteReference w:id="53"/>
            </w:r>
          </w:p>
          <w:p w:rsidR="00185608" w:rsidRPr="00A63AD9" w:rsidRDefault="00185608" w:rsidP="00230FAA">
            <w:pPr>
              <w:rPr>
                <w:sz w:val="16"/>
                <w:szCs w:val="16"/>
              </w:rPr>
            </w:pPr>
            <w:r w:rsidRPr="00A63AD9">
              <w:rPr>
                <w:sz w:val="16"/>
                <w:szCs w:val="16"/>
              </w:rPr>
              <w:t>África (1)</w:t>
            </w:r>
          </w:p>
          <w:p w:rsidR="00185608" w:rsidRPr="00A63AD9" w:rsidRDefault="00185608" w:rsidP="00230FAA">
            <w:pPr>
              <w:rPr>
                <w:sz w:val="16"/>
                <w:szCs w:val="16"/>
              </w:rPr>
            </w:pPr>
            <w:r w:rsidRPr="00A63AD9">
              <w:rPr>
                <w:sz w:val="16"/>
                <w:szCs w:val="16"/>
              </w:rPr>
              <w:t>Países árabes (1)</w:t>
            </w:r>
          </w:p>
          <w:p w:rsidR="00185608" w:rsidRPr="00A63AD9" w:rsidRDefault="00185608" w:rsidP="00230FAA">
            <w:pPr>
              <w:rPr>
                <w:sz w:val="16"/>
                <w:szCs w:val="16"/>
              </w:rPr>
            </w:pPr>
            <w:r w:rsidRPr="00A63AD9">
              <w:rPr>
                <w:sz w:val="16"/>
                <w:szCs w:val="16"/>
              </w:rPr>
              <w:t>Asia y el Pacífico (1)</w:t>
            </w:r>
          </w:p>
          <w:p w:rsidR="00185608" w:rsidRPr="00A63AD9" w:rsidRDefault="00185608" w:rsidP="00230FAA">
            <w:pPr>
              <w:rPr>
                <w:sz w:val="16"/>
                <w:szCs w:val="16"/>
              </w:rPr>
            </w:pPr>
            <w:r w:rsidRPr="00A63AD9">
              <w:rPr>
                <w:sz w:val="16"/>
                <w:szCs w:val="16"/>
              </w:rPr>
              <w:t>América Latina y el Caribe (2)</w:t>
            </w:r>
          </w:p>
          <w:p w:rsidR="00185608" w:rsidRPr="00A63AD9" w:rsidRDefault="00185608" w:rsidP="00230FAA">
            <w:pPr>
              <w:rPr>
                <w:sz w:val="16"/>
                <w:szCs w:val="16"/>
              </w:rPr>
            </w:pPr>
            <w:r w:rsidRPr="00A63AD9">
              <w:rPr>
                <w:sz w:val="16"/>
                <w:szCs w:val="16"/>
              </w:rPr>
              <w:t>(5 en total)</w:t>
            </w:r>
          </w:p>
          <w:p w:rsidR="00185608" w:rsidRPr="00A63AD9" w:rsidRDefault="00185608" w:rsidP="00230FAA">
            <w:pPr>
              <w:rPr>
                <w:sz w:val="16"/>
                <w:szCs w:val="16"/>
              </w:rPr>
            </w:pPr>
          </w:p>
          <w:p w:rsidR="00185608" w:rsidRPr="00A63AD9" w:rsidRDefault="00185608" w:rsidP="00230FAA">
            <w:pPr>
              <w:ind w:left="360"/>
              <w:rPr>
                <w:sz w:val="16"/>
                <w:szCs w:val="16"/>
              </w:rPr>
            </w:pPr>
          </w:p>
          <w:p w:rsidR="00185608" w:rsidRPr="00A63AD9" w:rsidRDefault="00185608" w:rsidP="00230FAA">
            <w:pPr>
              <w:ind w:left="360"/>
              <w:rPr>
                <w:sz w:val="16"/>
                <w:szCs w:val="16"/>
              </w:rPr>
            </w:pPr>
          </w:p>
          <w:p w:rsidR="00185608" w:rsidRPr="00A63AD9" w:rsidRDefault="00185608" w:rsidP="00230FAA">
            <w:pPr>
              <w:ind w:left="360"/>
              <w:rPr>
                <w:sz w:val="16"/>
                <w:szCs w:val="16"/>
              </w:rPr>
            </w:pPr>
          </w:p>
          <w:p w:rsidR="00185608" w:rsidRPr="00A63AD9" w:rsidRDefault="00185608" w:rsidP="00230FAA">
            <w:pPr>
              <w:ind w:left="360"/>
              <w:rPr>
                <w:sz w:val="16"/>
                <w:szCs w:val="16"/>
              </w:rPr>
            </w:pP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lastRenderedPageBreak/>
              <w:t>Avanza</w:t>
            </w: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p w:rsidR="00185608" w:rsidRPr="00A63AD9" w:rsidRDefault="00185608" w:rsidP="00230FAA">
            <w:pPr>
              <w:jc w:val="center"/>
              <w:rPr>
                <w:sz w:val="16"/>
                <w:szCs w:val="16"/>
              </w:rPr>
            </w:pPr>
          </w:p>
        </w:tc>
      </w:tr>
      <w:tr w:rsidR="00185608" w:rsidRPr="00A63AD9" w:rsidTr="00FF0B21">
        <w:trPr>
          <w:trHeight w:val="885"/>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lastRenderedPageBreak/>
              <w:t>N.º de organizaciones, comunidades y personas que aplicaron y usaron tecnologías apropiadas como solución para los desafíos de desarrollo identificados en los PMA</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 xml:space="preserve">6 organizaciones en PMA </w:t>
            </w: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spacing w:after="240"/>
              <w:rPr>
                <w:sz w:val="16"/>
                <w:szCs w:val="16"/>
              </w:rPr>
            </w:pPr>
            <w:r w:rsidRPr="00A63AD9">
              <w:rPr>
                <w:sz w:val="16"/>
                <w:szCs w:val="16"/>
              </w:rPr>
              <w:t>Organizaciones en 6 PMA (2014)</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Organizaciones en otros 3 PMA</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 xml:space="preserve">4 organizaciones que trabajan en tecnologías apropiadas en 3 PMA </w:t>
            </w:r>
          </w:p>
          <w:p w:rsidR="00185608" w:rsidRPr="00A63AD9" w:rsidRDefault="00185608" w:rsidP="00230FAA">
            <w:pPr>
              <w:rPr>
                <w:sz w:val="16"/>
                <w:szCs w:val="16"/>
              </w:rPr>
            </w:pPr>
          </w:p>
          <w:p w:rsidR="00185608" w:rsidRPr="00A63AD9" w:rsidRDefault="00185608" w:rsidP="00230FAA">
            <w:pPr>
              <w:tabs>
                <w:tab w:val="left" w:pos="1065"/>
              </w:tabs>
              <w:rPr>
                <w:sz w:val="16"/>
                <w:szCs w:val="16"/>
              </w:rPr>
            </w:pPr>
            <w:r w:rsidRPr="00A63AD9">
              <w:rPr>
                <w:sz w:val="16"/>
                <w:szCs w:val="16"/>
              </w:rPr>
              <w:t xml:space="preserve">Etiopía (1):  </w:t>
            </w:r>
            <w:r w:rsidRPr="00A63AD9">
              <w:rPr>
                <w:sz w:val="16"/>
                <w:szCs w:val="16"/>
              </w:rPr>
              <w:tab/>
            </w:r>
          </w:p>
          <w:p w:rsidR="00185608" w:rsidRPr="00A63AD9" w:rsidRDefault="00185608" w:rsidP="00230FAA">
            <w:pPr>
              <w:tabs>
                <w:tab w:val="left" w:pos="1065"/>
              </w:tabs>
              <w:rPr>
                <w:sz w:val="16"/>
                <w:szCs w:val="16"/>
              </w:rPr>
            </w:pPr>
            <w:r w:rsidRPr="00A63AD9">
              <w:rPr>
                <w:sz w:val="16"/>
                <w:szCs w:val="16"/>
              </w:rPr>
              <w:t>Ministerio de Ciencia y Tecnología</w:t>
            </w:r>
          </w:p>
          <w:p w:rsidR="00185608" w:rsidRPr="00A63AD9" w:rsidRDefault="00185608" w:rsidP="00230FAA">
            <w:pPr>
              <w:rPr>
                <w:sz w:val="16"/>
                <w:szCs w:val="16"/>
              </w:rPr>
            </w:pPr>
          </w:p>
          <w:p w:rsidR="00185608" w:rsidRPr="002F663B" w:rsidRDefault="00185608" w:rsidP="00230FAA">
            <w:pPr>
              <w:tabs>
                <w:tab w:val="left" w:pos="1065"/>
              </w:tabs>
              <w:rPr>
                <w:sz w:val="16"/>
                <w:szCs w:val="16"/>
                <w:lang w:val="en-US"/>
              </w:rPr>
            </w:pPr>
            <w:r w:rsidRPr="002F663B">
              <w:rPr>
                <w:sz w:val="16"/>
                <w:szCs w:val="16"/>
                <w:lang w:val="en-US"/>
              </w:rPr>
              <w:t xml:space="preserve">Rwanda (1): </w:t>
            </w:r>
            <w:r w:rsidRPr="002F663B">
              <w:rPr>
                <w:sz w:val="16"/>
                <w:szCs w:val="16"/>
                <w:lang w:val="en-US"/>
              </w:rPr>
              <w:tab/>
            </w:r>
          </w:p>
          <w:p w:rsidR="00185608" w:rsidRPr="002F663B" w:rsidRDefault="00185608" w:rsidP="00230FAA">
            <w:pPr>
              <w:tabs>
                <w:tab w:val="left" w:pos="1065"/>
              </w:tabs>
              <w:rPr>
                <w:sz w:val="16"/>
                <w:szCs w:val="16"/>
                <w:lang w:val="en-US"/>
              </w:rPr>
            </w:pPr>
            <w:r w:rsidRPr="002F663B">
              <w:rPr>
                <w:i/>
                <w:sz w:val="16"/>
                <w:szCs w:val="16"/>
                <w:lang w:val="en-US"/>
              </w:rPr>
              <w:t>National Industrial Research and Development Agency</w:t>
            </w:r>
            <w:r w:rsidRPr="002F663B">
              <w:rPr>
                <w:sz w:val="16"/>
                <w:szCs w:val="16"/>
                <w:lang w:val="en-US"/>
              </w:rPr>
              <w:t xml:space="preserve"> (NIRDA)</w:t>
            </w:r>
          </w:p>
          <w:p w:rsidR="00185608" w:rsidRPr="002F663B" w:rsidRDefault="00185608" w:rsidP="00230FAA">
            <w:pPr>
              <w:rPr>
                <w:sz w:val="16"/>
                <w:szCs w:val="16"/>
                <w:lang w:val="en-US"/>
              </w:rPr>
            </w:pPr>
          </w:p>
          <w:p w:rsidR="00185608" w:rsidRPr="00A63AD9" w:rsidRDefault="00185608" w:rsidP="00230FAA">
            <w:pPr>
              <w:tabs>
                <w:tab w:val="left" w:pos="1065"/>
                <w:tab w:val="left" w:pos="1167"/>
              </w:tabs>
              <w:rPr>
                <w:sz w:val="16"/>
                <w:szCs w:val="16"/>
              </w:rPr>
            </w:pPr>
            <w:r w:rsidRPr="00A63AD9">
              <w:rPr>
                <w:sz w:val="16"/>
                <w:szCs w:val="16"/>
              </w:rPr>
              <w:t>República Unida de Tanzanía (2):</w:t>
            </w:r>
          </w:p>
          <w:p w:rsidR="00185608" w:rsidRPr="00A63AD9" w:rsidRDefault="00185608" w:rsidP="00230FAA">
            <w:pPr>
              <w:tabs>
                <w:tab w:val="left" w:pos="80"/>
                <w:tab w:val="left" w:pos="1065"/>
                <w:tab w:val="left" w:pos="1167"/>
              </w:tabs>
              <w:rPr>
                <w:sz w:val="16"/>
                <w:szCs w:val="16"/>
              </w:rPr>
            </w:pPr>
            <w:r w:rsidRPr="00A63AD9">
              <w:rPr>
                <w:sz w:val="16"/>
                <w:szCs w:val="16"/>
              </w:rPr>
              <w:t xml:space="preserve">- Comisión de Ciencia y Tecnología de Tanzanía </w:t>
            </w:r>
            <w:r w:rsidRPr="00A63AD9">
              <w:rPr>
                <w:sz w:val="16"/>
                <w:szCs w:val="16"/>
              </w:rPr>
              <w:tab/>
              <w:t>(COSTECH);</w:t>
            </w:r>
          </w:p>
          <w:p w:rsidR="00185608" w:rsidRPr="00A63AD9" w:rsidRDefault="00185608" w:rsidP="00230FAA">
            <w:pPr>
              <w:tabs>
                <w:tab w:val="left" w:pos="1071"/>
              </w:tabs>
              <w:rPr>
                <w:sz w:val="16"/>
                <w:szCs w:val="16"/>
              </w:rPr>
            </w:pPr>
            <w:r w:rsidRPr="00A63AD9">
              <w:rPr>
                <w:sz w:val="16"/>
                <w:szCs w:val="16"/>
              </w:rPr>
              <w:t>- Universidad de Zanzíbar</w:t>
            </w:r>
            <w:r w:rsidRPr="00A63AD9" w:rsidDel="00FB6D4D">
              <w:rPr>
                <w:sz w:val="16"/>
                <w:szCs w:val="16"/>
              </w:rPr>
              <w:t xml:space="preserve"> </w:t>
            </w:r>
          </w:p>
          <w:p w:rsidR="00185608" w:rsidRPr="00A63AD9" w:rsidRDefault="00185608" w:rsidP="00230FAA">
            <w:pPr>
              <w:rPr>
                <w:sz w:val="16"/>
                <w:szCs w:val="16"/>
              </w:rPr>
            </w:pPr>
          </w:p>
          <w:p w:rsidR="00185608" w:rsidRPr="00A63AD9" w:rsidRDefault="00185608" w:rsidP="00230FAA">
            <w:pPr>
              <w:spacing w:after="240"/>
              <w:rPr>
                <w:sz w:val="16"/>
                <w:szCs w:val="16"/>
              </w:rPr>
            </w:pPr>
            <w:r w:rsidRPr="00A63AD9">
              <w:rPr>
                <w:sz w:val="16"/>
                <w:szCs w:val="16"/>
              </w:rPr>
              <w:t>(10 organizaciones en 6 PMA en total)</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t>Avanza</w:t>
            </w:r>
          </w:p>
        </w:tc>
      </w:tr>
      <w:tr w:rsidR="00185608" w:rsidRPr="00A63AD9" w:rsidTr="00FF0B21">
        <w:trPr>
          <w:trHeight w:val="1582"/>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Uso de tecnologías apropiadas en pos del desarrollo mediante informes y búsquedas de patentes,  análisis de tendencias en la tecnología, planes operacionales (número de expertos, grupos de expertos nacionales en los PMA)</w:t>
            </w:r>
          </w:p>
        </w:tc>
        <w:tc>
          <w:tcPr>
            <w:tcW w:w="1225" w:type="pct"/>
            <w:shd w:val="clear" w:color="auto" w:fill="auto"/>
            <w:tcMar>
              <w:left w:w="58" w:type="dxa"/>
              <w:right w:w="58" w:type="dxa"/>
            </w:tcMar>
          </w:tcPr>
          <w:p w:rsidR="00185608" w:rsidRPr="00A63AD9" w:rsidRDefault="00185608" w:rsidP="00230FAA">
            <w:pPr>
              <w:spacing w:after="240"/>
              <w:rPr>
                <w:sz w:val="16"/>
                <w:szCs w:val="16"/>
              </w:rPr>
            </w:pPr>
            <w:r w:rsidRPr="00A63AD9">
              <w:rPr>
                <w:sz w:val="16"/>
                <w:szCs w:val="16"/>
              </w:rPr>
              <w:t xml:space="preserve">6 en los PMA </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Otros 3 en los PMA</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9 expertos/grupos de expertos nacionales:</w:t>
            </w:r>
          </w:p>
          <w:p w:rsidR="00185608" w:rsidRPr="00A63AD9" w:rsidRDefault="00185608" w:rsidP="00185608">
            <w:pPr>
              <w:numPr>
                <w:ilvl w:val="0"/>
                <w:numId w:val="49"/>
              </w:numPr>
              <w:ind w:left="360"/>
              <w:rPr>
                <w:sz w:val="16"/>
                <w:szCs w:val="16"/>
              </w:rPr>
            </w:pPr>
            <w:r w:rsidRPr="00A63AD9">
              <w:rPr>
                <w:sz w:val="16"/>
                <w:szCs w:val="16"/>
              </w:rPr>
              <w:t>Selección de 3 expertos nacionales (Etiopía, Rwanda, República Unida de Tanzanía);</w:t>
            </w:r>
          </w:p>
          <w:p w:rsidR="00185608" w:rsidRPr="00A63AD9" w:rsidRDefault="00185608" w:rsidP="00185608">
            <w:pPr>
              <w:numPr>
                <w:ilvl w:val="0"/>
                <w:numId w:val="49"/>
              </w:numPr>
              <w:ind w:left="360"/>
              <w:rPr>
                <w:sz w:val="16"/>
                <w:szCs w:val="16"/>
              </w:rPr>
            </w:pPr>
            <w:r w:rsidRPr="00A63AD9">
              <w:rPr>
                <w:sz w:val="16"/>
                <w:szCs w:val="16"/>
              </w:rPr>
              <w:t>Selección de 3 expertos internacionales (Etiopía, Rwanda, República Unida de Tanzanía)</w:t>
            </w:r>
          </w:p>
          <w:p w:rsidR="00185608" w:rsidRPr="00A63AD9" w:rsidRDefault="00185608" w:rsidP="00185608">
            <w:pPr>
              <w:numPr>
                <w:ilvl w:val="0"/>
                <w:numId w:val="49"/>
              </w:numPr>
              <w:ind w:left="360"/>
              <w:rPr>
                <w:sz w:val="16"/>
                <w:szCs w:val="16"/>
              </w:rPr>
            </w:pPr>
            <w:r w:rsidRPr="00A63AD9">
              <w:rPr>
                <w:sz w:val="16"/>
                <w:szCs w:val="16"/>
              </w:rPr>
              <w:t xml:space="preserve">Creación de 3 grupos de </w:t>
            </w:r>
            <w:r w:rsidRPr="00A63AD9">
              <w:rPr>
                <w:sz w:val="16"/>
                <w:szCs w:val="16"/>
              </w:rPr>
              <w:lastRenderedPageBreak/>
              <w:t xml:space="preserve">expertos nacionales  (Etiopía, Rwanda, República Unida de Tanzanía) </w:t>
            </w:r>
          </w:p>
          <w:p w:rsidR="00185608" w:rsidRPr="00A63AD9" w:rsidRDefault="00185608" w:rsidP="00230FAA">
            <w:pPr>
              <w:spacing w:after="240"/>
              <w:ind w:left="360"/>
              <w:rPr>
                <w:sz w:val="16"/>
                <w:szCs w:val="16"/>
              </w:rPr>
            </w:pPr>
            <w:r w:rsidRPr="00A63AD9">
              <w:rPr>
                <w:sz w:val="16"/>
                <w:szCs w:val="16"/>
              </w:rPr>
              <w:t>(6 grupos de expertos nacionales en 6 PMA en total)</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lastRenderedPageBreak/>
              <w:t>Avanza</w:t>
            </w:r>
          </w:p>
        </w:tc>
      </w:tr>
      <w:tr w:rsidR="00185608" w:rsidRPr="00A63AD9" w:rsidTr="00FF0B21">
        <w:trPr>
          <w:trHeight w:val="709"/>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lastRenderedPageBreak/>
              <w:t>Determinación de tecnologías apropiadas comercializadas en los PMA</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Se estaban examinando 6 tecnologías apropiadas a los fines de su comercialización en el nivel gubernamental</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rPr>
                <w:sz w:val="16"/>
                <w:szCs w:val="16"/>
              </w:rPr>
            </w:pPr>
            <w:r w:rsidRPr="00A63AD9">
              <w:rPr>
                <w:sz w:val="16"/>
                <w:szCs w:val="16"/>
              </w:rPr>
              <w:t>6 tecnologías apropiadas</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Al menos 3 tecnologías apropiadas adicionales</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3 tecnologías apropiadas comercializadas</w:t>
            </w:r>
          </w:p>
          <w:p w:rsidR="00185608" w:rsidRPr="00A63AD9" w:rsidRDefault="00185608" w:rsidP="00185608">
            <w:pPr>
              <w:numPr>
                <w:ilvl w:val="0"/>
                <w:numId w:val="49"/>
              </w:numPr>
              <w:ind w:left="360"/>
              <w:rPr>
                <w:sz w:val="16"/>
                <w:szCs w:val="16"/>
              </w:rPr>
            </w:pPr>
            <w:r w:rsidRPr="00A63AD9">
              <w:rPr>
                <w:sz w:val="16"/>
                <w:szCs w:val="16"/>
              </w:rPr>
              <w:t>Nepal (1)</w:t>
            </w:r>
          </w:p>
          <w:p w:rsidR="00185608" w:rsidRPr="00A63AD9" w:rsidRDefault="00185608" w:rsidP="00185608">
            <w:pPr>
              <w:numPr>
                <w:ilvl w:val="0"/>
                <w:numId w:val="49"/>
              </w:numPr>
              <w:ind w:left="360"/>
              <w:rPr>
                <w:sz w:val="16"/>
                <w:szCs w:val="16"/>
              </w:rPr>
            </w:pPr>
            <w:r w:rsidRPr="00A63AD9">
              <w:rPr>
                <w:sz w:val="16"/>
                <w:szCs w:val="16"/>
              </w:rPr>
              <w:t>Zambia (2)</w:t>
            </w:r>
          </w:p>
          <w:p w:rsidR="00185608" w:rsidRPr="00A63AD9" w:rsidRDefault="00185608" w:rsidP="00230FAA">
            <w:pPr>
              <w:rPr>
                <w:sz w:val="16"/>
                <w:szCs w:val="16"/>
              </w:rPr>
            </w:pPr>
          </w:p>
          <w:p w:rsidR="00185608" w:rsidRPr="00A63AD9" w:rsidRDefault="00185608" w:rsidP="00230FAA">
            <w:pPr>
              <w:spacing w:after="240"/>
              <w:rPr>
                <w:sz w:val="16"/>
                <w:szCs w:val="16"/>
              </w:rPr>
            </w:pPr>
            <w:r w:rsidRPr="00A63AD9">
              <w:rPr>
                <w:sz w:val="16"/>
                <w:szCs w:val="16"/>
              </w:rPr>
              <w:t>Examen de 3 tecnologías apropiadas a los fines de su comercialización en el nivel gubernamental</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t>Avanza</w:t>
            </w:r>
            <w:r w:rsidRPr="00A63AD9" w:rsidDel="0019101B">
              <w:rPr>
                <w:b/>
                <w:sz w:val="16"/>
                <w:szCs w:val="16"/>
              </w:rPr>
              <w:t xml:space="preserve"> </w:t>
            </w:r>
          </w:p>
        </w:tc>
      </w:tr>
      <w:tr w:rsidR="00185608" w:rsidRPr="00A63AD9" w:rsidTr="00FF0B21">
        <w:trPr>
          <w:trHeight w:val="574"/>
        </w:trPr>
        <w:tc>
          <w:tcPr>
            <w:tcW w:w="1083" w:type="pct"/>
            <w:shd w:val="clear" w:color="auto" w:fill="auto"/>
            <w:tcMar>
              <w:left w:w="58" w:type="dxa"/>
              <w:right w:w="58" w:type="dxa"/>
            </w:tcMar>
          </w:tcPr>
          <w:p w:rsidR="00185608" w:rsidRPr="00A63AD9" w:rsidRDefault="00185608" w:rsidP="00230FAA">
            <w:pPr>
              <w:spacing w:after="240"/>
              <w:rPr>
                <w:sz w:val="16"/>
                <w:szCs w:val="16"/>
              </w:rPr>
            </w:pPr>
            <w:r w:rsidRPr="00A63AD9">
              <w:rPr>
                <w:sz w:val="16"/>
                <w:szCs w:val="16"/>
              </w:rPr>
              <w:t xml:space="preserve">Proyectos reproducidos en otros ámbitos en los PMA </w:t>
            </w:r>
          </w:p>
        </w:tc>
        <w:tc>
          <w:tcPr>
            <w:tcW w:w="1225" w:type="pct"/>
            <w:shd w:val="clear" w:color="auto" w:fill="auto"/>
            <w:tcMar>
              <w:left w:w="58" w:type="dxa"/>
              <w:right w:w="58" w:type="dxa"/>
            </w:tcMar>
          </w:tcPr>
          <w:p w:rsidR="00185608" w:rsidRPr="00A63AD9" w:rsidRDefault="00185608" w:rsidP="00230FAA">
            <w:pPr>
              <w:rPr>
                <w:sz w:val="16"/>
                <w:szCs w:val="16"/>
              </w:rPr>
            </w:pPr>
            <w:r w:rsidRPr="00A63AD9">
              <w:rPr>
                <w:sz w:val="16"/>
                <w:szCs w:val="16"/>
              </w:rPr>
              <w:t xml:space="preserve">n.d. </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1 PMA</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Ninguno</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FF0000"/>
                <w:sz w:val="16"/>
                <w:szCs w:val="16"/>
              </w:rPr>
              <w:t>No avanza</w:t>
            </w:r>
          </w:p>
        </w:tc>
      </w:tr>
      <w:tr w:rsidR="00185608" w:rsidRPr="00A63AD9" w:rsidTr="00FF0B21">
        <w:trPr>
          <w:trHeight w:val="880"/>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Establecimiento de instituciones que sigan trabajando sobre la tecnología apropiada en los PMA</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Referencia actualizada a fines de 2015:</w:t>
            </w:r>
          </w:p>
          <w:p w:rsidR="00185608" w:rsidRPr="00A751F0" w:rsidRDefault="00185608" w:rsidP="00185608">
            <w:pPr>
              <w:numPr>
                <w:ilvl w:val="0"/>
                <w:numId w:val="49"/>
              </w:numPr>
              <w:ind w:left="216" w:hanging="180"/>
              <w:rPr>
                <w:color w:val="002060"/>
                <w:sz w:val="16"/>
                <w:szCs w:val="16"/>
              </w:rPr>
            </w:pPr>
            <w:r w:rsidRPr="00A751F0">
              <w:rPr>
                <w:color w:val="002060"/>
                <w:sz w:val="16"/>
                <w:szCs w:val="16"/>
              </w:rPr>
              <w:t xml:space="preserve">3 grupos de expertos nacionales en 3 PMA </w:t>
            </w:r>
          </w:p>
          <w:p w:rsidR="00185608" w:rsidRPr="00A751F0" w:rsidRDefault="00185608" w:rsidP="00185608">
            <w:pPr>
              <w:numPr>
                <w:ilvl w:val="0"/>
                <w:numId w:val="49"/>
              </w:numPr>
              <w:ind w:left="216" w:hanging="180"/>
              <w:rPr>
                <w:color w:val="002060"/>
                <w:sz w:val="16"/>
                <w:szCs w:val="16"/>
              </w:rPr>
            </w:pPr>
            <w:r w:rsidRPr="00A751F0">
              <w:rPr>
                <w:color w:val="002060"/>
                <w:sz w:val="16"/>
                <w:szCs w:val="16"/>
              </w:rPr>
              <w:t>3 grupos de múltiples sectores interesados en 3 PMA</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230FAA">
            <w:pPr>
              <w:spacing w:after="240"/>
              <w:rPr>
                <w:sz w:val="16"/>
                <w:szCs w:val="16"/>
              </w:rPr>
            </w:pPr>
            <w:r w:rsidRPr="00A63AD9">
              <w:rPr>
                <w:sz w:val="16"/>
                <w:szCs w:val="16"/>
              </w:rPr>
              <w:t xml:space="preserve">3 instituciones </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3 instituciones adicionales</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 xml:space="preserve">Creación de 3 grupos de expertos nacionales (Etiopía, Rwanda, República Unida de Tanzanía) </w:t>
            </w:r>
          </w:p>
          <w:p w:rsidR="00185608" w:rsidRPr="00A63AD9" w:rsidRDefault="00185608" w:rsidP="00230FAA">
            <w:pPr>
              <w:rPr>
                <w:sz w:val="16"/>
                <w:szCs w:val="16"/>
              </w:rPr>
            </w:pPr>
            <w:r w:rsidRPr="00A63AD9">
              <w:rPr>
                <w:sz w:val="16"/>
                <w:szCs w:val="16"/>
              </w:rPr>
              <w:t>(6 grupos de expertos nacionales en 6 PMA en total)</w:t>
            </w: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t>Avanza</w:t>
            </w:r>
            <w:r w:rsidRPr="00A63AD9" w:rsidDel="0019101B">
              <w:rPr>
                <w:b/>
                <w:sz w:val="16"/>
                <w:szCs w:val="16"/>
              </w:rPr>
              <w:t xml:space="preserve"> </w:t>
            </w:r>
          </w:p>
        </w:tc>
      </w:tr>
      <w:tr w:rsidR="00185608" w:rsidRPr="00A63AD9" w:rsidTr="00FF0B21">
        <w:trPr>
          <w:trHeight w:val="1236"/>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Continuación y ampliación de los programas nacionales de fortalecimiento de capacidad tecnológica sobre las tecnologías apropiadas en los PMA</w:t>
            </w:r>
          </w:p>
        </w:tc>
        <w:tc>
          <w:tcPr>
            <w:tcW w:w="1225" w:type="pct"/>
            <w:shd w:val="clear" w:color="auto" w:fill="auto"/>
            <w:tcMar>
              <w:left w:w="58" w:type="dxa"/>
              <w:right w:w="58" w:type="dxa"/>
            </w:tcMar>
          </w:tcPr>
          <w:p w:rsidR="00185608" w:rsidRPr="00A63AD9" w:rsidRDefault="00185608" w:rsidP="00230FAA">
            <w:pPr>
              <w:spacing w:after="240"/>
              <w:rPr>
                <w:sz w:val="16"/>
                <w:szCs w:val="16"/>
              </w:rPr>
            </w:pPr>
            <w:r w:rsidRPr="00A63AD9">
              <w:rPr>
                <w:sz w:val="16"/>
                <w:szCs w:val="16"/>
              </w:rPr>
              <w:t xml:space="preserve">7 programas </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 xml:space="preserve">Otros 6 programas </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Ejecución de 4 programas nacionales de creación de capacidad tecnológica sobre tecnología apropiada en los 3 PMA:</w:t>
            </w:r>
          </w:p>
          <w:p w:rsidR="00185608" w:rsidRPr="00A63AD9" w:rsidRDefault="00185608" w:rsidP="00230FAA">
            <w:pPr>
              <w:rPr>
                <w:sz w:val="16"/>
                <w:szCs w:val="16"/>
              </w:rPr>
            </w:pPr>
            <w:r w:rsidRPr="00A63AD9">
              <w:rPr>
                <w:sz w:val="16"/>
                <w:szCs w:val="16"/>
              </w:rPr>
              <w:t>Etiopía (1)</w:t>
            </w:r>
          </w:p>
          <w:p w:rsidR="00185608" w:rsidRPr="00A63AD9" w:rsidRDefault="00185608" w:rsidP="00230FAA">
            <w:pPr>
              <w:rPr>
                <w:sz w:val="16"/>
                <w:szCs w:val="16"/>
              </w:rPr>
            </w:pPr>
            <w:r w:rsidRPr="00A63AD9">
              <w:rPr>
                <w:sz w:val="16"/>
                <w:szCs w:val="16"/>
              </w:rPr>
              <w:t>Rwanda (1)</w:t>
            </w:r>
          </w:p>
          <w:p w:rsidR="00185608" w:rsidRPr="00A63AD9" w:rsidRDefault="00185608" w:rsidP="00230FAA">
            <w:pPr>
              <w:rPr>
                <w:sz w:val="16"/>
                <w:szCs w:val="16"/>
              </w:rPr>
            </w:pPr>
            <w:r w:rsidRPr="00A63AD9">
              <w:rPr>
                <w:sz w:val="16"/>
                <w:szCs w:val="16"/>
              </w:rPr>
              <w:t>República Unida de Tanzanía (2)</w:t>
            </w:r>
          </w:p>
          <w:p w:rsidR="00185608" w:rsidRPr="00A63AD9" w:rsidRDefault="00185608" w:rsidP="00156844">
            <w:pPr>
              <w:spacing w:after="100" w:afterAutospacing="1"/>
              <w:rPr>
                <w:sz w:val="16"/>
                <w:szCs w:val="16"/>
              </w:rPr>
            </w:pPr>
            <w:r w:rsidRPr="00A63AD9">
              <w:rPr>
                <w:sz w:val="16"/>
                <w:szCs w:val="16"/>
              </w:rPr>
              <w:t>(11 en total)</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00B050"/>
                <w:sz w:val="16"/>
                <w:szCs w:val="16"/>
              </w:rPr>
              <w:t>Avanza</w:t>
            </w:r>
          </w:p>
        </w:tc>
      </w:tr>
      <w:tr w:rsidR="00185608" w:rsidRPr="00A63AD9" w:rsidTr="00156844">
        <w:trPr>
          <w:trHeight w:val="1308"/>
        </w:trPr>
        <w:tc>
          <w:tcPr>
            <w:tcW w:w="1083" w:type="pct"/>
            <w:shd w:val="clear" w:color="auto" w:fill="auto"/>
            <w:tcMar>
              <w:left w:w="58" w:type="dxa"/>
              <w:right w:w="58" w:type="dxa"/>
            </w:tcMar>
          </w:tcPr>
          <w:p w:rsidR="00185608" w:rsidRPr="00A63AD9" w:rsidRDefault="00185608" w:rsidP="00156844">
            <w:pPr>
              <w:rPr>
                <w:sz w:val="16"/>
                <w:szCs w:val="16"/>
              </w:rPr>
            </w:pPr>
            <w:r w:rsidRPr="00A63AD9">
              <w:rPr>
                <w:sz w:val="16"/>
                <w:szCs w:val="16"/>
              </w:rPr>
              <w:t>Utilización de tecnología apropiada para el desarrollo económico incluida en las políticas y estrategias nacionales de innovación y P.I. de los PMA</w:t>
            </w:r>
          </w:p>
        </w:tc>
        <w:tc>
          <w:tcPr>
            <w:tcW w:w="1225" w:type="pct"/>
            <w:shd w:val="clear" w:color="auto" w:fill="auto"/>
            <w:tcMar>
              <w:left w:w="58" w:type="dxa"/>
              <w:right w:w="58" w:type="dxa"/>
            </w:tcMar>
          </w:tcPr>
          <w:p w:rsidR="00185608" w:rsidRPr="00A63AD9" w:rsidRDefault="00185608" w:rsidP="00230FAA">
            <w:pPr>
              <w:rPr>
                <w:sz w:val="16"/>
                <w:szCs w:val="16"/>
              </w:rPr>
            </w:pPr>
            <w:r w:rsidRPr="00A63AD9">
              <w:rPr>
                <w:sz w:val="16"/>
                <w:szCs w:val="16"/>
              </w:rPr>
              <w:t>n.d.</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 xml:space="preserve">1 PMA </w:t>
            </w:r>
          </w:p>
        </w:tc>
        <w:tc>
          <w:tcPr>
            <w:tcW w:w="1233" w:type="pct"/>
            <w:shd w:val="clear" w:color="auto" w:fill="FFFFFF"/>
            <w:tcMar>
              <w:top w:w="110" w:type="dxa"/>
              <w:left w:w="58" w:type="dxa"/>
              <w:right w:w="58" w:type="dxa"/>
            </w:tcMar>
          </w:tcPr>
          <w:p w:rsidR="00185608" w:rsidRPr="00A63AD9" w:rsidRDefault="00185608" w:rsidP="00230FAA">
            <w:pPr>
              <w:rPr>
                <w:sz w:val="16"/>
                <w:szCs w:val="16"/>
              </w:rPr>
            </w:pPr>
            <w:r w:rsidRPr="00A63AD9">
              <w:rPr>
                <w:sz w:val="16"/>
                <w:szCs w:val="16"/>
              </w:rPr>
              <w:t>Ninguna</w:t>
            </w: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FF0000"/>
                <w:sz w:val="16"/>
                <w:szCs w:val="16"/>
              </w:rPr>
              <w:t>No avanza</w:t>
            </w:r>
          </w:p>
        </w:tc>
      </w:tr>
      <w:tr w:rsidR="00185608" w:rsidRPr="00A63AD9" w:rsidTr="00FF0B21">
        <w:trPr>
          <w:trHeight w:val="648"/>
        </w:trPr>
        <w:tc>
          <w:tcPr>
            <w:tcW w:w="5000" w:type="pct"/>
            <w:gridSpan w:val="5"/>
            <w:shd w:val="clear" w:color="auto" w:fill="C6D9F1" w:themeFill="text2" w:themeFillTint="33"/>
            <w:tcMar>
              <w:left w:w="58" w:type="dxa"/>
              <w:right w:w="58" w:type="dxa"/>
            </w:tcMar>
            <w:vAlign w:val="center"/>
          </w:tcPr>
          <w:p w:rsidR="00185608" w:rsidRPr="00A63AD9" w:rsidRDefault="00185608" w:rsidP="00230FAA">
            <w:pPr>
              <w:tabs>
                <w:tab w:val="left" w:pos="1452"/>
              </w:tabs>
              <w:ind w:left="1701" w:hanging="1701"/>
              <w:rPr>
                <w:b/>
                <w:bCs/>
                <w:sz w:val="16"/>
                <w:szCs w:val="16"/>
              </w:rPr>
            </w:pPr>
            <w:r w:rsidRPr="00A63AD9">
              <w:rPr>
                <w:b/>
                <w:bCs/>
                <w:sz w:val="16"/>
                <w:szCs w:val="16"/>
              </w:rPr>
              <w:t>Resultado previsto:</w:t>
            </w:r>
            <w:r w:rsidRPr="00A63AD9">
              <w:rPr>
                <w:b/>
                <w:bCs/>
                <w:sz w:val="16"/>
                <w:szCs w:val="16"/>
              </w:rPr>
              <w:tab/>
            </w:r>
            <w:r w:rsidRPr="00A63AD9">
              <w:rPr>
                <w:bCs/>
                <w:sz w:val="16"/>
                <w:szCs w:val="16"/>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r>
      <w:tr w:rsidR="00185608" w:rsidRPr="00A63AD9" w:rsidTr="00FF0B21">
        <w:tc>
          <w:tcPr>
            <w:tcW w:w="1083"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Indicadores de rendimiento</w:t>
            </w:r>
          </w:p>
        </w:tc>
        <w:tc>
          <w:tcPr>
            <w:tcW w:w="1225" w:type="pct"/>
            <w:shd w:val="clear" w:color="auto" w:fill="auto"/>
            <w:tcMar>
              <w:left w:w="58" w:type="dxa"/>
              <w:right w:w="58" w:type="dxa"/>
            </w:tcMar>
            <w:vAlign w:val="center"/>
          </w:tcPr>
          <w:p w:rsidR="00185608" w:rsidRPr="00A63AD9" w:rsidRDefault="00185608" w:rsidP="00230FAA">
            <w:pPr>
              <w:rPr>
                <w:b/>
                <w:bCs/>
                <w:sz w:val="16"/>
                <w:szCs w:val="16"/>
              </w:rPr>
            </w:pPr>
            <w:r w:rsidRPr="00A63AD9">
              <w:rPr>
                <w:b/>
                <w:bCs/>
                <w:sz w:val="16"/>
                <w:szCs w:val="16"/>
              </w:rPr>
              <w:t>Referencia de base</w:t>
            </w:r>
          </w:p>
        </w:tc>
        <w:tc>
          <w:tcPr>
            <w:tcW w:w="923" w:type="pct"/>
            <w:shd w:val="clear" w:color="auto" w:fill="auto"/>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Objetivos</w:t>
            </w:r>
          </w:p>
        </w:tc>
        <w:tc>
          <w:tcPr>
            <w:tcW w:w="1233" w:type="pct"/>
            <w:shd w:val="clear" w:color="auto" w:fill="FFFFFF"/>
            <w:tcMar>
              <w:top w:w="110" w:type="dxa"/>
              <w:left w:w="58" w:type="dxa"/>
              <w:right w:w="58" w:type="dxa"/>
            </w:tcMar>
            <w:vAlign w:val="center"/>
          </w:tcPr>
          <w:p w:rsidR="00185608" w:rsidRPr="00A63AD9" w:rsidRDefault="00185608" w:rsidP="00230FAA">
            <w:pPr>
              <w:rPr>
                <w:b/>
                <w:bCs/>
                <w:sz w:val="16"/>
                <w:szCs w:val="16"/>
              </w:rPr>
            </w:pPr>
            <w:r w:rsidRPr="00A63AD9">
              <w:rPr>
                <w:b/>
                <w:bCs/>
                <w:sz w:val="16"/>
                <w:szCs w:val="16"/>
              </w:rPr>
              <w:t>Datos sobre el rendimiento</w:t>
            </w:r>
          </w:p>
        </w:tc>
        <w:tc>
          <w:tcPr>
            <w:tcW w:w="535" w:type="pct"/>
            <w:shd w:val="clear" w:color="auto" w:fill="auto"/>
            <w:tcMar>
              <w:top w:w="110" w:type="dxa"/>
              <w:left w:w="58" w:type="dxa"/>
              <w:right w:w="58" w:type="dxa"/>
            </w:tcMar>
            <w:vAlign w:val="center"/>
          </w:tcPr>
          <w:p w:rsidR="00185608" w:rsidRPr="00A63AD9" w:rsidRDefault="00185608" w:rsidP="00230FAA">
            <w:pPr>
              <w:jc w:val="center"/>
              <w:rPr>
                <w:b/>
                <w:bCs/>
                <w:sz w:val="16"/>
                <w:szCs w:val="16"/>
              </w:rPr>
            </w:pPr>
            <w:r w:rsidRPr="00A63AD9">
              <w:rPr>
                <w:b/>
                <w:bCs/>
                <w:sz w:val="16"/>
                <w:szCs w:val="16"/>
              </w:rPr>
              <w:t>Clave de colores</w:t>
            </w:r>
          </w:p>
        </w:tc>
      </w:tr>
      <w:tr w:rsidR="00185608" w:rsidRPr="00A63AD9" w:rsidTr="008D2647">
        <w:trPr>
          <w:trHeight w:val="428"/>
        </w:trPr>
        <w:tc>
          <w:tcPr>
            <w:tcW w:w="1083" w:type="pct"/>
            <w:shd w:val="clear" w:color="auto" w:fill="auto"/>
            <w:tcMar>
              <w:left w:w="58" w:type="dxa"/>
              <w:right w:w="58" w:type="dxa"/>
            </w:tcMar>
          </w:tcPr>
          <w:p w:rsidR="00185608" w:rsidRPr="00A63AD9" w:rsidRDefault="00185608" w:rsidP="00230FAA">
            <w:pPr>
              <w:rPr>
                <w:sz w:val="16"/>
                <w:szCs w:val="16"/>
              </w:rPr>
            </w:pPr>
            <w:r w:rsidRPr="00A63AD9">
              <w:rPr>
                <w:sz w:val="16"/>
                <w:szCs w:val="16"/>
              </w:rPr>
              <w:t>Media del nivel de los servicios prestados por las Oficinas de P.I. que reciben asistencia (en una escala del 1 al 5).</w:t>
            </w:r>
          </w:p>
        </w:tc>
        <w:tc>
          <w:tcPr>
            <w:tcW w:w="1225" w:type="pct"/>
            <w:shd w:val="clear" w:color="auto" w:fill="auto"/>
            <w:tcMar>
              <w:left w:w="58" w:type="dxa"/>
              <w:right w:w="58" w:type="dxa"/>
            </w:tcMar>
          </w:tcPr>
          <w:p w:rsidR="00185608" w:rsidRPr="00A751F0" w:rsidRDefault="00185608" w:rsidP="00230FAA">
            <w:pPr>
              <w:rPr>
                <w:i/>
                <w:color w:val="002060"/>
                <w:sz w:val="16"/>
                <w:szCs w:val="16"/>
              </w:rPr>
            </w:pPr>
            <w:r w:rsidRPr="00A751F0">
              <w:rPr>
                <w:i/>
                <w:color w:val="002060"/>
                <w:sz w:val="16"/>
                <w:szCs w:val="16"/>
              </w:rPr>
              <w:t xml:space="preserve">Referencia actualizada a fines de 2015:  </w:t>
            </w:r>
          </w:p>
          <w:p w:rsidR="00185608" w:rsidRPr="00A751F0" w:rsidRDefault="00185608" w:rsidP="00230FAA">
            <w:pPr>
              <w:rPr>
                <w:color w:val="002060"/>
                <w:sz w:val="16"/>
                <w:szCs w:val="16"/>
              </w:rPr>
            </w:pPr>
            <w:r w:rsidRPr="00A751F0">
              <w:rPr>
                <w:color w:val="002060"/>
                <w:sz w:val="16"/>
                <w:szCs w:val="16"/>
              </w:rPr>
              <w:t>Media general: 2,9</w:t>
            </w:r>
          </w:p>
          <w:p w:rsidR="00185608" w:rsidRPr="00A751F0" w:rsidRDefault="00185608" w:rsidP="00185608">
            <w:pPr>
              <w:pStyle w:val="ListParagraph"/>
              <w:numPr>
                <w:ilvl w:val="0"/>
                <w:numId w:val="45"/>
              </w:numPr>
              <w:ind w:left="122" w:hanging="122"/>
              <w:rPr>
                <w:color w:val="002060"/>
                <w:sz w:val="16"/>
                <w:szCs w:val="16"/>
                <w:lang w:val="es-ES"/>
              </w:rPr>
            </w:pPr>
            <w:r w:rsidRPr="00A751F0">
              <w:rPr>
                <w:color w:val="002060"/>
                <w:sz w:val="16"/>
                <w:szCs w:val="16"/>
                <w:lang w:val="es-ES"/>
              </w:rPr>
              <w:t>África:  2,9</w:t>
            </w:r>
          </w:p>
          <w:p w:rsidR="00185608" w:rsidRPr="00A751F0" w:rsidRDefault="00185608" w:rsidP="00185608">
            <w:pPr>
              <w:pStyle w:val="ListParagraph"/>
              <w:numPr>
                <w:ilvl w:val="0"/>
                <w:numId w:val="45"/>
              </w:numPr>
              <w:ind w:left="122" w:hanging="122"/>
              <w:rPr>
                <w:color w:val="002060"/>
                <w:sz w:val="16"/>
                <w:szCs w:val="16"/>
                <w:lang w:val="es-ES"/>
              </w:rPr>
            </w:pPr>
            <w:r w:rsidRPr="00A751F0">
              <w:rPr>
                <w:color w:val="002060"/>
                <w:sz w:val="16"/>
                <w:szCs w:val="16"/>
                <w:lang w:val="es-ES"/>
              </w:rPr>
              <w:t>Países árabes:  2,8</w:t>
            </w:r>
          </w:p>
          <w:p w:rsidR="00185608" w:rsidRPr="00A751F0" w:rsidRDefault="00185608" w:rsidP="00185608">
            <w:pPr>
              <w:pStyle w:val="ListParagraph"/>
              <w:numPr>
                <w:ilvl w:val="0"/>
                <w:numId w:val="45"/>
              </w:numPr>
              <w:ind w:left="122" w:hanging="122"/>
              <w:rPr>
                <w:color w:val="002060"/>
                <w:sz w:val="16"/>
                <w:szCs w:val="16"/>
                <w:lang w:val="es-ES"/>
              </w:rPr>
            </w:pPr>
            <w:r w:rsidRPr="00A751F0">
              <w:rPr>
                <w:color w:val="002060"/>
                <w:sz w:val="16"/>
                <w:szCs w:val="16"/>
                <w:lang w:val="es-ES"/>
              </w:rPr>
              <w:t>Asia y el Pacífico:  2,7</w:t>
            </w:r>
          </w:p>
          <w:p w:rsidR="00185608" w:rsidRPr="00A63AD9" w:rsidRDefault="00185608" w:rsidP="00185608">
            <w:pPr>
              <w:pStyle w:val="ListParagraph"/>
              <w:numPr>
                <w:ilvl w:val="0"/>
                <w:numId w:val="45"/>
              </w:numPr>
              <w:ind w:left="122" w:hanging="122"/>
              <w:rPr>
                <w:sz w:val="16"/>
                <w:szCs w:val="16"/>
                <w:lang w:val="es-ES"/>
              </w:rPr>
            </w:pPr>
            <w:r w:rsidRPr="00A751F0">
              <w:rPr>
                <w:color w:val="002060"/>
                <w:sz w:val="16"/>
                <w:szCs w:val="16"/>
                <w:lang w:val="es-ES"/>
              </w:rPr>
              <w:t>América Latina y el Caribe:  3</w:t>
            </w:r>
          </w:p>
          <w:p w:rsidR="00185608" w:rsidRPr="00A63AD9" w:rsidRDefault="00185608" w:rsidP="00230FAA">
            <w:pPr>
              <w:rPr>
                <w:sz w:val="16"/>
                <w:szCs w:val="16"/>
              </w:rPr>
            </w:pPr>
          </w:p>
          <w:p w:rsidR="00185608" w:rsidRPr="00A63AD9" w:rsidRDefault="00185608" w:rsidP="00230FAA">
            <w:pPr>
              <w:rPr>
                <w:i/>
                <w:sz w:val="16"/>
                <w:szCs w:val="16"/>
                <w:lang w:bidi="th-TH"/>
              </w:rPr>
            </w:pPr>
            <w:r w:rsidRPr="00A63AD9">
              <w:rPr>
                <w:i/>
                <w:sz w:val="16"/>
                <w:szCs w:val="16"/>
                <w:lang w:bidi="th-TH"/>
              </w:rPr>
              <w:t xml:space="preserve">Referencia original en el presupuesto de 2016/17:  </w:t>
            </w:r>
          </w:p>
          <w:p w:rsidR="00185608" w:rsidRPr="00A63AD9" w:rsidRDefault="00185608" w:rsidP="0069450B">
            <w:pPr>
              <w:rPr>
                <w:sz w:val="16"/>
                <w:szCs w:val="16"/>
              </w:rPr>
            </w:pPr>
            <w:r w:rsidRPr="00A63AD9">
              <w:rPr>
                <w:sz w:val="16"/>
                <w:szCs w:val="16"/>
              </w:rPr>
              <w:t>Media del nivel de los servicios prestados según el PPR de 2014:  2,9</w:t>
            </w:r>
          </w:p>
        </w:tc>
        <w:tc>
          <w:tcPr>
            <w:tcW w:w="923" w:type="pct"/>
            <w:shd w:val="clear" w:color="auto" w:fill="auto"/>
            <w:tcMar>
              <w:top w:w="110" w:type="dxa"/>
              <w:left w:w="58" w:type="dxa"/>
              <w:right w:w="58" w:type="dxa"/>
            </w:tcMar>
          </w:tcPr>
          <w:p w:rsidR="00185608" w:rsidRPr="00A63AD9" w:rsidRDefault="00185608" w:rsidP="00230FAA">
            <w:pPr>
              <w:rPr>
                <w:sz w:val="16"/>
                <w:szCs w:val="16"/>
              </w:rPr>
            </w:pPr>
            <w:r w:rsidRPr="00A63AD9">
              <w:rPr>
                <w:sz w:val="16"/>
                <w:szCs w:val="16"/>
              </w:rPr>
              <w:t>Media de 3,0 (a finales de 2017)</w:t>
            </w:r>
          </w:p>
        </w:tc>
        <w:tc>
          <w:tcPr>
            <w:tcW w:w="1233" w:type="pct"/>
            <w:shd w:val="clear" w:color="auto" w:fill="FFFFFF"/>
            <w:tcMar>
              <w:top w:w="110" w:type="dxa"/>
              <w:left w:w="58" w:type="dxa"/>
              <w:right w:w="58" w:type="dxa"/>
            </w:tcMar>
          </w:tcPr>
          <w:p w:rsidR="00185608" w:rsidRPr="00A63AD9" w:rsidRDefault="00185608" w:rsidP="00230FAA">
            <w:pPr>
              <w:keepNext/>
              <w:keepLines/>
              <w:rPr>
                <w:sz w:val="16"/>
                <w:szCs w:val="16"/>
              </w:rPr>
            </w:pPr>
            <w:r w:rsidRPr="00A63AD9">
              <w:rPr>
                <w:sz w:val="16"/>
                <w:szCs w:val="16"/>
              </w:rPr>
              <w:t>Media general: 2,8</w:t>
            </w:r>
          </w:p>
          <w:p w:rsidR="00185608" w:rsidRPr="00A63AD9" w:rsidRDefault="00185608" w:rsidP="00185608">
            <w:pPr>
              <w:keepNext/>
              <w:keepLines/>
              <w:numPr>
                <w:ilvl w:val="0"/>
                <w:numId w:val="48"/>
              </w:numPr>
              <w:ind w:left="212" w:hanging="212"/>
              <w:rPr>
                <w:rFonts w:cs="Times New Roman"/>
                <w:sz w:val="16"/>
                <w:szCs w:val="16"/>
              </w:rPr>
            </w:pPr>
            <w:r w:rsidRPr="00A63AD9">
              <w:rPr>
                <w:rFonts w:cs="Times New Roman"/>
                <w:sz w:val="16"/>
                <w:szCs w:val="16"/>
              </w:rPr>
              <w:t>África: 3,0</w:t>
            </w:r>
          </w:p>
          <w:p w:rsidR="00185608" w:rsidRPr="00A63AD9" w:rsidRDefault="00185608" w:rsidP="00185608">
            <w:pPr>
              <w:keepNext/>
              <w:keepLines/>
              <w:numPr>
                <w:ilvl w:val="0"/>
                <w:numId w:val="48"/>
              </w:numPr>
              <w:ind w:left="212" w:hanging="212"/>
              <w:rPr>
                <w:rFonts w:cs="Times New Roman"/>
                <w:sz w:val="16"/>
                <w:szCs w:val="16"/>
              </w:rPr>
            </w:pPr>
            <w:r w:rsidRPr="00A63AD9">
              <w:rPr>
                <w:rFonts w:cs="Times New Roman"/>
                <w:sz w:val="16"/>
                <w:szCs w:val="16"/>
              </w:rPr>
              <w:t>Países árabes:  2,9</w:t>
            </w:r>
          </w:p>
          <w:p w:rsidR="00185608" w:rsidRPr="00A63AD9" w:rsidRDefault="00185608" w:rsidP="00185608">
            <w:pPr>
              <w:keepNext/>
              <w:keepLines/>
              <w:numPr>
                <w:ilvl w:val="0"/>
                <w:numId w:val="48"/>
              </w:numPr>
              <w:ind w:left="212" w:hanging="212"/>
              <w:rPr>
                <w:rFonts w:cs="Times New Roman"/>
                <w:sz w:val="16"/>
                <w:szCs w:val="16"/>
              </w:rPr>
            </w:pPr>
            <w:r w:rsidRPr="00A63AD9">
              <w:rPr>
                <w:rFonts w:cs="Times New Roman"/>
                <w:sz w:val="16"/>
                <w:szCs w:val="16"/>
              </w:rPr>
              <w:t>Asia y el Pacífico:  3,4</w:t>
            </w:r>
          </w:p>
          <w:p w:rsidR="00185608" w:rsidRPr="00A63AD9" w:rsidRDefault="00185608" w:rsidP="00185608">
            <w:pPr>
              <w:keepNext/>
              <w:keepLines/>
              <w:numPr>
                <w:ilvl w:val="0"/>
                <w:numId w:val="48"/>
              </w:numPr>
              <w:ind w:left="212" w:hanging="212"/>
              <w:rPr>
                <w:rFonts w:cs="Times New Roman"/>
                <w:sz w:val="16"/>
                <w:szCs w:val="16"/>
              </w:rPr>
            </w:pPr>
            <w:r w:rsidRPr="00A63AD9">
              <w:rPr>
                <w:rFonts w:cs="Times New Roman"/>
                <w:sz w:val="16"/>
                <w:szCs w:val="16"/>
              </w:rPr>
              <w:t>América Latina y el Caribe:  3,2</w:t>
            </w:r>
          </w:p>
          <w:p w:rsidR="00185608" w:rsidRPr="00A63AD9" w:rsidRDefault="00185608" w:rsidP="00230FAA">
            <w:pPr>
              <w:rPr>
                <w:sz w:val="16"/>
                <w:szCs w:val="16"/>
              </w:rPr>
            </w:pPr>
          </w:p>
          <w:p w:rsidR="00185608" w:rsidRPr="00A63AD9" w:rsidRDefault="00185608" w:rsidP="00230FAA">
            <w:pPr>
              <w:rPr>
                <w:sz w:val="16"/>
                <w:szCs w:val="16"/>
              </w:rPr>
            </w:pPr>
          </w:p>
          <w:p w:rsidR="00185608" w:rsidRPr="00A63AD9" w:rsidRDefault="00185608" w:rsidP="00230FAA">
            <w:pPr>
              <w:rPr>
                <w:sz w:val="16"/>
                <w:szCs w:val="16"/>
              </w:rPr>
            </w:pPr>
          </w:p>
        </w:tc>
        <w:tc>
          <w:tcPr>
            <w:tcW w:w="535" w:type="pct"/>
            <w:shd w:val="clear" w:color="auto" w:fill="auto"/>
            <w:tcMar>
              <w:top w:w="110" w:type="dxa"/>
              <w:left w:w="58" w:type="dxa"/>
              <w:right w:w="58" w:type="dxa"/>
            </w:tcMar>
          </w:tcPr>
          <w:p w:rsidR="00185608" w:rsidRPr="00A63AD9" w:rsidRDefault="00185608" w:rsidP="00230FAA">
            <w:pPr>
              <w:jc w:val="center"/>
              <w:rPr>
                <w:b/>
                <w:sz w:val="16"/>
                <w:szCs w:val="16"/>
              </w:rPr>
            </w:pPr>
            <w:r w:rsidRPr="00A63AD9">
              <w:rPr>
                <w:b/>
                <w:color w:val="FF0000"/>
                <w:sz w:val="16"/>
                <w:szCs w:val="16"/>
              </w:rPr>
              <w:t>No avanza</w:t>
            </w:r>
          </w:p>
        </w:tc>
      </w:tr>
    </w:tbl>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ayout w:type="fixed"/>
        <w:tblLook w:val="04A0" w:firstRow="1" w:lastRow="0" w:firstColumn="1" w:lastColumn="0" w:noHBand="0" w:noVBand="1"/>
      </w:tblPr>
      <w:tblGrid>
        <w:gridCol w:w="9214"/>
      </w:tblGrid>
      <w:tr w:rsidR="00185608" w:rsidRPr="00A63AD9" w:rsidTr="00230FAA">
        <w:trPr>
          <w:trHeight w:val="423"/>
        </w:trPr>
        <w:tc>
          <w:tcPr>
            <w:tcW w:w="9214" w:type="dxa"/>
            <w:shd w:val="clear" w:color="auto" w:fill="C6D9F1" w:themeFill="text2" w:themeFillTint="33"/>
            <w:vAlign w:val="center"/>
          </w:tcPr>
          <w:p w:rsidR="00185608" w:rsidRPr="00A63AD9" w:rsidRDefault="00185608" w:rsidP="00230FAA">
            <w:pPr>
              <w:keepNext/>
              <w:keepLines/>
              <w:jc w:val="center"/>
              <w:rPr>
                <w:b/>
                <w:sz w:val="20"/>
              </w:rPr>
            </w:pPr>
            <w:r w:rsidRPr="00A63AD9">
              <w:rPr>
                <w:sz w:val="20"/>
              </w:rPr>
              <w:lastRenderedPageBreak/>
              <w:br w:type="page"/>
            </w:r>
            <w:r w:rsidRPr="00A63AD9">
              <w:rPr>
                <w:b/>
                <w:sz w:val="20"/>
              </w:rPr>
              <w:t>Utilización de los recursos del programa 9</w:t>
            </w:r>
          </w:p>
        </w:tc>
      </w:tr>
    </w:tbl>
    <w:p w:rsidR="00185608" w:rsidRPr="00A63AD9" w:rsidRDefault="00185608" w:rsidP="00230FAA">
      <w:pPr>
        <w:rPr>
          <w:sz w:val="20"/>
        </w:rPr>
      </w:pPr>
    </w:p>
    <w:p w:rsidR="00185608" w:rsidRPr="00A63AD9" w:rsidRDefault="00185608" w:rsidP="00230FAA">
      <w:pPr>
        <w:pStyle w:val="NormalWeb"/>
        <w:keepNext/>
        <w:keepLines/>
        <w:spacing w:before="0" w:beforeAutospacing="0" w:after="0" w:afterAutospacing="0"/>
        <w:jc w:val="center"/>
        <w:rPr>
          <w:lang w:val="es-ES"/>
        </w:rPr>
      </w:pPr>
      <w:r w:rsidRPr="00A63AD9">
        <w:rPr>
          <w:lang w:val="es-ES"/>
        </w:rPr>
        <w:t>Presupuesto y gastos reales (por resultado)</w:t>
      </w:r>
    </w:p>
    <w:p w:rsidR="00185608" w:rsidRPr="00A63AD9" w:rsidRDefault="00185608" w:rsidP="00230FAA">
      <w:pPr>
        <w:pStyle w:val="NormalWeb"/>
        <w:keepNext/>
        <w:keepLines/>
        <w:spacing w:before="0" w:beforeAutospacing="0" w:after="0" w:afterAutospacing="0"/>
        <w:jc w:val="center"/>
        <w:rPr>
          <w:i/>
          <w:iCs/>
          <w:sz w:val="16"/>
          <w:szCs w:val="16"/>
          <w:lang w:val="es-ES"/>
        </w:rPr>
      </w:pPr>
      <w:r w:rsidRPr="00A63AD9">
        <w:rPr>
          <w:i/>
          <w:iCs/>
          <w:sz w:val="16"/>
          <w:szCs w:val="16"/>
          <w:lang w:val="es-ES"/>
        </w:rPr>
        <w:t>(en miles de francos suizos)</w:t>
      </w:r>
    </w:p>
    <w:p w:rsidR="00185608" w:rsidRPr="00A63AD9" w:rsidRDefault="00185608" w:rsidP="00230FAA">
      <w:pPr>
        <w:rPr>
          <w:sz w:val="20"/>
        </w:rPr>
      </w:pPr>
    </w:p>
    <w:tbl>
      <w:tblPr>
        <w:tblW w:w="8222" w:type="dxa"/>
        <w:jc w:val="center"/>
        <w:tblLayout w:type="fixed"/>
        <w:tblLook w:val="04A0" w:firstRow="1" w:lastRow="0" w:firstColumn="1" w:lastColumn="0" w:noHBand="0" w:noVBand="1"/>
      </w:tblPr>
      <w:tblGrid>
        <w:gridCol w:w="479"/>
        <w:gridCol w:w="4248"/>
        <w:gridCol w:w="1161"/>
        <w:gridCol w:w="1160"/>
        <w:gridCol w:w="1174"/>
      </w:tblGrid>
      <w:tr w:rsidR="00185608" w:rsidRPr="00A63AD9" w:rsidTr="00230FAA">
        <w:trPr>
          <w:trHeight w:val="825"/>
          <w:jc w:val="center"/>
        </w:trPr>
        <w:tc>
          <w:tcPr>
            <w:tcW w:w="4714" w:type="dxa"/>
            <w:gridSpan w:val="2"/>
            <w:tcBorders>
              <w:top w:val="nil"/>
              <w:left w:val="nil"/>
              <w:bottom w:val="nil"/>
              <w:right w:val="nil"/>
            </w:tcBorders>
            <w:shd w:val="clear" w:color="000000" w:fill="C5D9F1"/>
            <w:noWrap/>
            <w:vAlign w:val="center"/>
            <w:hideMark/>
          </w:tcPr>
          <w:p w:rsidR="00185608" w:rsidRPr="00A63AD9" w:rsidRDefault="00185608" w:rsidP="00230FAA">
            <w:pPr>
              <w:jc w:val="center"/>
              <w:rPr>
                <w:b/>
                <w:bCs/>
                <w:sz w:val="16"/>
                <w:szCs w:val="16"/>
              </w:rPr>
            </w:pPr>
            <w:r w:rsidRPr="00A63AD9">
              <w:rPr>
                <w:b/>
                <w:bCs/>
                <w:sz w:val="16"/>
                <w:szCs w:val="16"/>
              </w:rPr>
              <w:t xml:space="preserve">Número del resultado previsto y descripción </w:t>
            </w:r>
          </w:p>
        </w:tc>
        <w:tc>
          <w:tcPr>
            <w:tcW w:w="1158" w:type="dxa"/>
            <w:tcBorders>
              <w:top w:val="nil"/>
              <w:left w:val="nil"/>
              <w:bottom w:val="nil"/>
              <w:right w:val="nil"/>
            </w:tcBorders>
            <w:shd w:val="clear" w:color="000000" w:fill="C5D9F1"/>
            <w:vAlign w:val="center"/>
            <w:hideMark/>
          </w:tcPr>
          <w:p w:rsidR="00185608" w:rsidRPr="00A63AD9" w:rsidRDefault="00185608" w:rsidP="00230FAA">
            <w:pPr>
              <w:ind w:left="-79"/>
              <w:jc w:val="center"/>
              <w:rPr>
                <w:b/>
                <w:bCs/>
                <w:sz w:val="16"/>
                <w:szCs w:val="16"/>
              </w:rPr>
            </w:pPr>
            <w:r w:rsidRPr="00A63AD9">
              <w:rPr>
                <w:b/>
                <w:bCs/>
                <w:sz w:val="16"/>
                <w:szCs w:val="16"/>
              </w:rPr>
              <w:t xml:space="preserve"> Presupuesto aprobado de 2016/17 </w:t>
            </w:r>
          </w:p>
        </w:tc>
        <w:tc>
          <w:tcPr>
            <w:tcW w:w="1157" w:type="dxa"/>
            <w:tcBorders>
              <w:top w:val="nil"/>
              <w:left w:val="nil"/>
              <w:bottom w:val="nil"/>
              <w:right w:val="nil"/>
            </w:tcBorders>
            <w:shd w:val="clear" w:color="000000" w:fill="C5D9F1"/>
            <w:vAlign w:val="center"/>
            <w:hideMark/>
          </w:tcPr>
          <w:p w:rsidR="00185608" w:rsidRPr="00A63AD9" w:rsidRDefault="00185608" w:rsidP="00230FAA">
            <w:pPr>
              <w:ind w:left="-79" w:right="-83"/>
              <w:jc w:val="center"/>
              <w:rPr>
                <w:b/>
                <w:bCs/>
                <w:sz w:val="16"/>
                <w:szCs w:val="16"/>
              </w:rPr>
            </w:pPr>
            <w:r w:rsidRPr="00A63AD9">
              <w:rPr>
                <w:b/>
                <w:bCs/>
                <w:sz w:val="16"/>
                <w:szCs w:val="16"/>
              </w:rPr>
              <w:t xml:space="preserve"> Presupuesto de 2016/17 tras las transferencias </w:t>
            </w:r>
          </w:p>
        </w:tc>
        <w:tc>
          <w:tcPr>
            <w:tcW w:w="1171"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 xml:space="preserve"> Gastos en 2016* </w:t>
            </w:r>
          </w:p>
        </w:tc>
      </w:tr>
      <w:tr w:rsidR="00185608" w:rsidRPr="00A63AD9" w:rsidTr="00230FAA">
        <w:trPr>
          <w:trHeight w:val="645"/>
          <w:jc w:val="center"/>
        </w:trPr>
        <w:tc>
          <w:tcPr>
            <w:tcW w:w="477" w:type="dxa"/>
            <w:tcBorders>
              <w:top w:val="nil"/>
              <w:left w:val="nil"/>
              <w:bottom w:val="nil"/>
              <w:right w:val="nil"/>
            </w:tcBorders>
            <w:shd w:val="clear" w:color="auto" w:fill="auto"/>
            <w:noWrap/>
            <w:vAlign w:val="center"/>
            <w:hideMark/>
          </w:tcPr>
          <w:p w:rsidR="00185608" w:rsidRPr="00A63AD9" w:rsidRDefault="00185608" w:rsidP="00230FAA">
            <w:pPr>
              <w:rPr>
                <w:sz w:val="16"/>
                <w:szCs w:val="16"/>
              </w:rPr>
            </w:pPr>
            <w:r w:rsidRPr="00A63AD9">
              <w:rPr>
                <w:sz w:val="16"/>
                <w:szCs w:val="16"/>
              </w:rPr>
              <w:t>I.2</w:t>
            </w:r>
          </w:p>
        </w:tc>
        <w:tc>
          <w:tcPr>
            <w:tcW w:w="4237" w:type="dxa"/>
            <w:tcBorders>
              <w:top w:val="nil"/>
              <w:left w:val="nil"/>
              <w:bottom w:val="nil"/>
              <w:right w:val="nil"/>
            </w:tcBorders>
            <w:shd w:val="clear" w:color="auto" w:fill="auto"/>
            <w:vAlign w:val="center"/>
            <w:hideMark/>
          </w:tcPr>
          <w:p w:rsidR="00185608" w:rsidRPr="00A63AD9" w:rsidRDefault="00185608" w:rsidP="00230FAA">
            <w:pPr>
              <w:rPr>
                <w:sz w:val="16"/>
                <w:szCs w:val="16"/>
              </w:rPr>
            </w:pPr>
            <w:r w:rsidRPr="00A63AD9">
              <w:rPr>
                <w:sz w:val="16"/>
                <w:szCs w:val="16"/>
              </w:rPr>
              <w:t>Marcos de P.I. adaptados y equilibrados en el ámbito legislativo, regulador y de política</w:t>
            </w:r>
          </w:p>
        </w:tc>
        <w:tc>
          <w:tcPr>
            <w:tcW w:w="1158"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792</w:t>
            </w:r>
          </w:p>
        </w:tc>
        <w:tc>
          <w:tcPr>
            <w:tcW w:w="1157"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604</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265</w:t>
            </w:r>
          </w:p>
        </w:tc>
      </w:tr>
      <w:tr w:rsidR="00185608" w:rsidRPr="00A63AD9" w:rsidTr="00230FAA">
        <w:trPr>
          <w:trHeight w:val="795"/>
          <w:jc w:val="center"/>
        </w:trPr>
        <w:tc>
          <w:tcPr>
            <w:tcW w:w="477" w:type="dxa"/>
            <w:tcBorders>
              <w:top w:val="nil"/>
              <w:left w:val="nil"/>
              <w:bottom w:val="nil"/>
              <w:right w:val="nil"/>
            </w:tcBorders>
            <w:shd w:val="clear" w:color="auto" w:fill="auto"/>
            <w:noWrap/>
            <w:vAlign w:val="center"/>
            <w:hideMark/>
          </w:tcPr>
          <w:p w:rsidR="00185608" w:rsidRPr="00A63AD9" w:rsidRDefault="00185608" w:rsidP="00230FAA">
            <w:pPr>
              <w:ind w:left="-42"/>
              <w:rPr>
                <w:sz w:val="16"/>
                <w:szCs w:val="16"/>
              </w:rPr>
            </w:pPr>
            <w:r w:rsidRPr="00A63AD9">
              <w:rPr>
                <w:sz w:val="16"/>
                <w:szCs w:val="16"/>
              </w:rPr>
              <w:t>III.1</w:t>
            </w:r>
          </w:p>
        </w:tc>
        <w:tc>
          <w:tcPr>
            <w:tcW w:w="4237" w:type="dxa"/>
            <w:tcBorders>
              <w:top w:val="nil"/>
              <w:left w:val="nil"/>
              <w:bottom w:val="nil"/>
              <w:right w:val="nil"/>
            </w:tcBorders>
            <w:shd w:val="clear" w:color="auto" w:fill="auto"/>
            <w:vAlign w:val="center"/>
            <w:hideMark/>
          </w:tcPr>
          <w:p w:rsidR="00185608" w:rsidRPr="00A63AD9" w:rsidRDefault="00185608" w:rsidP="00230FAA">
            <w:pPr>
              <w:rPr>
                <w:sz w:val="16"/>
                <w:szCs w:val="16"/>
              </w:rPr>
            </w:pPr>
            <w:r w:rsidRPr="00A63AD9">
              <w:rPr>
                <w:sz w:val="16"/>
                <w:szCs w:val="16"/>
              </w:rPr>
              <w:t>Estrategias y planes nacionales de innovación y de P.I. que estén en sintonía con los objetivos nacionales de desarrollo</w:t>
            </w:r>
          </w:p>
        </w:tc>
        <w:tc>
          <w:tcPr>
            <w:tcW w:w="1158"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8.440</w:t>
            </w:r>
          </w:p>
        </w:tc>
        <w:tc>
          <w:tcPr>
            <w:tcW w:w="1157"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8.992</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4.065</w:t>
            </w:r>
          </w:p>
        </w:tc>
      </w:tr>
      <w:tr w:rsidR="00185608" w:rsidRPr="00A63AD9" w:rsidTr="00230FAA">
        <w:trPr>
          <w:trHeight w:val="1065"/>
          <w:jc w:val="center"/>
        </w:trPr>
        <w:tc>
          <w:tcPr>
            <w:tcW w:w="477" w:type="dxa"/>
            <w:tcBorders>
              <w:top w:val="nil"/>
              <w:left w:val="nil"/>
              <w:bottom w:val="nil"/>
              <w:right w:val="nil"/>
            </w:tcBorders>
            <w:shd w:val="clear" w:color="auto" w:fill="auto"/>
            <w:noWrap/>
            <w:vAlign w:val="center"/>
            <w:hideMark/>
          </w:tcPr>
          <w:p w:rsidR="00185608" w:rsidRPr="00A63AD9" w:rsidRDefault="00185608" w:rsidP="00230FAA">
            <w:pPr>
              <w:ind w:left="-42"/>
              <w:rPr>
                <w:sz w:val="16"/>
                <w:szCs w:val="16"/>
              </w:rPr>
            </w:pPr>
            <w:r w:rsidRPr="00A63AD9">
              <w:rPr>
                <w:sz w:val="16"/>
                <w:szCs w:val="16"/>
              </w:rPr>
              <w:t>III.2</w:t>
            </w:r>
          </w:p>
        </w:tc>
        <w:tc>
          <w:tcPr>
            <w:tcW w:w="4237" w:type="dxa"/>
            <w:tcBorders>
              <w:top w:val="nil"/>
              <w:left w:val="nil"/>
              <w:bottom w:val="nil"/>
              <w:right w:val="nil"/>
            </w:tcBorders>
            <w:shd w:val="clear" w:color="auto" w:fill="auto"/>
            <w:vAlign w:val="center"/>
            <w:hideMark/>
          </w:tcPr>
          <w:p w:rsidR="00185608" w:rsidRPr="00A63AD9" w:rsidRDefault="00185608" w:rsidP="00230FAA">
            <w:pPr>
              <w:rPr>
                <w:sz w:val="16"/>
                <w:szCs w:val="16"/>
              </w:rPr>
            </w:pPr>
            <w:r w:rsidRPr="00A63AD9">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58"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11.174</w:t>
            </w:r>
          </w:p>
        </w:tc>
        <w:tc>
          <w:tcPr>
            <w:tcW w:w="1157"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9.855</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4.574</w:t>
            </w:r>
          </w:p>
        </w:tc>
      </w:tr>
      <w:tr w:rsidR="00185608" w:rsidRPr="00A63AD9" w:rsidTr="00230FAA">
        <w:trPr>
          <w:trHeight w:val="480"/>
          <w:jc w:val="center"/>
        </w:trPr>
        <w:tc>
          <w:tcPr>
            <w:tcW w:w="477" w:type="dxa"/>
            <w:tcBorders>
              <w:top w:val="nil"/>
              <w:left w:val="nil"/>
              <w:bottom w:val="nil"/>
              <w:right w:val="nil"/>
            </w:tcBorders>
            <w:shd w:val="clear" w:color="auto" w:fill="auto"/>
            <w:noWrap/>
            <w:vAlign w:val="center"/>
            <w:hideMark/>
          </w:tcPr>
          <w:p w:rsidR="00185608" w:rsidRPr="00A63AD9" w:rsidRDefault="00185608" w:rsidP="00230FAA">
            <w:pPr>
              <w:ind w:left="-42"/>
              <w:rPr>
                <w:sz w:val="16"/>
                <w:szCs w:val="16"/>
              </w:rPr>
            </w:pPr>
            <w:r w:rsidRPr="00A63AD9">
              <w:rPr>
                <w:sz w:val="16"/>
                <w:szCs w:val="16"/>
              </w:rPr>
              <w:t>III.3</w:t>
            </w:r>
          </w:p>
        </w:tc>
        <w:tc>
          <w:tcPr>
            <w:tcW w:w="4237" w:type="dxa"/>
            <w:tcBorders>
              <w:top w:val="nil"/>
              <w:left w:val="nil"/>
              <w:bottom w:val="nil"/>
              <w:right w:val="nil"/>
            </w:tcBorders>
            <w:shd w:val="clear" w:color="auto" w:fill="auto"/>
            <w:vAlign w:val="center"/>
            <w:hideMark/>
          </w:tcPr>
          <w:p w:rsidR="00185608" w:rsidRPr="00A63AD9" w:rsidRDefault="00185608" w:rsidP="00230FAA">
            <w:pPr>
              <w:rPr>
                <w:sz w:val="16"/>
                <w:szCs w:val="16"/>
              </w:rPr>
            </w:pPr>
            <w:r w:rsidRPr="00A63AD9">
              <w:rPr>
                <w:sz w:val="16"/>
                <w:szCs w:val="16"/>
              </w:rPr>
              <w:t>Incorporación de las recomendaciones de la Agenda para el Desarrollo en la labor de la OMPI</w:t>
            </w:r>
          </w:p>
        </w:tc>
        <w:tc>
          <w:tcPr>
            <w:tcW w:w="1158"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214</w:t>
            </w:r>
          </w:p>
        </w:tc>
        <w:tc>
          <w:tcPr>
            <w:tcW w:w="1157"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201</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96</w:t>
            </w:r>
          </w:p>
        </w:tc>
      </w:tr>
      <w:tr w:rsidR="00185608" w:rsidRPr="00A63AD9" w:rsidTr="00230FAA">
        <w:trPr>
          <w:trHeight w:val="600"/>
          <w:jc w:val="center"/>
        </w:trPr>
        <w:tc>
          <w:tcPr>
            <w:tcW w:w="477" w:type="dxa"/>
            <w:tcBorders>
              <w:top w:val="nil"/>
              <w:left w:val="nil"/>
              <w:bottom w:val="nil"/>
              <w:right w:val="nil"/>
            </w:tcBorders>
            <w:shd w:val="clear" w:color="auto" w:fill="auto"/>
            <w:noWrap/>
            <w:vAlign w:val="center"/>
            <w:hideMark/>
          </w:tcPr>
          <w:p w:rsidR="00185608" w:rsidRPr="00A63AD9" w:rsidRDefault="00185608" w:rsidP="00230FAA">
            <w:pPr>
              <w:ind w:left="-42"/>
              <w:rPr>
                <w:sz w:val="16"/>
                <w:szCs w:val="16"/>
              </w:rPr>
            </w:pPr>
            <w:r w:rsidRPr="00A63AD9">
              <w:rPr>
                <w:sz w:val="16"/>
                <w:szCs w:val="16"/>
              </w:rPr>
              <w:t>III.4</w:t>
            </w:r>
          </w:p>
        </w:tc>
        <w:tc>
          <w:tcPr>
            <w:tcW w:w="4237" w:type="dxa"/>
            <w:tcBorders>
              <w:top w:val="nil"/>
              <w:left w:val="nil"/>
              <w:bottom w:val="nil"/>
              <w:right w:val="nil"/>
            </w:tcBorders>
            <w:shd w:val="clear" w:color="auto" w:fill="auto"/>
            <w:vAlign w:val="center"/>
            <w:hideMark/>
          </w:tcPr>
          <w:p w:rsidR="00185608" w:rsidRPr="00A63AD9" w:rsidRDefault="00185608" w:rsidP="00230FAA">
            <w:pPr>
              <w:rPr>
                <w:sz w:val="16"/>
                <w:szCs w:val="16"/>
              </w:rPr>
            </w:pPr>
            <w:r w:rsidRPr="00A63AD9">
              <w:rPr>
                <w:sz w:val="16"/>
                <w:szCs w:val="16"/>
              </w:rPr>
              <w:t>Fortalecimiento de los mecanismos y de los programas de cooperación conforme a las necesidades de los países en desarrollo y los PMA</w:t>
            </w:r>
          </w:p>
        </w:tc>
        <w:tc>
          <w:tcPr>
            <w:tcW w:w="1158"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5.383</w:t>
            </w:r>
          </w:p>
        </w:tc>
        <w:tc>
          <w:tcPr>
            <w:tcW w:w="1157"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6.347</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3.063</w:t>
            </w:r>
          </w:p>
        </w:tc>
      </w:tr>
      <w:tr w:rsidR="00185608" w:rsidRPr="00A63AD9" w:rsidTr="00230FAA">
        <w:trPr>
          <w:trHeight w:val="675"/>
          <w:jc w:val="center"/>
        </w:trPr>
        <w:tc>
          <w:tcPr>
            <w:tcW w:w="477" w:type="dxa"/>
            <w:tcBorders>
              <w:top w:val="nil"/>
              <w:left w:val="nil"/>
              <w:bottom w:val="nil"/>
              <w:right w:val="nil"/>
            </w:tcBorders>
            <w:shd w:val="clear" w:color="auto" w:fill="auto"/>
            <w:noWrap/>
            <w:vAlign w:val="center"/>
            <w:hideMark/>
          </w:tcPr>
          <w:p w:rsidR="00185608" w:rsidRPr="00A63AD9" w:rsidRDefault="00185608" w:rsidP="00230FAA">
            <w:pPr>
              <w:ind w:left="-42"/>
              <w:rPr>
                <w:sz w:val="16"/>
                <w:szCs w:val="16"/>
              </w:rPr>
            </w:pPr>
            <w:r w:rsidRPr="00A63AD9">
              <w:rPr>
                <w:sz w:val="16"/>
                <w:szCs w:val="16"/>
              </w:rPr>
              <w:t>IV.2</w:t>
            </w:r>
          </w:p>
        </w:tc>
        <w:tc>
          <w:tcPr>
            <w:tcW w:w="4237" w:type="dxa"/>
            <w:tcBorders>
              <w:top w:val="nil"/>
              <w:left w:val="nil"/>
              <w:bottom w:val="nil"/>
              <w:right w:val="nil"/>
            </w:tcBorders>
            <w:shd w:val="clear" w:color="auto" w:fill="auto"/>
            <w:vAlign w:val="center"/>
            <w:hideMark/>
          </w:tcPr>
          <w:p w:rsidR="00185608" w:rsidRPr="00A63AD9" w:rsidRDefault="00185608" w:rsidP="00230FAA">
            <w:pPr>
              <w:rPr>
                <w:sz w:val="16"/>
                <w:szCs w:val="16"/>
              </w:rPr>
            </w:pPr>
            <w:r w:rsidRPr="00A63AD9">
              <w:rPr>
                <w:sz w:val="16"/>
                <w:szCs w:val="16"/>
              </w:rPr>
              <w:t>Mejora del acceso y uso de información de P.I. por parte de instituciones de P.I. y el público para fomentar la innovación y la creatividad</w:t>
            </w:r>
          </w:p>
        </w:tc>
        <w:tc>
          <w:tcPr>
            <w:tcW w:w="1158"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4.564</w:t>
            </w:r>
          </w:p>
        </w:tc>
        <w:tc>
          <w:tcPr>
            <w:tcW w:w="1157"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3.844</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1.816</w:t>
            </w:r>
          </w:p>
        </w:tc>
      </w:tr>
      <w:tr w:rsidR="00185608" w:rsidRPr="00A63AD9" w:rsidTr="00230FAA">
        <w:trPr>
          <w:trHeight w:val="990"/>
          <w:jc w:val="center"/>
        </w:trPr>
        <w:tc>
          <w:tcPr>
            <w:tcW w:w="477" w:type="dxa"/>
            <w:tcBorders>
              <w:top w:val="nil"/>
              <w:left w:val="nil"/>
              <w:bottom w:val="nil"/>
              <w:right w:val="nil"/>
            </w:tcBorders>
            <w:shd w:val="clear" w:color="auto" w:fill="auto"/>
            <w:noWrap/>
            <w:vAlign w:val="center"/>
            <w:hideMark/>
          </w:tcPr>
          <w:p w:rsidR="00185608" w:rsidRPr="00A63AD9" w:rsidRDefault="00185608" w:rsidP="00230FAA">
            <w:pPr>
              <w:ind w:left="-42"/>
              <w:rPr>
                <w:sz w:val="16"/>
                <w:szCs w:val="16"/>
              </w:rPr>
            </w:pPr>
            <w:r w:rsidRPr="00A63AD9">
              <w:rPr>
                <w:sz w:val="16"/>
                <w:szCs w:val="16"/>
              </w:rPr>
              <w:t>IV.4</w:t>
            </w:r>
          </w:p>
        </w:tc>
        <w:tc>
          <w:tcPr>
            <w:tcW w:w="4237" w:type="dxa"/>
            <w:tcBorders>
              <w:top w:val="nil"/>
              <w:left w:val="nil"/>
              <w:bottom w:val="nil"/>
              <w:right w:val="nil"/>
            </w:tcBorders>
            <w:shd w:val="clear" w:color="auto" w:fill="auto"/>
            <w:vAlign w:val="center"/>
            <w:hideMark/>
          </w:tcPr>
          <w:p w:rsidR="00185608" w:rsidRPr="00A63AD9" w:rsidRDefault="00185608" w:rsidP="00230FAA">
            <w:pPr>
              <w:rPr>
                <w:sz w:val="16"/>
                <w:szCs w:val="16"/>
              </w:rPr>
            </w:pPr>
            <w:r w:rsidRPr="00A63AD9">
              <w:rPr>
                <w:sz w:val="16"/>
                <w:szCs w:val="16"/>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1158"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1.339</w:t>
            </w:r>
          </w:p>
        </w:tc>
        <w:tc>
          <w:tcPr>
            <w:tcW w:w="1157"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1.120</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jc w:val="center"/>
              <w:rPr>
                <w:sz w:val="16"/>
                <w:szCs w:val="16"/>
              </w:rPr>
            </w:pPr>
            <w:r w:rsidRPr="00A63AD9">
              <w:rPr>
                <w:sz w:val="16"/>
                <w:szCs w:val="16"/>
              </w:rPr>
              <w:t>281</w:t>
            </w:r>
          </w:p>
        </w:tc>
      </w:tr>
      <w:tr w:rsidR="00185608" w:rsidRPr="00A63AD9" w:rsidTr="00230FAA">
        <w:trPr>
          <w:trHeight w:val="225"/>
          <w:jc w:val="center"/>
        </w:trPr>
        <w:tc>
          <w:tcPr>
            <w:tcW w:w="477" w:type="dxa"/>
            <w:tcBorders>
              <w:top w:val="nil"/>
              <w:left w:val="nil"/>
              <w:bottom w:val="nil"/>
              <w:right w:val="nil"/>
            </w:tcBorders>
            <w:shd w:val="clear" w:color="000000" w:fill="C5D9F1"/>
            <w:noWrap/>
            <w:vAlign w:val="bottom"/>
            <w:hideMark/>
          </w:tcPr>
          <w:p w:rsidR="00185608" w:rsidRPr="00A63AD9" w:rsidRDefault="00185608" w:rsidP="00230FAA">
            <w:pPr>
              <w:rPr>
                <w:sz w:val="16"/>
                <w:szCs w:val="16"/>
              </w:rPr>
            </w:pPr>
            <w:r w:rsidRPr="00A63AD9">
              <w:rPr>
                <w:sz w:val="16"/>
                <w:szCs w:val="16"/>
              </w:rPr>
              <w:t> </w:t>
            </w:r>
          </w:p>
        </w:tc>
        <w:tc>
          <w:tcPr>
            <w:tcW w:w="4237" w:type="dxa"/>
            <w:tcBorders>
              <w:top w:val="nil"/>
              <w:left w:val="nil"/>
              <w:bottom w:val="nil"/>
              <w:right w:val="nil"/>
            </w:tcBorders>
            <w:shd w:val="clear" w:color="000000" w:fill="C5D9F1"/>
            <w:noWrap/>
            <w:vAlign w:val="bottom"/>
            <w:hideMark/>
          </w:tcPr>
          <w:p w:rsidR="00185608" w:rsidRPr="00A63AD9" w:rsidRDefault="00185608" w:rsidP="00230FAA">
            <w:pPr>
              <w:jc w:val="right"/>
              <w:rPr>
                <w:b/>
                <w:bCs/>
                <w:sz w:val="16"/>
                <w:szCs w:val="16"/>
              </w:rPr>
            </w:pPr>
            <w:r w:rsidRPr="00A63AD9">
              <w:rPr>
                <w:b/>
                <w:bCs/>
                <w:sz w:val="16"/>
                <w:szCs w:val="16"/>
              </w:rPr>
              <w:t>Total</w:t>
            </w:r>
          </w:p>
        </w:tc>
        <w:tc>
          <w:tcPr>
            <w:tcW w:w="1158" w:type="dxa"/>
            <w:tcBorders>
              <w:top w:val="nil"/>
              <w:left w:val="nil"/>
              <w:bottom w:val="nil"/>
              <w:right w:val="nil"/>
            </w:tcBorders>
            <w:shd w:val="clear" w:color="000000" w:fill="C5D9F1"/>
            <w:noWrap/>
            <w:vAlign w:val="center"/>
            <w:hideMark/>
          </w:tcPr>
          <w:p w:rsidR="00185608" w:rsidRPr="00A63AD9" w:rsidRDefault="00185608" w:rsidP="00230FAA">
            <w:pPr>
              <w:jc w:val="center"/>
              <w:rPr>
                <w:sz w:val="16"/>
                <w:szCs w:val="16"/>
              </w:rPr>
            </w:pPr>
            <w:r w:rsidRPr="00A63AD9">
              <w:rPr>
                <w:sz w:val="16"/>
                <w:szCs w:val="16"/>
              </w:rPr>
              <w:t>31.907</w:t>
            </w:r>
          </w:p>
        </w:tc>
        <w:tc>
          <w:tcPr>
            <w:tcW w:w="1157" w:type="dxa"/>
            <w:tcBorders>
              <w:top w:val="nil"/>
              <w:left w:val="nil"/>
              <w:bottom w:val="nil"/>
              <w:right w:val="nil"/>
            </w:tcBorders>
            <w:shd w:val="clear" w:color="000000" w:fill="C5D9F1"/>
            <w:noWrap/>
            <w:vAlign w:val="center"/>
            <w:hideMark/>
          </w:tcPr>
          <w:p w:rsidR="00185608" w:rsidRPr="00A63AD9" w:rsidRDefault="00185608" w:rsidP="00230FAA">
            <w:pPr>
              <w:jc w:val="center"/>
              <w:rPr>
                <w:sz w:val="16"/>
                <w:szCs w:val="16"/>
              </w:rPr>
            </w:pPr>
            <w:r w:rsidRPr="00A63AD9">
              <w:rPr>
                <w:sz w:val="16"/>
                <w:szCs w:val="16"/>
              </w:rPr>
              <w:t>30.962</w:t>
            </w:r>
          </w:p>
        </w:tc>
        <w:tc>
          <w:tcPr>
            <w:tcW w:w="1171" w:type="dxa"/>
            <w:tcBorders>
              <w:top w:val="nil"/>
              <w:left w:val="nil"/>
              <w:bottom w:val="nil"/>
              <w:right w:val="nil"/>
            </w:tcBorders>
            <w:shd w:val="clear" w:color="000000" w:fill="C5D9F1"/>
            <w:noWrap/>
            <w:vAlign w:val="center"/>
            <w:hideMark/>
          </w:tcPr>
          <w:p w:rsidR="00185608" w:rsidRPr="00A63AD9" w:rsidRDefault="00185608" w:rsidP="00230FAA">
            <w:pPr>
              <w:jc w:val="center"/>
              <w:rPr>
                <w:sz w:val="16"/>
                <w:szCs w:val="16"/>
              </w:rPr>
            </w:pPr>
            <w:r w:rsidRPr="00A63AD9">
              <w:rPr>
                <w:sz w:val="16"/>
                <w:szCs w:val="16"/>
              </w:rPr>
              <w:t>14.160</w:t>
            </w:r>
          </w:p>
        </w:tc>
      </w:tr>
      <w:tr w:rsidR="00185608" w:rsidRPr="00A63AD9" w:rsidTr="00230FAA">
        <w:trPr>
          <w:trHeight w:val="330"/>
          <w:jc w:val="center"/>
        </w:trPr>
        <w:tc>
          <w:tcPr>
            <w:tcW w:w="7029" w:type="dxa"/>
            <w:gridSpan w:val="4"/>
            <w:tcBorders>
              <w:top w:val="nil"/>
              <w:left w:val="nil"/>
              <w:bottom w:val="nil"/>
              <w:right w:val="nil"/>
            </w:tcBorders>
            <w:shd w:val="clear" w:color="auto" w:fill="auto"/>
            <w:noWrap/>
            <w:vAlign w:val="center"/>
            <w:hideMark/>
          </w:tcPr>
          <w:p w:rsidR="00185608" w:rsidRPr="00A63AD9" w:rsidRDefault="00185608" w:rsidP="00230FAA">
            <w:pPr>
              <w:rPr>
                <w:i/>
                <w:iCs/>
                <w:sz w:val="16"/>
                <w:szCs w:val="16"/>
              </w:rPr>
            </w:pPr>
            <w:r w:rsidRPr="00A63AD9">
              <w:rPr>
                <w:i/>
                <w:iCs/>
                <w:sz w:val="16"/>
                <w:szCs w:val="16"/>
              </w:rPr>
              <w:t>*Las cifras de gastos en 2016 son preliminares, a reserva de verificación por el Auditor Externo.</w:t>
            </w:r>
          </w:p>
        </w:tc>
        <w:tc>
          <w:tcPr>
            <w:tcW w:w="1171" w:type="dxa"/>
            <w:tcBorders>
              <w:top w:val="nil"/>
              <w:left w:val="nil"/>
              <w:bottom w:val="nil"/>
              <w:right w:val="nil"/>
            </w:tcBorders>
            <w:shd w:val="clear" w:color="auto" w:fill="auto"/>
            <w:noWrap/>
            <w:vAlign w:val="center"/>
            <w:hideMark/>
          </w:tcPr>
          <w:p w:rsidR="00185608" w:rsidRPr="00A63AD9" w:rsidRDefault="00185608" w:rsidP="00230FAA">
            <w:pPr>
              <w:rPr>
                <w:sz w:val="16"/>
                <w:szCs w:val="16"/>
              </w:rPr>
            </w:pPr>
          </w:p>
        </w:tc>
      </w:tr>
    </w:tbl>
    <w:p w:rsidR="00185608" w:rsidRPr="00A63AD9" w:rsidRDefault="00185608" w:rsidP="00230FAA">
      <w:pPr>
        <w:rPr>
          <w:sz w:val="20"/>
        </w:rPr>
      </w:pPr>
    </w:p>
    <w:p w:rsidR="00185608" w:rsidRPr="00A63AD9" w:rsidRDefault="00185608" w:rsidP="00230FAA">
      <w:pPr>
        <w:pStyle w:val="NormalWeb"/>
        <w:keepNext/>
        <w:keepLines/>
        <w:spacing w:before="0" w:beforeAutospacing="0" w:after="0" w:afterAutospacing="0"/>
        <w:jc w:val="center"/>
        <w:rPr>
          <w:lang w:val="es-ES"/>
        </w:rPr>
      </w:pPr>
      <w:r w:rsidRPr="00A63AD9">
        <w:rPr>
          <w:lang w:val="es-ES"/>
        </w:rPr>
        <w:t xml:space="preserve">Presupuesto y gastos reales (de personal y no relativos a personal) </w:t>
      </w:r>
    </w:p>
    <w:p w:rsidR="00185608" w:rsidRPr="00A63AD9" w:rsidRDefault="00185608" w:rsidP="00230FAA">
      <w:pPr>
        <w:pStyle w:val="NormalWeb"/>
        <w:keepNext/>
        <w:keepLines/>
        <w:spacing w:before="0" w:beforeAutospacing="0" w:after="0" w:afterAutospacing="0"/>
        <w:jc w:val="center"/>
        <w:rPr>
          <w:i/>
          <w:iCs/>
          <w:sz w:val="16"/>
          <w:szCs w:val="16"/>
          <w:lang w:val="es-ES"/>
        </w:rPr>
      </w:pPr>
      <w:r w:rsidRPr="00A63AD9">
        <w:rPr>
          <w:i/>
          <w:iCs/>
          <w:sz w:val="16"/>
          <w:szCs w:val="16"/>
          <w:lang w:val="es-ES"/>
        </w:rPr>
        <w:t>(en miles de francos suizos)</w:t>
      </w:r>
    </w:p>
    <w:p w:rsidR="00185608" w:rsidRPr="00A63AD9" w:rsidRDefault="00185608" w:rsidP="00230FAA">
      <w:pPr>
        <w:rPr>
          <w:sz w:val="20"/>
        </w:rPr>
      </w:pPr>
    </w:p>
    <w:tbl>
      <w:tblPr>
        <w:tblW w:w="8222" w:type="dxa"/>
        <w:jc w:val="center"/>
        <w:tblLayout w:type="fixed"/>
        <w:tblLook w:val="04A0" w:firstRow="1" w:lastRow="0" w:firstColumn="1" w:lastColumn="0" w:noHBand="0" w:noVBand="1"/>
      </w:tblPr>
      <w:tblGrid>
        <w:gridCol w:w="2470"/>
        <w:gridCol w:w="1438"/>
        <w:gridCol w:w="1438"/>
        <w:gridCol w:w="1438"/>
        <w:gridCol w:w="1438"/>
      </w:tblGrid>
      <w:tr w:rsidR="00185608" w:rsidRPr="00A63AD9" w:rsidTr="00230FAA">
        <w:trPr>
          <w:trHeight w:val="720"/>
          <w:jc w:val="center"/>
        </w:trPr>
        <w:tc>
          <w:tcPr>
            <w:tcW w:w="2440" w:type="dxa"/>
            <w:tcBorders>
              <w:top w:val="nil"/>
              <w:left w:val="nil"/>
              <w:bottom w:val="nil"/>
              <w:right w:val="nil"/>
            </w:tcBorders>
            <w:shd w:val="clear" w:color="000000" w:fill="C5D9F1"/>
            <w:noWrap/>
            <w:vAlign w:val="center"/>
            <w:hideMark/>
          </w:tcPr>
          <w:p w:rsidR="00185608" w:rsidRPr="00A63AD9" w:rsidRDefault="00185608" w:rsidP="00230FAA">
            <w:pPr>
              <w:rPr>
                <w:sz w:val="16"/>
                <w:szCs w:val="16"/>
              </w:rPr>
            </w:pPr>
            <w:r w:rsidRPr="00A63AD9">
              <w:rPr>
                <w:sz w:val="16"/>
                <w:szCs w:val="16"/>
              </w:rPr>
              <w:t> </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Gastos en 2016*</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Índice de utilización (%)</w:t>
            </w:r>
          </w:p>
        </w:tc>
      </w:tr>
      <w:tr w:rsidR="00185608" w:rsidRPr="00A63AD9"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A63AD9" w:rsidRDefault="00185608" w:rsidP="00230FAA">
            <w:pPr>
              <w:rPr>
                <w:sz w:val="16"/>
                <w:szCs w:val="16"/>
              </w:rPr>
            </w:pPr>
            <w:r w:rsidRPr="00A63AD9">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 xml:space="preserve">22.993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 xml:space="preserve">22.088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 xml:space="preserve">10.968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50%</w:t>
            </w:r>
          </w:p>
        </w:tc>
      </w:tr>
      <w:tr w:rsidR="00185608" w:rsidRPr="00A63AD9"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A63AD9" w:rsidRDefault="00185608" w:rsidP="00230FAA">
            <w:pPr>
              <w:rPr>
                <w:sz w:val="16"/>
                <w:szCs w:val="16"/>
              </w:rPr>
            </w:pPr>
            <w:r w:rsidRPr="00A63AD9">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 xml:space="preserve">8.913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 xml:space="preserve">8.874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 xml:space="preserve">3.192 </w:t>
            </w:r>
          </w:p>
        </w:tc>
        <w:tc>
          <w:tcPr>
            <w:tcW w:w="1420" w:type="dxa"/>
            <w:tcBorders>
              <w:top w:val="nil"/>
              <w:left w:val="nil"/>
              <w:bottom w:val="nil"/>
              <w:right w:val="nil"/>
            </w:tcBorders>
            <w:shd w:val="clear" w:color="auto" w:fill="auto"/>
            <w:vAlign w:val="center"/>
            <w:hideMark/>
          </w:tcPr>
          <w:p w:rsidR="00185608" w:rsidRPr="00A63AD9" w:rsidRDefault="00185608" w:rsidP="00230FAA">
            <w:pPr>
              <w:jc w:val="center"/>
              <w:rPr>
                <w:sz w:val="16"/>
                <w:szCs w:val="16"/>
              </w:rPr>
            </w:pPr>
            <w:r w:rsidRPr="00A63AD9">
              <w:rPr>
                <w:sz w:val="16"/>
                <w:szCs w:val="16"/>
              </w:rPr>
              <w:t>36%</w:t>
            </w:r>
          </w:p>
        </w:tc>
      </w:tr>
      <w:tr w:rsidR="00185608" w:rsidRPr="00A63AD9" w:rsidTr="00230FAA">
        <w:trPr>
          <w:trHeight w:val="225"/>
          <w:jc w:val="center"/>
        </w:trPr>
        <w:tc>
          <w:tcPr>
            <w:tcW w:w="2440" w:type="dxa"/>
            <w:tcBorders>
              <w:top w:val="nil"/>
              <w:left w:val="nil"/>
              <w:bottom w:val="nil"/>
              <w:right w:val="nil"/>
            </w:tcBorders>
            <w:shd w:val="clear" w:color="000000" w:fill="C5D9F1"/>
            <w:noWrap/>
            <w:vAlign w:val="center"/>
            <w:hideMark/>
          </w:tcPr>
          <w:p w:rsidR="00185608" w:rsidRPr="00A63AD9" w:rsidRDefault="00185608" w:rsidP="00230FAA">
            <w:pPr>
              <w:jc w:val="right"/>
              <w:rPr>
                <w:b/>
                <w:bCs/>
                <w:sz w:val="16"/>
                <w:szCs w:val="16"/>
              </w:rPr>
            </w:pPr>
            <w:r w:rsidRPr="00A63AD9">
              <w:rPr>
                <w:b/>
                <w:bCs/>
                <w:sz w:val="16"/>
                <w:szCs w:val="16"/>
              </w:rPr>
              <w:t xml:space="preserve"> Total </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 xml:space="preserve">31.907 </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 xml:space="preserve">30.962 </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 xml:space="preserve">14.160 </w:t>
            </w:r>
          </w:p>
        </w:tc>
        <w:tc>
          <w:tcPr>
            <w:tcW w:w="1420" w:type="dxa"/>
            <w:tcBorders>
              <w:top w:val="nil"/>
              <w:left w:val="nil"/>
              <w:bottom w:val="nil"/>
              <w:right w:val="nil"/>
            </w:tcBorders>
            <w:shd w:val="clear" w:color="000000" w:fill="C5D9F1"/>
            <w:vAlign w:val="center"/>
            <w:hideMark/>
          </w:tcPr>
          <w:p w:rsidR="00185608" w:rsidRPr="00A63AD9" w:rsidRDefault="00185608" w:rsidP="00230FAA">
            <w:pPr>
              <w:jc w:val="center"/>
              <w:rPr>
                <w:b/>
                <w:bCs/>
                <w:sz w:val="16"/>
                <w:szCs w:val="16"/>
              </w:rPr>
            </w:pPr>
            <w:r w:rsidRPr="00A63AD9">
              <w:rPr>
                <w:b/>
                <w:bCs/>
                <w:sz w:val="16"/>
                <w:szCs w:val="16"/>
              </w:rPr>
              <w:t>46%</w:t>
            </w:r>
          </w:p>
        </w:tc>
      </w:tr>
      <w:tr w:rsidR="00185608" w:rsidRPr="00A63AD9" w:rsidTr="00230FAA">
        <w:trPr>
          <w:trHeight w:val="300"/>
          <w:jc w:val="center"/>
        </w:trPr>
        <w:tc>
          <w:tcPr>
            <w:tcW w:w="8120" w:type="dxa"/>
            <w:gridSpan w:val="5"/>
            <w:tcBorders>
              <w:top w:val="nil"/>
              <w:left w:val="nil"/>
              <w:bottom w:val="nil"/>
              <w:right w:val="nil"/>
            </w:tcBorders>
            <w:shd w:val="clear" w:color="auto" w:fill="auto"/>
            <w:noWrap/>
            <w:vAlign w:val="center"/>
            <w:hideMark/>
          </w:tcPr>
          <w:p w:rsidR="00185608" w:rsidRPr="00A63AD9" w:rsidRDefault="00185608" w:rsidP="00230FAA">
            <w:pPr>
              <w:rPr>
                <w:i/>
                <w:iCs/>
                <w:sz w:val="16"/>
                <w:szCs w:val="16"/>
              </w:rPr>
            </w:pPr>
            <w:r w:rsidRPr="00A63AD9">
              <w:rPr>
                <w:i/>
                <w:iCs/>
                <w:sz w:val="16"/>
                <w:szCs w:val="16"/>
              </w:rPr>
              <w:t xml:space="preserve"> *Las cifras de gastos en 2016 son preliminares, a reserva de verificación por el Auditor Externo.</w:t>
            </w:r>
          </w:p>
        </w:tc>
      </w:tr>
    </w:tbl>
    <w:p w:rsidR="00185608" w:rsidRPr="00A63AD9" w:rsidRDefault="00185608" w:rsidP="00230FAA">
      <w:pPr>
        <w:jc w:val="center"/>
        <w:rPr>
          <w:sz w:val="20"/>
        </w:rPr>
      </w:pPr>
    </w:p>
    <w:p w:rsidR="00185608" w:rsidRPr="00A63AD9" w:rsidRDefault="00185608" w:rsidP="00230FAA">
      <w:pPr>
        <w:keepNext/>
        <w:keepLines/>
        <w:ind w:left="567" w:right="424"/>
        <w:rPr>
          <w:i/>
          <w:sz w:val="16"/>
          <w:szCs w:val="16"/>
        </w:rPr>
      </w:pPr>
      <w:r w:rsidRPr="00A63AD9">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185608" w:rsidRPr="00A63AD9" w:rsidRDefault="00185608" w:rsidP="00230FAA">
      <w:pPr>
        <w:rPr>
          <w:sz w:val="20"/>
        </w:rPr>
      </w:pPr>
    </w:p>
    <w:p w:rsidR="00185608" w:rsidRPr="00A63AD9" w:rsidRDefault="00185608" w:rsidP="00230FAA">
      <w:pPr>
        <w:rPr>
          <w:sz w:val="20"/>
        </w:rPr>
      </w:pPr>
    </w:p>
    <w:p w:rsidR="00185608" w:rsidRPr="00A63AD9" w:rsidRDefault="00185608" w:rsidP="00230FAA">
      <w:pPr>
        <w:keepNext/>
        <w:jc w:val="both"/>
        <w:rPr>
          <w:sz w:val="20"/>
          <w:u w:val="single"/>
        </w:rPr>
      </w:pPr>
      <w:r w:rsidRPr="00A63AD9">
        <w:rPr>
          <w:sz w:val="20"/>
        </w:rPr>
        <w:t>A.</w:t>
      </w:r>
      <w:r w:rsidRPr="00A63AD9">
        <w:rPr>
          <w:sz w:val="20"/>
        </w:rPr>
        <w:tab/>
      </w:r>
      <w:r w:rsidRPr="00A63AD9">
        <w:rPr>
          <w:sz w:val="20"/>
          <w:u w:val="single"/>
        </w:rPr>
        <w:t>Presupuesto de 2016/17 tras las transferencias</w:t>
      </w:r>
    </w:p>
    <w:p w:rsidR="00185608" w:rsidRPr="00A63AD9" w:rsidRDefault="00185608" w:rsidP="00230FAA">
      <w:pPr>
        <w:keepNext/>
        <w:jc w:val="both"/>
        <w:rPr>
          <w:sz w:val="20"/>
        </w:rPr>
      </w:pPr>
    </w:p>
    <w:p w:rsidR="00185608" w:rsidRPr="00A63AD9" w:rsidRDefault="00185608" w:rsidP="00185608">
      <w:pPr>
        <w:pStyle w:val="ListParagraph"/>
        <w:keepNext/>
        <w:numPr>
          <w:ilvl w:val="0"/>
          <w:numId w:val="52"/>
        </w:numPr>
        <w:ind w:left="0" w:firstLine="0"/>
        <w:jc w:val="both"/>
        <w:rPr>
          <w:rFonts w:cs="Arial"/>
          <w:lang w:val="es-ES"/>
        </w:rPr>
      </w:pPr>
      <w:r w:rsidRPr="00A63AD9">
        <w:rPr>
          <w:rFonts w:cs="Arial"/>
          <w:lang w:val="es-ES"/>
        </w:rPr>
        <w:t xml:space="preserve">La leve disminución en recursos no relativos a personal </w:t>
      </w:r>
      <w:r w:rsidR="0048069B">
        <w:rPr>
          <w:rFonts w:cs="Arial"/>
          <w:lang w:val="es-ES"/>
        </w:rPr>
        <w:t>se debió</w:t>
      </w:r>
      <w:r w:rsidRPr="00A63AD9">
        <w:rPr>
          <w:rFonts w:cs="Arial"/>
          <w:lang w:val="es-ES"/>
        </w:rPr>
        <w:t xml:space="preserve"> a la transferencia de recursos desde el programa al DGRRHH (programa 23) para posibilitar la participación de dos miembros del personal en los cursos de formación.  Los cambios en los resultados previstos reflejan la reasignación tanto de los recursos de personal como de los recursos no relativos a personal con arreglo a los planes de trabajo de 2016. </w:t>
      </w:r>
    </w:p>
    <w:p w:rsidR="00185608" w:rsidRPr="00A63AD9" w:rsidRDefault="00185608" w:rsidP="00230FAA">
      <w:pPr>
        <w:jc w:val="both"/>
        <w:rPr>
          <w:sz w:val="20"/>
        </w:rPr>
      </w:pPr>
    </w:p>
    <w:p w:rsidR="00185608" w:rsidRPr="00A63AD9" w:rsidRDefault="00185608" w:rsidP="00156844">
      <w:pPr>
        <w:keepNext/>
        <w:keepLines/>
        <w:jc w:val="both"/>
        <w:rPr>
          <w:sz w:val="20"/>
          <w:u w:val="single"/>
        </w:rPr>
      </w:pPr>
      <w:r w:rsidRPr="00A63AD9">
        <w:rPr>
          <w:sz w:val="20"/>
        </w:rPr>
        <w:lastRenderedPageBreak/>
        <w:t>B.</w:t>
      </w:r>
      <w:r w:rsidRPr="00A63AD9">
        <w:rPr>
          <w:sz w:val="20"/>
        </w:rPr>
        <w:tab/>
      </w:r>
      <w:r w:rsidRPr="00A63AD9">
        <w:rPr>
          <w:sz w:val="20"/>
          <w:u w:val="single"/>
        </w:rPr>
        <w:t>Utilización del presupuesto en 2016/17</w:t>
      </w:r>
    </w:p>
    <w:p w:rsidR="00185608" w:rsidRPr="00A63AD9" w:rsidRDefault="00185608" w:rsidP="00156844">
      <w:pPr>
        <w:keepNext/>
        <w:keepLines/>
        <w:jc w:val="both"/>
        <w:rPr>
          <w:sz w:val="20"/>
        </w:rPr>
      </w:pPr>
    </w:p>
    <w:p w:rsidR="00185608" w:rsidRPr="00A63AD9" w:rsidRDefault="00185608" w:rsidP="00156844">
      <w:pPr>
        <w:pStyle w:val="ListParagraph"/>
        <w:keepNext/>
        <w:keepLines/>
        <w:numPr>
          <w:ilvl w:val="0"/>
          <w:numId w:val="52"/>
        </w:numPr>
        <w:ind w:left="0" w:firstLine="0"/>
        <w:jc w:val="both"/>
        <w:rPr>
          <w:rFonts w:cs="Arial"/>
          <w:lang w:val="es-ES"/>
        </w:rPr>
      </w:pPr>
      <w:r w:rsidRPr="00A63AD9">
        <w:rPr>
          <w:rFonts w:cs="Arial"/>
          <w:lang w:val="es-ES"/>
        </w:rPr>
        <w:t>Se ha cumplido el objetivo señalado en lo que respecta al índice de utilización de los recursos de personal.  En lo que respecta a los recursos no relativos a personal, el índice de gasto está por debajo del objetivo previsto debido al aplazamiento y/o la cancelación de varias actividades en las regiones de África y árabe, incluidos los PMA.  Por otra parte, en el marco del proyecto de la A.D. sobre P.I. y turismo, el índice de utilización fue menor de lo previsto debido al aplazamiento a 2017 de algunas actividades.</w:t>
      </w:r>
    </w:p>
    <w:p w:rsidR="00185608" w:rsidRPr="00A63AD9" w:rsidRDefault="00185608" w:rsidP="00230FAA">
      <w:pPr>
        <w:rPr>
          <w:sz w:val="20"/>
        </w:rPr>
      </w:pPr>
    </w:p>
    <w:p w:rsidR="00185608" w:rsidRPr="00A63AD9" w:rsidRDefault="00185608" w:rsidP="00230FAA">
      <w:pPr>
        <w:rPr>
          <w:sz w:val="20"/>
        </w:rPr>
      </w:pPr>
    </w:p>
    <w:p w:rsidR="00185608" w:rsidRPr="00A63AD9" w:rsidRDefault="00185608" w:rsidP="00230FAA">
      <w:pPr>
        <w:rPr>
          <w:sz w:val="20"/>
        </w:rPr>
      </w:pPr>
    </w:p>
    <w:p w:rsidR="0001406B" w:rsidRDefault="0001406B">
      <w:pPr>
        <w:rPr>
          <w:b/>
          <w:bCs/>
          <w:iCs/>
          <w:szCs w:val="28"/>
        </w:rPr>
      </w:pPr>
      <w:r>
        <w:rPr>
          <w:b/>
          <w:bCs/>
          <w:iCs/>
          <w:szCs w:val="28"/>
        </w:rPr>
        <w:br w:type="page"/>
      </w:r>
    </w:p>
    <w:p w:rsidR="00185608" w:rsidRPr="00F3569E" w:rsidRDefault="00185608" w:rsidP="008D2647">
      <w:pPr>
        <w:keepNext/>
        <w:tabs>
          <w:tab w:val="left" w:pos="2410"/>
          <w:tab w:val="right" w:pos="9072"/>
        </w:tabs>
        <w:ind w:left="2410" w:hanging="2410"/>
        <w:outlineLvl w:val="1"/>
        <w:rPr>
          <w:b/>
          <w:bCs/>
          <w:iCs/>
          <w:szCs w:val="28"/>
        </w:rPr>
      </w:pPr>
      <w:bookmarkStart w:id="45" w:name="_Toc482711255"/>
      <w:r w:rsidRPr="00F3569E">
        <w:rPr>
          <w:b/>
          <w:bCs/>
          <w:iCs/>
          <w:szCs w:val="28"/>
        </w:rPr>
        <w:lastRenderedPageBreak/>
        <w:t>PROGRAMA 10</w:t>
      </w:r>
      <w:r w:rsidRPr="00F3569E">
        <w:rPr>
          <w:b/>
          <w:bCs/>
          <w:iCs/>
          <w:szCs w:val="28"/>
        </w:rPr>
        <w:tab/>
        <w:t>PAÍSES CON ECONOMÍAS EN TRANSICIÓN Y PAÍSES DESARROLLADOS</w:t>
      </w:r>
      <w:bookmarkEnd w:id="45"/>
    </w:p>
    <w:p w:rsidR="00185608" w:rsidRPr="00F3569E" w:rsidRDefault="00185608" w:rsidP="00230FAA">
      <w:pPr>
        <w:rPr>
          <w:rFonts w:cs="Times New Roman"/>
          <w:sz w:val="20"/>
        </w:rPr>
      </w:pPr>
    </w:p>
    <w:p w:rsidR="00185608" w:rsidRPr="00F3569E" w:rsidRDefault="00185608" w:rsidP="008D2647">
      <w:pPr>
        <w:tabs>
          <w:tab w:val="left" w:pos="2410"/>
        </w:tabs>
        <w:rPr>
          <w:rFonts w:cs="Times New Roman"/>
          <w:b/>
          <w:sz w:val="20"/>
          <w:szCs w:val="22"/>
        </w:rPr>
      </w:pPr>
      <w:r w:rsidRPr="00F3569E">
        <w:rPr>
          <w:rFonts w:cs="Times New Roman"/>
          <w:b/>
          <w:sz w:val="20"/>
          <w:szCs w:val="22"/>
        </w:rPr>
        <w:t>Director de programa</w:t>
      </w:r>
      <w:r w:rsidRPr="00F3569E">
        <w:rPr>
          <w:rFonts w:cs="Times New Roman"/>
          <w:sz w:val="20"/>
          <w:szCs w:val="22"/>
        </w:rPr>
        <w:tab/>
      </w:r>
      <w:r w:rsidRPr="00F3569E">
        <w:rPr>
          <w:rFonts w:cs="Times New Roman"/>
          <w:b/>
          <w:sz w:val="20"/>
          <w:szCs w:val="22"/>
        </w:rPr>
        <w:t xml:space="preserve">Director </w:t>
      </w:r>
      <w:r w:rsidR="008D2647" w:rsidRPr="00F3569E">
        <w:rPr>
          <w:rFonts w:cs="Times New Roman"/>
          <w:b/>
          <w:sz w:val="20"/>
          <w:szCs w:val="22"/>
        </w:rPr>
        <w:t>general</w:t>
      </w:r>
    </w:p>
    <w:p w:rsidR="00185608" w:rsidRPr="00F3569E" w:rsidRDefault="00185608" w:rsidP="00230FAA">
      <w:pPr>
        <w:tabs>
          <w:tab w:val="left" w:pos="1985"/>
        </w:tabs>
        <w:rPr>
          <w:rFonts w:cs="Times New Roman"/>
          <w:sz w:val="20"/>
        </w:rPr>
      </w:pPr>
    </w:p>
    <w:p w:rsidR="00185608" w:rsidRPr="00F3569E" w:rsidRDefault="00185608" w:rsidP="00230FAA">
      <w:pPr>
        <w:jc w:val="center"/>
        <w:rPr>
          <w:sz w:val="20"/>
        </w:rPr>
      </w:pPr>
      <w:r w:rsidRPr="00F3569E">
        <w:rPr>
          <w:noProof/>
          <w:lang w:val="en-US" w:eastAsia="en-US"/>
        </w:rPr>
        <w:drawing>
          <wp:inline distT="0" distB="0" distL="0" distR="0" wp14:anchorId="42651408" wp14:editId="3ABE5444">
            <wp:extent cx="4578129" cy="25980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4588209" cy="2603737"/>
                    </a:xfrm>
                    <a:prstGeom prst="rect">
                      <a:avLst/>
                    </a:prstGeom>
                    <a:noFill/>
                    <a:ln>
                      <a:noFill/>
                    </a:ln>
                  </pic:spPr>
                </pic:pic>
              </a:graphicData>
            </a:graphic>
          </wp:inline>
        </w:drawing>
      </w:r>
      <w:r w:rsidRPr="00F3569E">
        <w:t xml:space="preserve"> </w:t>
      </w:r>
    </w:p>
    <w:tbl>
      <w:tblPr>
        <w:tblW w:w="5222" w:type="pct"/>
        <w:tblInd w:w="58" w:type="dxa"/>
        <w:tblLayout w:type="fixed"/>
        <w:tblCellMar>
          <w:left w:w="115" w:type="dxa"/>
          <w:right w:w="115" w:type="dxa"/>
        </w:tblCellMar>
        <w:tblLook w:val="0000" w:firstRow="0" w:lastRow="0" w:firstColumn="0" w:lastColumn="0" w:noHBand="0" w:noVBand="0"/>
      </w:tblPr>
      <w:tblGrid>
        <w:gridCol w:w="1968"/>
        <w:gridCol w:w="2326"/>
        <w:gridCol w:w="1802"/>
        <w:gridCol w:w="2558"/>
        <w:gridCol w:w="77"/>
        <w:gridCol w:w="864"/>
      </w:tblGrid>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tabs>
                <w:tab w:val="left" w:pos="1452"/>
              </w:tabs>
              <w:ind w:left="1701" w:hanging="1701"/>
              <w:rPr>
                <w:b/>
                <w:bCs/>
                <w:sz w:val="16"/>
                <w:szCs w:val="16"/>
              </w:rPr>
            </w:pPr>
            <w:r w:rsidRPr="00F3569E">
              <w:rPr>
                <w:b/>
                <w:bCs/>
                <w:sz w:val="16"/>
                <w:szCs w:val="16"/>
              </w:rPr>
              <w:t>Resultado previsto:</w:t>
            </w:r>
            <w:r w:rsidRPr="00F3569E">
              <w:rPr>
                <w:b/>
                <w:bCs/>
                <w:sz w:val="16"/>
                <w:szCs w:val="16"/>
              </w:rPr>
              <w:tab/>
            </w:r>
            <w:r w:rsidRPr="00F3569E">
              <w:rPr>
                <w:sz w:val="16"/>
                <w:szCs w:val="16"/>
                <w:lang w:bidi="th-TH"/>
              </w:rPr>
              <w:t>I.2  Marcos de P.I. adaptados y equilibrados en el ámbito legislativo, regulador y de política</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Referencia</w:t>
            </w:r>
            <w:r w:rsidR="008D2647">
              <w:rPr>
                <w:b/>
                <w:bCs/>
                <w:sz w:val="16"/>
                <w:szCs w:val="16"/>
              </w:rPr>
              <w:t>s de base</w:t>
            </w:r>
          </w:p>
        </w:tc>
        <w:tc>
          <w:tcPr>
            <w:tcW w:w="939" w:type="pct"/>
            <w:shd w:val="clear" w:color="auto" w:fill="auto"/>
            <w:tcMar>
              <w:top w:w="110" w:type="dxa"/>
              <w:left w:w="58" w:type="dxa"/>
              <w:right w:w="58" w:type="dxa"/>
            </w:tcMar>
            <w:vAlign w:val="center"/>
          </w:tcPr>
          <w:p w:rsidR="00185608" w:rsidRPr="00F3569E" w:rsidRDefault="00185608" w:rsidP="00230FAA">
            <w:pPr>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jc w:val="center"/>
              <w:rPr>
                <w:b/>
                <w:bCs/>
                <w:sz w:val="16"/>
                <w:szCs w:val="16"/>
              </w:rPr>
            </w:pPr>
            <w:r w:rsidRPr="00F3569E">
              <w:rPr>
                <w:b/>
                <w:bCs/>
                <w:sz w:val="16"/>
                <w:szCs w:val="16"/>
              </w:rPr>
              <w:t>Clave de colores</w:t>
            </w:r>
          </w:p>
        </w:tc>
      </w:tr>
      <w:tr w:rsidR="00185608" w:rsidRPr="00F3569E" w:rsidTr="00230FAA">
        <w:trPr>
          <w:trHeight w:val="1159"/>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 xml:space="preserve">N.º de países con economías en transición con leyes y reglamentos nacionales actualizados. </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9 (Kazajstán, Kirguistán, Letonia, Lituania, Montenegro, República de Moldova, Federación de Rusia, Tayikistán, Turkmenistán).</w:t>
            </w:r>
          </w:p>
          <w:p w:rsidR="00185608" w:rsidRPr="00F3569E" w:rsidRDefault="00185608" w:rsidP="00230FAA">
            <w:pPr>
              <w:rPr>
                <w:sz w:val="16"/>
                <w:szCs w:val="16"/>
              </w:rPr>
            </w:pPr>
          </w:p>
          <w:p w:rsidR="00185608" w:rsidRPr="00F3569E" w:rsidRDefault="00185608" w:rsidP="00230FAA">
            <w:pPr>
              <w:rPr>
                <w:i/>
                <w:sz w:val="16"/>
                <w:szCs w:val="16"/>
                <w:lang w:bidi="th-TH"/>
              </w:rPr>
            </w:pPr>
            <w:r w:rsidRPr="00F3569E">
              <w:rPr>
                <w:i/>
                <w:sz w:val="16"/>
                <w:szCs w:val="16"/>
                <w:lang w:bidi="th-TH"/>
              </w:rPr>
              <w:t xml:space="preserve">Referencia original en el presupuesto de 2016/17: </w:t>
            </w:r>
          </w:p>
          <w:p w:rsidR="00185608" w:rsidRPr="00F3569E" w:rsidRDefault="00185608" w:rsidP="00230FAA">
            <w:pPr>
              <w:rPr>
                <w:sz w:val="16"/>
                <w:szCs w:val="16"/>
              </w:rPr>
            </w:pPr>
            <w:r w:rsidRPr="00F3569E">
              <w:rPr>
                <w:sz w:val="16"/>
                <w:szCs w:val="16"/>
              </w:rPr>
              <w:t>6 países (2014)</w:t>
            </w:r>
          </w:p>
        </w:tc>
        <w:tc>
          <w:tcPr>
            <w:tcW w:w="939" w:type="pct"/>
            <w:shd w:val="clear" w:color="auto" w:fill="auto"/>
            <w:tcMar>
              <w:top w:w="110" w:type="dxa"/>
              <w:left w:w="58" w:type="dxa"/>
              <w:right w:w="58" w:type="dxa"/>
            </w:tcMar>
          </w:tcPr>
          <w:p w:rsidR="00185608" w:rsidRPr="00F3569E" w:rsidRDefault="00185608" w:rsidP="00230FAA">
            <w:pPr>
              <w:rPr>
                <w:sz w:val="16"/>
                <w:szCs w:val="16"/>
              </w:rPr>
            </w:pPr>
            <w:r w:rsidRPr="00F3569E">
              <w:rPr>
                <w:sz w:val="16"/>
                <w:szCs w:val="16"/>
              </w:rPr>
              <w:t>6 países adicionales</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 xml:space="preserve">6 países (Albania, Kazajstán, Letonia, Montenegro, República de Moldova y Federación de Rusia) </w:t>
            </w:r>
          </w:p>
          <w:p w:rsidR="00185608" w:rsidRPr="00F3569E" w:rsidRDefault="00185608" w:rsidP="00230FAA">
            <w:pPr>
              <w:rPr>
                <w:sz w:val="16"/>
                <w:szCs w:val="16"/>
              </w:rPr>
            </w:pPr>
          </w:p>
          <w:p w:rsidR="00185608" w:rsidRPr="00F3569E" w:rsidRDefault="00185608" w:rsidP="00230FAA">
            <w:pPr>
              <w:rPr>
                <w:sz w:val="16"/>
                <w:szCs w:val="16"/>
              </w:rPr>
            </w:pP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1638"/>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N.º de ratificaciones de los tratados administrados por la OMPI.</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10</w:t>
            </w:r>
          </w:p>
          <w:p w:rsidR="00185608" w:rsidRPr="00F3569E" w:rsidRDefault="00185608" w:rsidP="00230FAA">
            <w:pPr>
              <w:rPr>
                <w:sz w:val="16"/>
                <w:szCs w:val="16"/>
              </w:rPr>
            </w:pPr>
          </w:p>
          <w:p w:rsidR="00185608" w:rsidRPr="00F3569E" w:rsidRDefault="00185608" w:rsidP="00230FAA">
            <w:pPr>
              <w:rPr>
                <w:sz w:val="16"/>
                <w:szCs w:val="16"/>
              </w:rPr>
            </w:pPr>
          </w:p>
          <w:p w:rsidR="00185608" w:rsidRPr="00F3569E" w:rsidRDefault="00185608" w:rsidP="00230FAA">
            <w:pPr>
              <w:rPr>
                <w:sz w:val="16"/>
                <w:szCs w:val="16"/>
              </w:rPr>
            </w:pPr>
            <w:r w:rsidRPr="00F3569E">
              <w:rPr>
                <w:i/>
                <w:sz w:val="16"/>
                <w:szCs w:val="16"/>
                <w:lang w:bidi="th-TH"/>
              </w:rPr>
              <w:t>Referencia original en el presupuesto de 2016/17:</w:t>
            </w:r>
            <w:r w:rsidRPr="00F3569E">
              <w:rPr>
                <w:sz w:val="16"/>
                <w:szCs w:val="16"/>
                <w:lang w:bidi="th-TH"/>
              </w:rPr>
              <w:t xml:space="preserve">  </w:t>
            </w:r>
            <w:r w:rsidRPr="00F3569E">
              <w:rPr>
                <w:sz w:val="16"/>
                <w:szCs w:val="16"/>
                <w:lang w:bidi="th-TH"/>
              </w:rPr>
              <w:br/>
            </w:r>
            <w:r w:rsidRPr="00F3569E">
              <w:rPr>
                <w:sz w:val="16"/>
                <w:szCs w:val="16"/>
              </w:rPr>
              <w:t xml:space="preserve">No disponible </w:t>
            </w:r>
          </w:p>
        </w:tc>
        <w:tc>
          <w:tcPr>
            <w:tcW w:w="939" w:type="pct"/>
            <w:shd w:val="clear" w:color="auto" w:fill="auto"/>
            <w:tcMar>
              <w:top w:w="110" w:type="dxa"/>
              <w:left w:w="58" w:type="dxa"/>
              <w:right w:w="58" w:type="dxa"/>
            </w:tcMar>
          </w:tcPr>
          <w:p w:rsidR="00185608" w:rsidRPr="00515376" w:rsidRDefault="00185608" w:rsidP="00230FAA">
            <w:pPr>
              <w:rPr>
                <w:i/>
                <w:color w:val="002060"/>
                <w:sz w:val="16"/>
                <w:szCs w:val="16"/>
              </w:rPr>
            </w:pPr>
            <w:r w:rsidRPr="00515376">
              <w:rPr>
                <w:i/>
                <w:color w:val="002060"/>
                <w:sz w:val="16"/>
                <w:szCs w:val="16"/>
              </w:rPr>
              <w:t xml:space="preserve">Objetivo actualizado: </w:t>
            </w:r>
          </w:p>
          <w:p w:rsidR="00185608" w:rsidRPr="00515376" w:rsidRDefault="00185608" w:rsidP="00230FAA">
            <w:pPr>
              <w:rPr>
                <w:color w:val="002060"/>
                <w:sz w:val="16"/>
                <w:szCs w:val="16"/>
              </w:rPr>
            </w:pPr>
            <w:r w:rsidRPr="00515376">
              <w:rPr>
                <w:color w:val="002060"/>
                <w:sz w:val="16"/>
                <w:szCs w:val="16"/>
              </w:rPr>
              <w:t>12 países adicionales</w:t>
            </w:r>
          </w:p>
          <w:p w:rsidR="00185608" w:rsidRPr="00515376" w:rsidRDefault="00185608" w:rsidP="00230FAA">
            <w:pPr>
              <w:rPr>
                <w:color w:val="002060"/>
                <w:sz w:val="16"/>
                <w:szCs w:val="16"/>
              </w:rPr>
            </w:pPr>
          </w:p>
          <w:p w:rsidR="00185608" w:rsidRPr="00F3569E" w:rsidRDefault="00185608" w:rsidP="00230FAA">
            <w:pPr>
              <w:rPr>
                <w:sz w:val="16"/>
                <w:szCs w:val="16"/>
              </w:rPr>
            </w:pPr>
          </w:p>
          <w:p w:rsidR="00185608" w:rsidRPr="00F3569E" w:rsidRDefault="00185608" w:rsidP="00230FAA">
            <w:pPr>
              <w:rPr>
                <w:i/>
                <w:sz w:val="16"/>
                <w:szCs w:val="16"/>
                <w:lang w:bidi="th-TH"/>
              </w:rPr>
            </w:pPr>
            <w:r w:rsidRPr="00F3569E">
              <w:rPr>
                <w:i/>
                <w:sz w:val="16"/>
                <w:szCs w:val="16"/>
                <w:lang w:bidi="th-TH"/>
              </w:rPr>
              <w:t>Objetivo original en el presupuesto de 2016/17:</w:t>
            </w:r>
          </w:p>
          <w:p w:rsidR="00185608" w:rsidRPr="00F3569E" w:rsidRDefault="00185608" w:rsidP="00230FAA">
            <w:pPr>
              <w:rPr>
                <w:sz w:val="16"/>
                <w:szCs w:val="16"/>
              </w:rPr>
            </w:pPr>
            <w:r w:rsidRPr="00F3569E">
              <w:rPr>
                <w:sz w:val="16"/>
                <w:szCs w:val="16"/>
              </w:rPr>
              <w:t>4 países adicionales</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7 ratificaciones (Australia, Belarús, Canadá, Finlandia, Israel, Japón y Turkmenistán)</w:t>
            </w:r>
          </w:p>
          <w:p w:rsidR="00185608" w:rsidRPr="00F3569E" w:rsidRDefault="00185608" w:rsidP="00230FAA">
            <w:pPr>
              <w:rPr>
                <w:sz w:val="16"/>
                <w:szCs w:val="16"/>
              </w:rPr>
            </w:pPr>
          </w:p>
          <w:p w:rsidR="00185608" w:rsidRPr="00F3569E" w:rsidRDefault="00185608" w:rsidP="00230FAA">
            <w:pPr>
              <w:rPr>
                <w:sz w:val="16"/>
                <w:szCs w:val="16"/>
              </w:rPr>
            </w:pPr>
          </w:p>
          <w:p w:rsidR="00185608" w:rsidRPr="00F3569E" w:rsidRDefault="00185608" w:rsidP="00230FAA">
            <w:pPr>
              <w:rPr>
                <w:sz w:val="16"/>
                <w:szCs w:val="16"/>
              </w:rPr>
            </w:pP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ind w:left="1701" w:hanging="1701"/>
              <w:rPr>
                <w:b/>
                <w:bCs/>
                <w:sz w:val="16"/>
                <w:szCs w:val="16"/>
              </w:rPr>
            </w:pPr>
            <w:r w:rsidRPr="00F3569E">
              <w:rPr>
                <w:b/>
                <w:bCs/>
                <w:sz w:val="16"/>
                <w:szCs w:val="16"/>
              </w:rPr>
              <w:t>Resultado previsto:</w:t>
            </w:r>
            <w:r w:rsidRPr="00F3569E">
              <w:rPr>
                <w:b/>
                <w:bCs/>
                <w:sz w:val="16"/>
                <w:szCs w:val="16"/>
              </w:rPr>
              <w:tab/>
            </w:r>
            <w:r w:rsidRPr="00F3569E">
              <w:rPr>
                <w:sz w:val="16"/>
                <w:szCs w:val="16"/>
                <w:lang w:bidi="th-TH"/>
              </w:rPr>
              <w:t>II.1  Mayor y más eficaz utilización del Sistema del PCT para presentar solicitudes internacionales de patentes</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Referencia</w:t>
            </w:r>
            <w:r w:rsidR="008D2647">
              <w:rPr>
                <w:b/>
                <w:bCs/>
                <w:sz w:val="16"/>
                <w:szCs w:val="16"/>
              </w:rPr>
              <w:t>s de base</w:t>
            </w:r>
          </w:p>
        </w:tc>
        <w:tc>
          <w:tcPr>
            <w:tcW w:w="939" w:type="pct"/>
            <w:shd w:val="clear" w:color="auto" w:fill="auto"/>
            <w:tcMar>
              <w:top w:w="110" w:type="dxa"/>
              <w:left w:w="58" w:type="dxa"/>
              <w:right w:w="58" w:type="dxa"/>
            </w:tcMar>
            <w:vAlign w:val="center"/>
          </w:tcPr>
          <w:p w:rsidR="00185608" w:rsidRPr="00F3569E" w:rsidRDefault="00185608" w:rsidP="00230FAA">
            <w:pPr>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jc w:val="center"/>
              <w:rPr>
                <w:b/>
                <w:bCs/>
                <w:sz w:val="16"/>
                <w:szCs w:val="16"/>
              </w:rPr>
            </w:pPr>
            <w:r w:rsidRPr="00F3569E">
              <w:rPr>
                <w:b/>
                <w:bCs/>
                <w:sz w:val="16"/>
                <w:szCs w:val="16"/>
              </w:rPr>
              <w:t>Clave de colores</w:t>
            </w:r>
          </w:p>
        </w:tc>
      </w:tr>
      <w:tr w:rsidR="00185608" w:rsidRPr="00F3569E" w:rsidTr="00230FAA">
        <w:trPr>
          <w:trHeight w:val="1640"/>
        </w:trPr>
        <w:tc>
          <w:tcPr>
            <w:tcW w:w="1026" w:type="pct"/>
            <w:shd w:val="clear" w:color="auto" w:fill="auto"/>
            <w:tcMar>
              <w:left w:w="58" w:type="dxa"/>
              <w:right w:w="58" w:type="dxa"/>
            </w:tcMar>
          </w:tcPr>
          <w:p w:rsidR="00185608" w:rsidRPr="00F3569E" w:rsidRDefault="00185608" w:rsidP="00230FAA">
            <w:pPr>
              <w:ind w:right="176"/>
              <w:rPr>
                <w:sz w:val="16"/>
                <w:szCs w:val="16"/>
              </w:rPr>
            </w:pPr>
            <w:r w:rsidRPr="00F3569E">
              <w:rPr>
                <w:sz w:val="16"/>
                <w:szCs w:val="16"/>
              </w:rPr>
              <w:t>N.º de solicitudes PCT procedentes de países con economías en transición y países desarrollados.</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170.177 (2014) (2,15%)</w:t>
            </w:r>
          </w:p>
          <w:p w:rsidR="00185608" w:rsidRPr="005708CF" w:rsidRDefault="00185608" w:rsidP="00230FAA">
            <w:pPr>
              <w:rPr>
                <w:color w:val="002060"/>
                <w:sz w:val="16"/>
                <w:szCs w:val="16"/>
              </w:rPr>
            </w:pPr>
            <w:r w:rsidRPr="005708CF">
              <w:rPr>
                <w:color w:val="002060"/>
                <w:sz w:val="16"/>
                <w:szCs w:val="16"/>
              </w:rPr>
              <w:t>168.207 (2015) (-1,17%)</w:t>
            </w:r>
          </w:p>
          <w:p w:rsidR="00185608" w:rsidRPr="005708CF" w:rsidRDefault="00185608" w:rsidP="00230FAA">
            <w:pPr>
              <w:rPr>
                <w:color w:val="002060"/>
                <w:sz w:val="16"/>
                <w:szCs w:val="16"/>
              </w:rPr>
            </w:pPr>
            <w:r w:rsidRPr="005708CF">
              <w:rPr>
                <w:color w:val="002060"/>
                <w:sz w:val="16"/>
                <w:szCs w:val="16"/>
              </w:rPr>
              <w:t>+3,5% (bienio)</w:t>
            </w:r>
          </w:p>
          <w:p w:rsidR="00185608" w:rsidRPr="00F3569E" w:rsidRDefault="00185608" w:rsidP="00230FAA">
            <w:pPr>
              <w:rPr>
                <w:sz w:val="16"/>
                <w:szCs w:val="16"/>
              </w:rPr>
            </w:pPr>
          </w:p>
          <w:p w:rsidR="00185608" w:rsidRPr="00F3569E" w:rsidRDefault="00185608" w:rsidP="00230FAA">
            <w:pPr>
              <w:rPr>
                <w:i/>
                <w:sz w:val="16"/>
                <w:szCs w:val="16"/>
                <w:lang w:bidi="th-TH"/>
              </w:rPr>
            </w:pPr>
            <w:r w:rsidRPr="00F3569E">
              <w:rPr>
                <w:i/>
                <w:sz w:val="16"/>
                <w:szCs w:val="16"/>
                <w:lang w:bidi="th-TH"/>
              </w:rPr>
              <w:t>Referencia original en el presupuesto de 2016/17:</w:t>
            </w:r>
            <w:r w:rsidRPr="00F3569E">
              <w:rPr>
                <w:sz w:val="16"/>
                <w:szCs w:val="16"/>
                <w:lang w:bidi="th-TH"/>
              </w:rPr>
              <w:t xml:space="preserve">  </w:t>
            </w:r>
          </w:p>
          <w:p w:rsidR="00185608" w:rsidRPr="00F3569E" w:rsidRDefault="00185608" w:rsidP="00230FAA">
            <w:pPr>
              <w:rPr>
                <w:sz w:val="16"/>
                <w:szCs w:val="16"/>
                <w:lang w:bidi="th-TH"/>
              </w:rPr>
            </w:pPr>
            <w:r w:rsidRPr="00F3569E">
              <w:rPr>
                <w:sz w:val="16"/>
                <w:szCs w:val="16"/>
                <w:lang w:bidi="th-TH"/>
              </w:rPr>
              <w:t>170.317 (2014)</w:t>
            </w:r>
          </w:p>
        </w:tc>
        <w:tc>
          <w:tcPr>
            <w:tcW w:w="939" w:type="pct"/>
            <w:shd w:val="clear" w:color="auto" w:fill="auto"/>
            <w:tcMar>
              <w:top w:w="110" w:type="dxa"/>
              <w:left w:w="58" w:type="dxa"/>
              <w:right w:w="58" w:type="dxa"/>
            </w:tcMar>
          </w:tcPr>
          <w:p w:rsidR="00185608" w:rsidRPr="00F3569E" w:rsidRDefault="00185608" w:rsidP="00230FAA">
            <w:pPr>
              <w:rPr>
                <w:sz w:val="16"/>
                <w:szCs w:val="16"/>
              </w:rPr>
            </w:pPr>
            <w:r w:rsidRPr="00F3569E">
              <w:rPr>
                <w:sz w:val="16"/>
                <w:szCs w:val="16"/>
              </w:rPr>
              <w:t>1,5% de aumento (anual)</w:t>
            </w:r>
          </w:p>
        </w:tc>
        <w:tc>
          <w:tcPr>
            <w:tcW w:w="1333" w:type="pct"/>
            <w:shd w:val="clear" w:color="auto" w:fill="FFFFFF"/>
            <w:tcMar>
              <w:top w:w="110" w:type="dxa"/>
              <w:left w:w="58" w:type="dxa"/>
              <w:right w:w="58" w:type="dxa"/>
            </w:tcMar>
          </w:tcPr>
          <w:p w:rsidR="00185608" w:rsidRPr="00F3569E" w:rsidRDefault="008D2647" w:rsidP="00230FAA">
            <w:pPr>
              <w:rPr>
                <w:sz w:val="16"/>
                <w:szCs w:val="16"/>
              </w:rPr>
            </w:pPr>
            <w:r>
              <w:rPr>
                <w:sz w:val="16"/>
                <w:szCs w:val="16"/>
              </w:rPr>
              <w:t xml:space="preserve">168.832 </w:t>
            </w:r>
          </w:p>
          <w:p w:rsidR="00185608" w:rsidRPr="00F3569E" w:rsidRDefault="00185608" w:rsidP="00230FAA">
            <w:pPr>
              <w:rPr>
                <w:sz w:val="16"/>
                <w:szCs w:val="16"/>
              </w:rPr>
            </w:pPr>
            <w:r w:rsidRPr="00F3569E">
              <w:rPr>
                <w:sz w:val="16"/>
                <w:szCs w:val="16"/>
              </w:rPr>
              <w:t>+0,4%</w:t>
            </w:r>
          </w:p>
        </w:tc>
        <w:tc>
          <w:tcPr>
            <w:tcW w:w="490" w:type="pct"/>
            <w:gridSpan w:val="2"/>
            <w:shd w:val="clear" w:color="auto" w:fill="auto"/>
            <w:tcMar>
              <w:top w:w="110" w:type="dxa"/>
              <w:left w:w="58" w:type="dxa"/>
              <w:right w:w="58" w:type="dxa"/>
            </w:tcMar>
          </w:tcPr>
          <w:p w:rsidR="00185608" w:rsidRPr="00F3569E" w:rsidRDefault="00185608" w:rsidP="00230FAA">
            <w:pPr>
              <w:jc w:val="center"/>
              <w:rPr>
                <w:b/>
                <w:sz w:val="16"/>
                <w:szCs w:val="16"/>
              </w:rPr>
            </w:pPr>
            <w:r w:rsidRPr="00F3569E">
              <w:rPr>
                <w:b/>
                <w:color w:val="FF0000"/>
                <w:sz w:val="16"/>
                <w:szCs w:val="16"/>
              </w:rPr>
              <w:t>No avanza</w:t>
            </w:r>
          </w:p>
        </w:tc>
      </w:tr>
      <w:tr w:rsidR="00185608" w:rsidRPr="00F3569E" w:rsidTr="00230FAA">
        <w:trPr>
          <w:trHeight w:val="2243"/>
        </w:trPr>
        <w:tc>
          <w:tcPr>
            <w:tcW w:w="1026" w:type="pct"/>
            <w:shd w:val="clear" w:color="auto" w:fill="auto"/>
            <w:tcMar>
              <w:left w:w="58" w:type="dxa"/>
              <w:right w:w="58" w:type="dxa"/>
            </w:tcMar>
          </w:tcPr>
          <w:p w:rsidR="00185608" w:rsidRPr="00F3569E" w:rsidRDefault="00185608" w:rsidP="00230FAA">
            <w:pPr>
              <w:ind w:right="176"/>
              <w:rPr>
                <w:sz w:val="16"/>
                <w:szCs w:val="16"/>
              </w:rPr>
            </w:pPr>
            <w:r w:rsidRPr="00F3569E">
              <w:rPr>
                <w:sz w:val="16"/>
                <w:szCs w:val="16"/>
              </w:rPr>
              <w:lastRenderedPageBreak/>
              <w:t>% de encuestados que han expresado utilizar más los servicios de la OMPI en los 6 meses posteriores a su participación en seminarios itinerantes sobre los servicios e iniciativas de la OMPI.</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35%</w:t>
            </w:r>
          </w:p>
          <w:p w:rsidR="00185608" w:rsidRPr="00F3569E" w:rsidRDefault="00185608" w:rsidP="00230FAA">
            <w:pPr>
              <w:rPr>
                <w:sz w:val="16"/>
                <w:szCs w:val="16"/>
              </w:rPr>
            </w:pPr>
          </w:p>
          <w:p w:rsidR="00185608" w:rsidRPr="00F3569E" w:rsidRDefault="00185608" w:rsidP="00230FAA">
            <w:pPr>
              <w:rPr>
                <w:i/>
                <w:sz w:val="16"/>
                <w:szCs w:val="16"/>
                <w:lang w:bidi="th-TH"/>
              </w:rPr>
            </w:pPr>
            <w:r w:rsidRPr="00F3569E">
              <w:rPr>
                <w:i/>
                <w:sz w:val="16"/>
                <w:szCs w:val="16"/>
                <w:lang w:bidi="th-TH"/>
              </w:rPr>
              <w:t>Referencia original en el presupuesto de 2016/17:</w:t>
            </w:r>
            <w:r w:rsidRPr="00F3569E">
              <w:rPr>
                <w:sz w:val="16"/>
                <w:szCs w:val="16"/>
                <w:lang w:bidi="th-TH"/>
              </w:rPr>
              <w:t xml:space="preserve">  </w:t>
            </w:r>
          </w:p>
          <w:p w:rsidR="00185608" w:rsidRPr="00F3569E" w:rsidRDefault="00185608" w:rsidP="00230FAA">
            <w:pPr>
              <w:rPr>
                <w:sz w:val="16"/>
                <w:szCs w:val="16"/>
                <w:lang w:bidi="th-TH"/>
              </w:rPr>
            </w:pPr>
            <w:r w:rsidRPr="00F3569E">
              <w:rPr>
                <w:sz w:val="16"/>
                <w:szCs w:val="16"/>
                <w:lang w:bidi="th-TH"/>
              </w:rPr>
              <w:t>18%</w:t>
            </w:r>
          </w:p>
        </w:tc>
        <w:tc>
          <w:tcPr>
            <w:tcW w:w="939" w:type="pct"/>
            <w:shd w:val="clear" w:color="auto" w:fill="auto"/>
            <w:tcMar>
              <w:top w:w="110" w:type="dxa"/>
              <w:left w:w="58" w:type="dxa"/>
              <w:right w:w="58" w:type="dxa"/>
            </w:tcMar>
          </w:tcPr>
          <w:p w:rsidR="00185608" w:rsidRPr="00515376" w:rsidRDefault="00185608" w:rsidP="00230FAA">
            <w:pPr>
              <w:rPr>
                <w:i/>
                <w:color w:val="002060"/>
                <w:sz w:val="16"/>
                <w:szCs w:val="16"/>
              </w:rPr>
            </w:pPr>
            <w:r w:rsidRPr="00515376">
              <w:rPr>
                <w:i/>
                <w:color w:val="002060"/>
                <w:sz w:val="16"/>
                <w:szCs w:val="16"/>
              </w:rPr>
              <w:t xml:space="preserve">Objetivo actualizado:  </w:t>
            </w:r>
          </w:p>
          <w:p w:rsidR="00185608" w:rsidRPr="00515376" w:rsidRDefault="00185608" w:rsidP="00230FAA">
            <w:pPr>
              <w:rPr>
                <w:color w:val="002060"/>
                <w:sz w:val="16"/>
                <w:szCs w:val="16"/>
              </w:rPr>
            </w:pPr>
            <w:r w:rsidRPr="00515376">
              <w:rPr>
                <w:color w:val="002060"/>
                <w:sz w:val="16"/>
                <w:szCs w:val="16"/>
              </w:rPr>
              <w:t>25% de encuestados expresan usar más los servicios de la OMPI.</w:t>
            </w:r>
          </w:p>
          <w:p w:rsidR="00185608" w:rsidRPr="00F3569E" w:rsidRDefault="00185608" w:rsidP="00230FAA">
            <w:pPr>
              <w:rPr>
                <w:sz w:val="16"/>
                <w:szCs w:val="16"/>
              </w:rPr>
            </w:pPr>
          </w:p>
          <w:p w:rsidR="00185608" w:rsidRPr="00F3569E" w:rsidRDefault="00185608" w:rsidP="00230FAA">
            <w:pPr>
              <w:rPr>
                <w:i/>
                <w:sz w:val="16"/>
                <w:szCs w:val="16"/>
                <w:lang w:bidi="th-TH"/>
              </w:rPr>
            </w:pPr>
            <w:r w:rsidRPr="00F3569E">
              <w:rPr>
                <w:i/>
                <w:sz w:val="16"/>
                <w:szCs w:val="16"/>
                <w:lang w:bidi="th-TH"/>
              </w:rPr>
              <w:t>Objetivo original en el presupuesto de 2016/17:</w:t>
            </w:r>
          </w:p>
          <w:p w:rsidR="00185608" w:rsidRPr="00F3569E" w:rsidRDefault="00185608" w:rsidP="00230FAA">
            <w:pPr>
              <w:rPr>
                <w:sz w:val="16"/>
                <w:szCs w:val="16"/>
              </w:rPr>
            </w:pPr>
            <w:r w:rsidRPr="00F3569E">
              <w:rPr>
                <w:sz w:val="16"/>
                <w:szCs w:val="16"/>
              </w:rPr>
              <w:t>20% de encuestados expresan usar más los servicios de la OMPI.</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20% de encuestados expresan usar más los servicios de la OMPI.</w:t>
            </w: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tabs>
                <w:tab w:val="left" w:pos="1452"/>
              </w:tabs>
              <w:ind w:left="1701" w:hanging="1701"/>
              <w:rPr>
                <w:b/>
                <w:bCs/>
                <w:sz w:val="16"/>
                <w:szCs w:val="16"/>
              </w:rPr>
            </w:pPr>
            <w:r w:rsidRPr="00F3569E">
              <w:rPr>
                <w:b/>
                <w:bCs/>
                <w:sz w:val="16"/>
                <w:szCs w:val="16"/>
              </w:rPr>
              <w:t>Resultado previsto:</w:t>
            </w:r>
            <w:r w:rsidRPr="00F3569E">
              <w:rPr>
                <w:b/>
                <w:bCs/>
                <w:sz w:val="16"/>
                <w:szCs w:val="16"/>
              </w:rPr>
              <w:tab/>
            </w:r>
            <w:r w:rsidRPr="00F3569E">
              <w:rPr>
                <w:sz w:val="16"/>
                <w:szCs w:val="16"/>
                <w:lang w:bidi="th-TH"/>
              </w:rPr>
              <w:t>II.4  Mayor y más eficaz utilización del Sistema de La Haya, entre otros por los países en desarrollo y los PMA</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Referencia</w:t>
            </w:r>
            <w:r w:rsidR="008D2647">
              <w:rPr>
                <w:b/>
                <w:bCs/>
                <w:sz w:val="16"/>
                <w:szCs w:val="16"/>
              </w:rPr>
              <w:t xml:space="preserve"> de base</w:t>
            </w:r>
          </w:p>
        </w:tc>
        <w:tc>
          <w:tcPr>
            <w:tcW w:w="939" w:type="pct"/>
            <w:shd w:val="clear" w:color="auto" w:fill="auto"/>
            <w:tcMar>
              <w:top w:w="110" w:type="dxa"/>
              <w:left w:w="58" w:type="dxa"/>
              <w:right w:w="58" w:type="dxa"/>
            </w:tcMar>
            <w:vAlign w:val="center"/>
          </w:tcPr>
          <w:p w:rsidR="00185608" w:rsidRPr="00F3569E" w:rsidRDefault="00185608" w:rsidP="00230FAA">
            <w:pPr>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jc w:val="center"/>
              <w:rPr>
                <w:b/>
                <w:bCs/>
                <w:sz w:val="16"/>
                <w:szCs w:val="16"/>
              </w:rPr>
            </w:pPr>
            <w:r w:rsidRPr="00F3569E">
              <w:rPr>
                <w:b/>
                <w:bCs/>
                <w:sz w:val="16"/>
                <w:szCs w:val="16"/>
              </w:rPr>
              <w:t>Clave de colores</w:t>
            </w:r>
          </w:p>
        </w:tc>
      </w:tr>
      <w:tr w:rsidR="00185608" w:rsidRPr="00F3569E" w:rsidTr="00230FAA">
        <w:trPr>
          <w:trHeight w:val="1586"/>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N.º de solicitudes de La Haya procedentes de países en transición y desarrollados</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3.448 (2015) +24%</w:t>
            </w:r>
          </w:p>
          <w:p w:rsidR="00185608" w:rsidRPr="00F3569E" w:rsidRDefault="00185608" w:rsidP="00230FAA">
            <w:pPr>
              <w:rPr>
                <w:sz w:val="16"/>
                <w:szCs w:val="16"/>
              </w:rPr>
            </w:pPr>
          </w:p>
          <w:p w:rsidR="00185608" w:rsidRPr="00F3569E" w:rsidRDefault="00185608" w:rsidP="00230FAA">
            <w:pPr>
              <w:rPr>
                <w:i/>
                <w:sz w:val="16"/>
                <w:szCs w:val="16"/>
                <w:lang w:bidi="th-TH"/>
              </w:rPr>
            </w:pPr>
            <w:r w:rsidRPr="00F3569E">
              <w:rPr>
                <w:i/>
                <w:sz w:val="16"/>
                <w:szCs w:val="16"/>
                <w:lang w:bidi="th-TH"/>
              </w:rPr>
              <w:t>Referencia original en el presupuesto de 2016/17:</w:t>
            </w:r>
            <w:r w:rsidRPr="00F3569E">
              <w:rPr>
                <w:sz w:val="16"/>
                <w:szCs w:val="16"/>
                <w:lang w:bidi="th-TH"/>
              </w:rPr>
              <w:t xml:space="preserve">  </w:t>
            </w:r>
          </w:p>
          <w:p w:rsidR="00185608" w:rsidRPr="00F3569E" w:rsidRDefault="00185608" w:rsidP="00230FAA">
            <w:pPr>
              <w:rPr>
                <w:sz w:val="16"/>
                <w:szCs w:val="16"/>
                <w:lang w:bidi="th-TH"/>
              </w:rPr>
            </w:pPr>
            <w:r w:rsidRPr="00F3569E">
              <w:rPr>
                <w:sz w:val="16"/>
                <w:szCs w:val="16"/>
                <w:lang w:bidi="th-TH"/>
              </w:rPr>
              <w:t>2.776 (2014)</w:t>
            </w:r>
          </w:p>
        </w:tc>
        <w:tc>
          <w:tcPr>
            <w:tcW w:w="939" w:type="pct"/>
            <w:shd w:val="clear" w:color="auto" w:fill="auto"/>
            <w:tcMar>
              <w:top w:w="110" w:type="dxa"/>
              <w:left w:w="58" w:type="dxa"/>
              <w:right w:w="58" w:type="dxa"/>
            </w:tcMar>
          </w:tcPr>
          <w:p w:rsidR="00185608" w:rsidRPr="00515376" w:rsidRDefault="00185608" w:rsidP="00230FAA">
            <w:pPr>
              <w:rPr>
                <w:color w:val="002060"/>
                <w:sz w:val="16"/>
                <w:szCs w:val="16"/>
              </w:rPr>
            </w:pPr>
            <w:r w:rsidRPr="00515376">
              <w:rPr>
                <w:i/>
                <w:color w:val="002060"/>
                <w:sz w:val="16"/>
                <w:szCs w:val="16"/>
              </w:rPr>
              <w:t xml:space="preserve">Objetivo actualizado:  </w:t>
            </w:r>
            <w:r w:rsidRPr="00515376">
              <w:rPr>
                <w:i/>
                <w:color w:val="002060"/>
                <w:sz w:val="16"/>
                <w:szCs w:val="16"/>
              </w:rPr>
              <w:br/>
            </w:r>
            <w:r w:rsidRPr="00515376">
              <w:rPr>
                <w:color w:val="002060"/>
                <w:sz w:val="16"/>
                <w:szCs w:val="16"/>
              </w:rPr>
              <w:t>10% de aumento (anual)</w:t>
            </w:r>
          </w:p>
          <w:p w:rsidR="00185608" w:rsidRPr="00F3569E" w:rsidRDefault="00185608" w:rsidP="00230FAA">
            <w:pPr>
              <w:rPr>
                <w:sz w:val="16"/>
                <w:szCs w:val="16"/>
              </w:rPr>
            </w:pPr>
          </w:p>
          <w:p w:rsidR="00185608" w:rsidRPr="00F3569E" w:rsidRDefault="00185608" w:rsidP="00230FAA">
            <w:pPr>
              <w:rPr>
                <w:i/>
                <w:sz w:val="16"/>
                <w:szCs w:val="16"/>
                <w:lang w:bidi="th-TH"/>
              </w:rPr>
            </w:pPr>
            <w:r w:rsidRPr="00F3569E">
              <w:rPr>
                <w:i/>
                <w:sz w:val="16"/>
                <w:szCs w:val="16"/>
                <w:lang w:bidi="th-TH"/>
              </w:rPr>
              <w:t xml:space="preserve">Objetivo original en el presupuesto de 2016/17:  </w:t>
            </w:r>
          </w:p>
          <w:p w:rsidR="00185608" w:rsidRPr="00F3569E" w:rsidRDefault="00185608" w:rsidP="00230FAA">
            <w:pPr>
              <w:rPr>
                <w:sz w:val="16"/>
                <w:szCs w:val="16"/>
              </w:rPr>
            </w:pPr>
            <w:r w:rsidRPr="00F3569E">
              <w:rPr>
                <w:sz w:val="16"/>
                <w:szCs w:val="16"/>
              </w:rPr>
              <w:t>1,5% de aumento (anual)</w:t>
            </w:r>
          </w:p>
        </w:tc>
        <w:tc>
          <w:tcPr>
            <w:tcW w:w="1333" w:type="pct"/>
            <w:shd w:val="clear" w:color="auto" w:fill="FFFFFF"/>
            <w:tcMar>
              <w:top w:w="110" w:type="dxa"/>
              <w:left w:w="58" w:type="dxa"/>
              <w:right w:w="58" w:type="dxa"/>
            </w:tcMar>
          </w:tcPr>
          <w:p w:rsidR="00185608" w:rsidRPr="00F3569E" w:rsidRDefault="008D2647" w:rsidP="00230FAA">
            <w:pPr>
              <w:rPr>
                <w:sz w:val="16"/>
                <w:szCs w:val="16"/>
              </w:rPr>
            </w:pPr>
            <w:r>
              <w:rPr>
                <w:sz w:val="16"/>
                <w:szCs w:val="16"/>
              </w:rPr>
              <w:t xml:space="preserve">4.132 </w:t>
            </w:r>
          </w:p>
          <w:p w:rsidR="00185608" w:rsidRPr="00F3569E" w:rsidRDefault="00185608" w:rsidP="00230FAA">
            <w:pPr>
              <w:rPr>
                <w:sz w:val="16"/>
                <w:szCs w:val="16"/>
              </w:rPr>
            </w:pPr>
            <w:r w:rsidRPr="00F3569E">
              <w:rPr>
                <w:sz w:val="16"/>
                <w:szCs w:val="16"/>
              </w:rPr>
              <w:t>19,8%</w:t>
            </w:r>
          </w:p>
        </w:tc>
        <w:tc>
          <w:tcPr>
            <w:tcW w:w="490" w:type="pct"/>
            <w:gridSpan w:val="2"/>
            <w:shd w:val="clear" w:color="auto" w:fill="auto"/>
            <w:tcMar>
              <w:top w:w="110" w:type="dxa"/>
              <w:left w:w="58" w:type="dxa"/>
              <w:right w:w="58" w:type="dxa"/>
            </w:tcMar>
          </w:tcPr>
          <w:p w:rsidR="00185608" w:rsidRPr="00F3569E" w:rsidRDefault="00185608" w:rsidP="00230FAA">
            <w:pPr>
              <w:jc w:val="center"/>
              <w:rPr>
                <w:b/>
                <w:sz w:val="16"/>
                <w:szCs w:val="16"/>
              </w:rPr>
            </w:pPr>
            <w:r w:rsidRPr="00F3569E">
              <w:rPr>
                <w:b/>
                <w:color w:val="00B050"/>
                <w:sz w:val="16"/>
                <w:szCs w:val="16"/>
              </w:rPr>
              <w:t>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tabs>
                <w:tab w:val="left" w:pos="1452"/>
              </w:tabs>
              <w:ind w:left="1701" w:hanging="1701"/>
              <w:rPr>
                <w:b/>
                <w:bCs/>
                <w:sz w:val="16"/>
                <w:szCs w:val="16"/>
              </w:rPr>
            </w:pPr>
            <w:r w:rsidRPr="00F3569E">
              <w:rPr>
                <w:b/>
                <w:bCs/>
                <w:sz w:val="16"/>
                <w:szCs w:val="16"/>
              </w:rPr>
              <w:t>Resultado previsto:</w:t>
            </w:r>
            <w:r w:rsidRPr="00F3569E">
              <w:rPr>
                <w:b/>
                <w:bCs/>
                <w:sz w:val="16"/>
                <w:szCs w:val="16"/>
              </w:rPr>
              <w:tab/>
            </w:r>
            <w:r w:rsidRPr="00F3569E">
              <w:rPr>
                <w:sz w:val="16"/>
                <w:szCs w:val="16"/>
                <w:lang w:bidi="th-TH"/>
              </w:rPr>
              <w:t>II.6  Mayor y más eficaz utilización del Sistema de Madrid, entre otros por los países en desarrollo y los PMA</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Referencia</w:t>
            </w:r>
            <w:r w:rsidR="008D2647">
              <w:rPr>
                <w:b/>
                <w:bCs/>
                <w:sz w:val="16"/>
                <w:szCs w:val="16"/>
              </w:rPr>
              <w:t xml:space="preserve"> de base</w:t>
            </w:r>
          </w:p>
        </w:tc>
        <w:tc>
          <w:tcPr>
            <w:tcW w:w="939" w:type="pct"/>
            <w:shd w:val="clear" w:color="auto" w:fill="auto"/>
            <w:tcMar>
              <w:top w:w="110" w:type="dxa"/>
              <w:left w:w="58" w:type="dxa"/>
              <w:right w:w="58" w:type="dxa"/>
            </w:tcMar>
            <w:vAlign w:val="center"/>
          </w:tcPr>
          <w:p w:rsidR="00185608" w:rsidRPr="00F3569E" w:rsidRDefault="00185608" w:rsidP="00230FAA">
            <w:pPr>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jc w:val="center"/>
              <w:rPr>
                <w:b/>
                <w:bCs/>
                <w:sz w:val="16"/>
                <w:szCs w:val="16"/>
              </w:rPr>
            </w:pPr>
            <w:r w:rsidRPr="00F3569E">
              <w:rPr>
                <w:b/>
                <w:bCs/>
                <w:sz w:val="16"/>
                <w:szCs w:val="16"/>
              </w:rPr>
              <w:t>Clave de colores</w:t>
            </w:r>
          </w:p>
        </w:tc>
      </w:tr>
      <w:tr w:rsidR="00185608" w:rsidRPr="00F3569E" w:rsidTr="00230FAA">
        <w:trPr>
          <w:trHeight w:val="1438"/>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N.º de solicitudes del Sistema de Madrid procedentes de países en transición y desarrollados</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44.570 (2015) +1,8%</w:t>
            </w:r>
          </w:p>
          <w:p w:rsidR="00185608" w:rsidRPr="005708CF" w:rsidRDefault="00185608" w:rsidP="00230FAA">
            <w:pPr>
              <w:rPr>
                <w:color w:val="002060"/>
                <w:sz w:val="16"/>
                <w:szCs w:val="16"/>
              </w:rPr>
            </w:pPr>
            <w:r w:rsidRPr="005708CF">
              <w:rPr>
                <w:color w:val="002060"/>
                <w:sz w:val="16"/>
                <w:szCs w:val="16"/>
              </w:rPr>
              <w:t>43.748 (2014)</w:t>
            </w:r>
          </w:p>
          <w:p w:rsidR="00185608" w:rsidRPr="00F3569E" w:rsidRDefault="00185608" w:rsidP="00230FAA">
            <w:pPr>
              <w:rPr>
                <w:sz w:val="16"/>
                <w:szCs w:val="16"/>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rPr>
                <w:sz w:val="16"/>
                <w:szCs w:val="16"/>
                <w:lang w:bidi="th-TH"/>
              </w:rPr>
            </w:pPr>
            <w:r w:rsidRPr="00F3569E">
              <w:rPr>
                <w:sz w:val="16"/>
                <w:szCs w:val="16"/>
                <w:lang w:bidi="th-TH"/>
              </w:rPr>
              <w:t>43.748 (estimación de 2014)</w:t>
            </w:r>
          </w:p>
          <w:p w:rsidR="00185608" w:rsidRPr="00F3569E" w:rsidRDefault="00185608" w:rsidP="00230FAA">
            <w:pPr>
              <w:rPr>
                <w:sz w:val="16"/>
                <w:szCs w:val="16"/>
                <w:lang w:bidi="th-TH"/>
              </w:rPr>
            </w:pPr>
          </w:p>
        </w:tc>
        <w:tc>
          <w:tcPr>
            <w:tcW w:w="939" w:type="pct"/>
            <w:shd w:val="clear" w:color="auto" w:fill="auto"/>
            <w:tcMar>
              <w:top w:w="110" w:type="dxa"/>
              <w:left w:w="58" w:type="dxa"/>
              <w:right w:w="58" w:type="dxa"/>
            </w:tcMar>
          </w:tcPr>
          <w:p w:rsidR="00185608" w:rsidRPr="00F3569E" w:rsidRDefault="00185608" w:rsidP="00230FAA">
            <w:pPr>
              <w:rPr>
                <w:sz w:val="16"/>
                <w:szCs w:val="16"/>
              </w:rPr>
            </w:pPr>
            <w:r w:rsidRPr="00F3569E">
              <w:rPr>
                <w:sz w:val="16"/>
                <w:szCs w:val="16"/>
              </w:rPr>
              <w:t>2% de aumento (anual)</w:t>
            </w:r>
          </w:p>
        </w:tc>
        <w:tc>
          <w:tcPr>
            <w:tcW w:w="1333" w:type="pct"/>
            <w:shd w:val="clear" w:color="auto" w:fill="FFFFFF"/>
            <w:tcMar>
              <w:top w:w="110" w:type="dxa"/>
              <w:left w:w="58" w:type="dxa"/>
              <w:right w:w="58" w:type="dxa"/>
            </w:tcMar>
          </w:tcPr>
          <w:p w:rsidR="00185608" w:rsidRPr="00F3569E" w:rsidRDefault="008D2647" w:rsidP="00230FAA">
            <w:pPr>
              <w:rPr>
                <w:sz w:val="16"/>
                <w:szCs w:val="16"/>
              </w:rPr>
            </w:pPr>
            <w:r>
              <w:rPr>
                <w:sz w:val="16"/>
                <w:szCs w:val="16"/>
              </w:rPr>
              <w:t xml:space="preserve">47.094 </w:t>
            </w:r>
          </w:p>
          <w:p w:rsidR="00185608" w:rsidRPr="00F3569E" w:rsidRDefault="00185608" w:rsidP="00230FAA">
            <w:pPr>
              <w:rPr>
                <w:sz w:val="16"/>
                <w:szCs w:val="16"/>
              </w:rPr>
            </w:pPr>
            <w:r w:rsidRPr="00F3569E">
              <w:rPr>
                <w:sz w:val="16"/>
                <w:szCs w:val="16"/>
              </w:rPr>
              <w:t xml:space="preserve"> +5,7%</w:t>
            </w: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tabs>
                <w:tab w:val="left" w:pos="1452"/>
              </w:tabs>
              <w:ind w:left="1701" w:hanging="1701"/>
              <w:rPr>
                <w:bCs/>
                <w:sz w:val="16"/>
                <w:szCs w:val="16"/>
              </w:rPr>
            </w:pPr>
            <w:r w:rsidRPr="00F3569E">
              <w:rPr>
                <w:b/>
                <w:bCs/>
                <w:sz w:val="16"/>
                <w:szCs w:val="16"/>
              </w:rPr>
              <w:t>Resultado previsto:</w:t>
            </w:r>
            <w:r w:rsidRPr="00F3569E">
              <w:rPr>
                <w:b/>
                <w:bCs/>
                <w:sz w:val="16"/>
                <w:szCs w:val="16"/>
              </w:rPr>
              <w:tab/>
            </w:r>
            <w:r w:rsidRPr="00F3569E">
              <w:rPr>
                <w:bCs/>
                <w:sz w:val="16"/>
                <w:szCs w:val="16"/>
              </w:rPr>
              <w:t>II.8  Las controversias nacionales e internacionales en materia de P.I. se evitan o resuelven cada vez con más frecuencia mediante procedimientos de mediación, arbitraje y demás métodos de solución extrajudicial de controversias</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Referencia</w:t>
            </w:r>
          </w:p>
        </w:tc>
        <w:tc>
          <w:tcPr>
            <w:tcW w:w="939" w:type="pct"/>
            <w:shd w:val="clear" w:color="auto" w:fill="auto"/>
            <w:tcMar>
              <w:top w:w="110" w:type="dxa"/>
              <w:left w:w="58" w:type="dxa"/>
              <w:right w:w="58" w:type="dxa"/>
            </w:tcMar>
            <w:vAlign w:val="center"/>
          </w:tcPr>
          <w:p w:rsidR="00185608" w:rsidRPr="00F3569E" w:rsidRDefault="00185608" w:rsidP="00230FAA">
            <w:pPr>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jc w:val="center"/>
              <w:rPr>
                <w:b/>
                <w:bCs/>
                <w:sz w:val="16"/>
                <w:szCs w:val="16"/>
              </w:rPr>
            </w:pPr>
            <w:r w:rsidRPr="00F3569E">
              <w:rPr>
                <w:b/>
                <w:bCs/>
                <w:sz w:val="16"/>
                <w:szCs w:val="16"/>
              </w:rPr>
              <w:t>Clave de colores</w:t>
            </w:r>
          </w:p>
        </w:tc>
      </w:tr>
      <w:tr w:rsidR="00185608" w:rsidRPr="00F3569E" w:rsidTr="00230FAA">
        <w:trPr>
          <w:trHeight w:val="3415"/>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N.º de controversias de P.I. que surgen en países en transición y desarrollados y que se evitan o resuelven mediante el Centro de Arbitraje y Mediación de la OMPI y otros métodos extrajudiciales de solución de controversias</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412 controversias y 160 buenos oficios que incumben a partes de países en transición y desarrollados (en total a final de 2015).</w:t>
            </w:r>
            <w:r w:rsidRPr="005708CF">
              <w:rPr>
                <w:rStyle w:val="FootnoteReference"/>
                <w:color w:val="002060"/>
              </w:rPr>
              <w:footnoteReference w:id="54"/>
            </w:r>
          </w:p>
          <w:p w:rsidR="00185608" w:rsidRPr="00F3569E" w:rsidRDefault="00185608" w:rsidP="00230FAA">
            <w:pPr>
              <w:rPr>
                <w:sz w:val="16"/>
                <w:szCs w:val="16"/>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rPr>
                <w:sz w:val="16"/>
                <w:szCs w:val="16"/>
                <w:lang w:bidi="th-TH"/>
              </w:rPr>
            </w:pPr>
            <w:r w:rsidRPr="00F3569E">
              <w:rPr>
                <w:sz w:val="16"/>
                <w:szCs w:val="16"/>
                <w:lang w:bidi="th-TH"/>
              </w:rPr>
              <w:t>18 controversias y 25 buenos oficios adicionales que incumben a partes de países con economías en transición y desarrollados (2014)</w:t>
            </w:r>
          </w:p>
          <w:p w:rsidR="00185608" w:rsidRPr="00F3569E" w:rsidRDefault="00185608" w:rsidP="00230FAA">
            <w:pPr>
              <w:rPr>
                <w:sz w:val="16"/>
                <w:szCs w:val="16"/>
                <w:lang w:bidi="th-TH"/>
              </w:rPr>
            </w:pPr>
          </w:p>
          <w:p w:rsidR="00185608" w:rsidRPr="00F3569E" w:rsidRDefault="00185608" w:rsidP="00230FAA">
            <w:pPr>
              <w:rPr>
                <w:sz w:val="16"/>
                <w:szCs w:val="16"/>
                <w:lang w:bidi="th-TH"/>
              </w:rPr>
            </w:pPr>
            <w:r w:rsidRPr="00F3569E">
              <w:rPr>
                <w:sz w:val="16"/>
                <w:szCs w:val="16"/>
                <w:lang w:bidi="th-TH"/>
              </w:rPr>
              <w:t>377 controversias y 76 buenos oficios (en total)</w:t>
            </w:r>
          </w:p>
        </w:tc>
        <w:tc>
          <w:tcPr>
            <w:tcW w:w="939" w:type="pct"/>
            <w:shd w:val="clear" w:color="auto" w:fill="auto"/>
            <w:tcMar>
              <w:top w:w="110" w:type="dxa"/>
              <w:left w:w="58" w:type="dxa"/>
              <w:right w:w="58" w:type="dxa"/>
            </w:tcMar>
          </w:tcPr>
          <w:p w:rsidR="00185608" w:rsidRPr="00F3569E" w:rsidRDefault="00185608" w:rsidP="00230FAA">
            <w:pPr>
              <w:rPr>
                <w:sz w:val="16"/>
                <w:szCs w:val="16"/>
              </w:rPr>
            </w:pPr>
            <w:r w:rsidRPr="00F3569E">
              <w:rPr>
                <w:sz w:val="16"/>
                <w:szCs w:val="16"/>
              </w:rPr>
              <w:t>33 controversias y buenos oficios adicionales que incumben a partes de países con economías en transición y desarrollados</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57 controversias y 46 buenos oficios adicionales que incumben a partes de países con economías en transición y desarrollados</w:t>
            </w:r>
          </w:p>
          <w:p w:rsidR="00185608" w:rsidRPr="00F3569E" w:rsidRDefault="00185608" w:rsidP="00230FAA">
            <w:pPr>
              <w:rPr>
                <w:rFonts w:ascii="Calibri" w:hAnsi="Calibri" w:cs="Times New Roman"/>
                <w:sz w:val="16"/>
                <w:szCs w:val="16"/>
              </w:rPr>
            </w:pPr>
          </w:p>
          <w:p w:rsidR="00185608" w:rsidRPr="00F3569E" w:rsidRDefault="00185608" w:rsidP="00230FAA">
            <w:pPr>
              <w:rPr>
                <w:sz w:val="16"/>
                <w:szCs w:val="16"/>
              </w:rPr>
            </w:pPr>
            <w:r w:rsidRPr="00F3569E">
              <w:rPr>
                <w:sz w:val="16"/>
                <w:szCs w:val="16"/>
              </w:rPr>
              <w:t>469 controversias y 206 buenos oficios que incumben a partes de países con economías en transición y desarroll</w:t>
            </w:r>
            <w:r w:rsidR="008D2647">
              <w:rPr>
                <w:sz w:val="16"/>
                <w:szCs w:val="16"/>
              </w:rPr>
              <w:t>ados (en total)</w:t>
            </w: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keepNext/>
              <w:keepLines/>
              <w:tabs>
                <w:tab w:val="left" w:pos="1452"/>
              </w:tabs>
              <w:ind w:left="1701" w:hanging="1701"/>
              <w:rPr>
                <w:b/>
                <w:bCs/>
                <w:sz w:val="16"/>
                <w:szCs w:val="16"/>
              </w:rPr>
            </w:pPr>
            <w:r w:rsidRPr="00F3569E">
              <w:rPr>
                <w:b/>
                <w:bCs/>
                <w:sz w:val="16"/>
                <w:szCs w:val="16"/>
              </w:rPr>
              <w:lastRenderedPageBreak/>
              <w:t>Resultado previsto:</w:t>
            </w:r>
            <w:r w:rsidRPr="00F3569E">
              <w:rPr>
                <w:b/>
                <w:bCs/>
                <w:sz w:val="16"/>
                <w:szCs w:val="16"/>
              </w:rPr>
              <w:tab/>
            </w:r>
            <w:r w:rsidRPr="00F3569E">
              <w:rPr>
                <w:sz w:val="16"/>
                <w:szCs w:val="16"/>
                <w:lang w:bidi="th-TH"/>
              </w:rPr>
              <w:t>II.10  Mayor y más eficaz utilización del Sistema de Lisboa, entre otros por los países en desarrollo y los PMA</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keepNext/>
              <w:keepLines/>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keepNext/>
              <w:keepLines/>
              <w:rPr>
                <w:b/>
                <w:bCs/>
                <w:sz w:val="16"/>
                <w:szCs w:val="16"/>
              </w:rPr>
            </w:pPr>
            <w:r w:rsidRPr="00F3569E">
              <w:rPr>
                <w:b/>
                <w:bCs/>
                <w:sz w:val="16"/>
                <w:szCs w:val="16"/>
              </w:rPr>
              <w:t>Referencia</w:t>
            </w:r>
          </w:p>
        </w:tc>
        <w:tc>
          <w:tcPr>
            <w:tcW w:w="939" w:type="pct"/>
            <w:shd w:val="clear" w:color="auto" w:fill="auto"/>
            <w:tcMar>
              <w:top w:w="110" w:type="dxa"/>
              <w:left w:w="58" w:type="dxa"/>
              <w:right w:w="58" w:type="dxa"/>
            </w:tcMar>
            <w:vAlign w:val="center"/>
          </w:tcPr>
          <w:p w:rsidR="00185608" w:rsidRPr="00F3569E" w:rsidRDefault="00185608" w:rsidP="00230FAA">
            <w:pPr>
              <w:keepNext/>
              <w:keepLines/>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keepNext/>
              <w:keepLines/>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keepNext/>
              <w:keepLines/>
              <w:jc w:val="center"/>
              <w:rPr>
                <w:b/>
                <w:bCs/>
                <w:sz w:val="16"/>
                <w:szCs w:val="16"/>
              </w:rPr>
            </w:pPr>
            <w:r w:rsidRPr="00F3569E">
              <w:rPr>
                <w:b/>
                <w:bCs/>
                <w:sz w:val="16"/>
                <w:szCs w:val="16"/>
              </w:rPr>
              <w:t>Clave de colores</w:t>
            </w:r>
          </w:p>
        </w:tc>
      </w:tr>
      <w:tr w:rsidR="00185608" w:rsidRPr="00F3569E" w:rsidTr="00230FAA">
        <w:trPr>
          <w:trHeight w:val="2369"/>
        </w:trPr>
        <w:tc>
          <w:tcPr>
            <w:tcW w:w="1026" w:type="pct"/>
            <w:shd w:val="clear" w:color="auto" w:fill="auto"/>
            <w:tcMar>
              <w:left w:w="58" w:type="dxa"/>
              <w:right w:w="58" w:type="dxa"/>
            </w:tcMar>
          </w:tcPr>
          <w:p w:rsidR="00185608" w:rsidRPr="00F3569E" w:rsidRDefault="00185608" w:rsidP="00230FAA">
            <w:pPr>
              <w:keepNext/>
              <w:keepLines/>
              <w:rPr>
                <w:sz w:val="16"/>
                <w:szCs w:val="16"/>
              </w:rPr>
            </w:pPr>
            <w:r w:rsidRPr="00F3569E">
              <w:rPr>
                <w:sz w:val="16"/>
                <w:szCs w:val="16"/>
              </w:rPr>
              <w:t>N.º de registros internacionales en virtud del Sistema de Lisboa en vigor, de países con economías en transición y países desarrollados</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keepNext/>
              <w:keepLines/>
              <w:rPr>
                <w:color w:val="002060"/>
                <w:sz w:val="16"/>
                <w:szCs w:val="16"/>
              </w:rPr>
            </w:pPr>
            <w:r w:rsidRPr="005708CF">
              <w:rPr>
                <w:color w:val="002060"/>
                <w:sz w:val="16"/>
                <w:szCs w:val="16"/>
              </w:rPr>
              <w:t>836 de 931 registros en vigor de países con economías en transición y desarrollados al final de 2014/15</w:t>
            </w:r>
          </w:p>
          <w:p w:rsidR="00185608" w:rsidRPr="005708CF" w:rsidRDefault="00185608" w:rsidP="00230FAA">
            <w:pPr>
              <w:keepNext/>
              <w:keepLines/>
              <w:rPr>
                <w:color w:val="002060"/>
                <w:sz w:val="16"/>
                <w:szCs w:val="16"/>
              </w:rPr>
            </w:pPr>
            <w:r w:rsidRPr="005708CF">
              <w:rPr>
                <w:color w:val="002060"/>
                <w:sz w:val="16"/>
                <w:szCs w:val="16"/>
              </w:rPr>
              <w:t>(+11,6% más que en 2012/13)</w:t>
            </w:r>
          </w:p>
          <w:p w:rsidR="00185608" w:rsidRPr="00F3569E" w:rsidRDefault="00185608" w:rsidP="00230FAA">
            <w:pPr>
              <w:keepNext/>
              <w:keepLines/>
              <w:rPr>
                <w:sz w:val="16"/>
                <w:szCs w:val="16"/>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keepNext/>
              <w:keepLines/>
              <w:rPr>
                <w:sz w:val="16"/>
                <w:szCs w:val="16"/>
                <w:lang w:bidi="th-TH"/>
              </w:rPr>
            </w:pPr>
            <w:r w:rsidRPr="00F3569E">
              <w:rPr>
                <w:sz w:val="16"/>
                <w:szCs w:val="16"/>
                <w:lang w:bidi="th-TH"/>
              </w:rPr>
              <w:t>818 de 896 registros en vigor (2014)</w:t>
            </w:r>
          </w:p>
        </w:tc>
        <w:tc>
          <w:tcPr>
            <w:tcW w:w="939" w:type="pct"/>
            <w:shd w:val="clear" w:color="auto" w:fill="auto"/>
            <w:tcMar>
              <w:top w:w="110" w:type="dxa"/>
              <w:left w:w="58" w:type="dxa"/>
              <w:right w:w="58" w:type="dxa"/>
            </w:tcMar>
          </w:tcPr>
          <w:p w:rsidR="00185608" w:rsidRPr="00F3569E" w:rsidRDefault="00185608" w:rsidP="00230FAA">
            <w:pPr>
              <w:keepNext/>
              <w:keepLines/>
              <w:rPr>
                <w:sz w:val="16"/>
                <w:szCs w:val="16"/>
              </w:rPr>
            </w:pPr>
            <w:r w:rsidRPr="00F3569E">
              <w:rPr>
                <w:sz w:val="16"/>
                <w:szCs w:val="16"/>
              </w:rPr>
              <w:t>2% de aumento (bienal)</w:t>
            </w:r>
          </w:p>
        </w:tc>
        <w:tc>
          <w:tcPr>
            <w:tcW w:w="1333" w:type="pct"/>
            <w:shd w:val="clear" w:color="auto" w:fill="FFFFFF"/>
            <w:tcMar>
              <w:top w:w="110" w:type="dxa"/>
              <w:left w:w="58" w:type="dxa"/>
              <w:right w:w="58" w:type="dxa"/>
            </w:tcMar>
          </w:tcPr>
          <w:p w:rsidR="00185608" w:rsidRPr="00F3569E" w:rsidRDefault="00185608" w:rsidP="00230FAA">
            <w:pPr>
              <w:keepNext/>
              <w:keepLines/>
              <w:rPr>
                <w:sz w:val="16"/>
                <w:szCs w:val="16"/>
              </w:rPr>
            </w:pPr>
            <w:r w:rsidRPr="00F3569E">
              <w:rPr>
                <w:sz w:val="16"/>
                <w:szCs w:val="16"/>
              </w:rPr>
              <w:t xml:space="preserve">861 de 956 registros en vigor de países con economías en transición </w:t>
            </w:r>
            <w:r w:rsidR="008D2647">
              <w:rPr>
                <w:sz w:val="16"/>
                <w:szCs w:val="16"/>
              </w:rPr>
              <w:t>y desarrollados</w:t>
            </w:r>
            <w:r w:rsidRPr="00F3569E">
              <w:rPr>
                <w:sz w:val="16"/>
                <w:szCs w:val="16"/>
              </w:rPr>
              <w:t xml:space="preserve"> (+10,6% más que en 2015)</w:t>
            </w:r>
          </w:p>
        </w:tc>
        <w:tc>
          <w:tcPr>
            <w:tcW w:w="490" w:type="pct"/>
            <w:gridSpan w:val="2"/>
            <w:shd w:val="clear" w:color="auto" w:fill="auto"/>
            <w:tcMar>
              <w:top w:w="110" w:type="dxa"/>
              <w:left w:w="58" w:type="dxa"/>
              <w:right w:w="58" w:type="dxa"/>
            </w:tcMar>
          </w:tcPr>
          <w:p w:rsidR="00185608" w:rsidRPr="00F3569E" w:rsidRDefault="00185608" w:rsidP="00230FAA">
            <w:pPr>
              <w:keepNext/>
              <w:keepLines/>
              <w:jc w:val="center"/>
              <w:rPr>
                <w:sz w:val="16"/>
                <w:szCs w:val="16"/>
              </w:rPr>
            </w:pPr>
            <w:r w:rsidRPr="00F3569E">
              <w:rPr>
                <w:b/>
                <w:color w:val="00B050"/>
                <w:sz w:val="16"/>
                <w:szCs w:val="16"/>
              </w:rPr>
              <w:t>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tabs>
                <w:tab w:val="left" w:pos="1452"/>
              </w:tabs>
              <w:ind w:left="1701" w:hanging="1701"/>
              <w:rPr>
                <w:b/>
                <w:bCs/>
                <w:sz w:val="16"/>
                <w:szCs w:val="16"/>
              </w:rPr>
            </w:pPr>
            <w:r w:rsidRPr="00F3569E">
              <w:rPr>
                <w:b/>
                <w:bCs/>
                <w:sz w:val="16"/>
                <w:szCs w:val="16"/>
              </w:rPr>
              <w:t>Resultado previsto:</w:t>
            </w:r>
            <w:r w:rsidRPr="00F3569E">
              <w:rPr>
                <w:b/>
                <w:bCs/>
                <w:sz w:val="16"/>
                <w:szCs w:val="16"/>
              </w:rPr>
              <w:tab/>
            </w:r>
            <w:r w:rsidRPr="00F3569E">
              <w:rPr>
                <w:sz w:val="16"/>
                <w:szCs w:val="16"/>
                <w:lang w:bidi="th-TH"/>
              </w:rPr>
              <w:t>III.1  Estrategias y planes nacionales de innovación y de P.I. que estén en sintonía con los objetivos nacionales de desarrollo</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Referencia</w:t>
            </w:r>
          </w:p>
        </w:tc>
        <w:tc>
          <w:tcPr>
            <w:tcW w:w="939" w:type="pct"/>
            <w:shd w:val="clear" w:color="auto" w:fill="auto"/>
            <w:tcMar>
              <w:top w:w="110" w:type="dxa"/>
              <w:left w:w="58" w:type="dxa"/>
              <w:right w:w="58" w:type="dxa"/>
            </w:tcMar>
            <w:vAlign w:val="center"/>
          </w:tcPr>
          <w:p w:rsidR="00185608" w:rsidRPr="00F3569E" w:rsidRDefault="00185608" w:rsidP="00230FAA">
            <w:pPr>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jc w:val="center"/>
              <w:rPr>
                <w:b/>
                <w:bCs/>
                <w:sz w:val="16"/>
                <w:szCs w:val="16"/>
              </w:rPr>
            </w:pPr>
            <w:r w:rsidRPr="00F3569E">
              <w:rPr>
                <w:b/>
                <w:bCs/>
                <w:sz w:val="16"/>
                <w:szCs w:val="16"/>
              </w:rPr>
              <w:t>Clave de colores</w:t>
            </w:r>
          </w:p>
        </w:tc>
      </w:tr>
      <w:tr w:rsidR="00185608" w:rsidRPr="00F3569E" w:rsidTr="00230FAA">
        <w:trPr>
          <w:trHeight w:val="637"/>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 xml:space="preserve">N.º de países que está elaborando estrategias nacionales de P.I. </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4 países: Albania, Georgia, Letonia y Polonia</w:t>
            </w:r>
          </w:p>
          <w:p w:rsidR="00185608" w:rsidRPr="00F3569E" w:rsidRDefault="00185608" w:rsidP="00230FAA">
            <w:pPr>
              <w:rPr>
                <w:i/>
                <w:sz w:val="16"/>
                <w:szCs w:val="16"/>
                <w:lang w:bidi="th-TH"/>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rPr>
                <w:sz w:val="16"/>
                <w:szCs w:val="16"/>
              </w:rPr>
            </w:pPr>
            <w:r w:rsidRPr="00F3569E">
              <w:rPr>
                <w:sz w:val="16"/>
                <w:szCs w:val="16"/>
              </w:rPr>
              <w:t>4 países en 2014</w:t>
            </w:r>
          </w:p>
          <w:p w:rsidR="00185608" w:rsidRPr="00F3569E" w:rsidRDefault="00185608" w:rsidP="00230FAA">
            <w:pPr>
              <w:rPr>
                <w:sz w:val="16"/>
                <w:szCs w:val="16"/>
              </w:rPr>
            </w:pPr>
            <w:r w:rsidRPr="00F3569E">
              <w:rPr>
                <w:sz w:val="16"/>
                <w:szCs w:val="16"/>
              </w:rPr>
              <w:t>(21 en total).</w:t>
            </w:r>
          </w:p>
        </w:tc>
        <w:tc>
          <w:tcPr>
            <w:tcW w:w="939" w:type="pct"/>
            <w:shd w:val="clear" w:color="auto" w:fill="auto"/>
            <w:tcMar>
              <w:top w:w="110" w:type="dxa"/>
              <w:left w:w="58" w:type="dxa"/>
              <w:right w:w="58" w:type="dxa"/>
            </w:tcMar>
          </w:tcPr>
          <w:p w:rsidR="00185608" w:rsidRPr="00F3569E" w:rsidRDefault="00185608" w:rsidP="00230FAA">
            <w:pPr>
              <w:rPr>
                <w:sz w:val="16"/>
                <w:szCs w:val="16"/>
              </w:rPr>
            </w:pPr>
            <w:r w:rsidRPr="00F3569E">
              <w:rPr>
                <w:sz w:val="16"/>
                <w:szCs w:val="16"/>
              </w:rPr>
              <w:t>7 países adicionales</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 xml:space="preserve">3 países adicionales en el proceso de formular o reformular sus estrategias de P.I.: Kirguistán, Eslovaquia y Ucrania </w:t>
            </w:r>
          </w:p>
          <w:p w:rsidR="00185608" w:rsidRPr="00F3569E" w:rsidRDefault="00185608" w:rsidP="00230FAA">
            <w:pPr>
              <w:rPr>
                <w:sz w:val="16"/>
                <w:szCs w:val="16"/>
              </w:rPr>
            </w:pPr>
          </w:p>
          <w:p w:rsidR="00185608" w:rsidRPr="00F3569E" w:rsidRDefault="00185608" w:rsidP="00230FAA">
            <w:pPr>
              <w:rPr>
                <w:sz w:val="16"/>
                <w:szCs w:val="16"/>
              </w:rPr>
            </w:pPr>
            <w:r w:rsidRPr="00F3569E">
              <w:rPr>
                <w:sz w:val="16"/>
                <w:szCs w:val="16"/>
              </w:rPr>
              <w:t>2 países (Georgia, Letonia) estaban terminando de formular sus estrategias de P.I. al final de 2016</w:t>
            </w: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2512"/>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N.º de países que ha elaborado estrategias o planes de P.I. en consonancia con los objetivos nacionales de desarrollo</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6 países elaboraron estrategias de P.I. en 2014/15:  Bulgaria, Eslovenia, Tayikistán, Turkmenistán, Turquía y Ucrania</w:t>
            </w:r>
          </w:p>
          <w:p w:rsidR="00185608" w:rsidRPr="005708CF" w:rsidRDefault="00185608" w:rsidP="00230FAA">
            <w:pPr>
              <w:rPr>
                <w:color w:val="002060"/>
                <w:sz w:val="16"/>
                <w:szCs w:val="16"/>
              </w:rPr>
            </w:pPr>
            <w:r w:rsidRPr="005708CF">
              <w:rPr>
                <w:color w:val="002060"/>
                <w:sz w:val="16"/>
                <w:szCs w:val="16"/>
              </w:rPr>
              <w:t>(20 en total)</w:t>
            </w:r>
          </w:p>
          <w:p w:rsidR="00185608" w:rsidRPr="00F3569E" w:rsidRDefault="00185608" w:rsidP="00230FAA">
            <w:pPr>
              <w:rPr>
                <w:sz w:val="16"/>
                <w:szCs w:val="16"/>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rPr>
                <w:sz w:val="16"/>
                <w:szCs w:val="16"/>
              </w:rPr>
            </w:pPr>
            <w:r w:rsidRPr="00F3569E">
              <w:rPr>
                <w:sz w:val="16"/>
                <w:szCs w:val="16"/>
              </w:rPr>
              <w:t>3 países en 2014</w:t>
            </w:r>
          </w:p>
          <w:p w:rsidR="00185608" w:rsidRPr="00F3569E" w:rsidRDefault="00185608" w:rsidP="00230FAA">
            <w:pPr>
              <w:rPr>
                <w:sz w:val="16"/>
                <w:szCs w:val="16"/>
              </w:rPr>
            </w:pPr>
            <w:r w:rsidRPr="00F3569E">
              <w:rPr>
                <w:sz w:val="16"/>
                <w:szCs w:val="16"/>
              </w:rPr>
              <w:t>(17 en total)</w:t>
            </w:r>
          </w:p>
        </w:tc>
        <w:tc>
          <w:tcPr>
            <w:tcW w:w="939" w:type="pct"/>
            <w:shd w:val="clear" w:color="auto" w:fill="auto"/>
            <w:tcMar>
              <w:top w:w="110" w:type="dxa"/>
              <w:left w:w="58" w:type="dxa"/>
              <w:right w:w="58" w:type="dxa"/>
            </w:tcMar>
          </w:tcPr>
          <w:p w:rsidR="00185608" w:rsidRPr="00F3569E" w:rsidRDefault="00185608" w:rsidP="00230FAA">
            <w:pPr>
              <w:rPr>
                <w:sz w:val="16"/>
                <w:szCs w:val="16"/>
              </w:rPr>
            </w:pPr>
            <w:r w:rsidRPr="00F3569E">
              <w:rPr>
                <w:sz w:val="16"/>
                <w:szCs w:val="16"/>
              </w:rPr>
              <w:t>7 países adicionales</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1 país adicional elaboró una estrategia de P.I.: Albania</w:t>
            </w:r>
          </w:p>
          <w:p w:rsidR="00185608" w:rsidRPr="00F3569E" w:rsidRDefault="00185608" w:rsidP="00230FAA">
            <w:pPr>
              <w:rPr>
                <w:sz w:val="16"/>
                <w:szCs w:val="16"/>
              </w:rPr>
            </w:pPr>
          </w:p>
          <w:p w:rsidR="00185608" w:rsidRPr="00F3569E" w:rsidRDefault="00185608" w:rsidP="00B562A5">
            <w:pPr>
              <w:rPr>
                <w:sz w:val="16"/>
                <w:szCs w:val="16"/>
              </w:rPr>
            </w:pPr>
            <w:r w:rsidRPr="00F3569E">
              <w:rPr>
                <w:sz w:val="16"/>
                <w:szCs w:val="16"/>
              </w:rPr>
              <w:t>21 países (en total)</w:t>
            </w: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FF0000"/>
                <w:sz w:val="16"/>
                <w:szCs w:val="16"/>
              </w:rPr>
              <w:t>No 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tabs>
                <w:tab w:val="left" w:pos="1452"/>
              </w:tabs>
              <w:ind w:left="1701" w:hanging="1701"/>
              <w:rPr>
                <w:bCs/>
                <w:sz w:val="16"/>
                <w:szCs w:val="16"/>
              </w:rPr>
            </w:pPr>
            <w:r w:rsidRPr="00F3569E">
              <w:rPr>
                <w:b/>
                <w:bCs/>
                <w:sz w:val="16"/>
                <w:szCs w:val="16"/>
              </w:rPr>
              <w:t>Resultado previsto:</w:t>
            </w:r>
            <w:r w:rsidRPr="00F3569E">
              <w:rPr>
                <w:b/>
                <w:bCs/>
                <w:sz w:val="16"/>
                <w:szCs w:val="16"/>
              </w:rPr>
              <w:tab/>
            </w:r>
            <w:r w:rsidRPr="00F3569E">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rPr>
                <w:b/>
                <w:bCs/>
                <w:sz w:val="16"/>
                <w:szCs w:val="16"/>
              </w:rPr>
            </w:pPr>
            <w:r w:rsidRPr="00F3569E">
              <w:rPr>
                <w:b/>
                <w:bCs/>
                <w:sz w:val="16"/>
                <w:szCs w:val="16"/>
              </w:rPr>
              <w:t>Referencia</w:t>
            </w:r>
          </w:p>
        </w:tc>
        <w:tc>
          <w:tcPr>
            <w:tcW w:w="939" w:type="pct"/>
            <w:shd w:val="clear" w:color="auto" w:fill="auto"/>
            <w:tcMar>
              <w:top w:w="110" w:type="dxa"/>
              <w:left w:w="58" w:type="dxa"/>
              <w:right w:w="58" w:type="dxa"/>
            </w:tcMar>
            <w:vAlign w:val="center"/>
          </w:tcPr>
          <w:p w:rsidR="00185608" w:rsidRPr="00F3569E" w:rsidRDefault="00185608" w:rsidP="00230FAA">
            <w:pPr>
              <w:tabs>
                <w:tab w:val="left" w:pos="290"/>
              </w:tabs>
              <w:rPr>
                <w:b/>
                <w:bCs/>
                <w:sz w:val="16"/>
                <w:szCs w:val="16"/>
              </w:rPr>
            </w:pPr>
            <w:r w:rsidRPr="00F3569E">
              <w:rPr>
                <w:b/>
                <w:bCs/>
                <w:sz w:val="16"/>
                <w:szCs w:val="16"/>
              </w:rPr>
              <w:t>Objetivos</w:t>
            </w:r>
          </w:p>
        </w:tc>
        <w:tc>
          <w:tcPr>
            <w:tcW w:w="1333" w:type="pct"/>
            <w:shd w:val="clear" w:color="auto" w:fill="FFFFFF"/>
            <w:tcMar>
              <w:top w:w="110" w:type="dxa"/>
              <w:left w:w="58" w:type="dxa"/>
              <w:right w:w="58" w:type="dxa"/>
            </w:tcMar>
            <w:vAlign w:val="center"/>
          </w:tcPr>
          <w:p w:rsidR="00185608" w:rsidRPr="00F3569E" w:rsidRDefault="00185608" w:rsidP="00230FAA">
            <w:pPr>
              <w:rPr>
                <w:b/>
                <w:bCs/>
                <w:sz w:val="16"/>
                <w:szCs w:val="16"/>
              </w:rPr>
            </w:pPr>
            <w:r w:rsidRPr="00F3569E">
              <w:rPr>
                <w:b/>
                <w:bCs/>
                <w:sz w:val="16"/>
                <w:szCs w:val="16"/>
              </w:rPr>
              <w:t>Datos sobre el rendimiento</w:t>
            </w:r>
          </w:p>
        </w:tc>
        <w:tc>
          <w:tcPr>
            <w:tcW w:w="490" w:type="pct"/>
            <w:gridSpan w:val="2"/>
            <w:shd w:val="clear" w:color="auto" w:fill="auto"/>
            <w:tcMar>
              <w:top w:w="110" w:type="dxa"/>
              <w:left w:w="58" w:type="dxa"/>
              <w:right w:w="58" w:type="dxa"/>
            </w:tcMar>
            <w:vAlign w:val="center"/>
          </w:tcPr>
          <w:p w:rsidR="00185608" w:rsidRPr="00F3569E" w:rsidRDefault="00185608" w:rsidP="00230FAA">
            <w:pPr>
              <w:jc w:val="center"/>
              <w:rPr>
                <w:b/>
                <w:bCs/>
                <w:sz w:val="16"/>
                <w:szCs w:val="16"/>
              </w:rPr>
            </w:pPr>
            <w:r w:rsidRPr="00F3569E">
              <w:rPr>
                <w:b/>
                <w:bCs/>
                <w:sz w:val="16"/>
                <w:szCs w:val="16"/>
              </w:rPr>
              <w:t>Clave de colores</w:t>
            </w:r>
          </w:p>
        </w:tc>
      </w:tr>
      <w:tr w:rsidR="00185608" w:rsidRPr="00F3569E" w:rsidTr="00230FAA">
        <w:trPr>
          <w:trHeight w:val="799"/>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Número de países con economías en transición que han establecido programas o cursos anuales de formación en P.I. para los profesionales de la P.I.</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i/>
                <w:color w:val="002060"/>
                <w:sz w:val="16"/>
                <w:szCs w:val="16"/>
              </w:rPr>
            </w:pPr>
            <w:r w:rsidRPr="005708CF">
              <w:rPr>
                <w:i/>
                <w:color w:val="002060"/>
                <w:sz w:val="16"/>
                <w:szCs w:val="16"/>
              </w:rPr>
              <w:t>9 (Bulgaria, Croacia, República Checa, Georgia, Kazajstán, Polonia, Rumania, Eslovaquia, Turquía)</w:t>
            </w:r>
          </w:p>
          <w:p w:rsidR="00185608" w:rsidRPr="00F3569E" w:rsidRDefault="00185608" w:rsidP="00230FAA">
            <w:pPr>
              <w:rPr>
                <w:sz w:val="16"/>
                <w:szCs w:val="16"/>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spacing w:after="240"/>
              <w:rPr>
                <w:sz w:val="16"/>
                <w:szCs w:val="16"/>
              </w:rPr>
            </w:pPr>
            <w:r w:rsidRPr="00F3569E">
              <w:rPr>
                <w:sz w:val="16"/>
                <w:szCs w:val="16"/>
              </w:rPr>
              <w:t>6 países (2014)</w:t>
            </w:r>
          </w:p>
        </w:tc>
        <w:tc>
          <w:tcPr>
            <w:tcW w:w="939" w:type="pct"/>
            <w:shd w:val="clear" w:color="auto" w:fill="auto"/>
            <w:tcMar>
              <w:top w:w="110" w:type="dxa"/>
              <w:left w:w="58" w:type="dxa"/>
              <w:right w:w="58" w:type="dxa"/>
            </w:tcMar>
          </w:tcPr>
          <w:p w:rsidR="00185608" w:rsidRPr="00F3569E" w:rsidRDefault="00185608" w:rsidP="00230FAA">
            <w:pPr>
              <w:rPr>
                <w:sz w:val="16"/>
                <w:szCs w:val="16"/>
              </w:rPr>
            </w:pPr>
            <w:r w:rsidRPr="00F3569E">
              <w:rPr>
                <w:sz w:val="16"/>
                <w:szCs w:val="16"/>
              </w:rPr>
              <w:t>8 países</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 xml:space="preserve">4 países adicionales instauraron programas/cursos de formación sobre P.I. anuales:  Azerbaiyán, Letonia, República de Moldova y Federación de Rusia </w:t>
            </w:r>
          </w:p>
          <w:p w:rsidR="00185608" w:rsidRPr="00F3569E" w:rsidRDefault="00185608" w:rsidP="00230FAA">
            <w:pPr>
              <w:rPr>
                <w:sz w:val="16"/>
                <w:szCs w:val="16"/>
              </w:rPr>
            </w:pPr>
          </w:p>
          <w:p w:rsidR="00185608" w:rsidRPr="00F3569E" w:rsidRDefault="00185608" w:rsidP="00230FAA">
            <w:pPr>
              <w:rPr>
                <w:sz w:val="16"/>
                <w:szCs w:val="16"/>
              </w:rPr>
            </w:pPr>
            <w:r w:rsidRPr="00F3569E">
              <w:rPr>
                <w:sz w:val="16"/>
                <w:szCs w:val="16"/>
              </w:rPr>
              <w:t>2 países de referencia instauraron programas/cursos de formación sobre P.I.:  Georgia, Polonia</w:t>
            </w:r>
          </w:p>
          <w:p w:rsidR="00185608" w:rsidRPr="00F3569E" w:rsidRDefault="00185608" w:rsidP="00230FAA">
            <w:pPr>
              <w:rPr>
                <w:sz w:val="16"/>
                <w:szCs w:val="16"/>
              </w:rPr>
            </w:pPr>
          </w:p>
          <w:p w:rsidR="00185608" w:rsidRPr="00F3569E" w:rsidRDefault="00185608" w:rsidP="00B562A5">
            <w:pPr>
              <w:rPr>
                <w:sz w:val="16"/>
                <w:szCs w:val="16"/>
              </w:rPr>
            </w:pPr>
            <w:r w:rsidRPr="00F3569E">
              <w:rPr>
                <w:sz w:val="16"/>
                <w:szCs w:val="16"/>
              </w:rPr>
              <w:t>15 programas/cursos en 13 países (en total)</w:t>
            </w: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1394"/>
        </w:trPr>
        <w:tc>
          <w:tcPr>
            <w:tcW w:w="1026" w:type="pct"/>
            <w:shd w:val="clear" w:color="auto" w:fill="auto"/>
            <w:tcMar>
              <w:left w:w="58" w:type="dxa"/>
              <w:right w:w="58" w:type="dxa"/>
            </w:tcMar>
          </w:tcPr>
          <w:p w:rsidR="00185608" w:rsidRPr="00F3569E" w:rsidRDefault="00185608" w:rsidP="00230FAA">
            <w:pPr>
              <w:rPr>
                <w:sz w:val="16"/>
                <w:szCs w:val="16"/>
              </w:rPr>
            </w:pPr>
            <w:r w:rsidRPr="00F3569E">
              <w:rPr>
                <w:sz w:val="16"/>
                <w:szCs w:val="16"/>
              </w:rPr>
              <w:t>% de profesionales y funcionarios del ámbito de la P.I. que ha recibido formación y que aplica en su trabajo las nuevas aptitudes adquiridas</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230FAA">
            <w:pPr>
              <w:rPr>
                <w:color w:val="002060"/>
                <w:sz w:val="16"/>
                <w:szCs w:val="16"/>
              </w:rPr>
            </w:pPr>
            <w:r w:rsidRPr="005708CF">
              <w:rPr>
                <w:color w:val="002060"/>
                <w:sz w:val="16"/>
                <w:szCs w:val="16"/>
              </w:rPr>
              <w:t>82,7%</w:t>
            </w:r>
          </w:p>
          <w:p w:rsidR="00185608" w:rsidRPr="00F3569E" w:rsidRDefault="00185608" w:rsidP="00230FAA">
            <w:pPr>
              <w:rPr>
                <w:sz w:val="16"/>
                <w:szCs w:val="16"/>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rPr>
                <w:sz w:val="16"/>
                <w:szCs w:val="16"/>
              </w:rPr>
            </w:pPr>
            <w:r w:rsidRPr="00F3569E">
              <w:rPr>
                <w:sz w:val="16"/>
                <w:szCs w:val="16"/>
              </w:rPr>
              <w:t>80%</w:t>
            </w:r>
          </w:p>
        </w:tc>
        <w:tc>
          <w:tcPr>
            <w:tcW w:w="939" w:type="pct"/>
            <w:shd w:val="clear" w:color="auto" w:fill="auto"/>
            <w:tcMar>
              <w:top w:w="110" w:type="dxa"/>
              <w:left w:w="58" w:type="dxa"/>
              <w:right w:w="58" w:type="dxa"/>
            </w:tcMar>
          </w:tcPr>
          <w:p w:rsidR="00185608" w:rsidRPr="00515376" w:rsidRDefault="00185608" w:rsidP="00230FAA">
            <w:pPr>
              <w:rPr>
                <w:i/>
                <w:color w:val="002060"/>
                <w:sz w:val="16"/>
                <w:szCs w:val="16"/>
              </w:rPr>
            </w:pPr>
            <w:r w:rsidRPr="00515376">
              <w:rPr>
                <w:i/>
                <w:color w:val="002060"/>
                <w:sz w:val="16"/>
                <w:szCs w:val="16"/>
              </w:rPr>
              <w:t xml:space="preserve">Objetivo actualizado:  </w:t>
            </w:r>
          </w:p>
          <w:p w:rsidR="00185608" w:rsidRPr="00515376" w:rsidRDefault="00185608" w:rsidP="00230FAA">
            <w:pPr>
              <w:rPr>
                <w:color w:val="002060"/>
                <w:sz w:val="16"/>
                <w:szCs w:val="16"/>
              </w:rPr>
            </w:pPr>
            <w:r w:rsidRPr="00515376">
              <w:rPr>
                <w:color w:val="002060"/>
                <w:sz w:val="16"/>
                <w:szCs w:val="16"/>
              </w:rPr>
              <w:t>80%</w:t>
            </w:r>
          </w:p>
          <w:p w:rsidR="00185608" w:rsidRPr="00F3569E" w:rsidRDefault="00185608" w:rsidP="00230FAA">
            <w:pPr>
              <w:rPr>
                <w:i/>
                <w:sz w:val="16"/>
                <w:szCs w:val="16"/>
              </w:rPr>
            </w:pPr>
          </w:p>
          <w:p w:rsidR="00185608" w:rsidRPr="00F3569E" w:rsidRDefault="00185608" w:rsidP="00230FAA">
            <w:pPr>
              <w:rPr>
                <w:i/>
                <w:sz w:val="16"/>
                <w:szCs w:val="16"/>
              </w:rPr>
            </w:pPr>
            <w:r w:rsidRPr="00F3569E">
              <w:rPr>
                <w:i/>
                <w:sz w:val="16"/>
                <w:szCs w:val="16"/>
              </w:rPr>
              <w:t xml:space="preserve">Objetivo original en el presupuesto de 2016/17:  </w:t>
            </w:r>
          </w:p>
          <w:p w:rsidR="00185608" w:rsidRPr="00F3569E" w:rsidRDefault="00185608" w:rsidP="00230FAA">
            <w:pPr>
              <w:rPr>
                <w:sz w:val="16"/>
                <w:szCs w:val="16"/>
              </w:rPr>
            </w:pPr>
            <w:r w:rsidRPr="00F3569E">
              <w:rPr>
                <w:sz w:val="16"/>
                <w:szCs w:val="16"/>
              </w:rPr>
              <w:t>70%</w:t>
            </w:r>
          </w:p>
        </w:tc>
        <w:tc>
          <w:tcPr>
            <w:tcW w:w="1333" w:type="pct"/>
            <w:shd w:val="clear" w:color="auto" w:fill="FFFFFF"/>
            <w:tcMar>
              <w:top w:w="110" w:type="dxa"/>
              <w:left w:w="58" w:type="dxa"/>
              <w:right w:w="58" w:type="dxa"/>
            </w:tcMar>
          </w:tcPr>
          <w:p w:rsidR="00185608" w:rsidRPr="00F3569E" w:rsidRDefault="00185608" w:rsidP="00230FAA">
            <w:pPr>
              <w:rPr>
                <w:sz w:val="16"/>
                <w:szCs w:val="16"/>
              </w:rPr>
            </w:pPr>
            <w:r w:rsidRPr="00F3569E">
              <w:rPr>
                <w:sz w:val="16"/>
                <w:szCs w:val="16"/>
              </w:rPr>
              <w:t>83%</w:t>
            </w:r>
          </w:p>
        </w:tc>
        <w:tc>
          <w:tcPr>
            <w:tcW w:w="490" w:type="pct"/>
            <w:gridSpan w:val="2"/>
            <w:shd w:val="clear" w:color="auto" w:fill="auto"/>
            <w:tcMar>
              <w:top w:w="110" w:type="dxa"/>
              <w:left w:w="58" w:type="dxa"/>
              <w:right w:w="58" w:type="dxa"/>
            </w:tcMar>
          </w:tcPr>
          <w:p w:rsidR="00185608" w:rsidRPr="00F3569E" w:rsidRDefault="00185608" w:rsidP="00230FAA">
            <w:pPr>
              <w:jc w:val="center"/>
              <w:rPr>
                <w:sz w:val="16"/>
                <w:szCs w:val="16"/>
              </w:rPr>
            </w:pPr>
            <w:r w:rsidRPr="00F3569E">
              <w:rPr>
                <w:b/>
                <w:color w:val="00B050"/>
                <w:sz w:val="16"/>
                <w:szCs w:val="16"/>
              </w:rPr>
              <w:t>Avanza</w:t>
            </w:r>
          </w:p>
        </w:tc>
      </w:tr>
      <w:tr w:rsidR="00185608" w:rsidRPr="00F3569E" w:rsidTr="00230FAA">
        <w:trPr>
          <w:trHeight w:val="565"/>
        </w:trPr>
        <w:tc>
          <w:tcPr>
            <w:tcW w:w="5000" w:type="pct"/>
            <w:gridSpan w:val="6"/>
            <w:shd w:val="clear" w:color="auto" w:fill="C6D9F1" w:themeFill="text2" w:themeFillTint="33"/>
            <w:tcMar>
              <w:left w:w="58" w:type="dxa"/>
              <w:right w:w="58" w:type="dxa"/>
            </w:tcMar>
            <w:vAlign w:val="center"/>
          </w:tcPr>
          <w:p w:rsidR="00185608" w:rsidRPr="00F3569E" w:rsidRDefault="00185608" w:rsidP="00230FAA">
            <w:pPr>
              <w:keepNext/>
              <w:keepLines/>
              <w:tabs>
                <w:tab w:val="left" w:pos="1452"/>
              </w:tabs>
              <w:ind w:left="1701" w:hanging="1701"/>
              <w:rPr>
                <w:bCs/>
                <w:sz w:val="16"/>
                <w:szCs w:val="16"/>
              </w:rPr>
            </w:pPr>
            <w:r w:rsidRPr="00F3569E">
              <w:rPr>
                <w:b/>
                <w:bCs/>
                <w:sz w:val="16"/>
                <w:szCs w:val="16"/>
              </w:rPr>
              <w:lastRenderedPageBreak/>
              <w:t>Resultado previsto:</w:t>
            </w:r>
            <w:r w:rsidRPr="00F3569E">
              <w:rPr>
                <w:b/>
                <w:bCs/>
                <w:sz w:val="16"/>
                <w:szCs w:val="16"/>
              </w:rPr>
              <w:tab/>
            </w:r>
            <w:r w:rsidRPr="00F3569E">
              <w:rPr>
                <w:bCs/>
                <w:sz w:val="16"/>
                <w:szCs w:val="16"/>
              </w:rPr>
              <w:t>III.4  Fortalecimiento de los mecanismos y de los programas de cooperación conforme a las necesidades de los países en desarrollo, PMA y países con economías en transición</w:t>
            </w:r>
          </w:p>
        </w:tc>
      </w:tr>
      <w:tr w:rsidR="00185608" w:rsidRPr="00F3569E" w:rsidTr="00230FAA">
        <w:tc>
          <w:tcPr>
            <w:tcW w:w="1026" w:type="pct"/>
            <w:shd w:val="clear" w:color="auto" w:fill="auto"/>
            <w:tcMar>
              <w:left w:w="58" w:type="dxa"/>
              <w:right w:w="58" w:type="dxa"/>
            </w:tcMar>
            <w:vAlign w:val="center"/>
          </w:tcPr>
          <w:p w:rsidR="00185608" w:rsidRPr="00F3569E" w:rsidRDefault="00185608" w:rsidP="00230FAA">
            <w:pPr>
              <w:keepNext/>
              <w:keepLines/>
              <w:rPr>
                <w:b/>
                <w:bCs/>
                <w:sz w:val="16"/>
                <w:szCs w:val="16"/>
              </w:rPr>
            </w:pPr>
            <w:r w:rsidRPr="00F3569E">
              <w:rPr>
                <w:b/>
                <w:bCs/>
                <w:sz w:val="16"/>
                <w:szCs w:val="16"/>
              </w:rPr>
              <w:t>Indicadores de rendimiento</w:t>
            </w:r>
          </w:p>
        </w:tc>
        <w:tc>
          <w:tcPr>
            <w:tcW w:w="1212" w:type="pct"/>
            <w:shd w:val="clear" w:color="auto" w:fill="auto"/>
            <w:tcMar>
              <w:left w:w="58" w:type="dxa"/>
              <w:right w:w="58" w:type="dxa"/>
            </w:tcMar>
            <w:vAlign w:val="center"/>
          </w:tcPr>
          <w:p w:rsidR="00185608" w:rsidRPr="00F3569E" w:rsidRDefault="00185608" w:rsidP="00230FAA">
            <w:pPr>
              <w:keepNext/>
              <w:keepLines/>
              <w:rPr>
                <w:b/>
                <w:bCs/>
                <w:sz w:val="16"/>
                <w:szCs w:val="16"/>
              </w:rPr>
            </w:pPr>
            <w:r w:rsidRPr="00F3569E">
              <w:rPr>
                <w:b/>
                <w:bCs/>
                <w:sz w:val="16"/>
                <w:szCs w:val="16"/>
              </w:rPr>
              <w:t>Referencia</w:t>
            </w:r>
          </w:p>
        </w:tc>
        <w:tc>
          <w:tcPr>
            <w:tcW w:w="939" w:type="pct"/>
            <w:shd w:val="clear" w:color="auto" w:fill="auto"/>
            <w:tcMar>
              <w:top w:w="110" w:type="dxa"/>
              <w:left w:w="58" w:type="dxa"/>
              <w:right w:w="58" w:type="dxa"/>
            </w:tcMar>
            <w:vAlign w:val="center"/>
          </w:tcPr>
          <w:p w:rsidR="00185608" w:rsidRPr="00F3569E" w:rsidRDefault="00185608" w:rsidP="00230FAA">
            <w:pPr>
              <w:keepNext/>
              <w:keepLines/>
              <w:tabs>
                <w:tab w:val="left" w:pos="290"/>
              </w:tabs>
              <w:rPr>
                <w:b/>
                <w:bCs/>
                <w:sz w:val="16"/>
                <w:szCs w:val="16"/>
              </w:rPr>
            </w:pPr>
            <w:r w:rsidRPr="00F3569E">
              <w:rPr>
                <w:b/>
                <w:bCs/>
                <w:sz w:val="16"/>
                <w:szCs w:val="16"/>
              </w:rPr>
              <w:t>Objetivos</w:t>
            </w:r>
          </w:p>
        </w:tc>
        <w:tc>
          <w:tcPr>
            <w:tcW w:w="1373" w:type="pct"/>
            <w:gridSpan w:val="2"/>
            <w:shd w:val="clear" w:color="auto" w:fill="FFFFFF"/>
            <w:tcMar>
              <w:top w:w="110" w:type="dxa"/>
              <w:left w:w="58" w:type="dxa"/>
              <w:right w:w="58" w:type="dxa"/>
            </w:tcMar>
            <w:vAlign w:val="center"/>
          </w:tcPr>
          <w:p w:rsidR="00185608" w:rsidRPr="00F3569E" w:rsidRDefault="00185608" w:rsidP="00230FAA">
            <w:pPr>
              <w:keepNext/>
              <w:keepLines/>
              <w:rPr>
                <w:b/>
                <w:bCs/>
                <w:sz w:val="16"/>
                <w:szCs w:val="16"/>
              </w:rPr>
            </w:pPr>
            <w:r w:rsidRPr="00F3569E">
              <w:rPr>
                <w:b/>
                <w:bCs/>
                <w:sz w:val="16"/>
                <w:szCs w:val="16"/>
              </w:rPr>
              <w:t>Datos sobre el rendimiento</w:t>
            </w:r>
          </w:p>
        </w:tc>
        <w:tc>
          <w:tcPr>
            <w:tcW w:w="450" w:type="pct"/>
            <w:shd w:val="clear" w:color="auto" w:fill="auto"/>
            <w:tcMar>
              <w:top w:w="110" w:type="dxa"/>
              <w:left w:w="58" w:type="dxa"/>
              <w:right w:w="58" w:type="dxa"/>
            </w:tcMar>
            <w:vAlign w:val="center"/>
          </w:tcPr>
          <w:p w:rsidR="00185608" w:rsidRPr="00F3569E" w:rsidRDefault="00185608" w:rsidP="00230FAA">
            <w:pPr>
              <w:keepNext/>
              <w:keepLines/>
              <w:jc w:val="center"/>
              <w:rPr>
                <w:b/>
                <w:bCs/>
                <w:sz w:val="16"/>
                <w:szCs w:val="16"/>
              </w:rPr>
            </w:pPr>
            <w:r w:rsidRPr="00F3569E">
              <w:rPr>
                <w:b/>
                <w:bCs/>
                <w:sz w:val="16"/>
                <w:szCs w:val="16"/>
              </w:rPr>
              <w:t>Clave de colores</w:t>
            </w:r>
          </w:p>
        </w:tc>
      </w:tr>
      <w:tr w:rsidR="00185608" w:rsidRPr="00F3569E" w:rsidTr="00230FAA">
        <w:trPr>
          <w:trHeight w:val="727"/>
        </w:trPr>
        <w:tc>
          <w:tcPr>
            <w:tcW w:w="1026" w:type="pct"/>
            <w:shd w:val="clear" w:color="auto" w:fill="auto"/>
            <w:tcMar>
              <w:left w:w="58" w:type="dxa"/>
              <w:right w:w="58" w:type="dxa"/>
            </w:tcMar>
          </w:tcPr>
          <w:p w:rsidR="00185608" w:rsidRPr="00F3569E" w:rsidRDefault="00185608" w:rsidP="00230FAA">
            <w:pPr>
              <w:keepNext/>
              <w:keepLines/>
              <w:rPr>
                <w:sz w:val="16"/>
                <w:szCs w:val="16"/>
              </w:rPr>
            </w:pPr>
            <w:r w:rsidRPr="00F3569E">
              <w:rPr>
                <w:sz w:val="16"/>
                <w:szCs w:val="16"/>
              </w:rPr>
              <w:t>N.º de alianzas establecidas</w:t>
            </w:r>
          </w:p>
        </w:tc>
        <w:tc>
          <w:tcPr>
            <w:tcW w:w="1212" w:type="pct"/>
            <w:shd w:val="clear" w:color="auto" w:fill="auto"/>
            <w:tcMar>
              <w:left w:w="58" w:type="dxa"/>
              <w:right w:w="58" w:type="dxa"/>
            </w:tcMar>
          </w:tcPr>
          <w:p w:rsidR="00185608" w:rsidRPr="005708CF" w:rsidRDefault="00185608" w:rsidP="00230FAA">
            <w:pPr>
              <w:rPr>
                <w:i/>
                <w:color w:val="002060"/>
                <w:sz w:val="16"/>
                <w:szCs w:val="16"/>
              </w:rPr>
            </w:pPr>
            <w:r w:rsidRPr="005708CF">
              <w:rPr>
                <w:i/>
                <w:color w:val="002060"/>
                <w:sz w:val="16"/>
                <w:szCs w:val="16"/>
              </w:rPr>
              <w:t xml:space="preserve">Referencia actualizada a fines de 2015:  </w:t>
            </w:r>
          </w:p>
          <w:p w:rsidR="00185608" w:rsidRPr="005708CF" w:rsidRDefault="00185608" w:rsidP="00185608">
            <w:pPr>
              <w:pStyle w:val="ListParagraph"/>
              <w:keepNext/>
              <w:keepLines/>
              <w:numPr>
                <w:ilvl w:val="0"/>
                <w:numId w:val="53"/>
              </w:numPr>
              <w:contextualSpacing/>
              <w:rPr>
                <w:rFonts w:cs="Arial"/>
                <w:color w:val="002060"/>
                <w:sz w:val="16"/>
                <w:szCs w:val="16"/>
                <w:lang w:val="es-ES"/>
              </w:rPr>
            </w:pPr>
            <w:r w:rsidRPr="005708CF">
              <w:rPr>
                <w:rFonts w:cs="Arial"/>
                <w:color w:val="002060"/>
                <w:sz w:val="16"/>
                <w:szCs w:val="16"/>
                <w:lang w:val="es-ES"/>
              </w:rPr>
              <w:t>5 nuevos memorandos de entendimiento (Alemania, Dinamarca, Francia, Israel, España)</w:t>
            </w:r>
          </w:p>
          <w:p w:rsidR="00185608" w:rsidRPr="005708CF" w:rsidRDefault="00185608" w:rsidP="00185608">
            <w:pPr>
              <w:pStyle w:val="ListParagraph"/>
              <w:keepNext/>
              <w:keepLines/>
              <w:numPr>
                <w:ilvl w:val="0"/>
                <w:numId w:val="53"/>
              </w:numPr>
              <w:contextualSpacing/>
              <w:rPr>
                <w:rFonts w:cs="Arial"/>
                <w:color w:val="002060"/>
                <w:sz w:val="16"/>
                <w:szCs w:val="16"/>
                <w:lang w:val="es-ES"/>
              </w:rPr>
            </w:pPr>
            <w:r w:rsidRPr="005708CF">
              <w:rPr>
                <w:rFonts w:cs="Arial"/>
                <w:color w:val="002060"/>
                <w:sz w:val="16"/>
                <w:szCs w:val="16"/>
                <w:lang w:val="es-ES"/>
              </w:rPr>
              <w:t>1 acuerdo de colaboración (USPTO-OMPI) para promocionar la base de datos de vinculación para atender a las necesidades de desarrollo en materia de P.I.</w:t>
            </w:r>
            <w:r w:rsidRPr="005708CF">
              <w:rPr>
                <w:color w:val="002060"/>
                <w:sz w:val="16"/>
                <w:szCs w:val="16"/>
                <w:lang w:val="es-ES"/>
              </w:rPr>
              <w:t xml:space="preserve"> </w:t>
            </w:r>
          </w:p>
          <w:p w:rsidR="00185608" w:rsidRPr="00F3569E" w:rsidRDefault="00185608" w:rsidP="00230FAA">
            <w:pPr>
              <w:keepNext/>
              <w:keepLines/>
              <w:rPr>
                <w:sz w:val="6"/>
                <w:szCs w:val="6"/>
              </w:rPr>
            </w:pPr>
          </w:p>
          <w:p w:rsidR="00185608" w:rsidRPr="00F3569E" w:rsidRDefault="00185608" w:rsidP="00230FAA">
            <w:pPr>
              <w:rPr>
                <w:sz w:val="16"/>
                <w:szCs w:val="16"/>
              </w:rPr>
            </w:pPr>
            <w:r w:rsidRPr="00F3569E">
              <w:rPr>
                <w:i/>
                <w:sz w:val="16"/>
                <w:szCs w:val="16"/>
                <w:lang w:bidi="th-TH"/>
              </w:rPr>
              <w:t xml:space="preserve">Referencia original en el presupuesto de 2016/17:  </w:t>
            </w:r>
          </w:p>
          <w:p w:rsidR="00185608" w:rsidRPr="00F3569E" w:rsidRDefault="00185608" w:rsidP="00230FAA">
            <w:pPr>
              <w:keepNext/>
              <w:keepLines/>
              <w:rPr>
                <w:sz w:val="16"/>
                <w:szCs w:val="16"/>
              </w:rPr>
            </w:pPr>
            <w:r w:rsidRPr="00F3569E">
              <w:rPr>
                <w:sz w:val="16"/>
                <w:szCs w:val="16"/>
              </w:rPr>
              <w:t>4 memorandos de entendimiento firmados (2014)</w:t>
            </w:r>
          </w:p>
        </w:tc>
        <w:tc>
          <w:tcPr>
            <w:tcW w:w="939" w:type="pct"/>
            <w:shd w:val="clear" w:color="auto" w:fill="auto"/>
            <w:tcMar>
              <w:top w:w="110" w:type="dxa"/>
              <w:left w:w="58" w:type="dxa"/>
              <w:right w:w="58" w:type="dxa"/>
            </w:tcMar>
          </w:tcPr>
          <w:p w:rsidR="00185608" w:rsidRPr="00F3569E" w:rsidRDefault="00185608" w:rsidP="00230FAA">
            <w:pPr>
              <w:keepNext/>
              <w:keepLines/>
              <w:rPr>
                <w:sz w:val="16"/>
                <w:szCs w:val="16"/>
              </w:rPr>
            </w:pPr>
            <w:r w:rsidRPr="00F3569E">
              <w:rPr>
                <w:sz w:val="16"/>
                <w:szCs w:val="16"/>
              </w:rPr>
              <w:t xml:space="preserve">Creación de 6 alianzas de P.I. </w:t>
            </w:r>
          </w:p>
        </w:tc>
        <w:tc>
          <w:tcPr>
            <w:tcW w:w="1373" w:type="pct"/>
            <w:gridSpan w:val="2"/>
            <w:shd w:val="clear" w:color="auto" w:fill="FFFFFF"/>
            <w:tcMar>
              <w:top w:w="110" w:type="dxa"/>
              <w:left w:w="58" w:type="dxa"/>
              <w:right w:w="58" w:type="dxa"/>
            </w:tcMar>
          </w:tcPr>
          <w:p w:rsidR="00185608" w:rsidRPr="00F3569E" w:rsidRDefault="00185608" w:rsidP="00230FAA">
            <w:pPr>
              <w:keepNext/>
              <w:keepLines/>
              <w:rPr>
                <w:sz w:val="16"/>
                <w:szCs w:val="16"/>
              </w:rPr>
            </w:pPr>
            <w:r w:rsidRPr="00F3569E">
              <w:rPr>
                <w:sz w:val="16"/>
                <w:szCs w:val="16"/>
              </w:rPr>
              <w:t>6 alianzas de P.I.:</w:t>
            </w:r>
          </w:p>
          <w:p w:rsidR="00185608" w:rsidRPr="00F3569E" w:rsidRDefault="00185608" w:rsidP="00185608">
            <w:pPr>
              <w:pStyle w:val="ListParagraph"/>
              <w:keepNext/>
              <w:keepLines/>
              <w:numPr>
                <w:ilvl w:val="0"/>
                <w:numId w:val="53"/>
              </w:numPr>
              <w:contextualSpacing/>
              <w:rPr>
                <w:sz w:val="16"/>
                <w:szCs w:val="16"/>
                <w:lang w:val="es-ES"/>
              </w:rPr>
            </w:pPr>
            <w:r w:rsidRPr="00F3569E">
              <w:rPr>
                <w:rFonts w:cs="Arial"/>
                <w:sz w:val="16"/>
                <w:szCs w:val="16"/>
                <w:lang w:val="es-ES"/>
              </w:rPr>
              <w:t>2 memorandos de entendimiento suscritos entre el Instituto Nacional de la Propiedad Industrial (INPI) de Francia y la OMPI</w:t>
            </w:r>
          </w:p>
          <w:p w:rsidR="00185608" w:rsidRPr="00F3569E" w:rsidRDefault="00185608" w:rsidP="00185608">
            <w:pPr>
              <w:pStyle w:val="ListParagraph"/>
              <w:keepNext/>
              <w:keepLines/>
              <w:numPr>
                <w:ilvl w:val="0"/>
                <w:numId w:val="53"/>
              </w:numPr>
              <w:contextualSpacing/>
              <w:rPr>
                <w:sz w:val="16"/>
                <w:szCs w:val="16"/>
                <w:lang w:val="es-ES"/>
              </w:rPr>
            </w:pPr>
            <w:r w:rsidRPr="00F3569E">
              <w:rPr>
                <w:rFonts w:cs="Arial"/>
                <w:sz w:val="16"/>
                <w:szCs w:val="16"/>
                <w:lang w:val="es-ES"/>
              </w:rPr>
              <w:t>1 memorando de entendimiento suscrito entre el Instituto Nacional de P.I. de Kazajstán y la Oficina de Patentes y Marcas de los Estados Unidos de América (USPTO)</w:t>
            </w:r>
          </w:p>
          <w:p w:rsidR="00185608" w:rsidRPr="00F3569E" w:rsidRDefault="00185608" w:rsidP="00185608">
            <w:pPr>
              <w:pStyle w:val="ListParagraph"/>
              <w:keepNext/>
              <w:keepLines/>
              <w:numPr>
                <w:ilvl w:val="0"/>
                <w:numId w:val="53"/>
              </w:numPr>
              <w:contextualSpacing/>
              <w:rPr>
                <w:sz w:val="16"/>
                <w:szCs w:val="16"/>
                <w:lang w:val="es-ES"/>
              </w:rPr>
            </w:pPr>
            <w:r w:rsidRPr="00F3569E">
              <w:rPr>
                <w:rFonts w:cs="Arial"/>
                <w:sz w:val="16"/>
                <w:szCs w:val="16"/>
                <w:lang w:val="es-ES"/>
              </w:rPr>
              <w:t>Acuerdo entre la OMPI y la Organización Helénica de P.I. (OBI) para la traducción al griego y la edición de una publicación de la OMPI sobre patentes</w:t>
            </w:r>
          </w:p>
          <w:p w:rsidR="00185608" w:rsidRPr="00F3569E" w:rsidRDefault="00185608" w:rsidP="00185608">
            <w:pPr>
              <w:pStyle w:val="ListParagraph"/>
              <w:keepNext/>
              <w:keepLines/>
              <w:numPr>
                <w:ilvl w:val="0"/>
                <w:numId w:val="53"/>
              </w:numPr>
              <w:contextualSpacing/>
              <w:rPr>
                <w:sz w:val="16"/>
                <w:szCs w:val="16"/>
                <w:lang w:val="es-ES"/>
              </w:rPr>
            </w:pPr>
            <w:r w:rsidRPr="00F3569E">
              <w:rPr>
                <w:rFonts w:cs="Arial"/>
                <w:sz w:val="16"/>
                <w:szCs w:val="16"/>
                <w:lang w:val="es-ES"/>
              </w:rPr>
              <w:t>10</w:t>
            </w:r>
            <w:r w:rsidRPr="00F3569E">
              <w:rPr>
                <w:rFonts w:cs="Arial"/>
                <w:sz w:val="16"/>
                <w:szCs w:val="16"/>
                <w:vertAlign w:val="superscript"/>
                <w:lang w:val="es-ES"/>
              </w:rPr>
              <w:t xml:space="preserve">º </w:t>
            </w:r>
            <w:r w:rsidRPr="00F3569E">
              <w:rPr>
                <w:rFonts w:cs="Arial"/>
                <w:sz w:val="16"/>
                <w:szCs w:val="16"/>
                <w:lang w:val="es-ES"/>
              </w:rPr>
              <w:t xml:space="preserve"> Foro especializado de la OMPI sobre investigación en P.I. (Israel)</w:t>
            </w:r>
          </w:p>
          <w:p w:rsidR="00185608" w:rsidRPr="00F3569E" w:rsidRDefault="00185608" w:rsidP="00185608">
            <w:pPr>
              <w:pStyle w:val="ListParagraph"/>
              <w:keepNext/>
              <w:keepLines/>
              <w:numPr>
                <w:ilvl w:val="0"/>
                <w:numId w:val="53"/>
              </w:numPr>
              <w:contextualSpacing/>
              <w:rPr>
                <w:sz w:val="16"/>
                <w:szCs w:val="16"/>
                <w:lang w:val="es-ES"/>
              </w:rPr>
            </w:pPr>
            <w:r w:rsidRPr="00F3569E">
              <w:rPr>
                <w:rFonts w:cs="Arial"/>
                <w:sz w:val="16"/>
                <w:szCs w:val="16"/>
                <w:lang w:val="es-ES"/>
              </w:rPr>
              <w:t>Seminario de la OMPI/Ono Academic College (Israel) (2016)</w:t>
            </w:r>
          </w:p>
        </w:tc>
        <w:tc>
          <w:tcPr>
            <w:tcW w:w="450" w:type="pct"/>
            <w:shd w:val="clear" w:color="auto" w:fill="auto"/>
            <w:tcMar>
              <w:top w:w="110" w:type="dxa"/>
              <w:left w:w="58" w:type="dxa"/>
              <w:right w:w="58" w:type="dxa"/>
            </w:tcMar>
          </w:tcPr>
          <w:p w:rsidR="00185608" w:rsidRPr="00F3569E" w:rsidRDefault="00185608" w:rsidP="00230FAA">
            <w:pPr>
              <w:keepNext/>
              <w:keepLines/>
              <w:jc w:val="center"/>
              <w:rPr>
                <w:sz w:val="16"/>
                <w:szCs w:val="16"/>
              </w:rPr>
            </w:pPr>
            <w:r w:rsidRPr="00F3569E">
              <w:rPr>
                <w:b/>
                <w:color w:val="00B050"/>
                <w:sz w:val="16"/>
                <w:szCs w:val="16"/>
              </w:rPr>
              <w:t>Avanza</w:t>
            </w:r>
          </w:p>
        </w:tc>
      </w:tr>
    </w:tbl>
    <w:p w:rsidR="00185608" w:rsidRPr="00F3569E" w:rsidRDefault="00185608">
      <w:pPr>
        <w:rPr>
          <w:rFonts w:cs="Times New Roman"/>
          <w:sz w:val="20"/>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185608" w:rsidRPr="00F3569E" w:rsidTr="00230FAA">
        <w:trPr>
          <w:trHeight w:val="423"/>
          <w:jc w:val="center"/>
        </w:trPr>
        <w:tc>
          <w:tcPr>
            <w:tcW w:w="9571" w:type="dxa"/>
            <w:shd w:val="clear" w:color="auto" w:fill="C6D9F1" w:themeFill="text2" w:themeFillTint="33"/>
            <w:vAlign w:val="center"/>
          </w:tcPr>
          <w:p w:rsidR="00185608" w:rsidRPr="00F3569E" w:rsidRDefault="00185608" w:rsidP="00230FAA">
            <w:pPr>
              <w:keepNext/>
              <w:keepLines/>
              <w:jc w:val="center"/>
              <w:rPr>
                <w:b/>
                <w:sz w:val="20"/>
              </w:rPr>
            </w:pPr>
            <w:r w:rsidRPr="00F3569E">
              <w:rPr>
                <w:b/>
                <w:sz w:val="20"/>
              </w:rPr>
              <w:br w:type="page"/>
              <w:t>Utilización de los recursos del programa 10</w:t>
            </w:r>
          </w:p>
        </w:tc>
      </w:tr>
    </w:tbl>
    <w:p w:rsidR="00185608" w:rsidRPr="00F3569E" w:rsidRDefault="00185608" w:rsidP="00230FAA">
      <w:pPr>
        <w:rPr>
          <w:sz w:val="16"/>
          <w:szCs w:val="16"/>
        </w:rPr>
      </w:pPr>
    </w:p>
    <w:p w:rsidR="00185608" w:rsidRPr="00F3569E" w:rsidRDefault="00185608" w:rsidP="00230FAA">
      <w:pPr>
        <w:pStyle w:val="NormalWeb"/>
        <w:keepNext/>
        <w:keepLines/>
        <w:spacing w:before="0" w:beforeAutospacing="0" w:after="0" w:afterAutospacing="0"/>
        <w:jc w:val="center"/>
        <w:rPr>
          <w:lang w:val="es-ES"/>
        </w:rPr>
      </w:pPr>
      <w:r w:rsidRPr="00F3569E">
        <w:rPr>
          <w:lang w:val="es-ES"/>
        </w:rPr>
        <w:t>Presupuesto y gastos reales (por resultado)</w:t>
      </w:r>
    </w:p>
    <w:p w:rsidR="00185608" w:rsidRPr="00F3569E" w:rsidRDefault="00185608" w:rsidP="00230FAA">
      <w:pPr>
        <w:pStyle w:val="NormalWeb"/>
        <w:keepNext/>
        <w:keepLines/>
        <w:spacing w:before="0" w:beforeAutospacing="0" w:after="0" w:afterAutospacing="0"/>
        <w:jc w:val="center"/>
        <w:rPr>
          <w:i/>
          <w:iCs/>
          <w:sz w:val="16"/>
          <w:szCs w:val="16"/>
          <w:lang w:val="es-ES"/>
        </w:rPr>
      </w:pPr>
      <w:r w:rsidRPr="00F3569E">
        <w:rPr>
          <w:i/>
          <w:iCs/>
          <w:sz w:val="16"/>
          <w:szCs w:val="16"/>
          <w:lang w:val="es-ES"/>
        </w:rPr>
        <w:t>(en miles de francos suizos)</w:t>
      </w:r>
    </w:p>
    <w:p w:rsidR="00185608" w:rsidRPr="00F3569E" w:rsidRDefault="00185608" w:rsidP="00230FAA">
      <w:pPr>
        <w:rPr>
          <w:sz w:val="16"/>
          <w:szCs w:val="16"/>
        </w:rPr>
      </w:pPr>
    </w:p>
    <w:tbl>
      <w:tblPr>
        <w:tblW w:w="8693" w:type="dxa"/>
        <w:jc w:val="center"/>
        <w:tblLook w:val="04A0" w:firstRow="1" w:lastRow="0" w:firstColumn="1" w:lastColumn="0" w:noHBand="0" w:noVBand="1"/>
      </w:tblPr>
      <w:tblGrid>
        <w:gridCol w:w="528"/>
        <w:gridCol w:w="4507"/>
        <w:gridCol w:w="1186"/>
        <w:gridCol w:w="1528"/>
        <w:gridCol w:w="944"/>
      </w:tblGrid>
      <w:tr w:rsidR="00185608" w:rsidRPr="00F3569E" w:rsidTr="00230FAA">
        <w:trPr>
          <w:trHeight w:val="690"/>
          <w:jc w:val="center"/>
        </w:trPr>
        <w:tc>
          <w:tcPr>
            <w:tcW w:w="5035" w:type="dxa"/>
            <w:gridSpan w:val="2"/>
            <w:tcBorders>
              <w:top w:val="nil"/>
              <w:left w:val="nil"/>
              <w:bottom w:val="nil"/>
              <w:right w:val="nil"/>
            </w:tcBorders>
            <w:shd w:val="clear" w:color="000000" w:fill="C5D9F1"/>
            <w:noWrap/>
            <w:vAlign w:val="center"/>
            <w:hideMark/>
          </w:tcPr>
          <w:p w:rsidR="00185608" w:rsidRPr="00F3569E" w:rsidRDefault="00185608" w:rsidP="00230FAA">
            <w:pPr>
              <w:jc w:val="center"/>
              <w:rPr>
                <w:b/>
                <w:bCs/>
                <w:sz w:val="16"/>
                <w:szCs w:val="16"/>
              </w:rPr>
            </w:pPr>
            <w:r w:rsidRPr="00F3569E">
              <w:rPr>
                <w:b/>
                <w:bCs/>
                <w:sz w:val="16"/>
                <w:szCs w:val="16"/>
              </w:rPr>
              <w:t xml:space="preserve">Número del resultado previsto y descripción </w:t>
            </w:r>
          </w:p>
        </w:tc>
        <w:tc>
          <w:tcPr>
            <w:tcW w:w="1186" w:type="dxa"/>
            <w:tcBorders>
              <w:top w:val="nil"/>
              <w:left w:val="nil"/>
              <w:bottom w:val="nil"/>
              <w:right w:val="nil"/>
            </w:tcBorders>
            <w:shd w:val="clear" w:color="000000" w:fill="C5D9F1"/>
            <w:vAlign w:val="center"/>
            <w:hideMark/>
          </w:tcPr>
          <w:p w:rsidR="00185608" w:rsidRPr="00F3569E" w:rsidRDefault="00185608" w:rsidP="00230FAA">
            <w:pPr>
              <w:jc w:val="center"/>
              <w:rPr>
                <w:b/>
                <w:bCs/>
                <w:sz w:val="16"/>
                <w:szCs w:val="16"/>
              </w:rPr>
            </w:pPr>
            <w:r w:rsidRPr="00F3569E">
              <w:rPr>
                <w:b/>
                <w:bCs/>
                <w:sz w:val="16"/>
                <w:szCs w:val="16"/>
              </w:rPr>
              <w:t xml:space="preserve">Presupuesto aprobado de 2016/17 </w:t>
            </w:r>
          </w:p>
        </w:tc>
        <w:tc>
          <w:tcPr>
            <w:tcW w:w="1528" w:type="dxa"/>
            <w:tcBorders>
              <w:top w:val="nil"/>
              <w:left w:val="nil"/>
              <w:bottom w:val="nil"/>
              <w:right w:val="nil"/>
            </w:tcBorders>
            <w:shd w:val="clear" w:color="000000" w:fill="C5D9F1"/>
            <w:vAlign w:val="center"/>
            <w:hideMark/>
          </w:tcPr>
          <w:p w:rsidR="00185608" w:rsidRPr="00F3569E" w:rsidRDefault="00185608" w:rsidP="00230FAA">
            <w:pPr>
              <w:jc w:val="center"/>
              <w:rPr>
                <w:b/>
                <w:bCs/>
                <w:sz w:val="16"/>
                <w:szCs w:val="16"/>
              </w:rPr>
            </w:pPr>
            <w:r w:rsidRPr="00F3569E">
              <w:rPr>
                <w:b/>
                <w:bCs/>
                <w:sz w:val="16"/>
                <w:szCs w:val="16"/>
              </w:rPr>
              <w:t xml:space="preserve"> Presupuesto de 2016/17 tras las transferencias </w:t>
            </w:r>
          </w:p>
        </w:tc>
        <w:tc>
          <w:tcPr>
            <w:tcW w:w="944" w:type="dxa"/>
            <w:tcBorders>
              <w:top w:val="nil"/>
              <w:left w:val="nil"/>
              <w:bottom w:val="nil"/>
              <w:right w:val="nil"/>
            </w:tcBorders>
            <w:shd w:val="clear" w:color="000000" w:fill="C5D9F1"/>
            <w:vAlign w:val="center"/>
            <w:hideMark/>
          </w:tcPr>
          <w:p w:rsidR="00185608" w:rsidRPr="00F3569E" w:rsidRDefault="00185608" w:rsidP="00230FAA">
            <w:pPr>
              <w:jc w:val="center"/>
              <w:rPr>
                <w:b/>
                <w:bCs/>
                <w:sz w:val="16"/>
                <w:szCs w:val="16"/>
              </w:rPr>
            </w:pPr>
            <w:r w:rsidRPr="00F3569E">
              <w:rPr>
                <w:b/>
                <w:bCs/>
                <w:sz w:val="16"/>
                <w:szCs w:val="16"/>
              </w:rPr>
              <w:t xml:space="preserve"> Gastos en 2016* </w:t>
            </w:r>
          </w:p>
        </w:tc>
      </w:tr>
      <w:tr w:rsidR="00185608" w:rsidRPr="00F3569E" w:rsidTr="00230FAA">
        <w:trPr>
          <w:trHeight w:val="512"/>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I.2</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Marcos de P.I. adaptados y equilibrados en el ámbito legislativo, regulador y de política</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833</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752</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339</w:t>
            </w:r>
          </w:p>
        </w:tc>
      </w:tr>
      <w:tr w:rsidR="00185608" w:rsidRPr="00F3569E" w:rsidTr="00230FAA">
        <w:trPr>
          <w:trHeight w:val="434"/>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II.1</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Mayor y más eficaz utilización del Sistema del PCT para presentar solicitudes internacionales de patentes</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1.170</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1.295</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602</w:t>
            </w:r>
          </w:p>
        </w:tc>
      </w:tr>
      <w:tr w:rsidR="00185608" w:rsidRPr="00F3569E" w:rsidTr="00230FAA">
        <w:trPr>
          <w:trHeight w:val="568"/>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II.4</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Mayor y más eficaz utilización del Sistema de La Haya, entre otros por los países en desarrollo y los PMA</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550</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528</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241</w:t>
            </w:r>
          </w:p>
        </w:tc>
      </w:tr>
      <w:tr w:rsidR="00185608" w:rsidRPr="00F3569E" w:rsidTr="00230FAA">
        <w:trPr>
          <w:trHeight w:val="420"/>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II.6</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Mayor y más eficaz utilización del Sistema de Madrid, entre otros por los países en desarrollo y los PMA</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526</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555</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245</w:t>
            </w:r>
          </w:p>
        </w:tc>
      </w:tr>
      <w:tr w:rsidR="00185608" w:rsidRPr="00F3569E" w:rsidTr="00230FAA">
        <w:trPr>
          <w:trHeight w:val="960"/>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II.8</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Las controversias nacionales e internacionales en materia de P.I. se evitan o resuelven cada vez con más frecuencia mediante procedimientos de mediación, arbitraje y demás métodos de solución extrajudicial de controversias</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343</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352</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152</w:t>
            </w:r>
          </w:p>
        </w:tc>
      </w:tr>
      <w:tr w:rsidR="00185608" w:rsidRPr="00F3569E" w:rsidTr="00230FAA">
        <w:trPr>
          <w:trHeight w:val="454"/>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II.10</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Mayor y más eficaz utilización del Sistema de Lisboa, entre otros por los países en desarrollo y los PMA</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111</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128</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66</w:t>
            </w:r>
          </w:p>
        </w:tc>
      </w:tr>
      <w:tr w:rsidR="00185608" w:rsidRPr="00F3569E" w:rsidTr="00230FAA">
        <w:trPr>
          <w:trHeight w:val="560"/>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III.1</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Estrategias y planes nacionales de innovación y de P.I. que estén en sintonía con los objetivos nacionales de desarrollo</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1.497</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1.791</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777</w:t>
            </w:r>
          </w:p>
        </w:tc>
      </w:tr>
      <w:tr w:rsidR="00185608" w:rsidRPr="00F3569E" w:rsidTr="00230FAA">
        <w:trPr>
          <w:trHeight w:val="866"/>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III.2</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rPr>
            </w:pPr>
            <w:r w:rsidRPr="00F3569E">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1.999</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2.000</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871</w:t>
            </w:r>
          </w:p>
        </w:tc>
      </w:tr>
      <w:tr w:rsidR="00185608" w:rsidRPr="00F3569E" w:rsidTr="00230FAA">
        <w:trPr>
          <w:trHeight w:val="565"/>
          <w:jc w:val="center"/>
        </w:trPr>
        <w:tc>
          <w:tcPr>
            <w:tcW w:w="528"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r w:rsidRPr="00F3569E">
              <w:rPr>
                <w:sz w:val="16"/>
                <w:szCs w:val="16"/>
              </w:rPr>
              <w:t>III.4</w:t>
            </w:r>
          </w:p>
        </w:tc>
        <w:tc>
          <w:tcPr>
            <w:tcW w:w="4507" w:type="dxa"/>
            <w:tcBorders>
              <w:top w:val="nil"/>
              <w:left w:val="nil"/>
              <w:bottom w:val="nil"/>
              <w:right w:val="nil"/>
            </w:tcBorders>
            <w:shd w:val="clear" w:color="auto" w:fill="auto"/>
            <w:vAlign w:val="center"/>
            <w:hideMark/>
          </w:tcPr>
          <w:p w:rsidR="00185608" w:rsidRPr="00F3569E" w:rsidRDefault="00185608" w:rsidP="00230FAA">
            <w:pPr>
              <w:rPr>
                <w:sz w:val="16"/>
                <w:szCs w:val="16"/>
                <w:highlight w:val="yellow"/>
              </w:rPr>
            </w:pPr>
            <w:r w:rsidRPr="00F3569E">
              <w:rPr>
                <w:sz w:val="16"/>
                <w:szCs w:val="16"/>
              </w:rPr>
              <w:t>Fortalecimiento de los mecanismos y de los programas de cooperación conforme a las necesidades de los países en desarrollo y los PMA</w:t>
            </w:r>
          </w:p>
        </w:tc>
        <w:tc>
          <w:tcPr>
            <w:tcW w:w="1186"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890</w:t>
            </w:r>
          </w:p>
        </w:tc>
        <w:tc>
          <w:tcPr>
            <w:tcW w:w="1528"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911</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jc w:val="center"/>
              <w:rPr>
                <w:sz w:val="16"/>
                <w:szCs w:val="16"/>
              </w:rPr>
            </w:pPr>
            <w:r w:rsidRPr="00F3569E">
              <w:rPr>
                <w:sz w:val="16"/>
                <w:szCs w:val="16"/>
              </w:rPr>
              <w:t>397</w:t>
            </w:r>
          </w:p>
        </w:tc>
      </w:tr>
      <w:tr w:rsidR="00185608" w:rsidRPr="00F3569E" w:rsidTr="00230FAA">
        <w:trPr>
          <w:trHeight w:val="225"/>
          <w:jc w:val="center"/>
        </w:trPr>
        <w:tc>
          <w:tcPr>
            <w:tcW w:w="528" w:type="dxa"/>
            <w:tcBorders>
              <w:top w:val="nil"/>
              <w:left w:val="nil"/>
              <w:bottom w:val="nil"/>
              <w:right w:val="nil"/>
            </w:tcBorders>
            <w:shd w:val="clear" w:color="000000" w:fill="C5D9F1"/>
            <w:noWrap/>
            <w:vAlign w:val="bottom"/>
            <w:hideMark/>
          </w:tcPr>
          <w:p w:rsidR="00185608" w:rsidRPr="00F3569E" w:rsidRDefault="00185608" w:rsidP="00230FAA">
            <w:pPr>
              <w:rPr>
                <w:sz w:val="16"/>
                <w:szCs w:val="16"/>
              </w:rPr>
            </w:pPr>
            <w:r w:rsidRPr="00F3569E">
              <w:rPr>
                <w:sz w:val="16"/>
                <w:szCs w:val="16"/>
              </w:rPr>
              <w:t> </w:t>
            </w:r>
          </w:p>
        </w:tc>
        <w:tc>
          <w:tcPr>
            <w:tcW w:w="4507" w:type="dxa"/>
            <w:tcBorders>
              <w:top w:val="nil"/>
              <w:left w:val="nil"/>
              <w:bottom w:val="nil"/>
              <w:right w:val="nil"/>
            </w:tcBorders>
            <w:shd w:val="clear" w:color="000000" w:fill="C5D9F1"/>
            <w:noWrap/>
            <w:vAlign w:val="bottom"/>
            <w:hideMark/>
          </w:tcPr>
          <w:p w:rsidR="00185608" w:rsidRPr="00F3569E" w:rsidRDefault="00185608" w:rsidP="00230FAA">
            <w:pPr>
              <w:jc w:val="right"/>
              <w:rPr>
                <w:b/>
                <w:bCs/>
                <w:sz w:val="16"/>
                <w:szCs w:val="16"/>
              </w:rPr>
            </w:pPr>
            <w:r w:rsidRPr="00F3569E">
              <w:rPr>
                <w:b/>
                <w:bCs/>
                <w:sz w:val="16"/>
                <w:szCs w:val="16"/>
              </w:rPr>
              <w:t>Total</w:t>
            </w:r>
          </w:p>
        </w:tc>
        <w:tc>
          <w:tcPr>
            <w:tcW w:w="1186" w:type="dxa"/>
            <w:tcBorders>
              <w:top w:val="nil"/>
              <w:left w:val="nil"/>
              <w:bottom w:val="nil"/>
              <w:right w:val="nil"/>
            </w:tcBorders>
            <w:shd w:val="clear" w:color="000000" w:fill="C5D9F1"/>
            <w:noWrap/>
            <w:vAlign w:val="center"/>
            <w:hideMark/>
          </w:tcPr>
          <w:p w:rsidR="00185608" w:rsidRPr="00F3569E" w:rsidRDefault="00185608" w:rsidP="00230FAA">
            <w:pPr>
              <w:jc w:val="center"/>
              <w:rPr>
                <w:sz w:val="16"/>
                <w:szCs w:val="16"/>
              </w:rPr>
            </w:pPr>
            <w:r w:rsidRPr="00F3569E">
              <w:rPr>
                <w:sz w:val="16"/>
                <w:szCs w:val="16"/>
              </w:rPr>
              <w:t>7.919</w:t>
            </w:r>
          </w:p>
        </w:tc>
        <w:tc>
          <w:tcPr>
            <w:tcW w:w="1528" w:type="dxa"/>
            <w:tcBorders>
              <w:top w:val="nil"/>
              <w:left w:val="nil"/>
              <w:bottom w:val="nil"/>
              <w:right w:val="nil"/>
            </w:tcBorders>
            <w:shd w:val="clear" w:color="000000" w:fill="C5D9F1"/>
            <w:noWrap/>
            <w:vAlign w:val="center"/>
            <w:hideMark/>
          </w:tcPr>
          <w:p w:rsidR="00185608" w:rsidRPr="00F3569E" w:rsidRDefault="00185608" w:rsidP="00230FAA">
            <w:pPr>
              <w:jc w:val="center"/>
              <w:rPr>
                <w:sz w:val="16"/>
                <w:szCs w:val="16"/>
              </w:rPr>
            </w:pPr>
            <w:r w:rsidRPr="00F3569E">
              <w:rPr>
                <w:sz w:val="16"/>
                <w:szCs w:val="16"/>
              </w:rPr>
              <w:t>8.313</w:t>
            </w:r>
          </w:p>
        </w:tc>
        <w:tc>
          <w:tcPr>
            <w:tcW w:w="944" w:type="dxa"/>
            <w:tcBorders>
              <w:top w:val="nil"/>
              <w:left w:val="nil"/>
              <w:bottom w:val="nil"/>
              <w:right w:val="nil"/>
            </w:tcBorders>
            <w:shd w:val="clear" w:color="000000" w:fill="C5D9F1"/>
            <w:noWrap/>
            <w:vAlign w:val="center"/>
            <w:hideMark/>
          </w:tcPr>
          <w:p w:rsidR="00185608" w:rsidRPr="00F3569E" w:rsidRDefault="00185608" w:rsidP="00230FAA">
            <w:pPr>
              <w:jc w:val="center"/>
              <w:rPr>
                <w:sz w:val="16"/>
                <w:szCs w:val="16"/>
              </w:rPr>
            </w:pPr>
            <w:r w:rsidRPr="00F3569E">
              <w:rPr>
                <w:sz w:val="16"/>
                <w:szCs w:val="16"/>
              </w:rPr>
              <w:t>3.690</w:t>
            </w:r>
          </w:p>
        </w:tc>
      </w:tr>
      <w:tr w:rsidR="00185608" w:rsidRPr="00F3569E" w:rsidTr="00230FAA">
        <w:trPr>
          <w:trHeight w:val="330"/>
          <w:jc w:val="center"/>
        </w:trPr>
        <w:tc>
          <w:tcPr>
            <w:tcW w:w="7749" w:type="dxa"/>
            <w:gridSpan w:val="4"/>
            <w:tcBorders>
              <w:top w:val="nil"/>
              <w:left w:val="nil"/>
              <w:bottom w:val="nil"/>
              <w:right w:val="nil"/>
            </w:tcBorders>
            <w:shd w:val="clear" w:color="auto" w:fill="auto"/>
            <w:noWrap/>
            <w:vAlign w:val="center"/>
            <w:hideMark/>
          </w:tcPr>
          <w:p w:rsidR="00185608" w:rsidRPr="00F3569E" w:rsidRDefault="00185608" w:rsidP="00230FAA">
            <w:pPr>
              <w:rPr>
                <w:i/>
                <w:iCs/>
                <w:sz w:val="16"/>
                <w:szCs w:val="16"/>
              </w:rPr>
            </w:pPr>
            <w:r w:rsidRPr="00F3569E">
              <w:rPr>
                <w:i/>
                <w:iCs/>
                <w:sz w:val="16"/>
                <w:szCs w:val="16"/>
              </w:rPr>
              <w:t>*Las cifras de gastos en 2016 son preliminares, a reserva de verificación por el Auditor Externo.</w:t>
            </w:r>
          </w:p>
        </w:tc>
        <w:tc>
          <w:tcPr>
            <w:tcW w:w="944" w:type="dxa"/>
            <w:tcBorders>
              <w:top w:val="nil"/>
              <w:left w:val="nil"/>
              <w:bottom w:val="nil"/>
              <w:right w:val="nil"/>
            </w:tcBorders>
            <w:shd w:val="clear" w:color="auto" w:fill="auto"/>
            <w:noWrap/>
            <w:vAlign w:val="center"/>
            <w:hideMark/>
          </w:tcPr>
          <w:p w:rsidR="00185608" w:rsidRPr="00F3569E" w:rsidRDefault="00185608" w:rsidP="00230FAA">
            <w:pPr>
              <w:rPr>
                <w:sz w:val="16"/>
                <w:szCs w:val="16"/>
              </w:rPr>
            </w:pPr>
          </w:p>
        </w:tc>
      </w:tr>
    </w:tbl>
    <w:p w:rsidR="00185608" w:rsidRPr="00F3569E" w:rsidRDefault="00185608" w:rsidP="00230FAA">
      <w:pPr>
        <w:pStyle w:val="NormalWeb"/>
        <w:keepNext/>
        <w:keepLines/>
        <w:spacing w:before="0" w:beforeAutospacing="0" w:after="0" w:afterAutospacing="0"/>
        <w:jc w:val="center"/>
        <w:rPr>
          <w:lang w:val="es-ES"/>
        </w:rPr>
      </w:pPr>
      <w:r w:rsidRPr="00F3569E">
        <w:rPr>
          <w:lang w:val="es-ES"/>
        </w:rPr>
        <w:lastRenderedPageBreak/>
        <w:t xml:space="preserve">Presupuesto y gastos reales (de personal y no relativos a personal) </w:t>
      </w:r>
    </w:p>
    <w:p w:rsidR="00185608" w:rsidRPr="00F3569E" w:rsidRDefault="00185608" w:rsidP="00230FAA">
      <w:pPr>
        <w:pStyle w:val="NormalWeb"/>
        <w:keepNext/>
        <w:keepLines/>
        <w:spacing w:before="0" w:beforeAutospacing="0" w:after="0" w:afterAutospacing="0"/>
        <w:jc w:val="center"/>
        <w:rPr>
          <w:i/>
          <w:iCs/>
          <w:sz w:val="16"/>
          <w:szCs w:val="16"/>
          <w:lang w:val="es-ES"/>
        </w:rPr>
      </w:pPr>
      <w:r w:rsidRPr="00F3569E">
        <w:rPr>
          <w:i/>
          <w:iCs/>
          <w:sz w:val="16"/>
          <w:szCs w:val="16"/>
          <w:lang w:val="es-ES"/>
        </w:rPr>
        <w:t>(en miles de francos suizos)</w:t>
      </w:r>
    </w:p>
    <w:p w:rsidR="00185608" w:rsidRPr="00F3569E" w:rsidRDefault="00185608" w:rsidP="00230FAA">
      <w:pPr>
        <w:keepNext/>
        <w:keepLines/>
        <w:rPr>
          <w:bCs/>
          <w:sz w:val="20"/>
        </w:rPr>
      </w:pPr>
    </w:p>
    <w:tbl>
      <w:tblPr>
        <w:tblW w:w="8222" w:type="dxa"/>
        <w:jc w:val="center"/>
        <w:tblLook w:val="04A0" w:firstRow="1" w:lastRow="0" w:firstColumn="1" w:lastColumn="0" w:noHBand="0" w:noVBand="1"/>
      </w:tblPr>
      <w:tblGrid>
        <w:gridCol w:w="2470"/>
        <w:gridCol w:w="1438"/>
        <w:gridCol w:w="1438"/>
        <w:gridCol w:w="1438"/>
        <w:gridCol w:w="1438"/>
      </w:tblGrid>
      <w:tr w:rsidR="00185608" w:rsidRPr="00F3569E" w:rsidTr="00230FAA">
        <w:trPr>
          <w:trHeight w:val="720"/>
          <w:jc w:val="center"/>
        </w:trPr>
        <w:tc>
          <w:tcPr>
            <w:tcW w:w="2440" w:type="dxa"/>
            <w:tcBorders>
              <w:top w:val="nil"/>
              <w:left w:val="nil"/>
              <w:bottom w:val="nil"/>
              <w:right w:val="nil"/>
            </w:tcBorders>
            <w:shd w:val="clear" w:color="000000" w:fill="C5D9F1"/>
            <w:noWrap/>
            <w:vAlign w:val="center"/>
            <w:hideMark/>
          </w:tcPr>
          <w:p w:rsidR="00185608" w:rsidRPr="00F3569E" w:rsidRDefault="00185608" w:rsidP="00230FAA">
            <w:pPr>
              <w:keepNext/>
              <w:keepLines/>
              <w:rPr>
                <w:sz w:val="16"/>
                <w:szCs w:val="16"/>
              </w:rPr>
            </w:pPr>
            <w:r w:rsidRPr="00F3569E">
              <w:rPr>
                <w:sz w:val="16"/>
                <w:szCs w:val="16"/>
              </w:rPr>
              <w:t> </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Gastos en 2016*</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Índice de utilización (%)</w:t>
            </w:r>
          </w:p>
        </w:tc>
      </w:tr>
      <w:tr w:rsidR="00185608" w:rsidRPr="00F3569E"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F3569E" w:rsidRDefault="00185608" w:rsidP="00230FAA">
            <w:pPr>
              <w:keepNext/>
              <w:keepLines/>
              <w:rPr>
                <w:sz w:val="16"/>
                <w:szCs w:val="16"/>
              </w:rPr>
            </w:pPr>
            <w:r w:rsidRPr="00F3569E">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 xml:space="preserve">6.021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 xml:space="preserve">6.447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 xml:space="preserve">2.864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44%</w:t>
            </w:r>
          </w:p>
        </w:tc>
      </w:tr>
      <w:tr w:rsidR="00185608" w:rsidRPr="00F3569E"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F3569E" w:rsidRDefault="00185608" w:rsidP="00230FAA">
            <w:pPr>
              <w:keepNext/>
              <w:keepLines/>
              <w:rPr>
                <w:sz w:val="16"/>
                <w:szCs w:val="16"/>
              </w:rPr>
            </w:pPr>
            <w:r w:rsidRPr="00F3569E">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 xml:space="preserve">1.898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 xml:space="preserve">1.866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 xml:space="preserve">825 </w:t>
            </w:r>
          </w:p>
        </w:tc>
        <w:tc>
          <w:tcPr>
            <w:tcW w:w="1420" w:type="dxa"/>
            <w:tcBorders>
              <w:top w:val="nil"/>
              <w:left w:val="nil"/>
              <w:bottom w:val="nil"/>
              <w:right w:val="nil"/>
            </w:tcBorders>
            <w:shd w:val="clear" w:color="auto" w:fill="auto"/>
            <w:vAlign w:val="center"/>
            <w:hideMark/>
          </w:tcPr>
          <w:p w:rsidR="00185608" w:rsidRPr="00F3569E" w:rsidRDefault="00185608" w:rsidP="00230FAA">
            <w:pPr>
              <w:keepNext/>
              <w:keepLines/>
              <w:jc w:val="center"/>
              <w:rPr>
                <w:sz w:val="16"/>
                <w:szCs w:val="16"/>
              </w:rPr>
            </w:pPr>
            <w:r w:rsidRPr="00F3569E">
              <w:rPr>
                <w:sz w:val="16"/>
                <w:szCs w:val="16"/>
              </w:rPr>
              <w:t>44%</w:t>
            </w:r>
          </w:p>
        </w:tc>
      </w:tr>
      <w:tr w:rsidR="00185608" w:rsidRPr="00F3569E" w:rsidTr="00230FAA">
        <w:trPr>
          <w:trHeight w:val="225"/>
          <w:jc w:val="center"/>
        </w:trPr>
        <w:tc>
          <w:tcPr>
            <w:tcW w:w="2440" w:type="dxa"/>
            <w:tcBorders>
              <w:top w:val="nil"/>
              <w:left w:val="nil"/>
              <w:bottom w:val="nil"/>
              <w:right w:val="nil"/>
            </w:tcBorders>
            <w:shd w:val="clear" w:color="000000" w:fill="C5D9F1"/>
            <w:noWrap/>
            <w:vAlign w:val="center"/>
            <w:hideMark/>
          </w:tcPr>
          <w:p w:rsidR="00185608" w:rsidRPr="00F3569E" w:rsidRDefault="00185608" w:rsidP="00230FAA">
            <w:pPr>
              <w:keepNext/>
              <w:keepLines/>
              <w:jc w:val="right"/>
              <w:rPr>
                <w:b/>
                <w:bCs/>
                <w:sz w:val="16"/>
                <w:szCs w:val="16"/>
              </w:rPr>
            </w:pPr>
            <w:r w:rsidRPr="00F3569E">
              <w:rPr>
                <w:b/>
                <w:bCs/>
                <w:sz w:val="16"/>
                <w:szCs w:val="16"/>
              </w:rPr>
              <w:t xml:space="preserve"> Total </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 xml:space="preserve">7.919 </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 xml:space="preserve">8.313 </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 xml:space="preserve">3.690 </w:t>
            </w:r>
          </w:p>
        </w:tc>
        <w:tc>
          <w:tcPr>
            <w:tcW w:w="1420" w:type="dxa"/>
            <w:tcBorders>
              <w:top w:val="nil"/>
              <w:left w:val="nil"/>
              <w:bottom w:val="nil"/>
              <w:right w:val="nil"/>
            </w:tcBorders>
            <w:shd w:val="clear" w:color="000000" w:fill="C5D9F1"/>
            <w:vAlign w:val="center"/>
            <w:hideMark/>
          </w:tcPr>
          <w:p w:rsidR="00185608" w:rsidRPr="00F3569E" w:rsidRDefault="00185608" w:rsidP="00230FAA">
            <w:pPr>
              <w:keepNext/>
              <w:keepLines/>
              <w:jc w:val="center"/>
              <w:rPr>
                <w:b/>
                <w:bCs/>
                <w:sz w:val="16"/>
                <w:szCs w:val="16"/>
              </w:rPr>
            </w:pPr>
            <w:r w:rsidRPr="00F3569E">
              <w:rPr>
                <w:b/>
                <w:bCs/>
                <w:sz w:val="16"/>
                <w:szCs w:val="16"/>
              </w:rPr>
              <w:t>44%</w:t>
            </w:r>
          </w:p>
        </w:tc>
      </w:tr>
      <w:tr w:rsidR="00185608" w:rsidRPr="00F3569E" w:rsidTr="00230FAA">
        <w:trPr>
          <w:trHeight w:val="300"/>
          <w:jc w:val="center"/>
        </w:trPr>
        <w:tc>
          <w:tcPr>
            <w:tcW w:w="8120" w:type="dxa"/>
            <w:gridSpan w:val="5"/>
            <w:tcBorders>
              <w:top w:val="nil"/>
              <w:left w:val="nil"/>
              <w:bottom w:val="nil"/>
              <w:right w:val="nil"/>
            </w:tcBorders>
            <w:shd w:val="clear" w:color="auto" w:fill="auto"/>
            <w:noWrap/>
            <w:vAlign w:val="center"/>
            <w:hideMark/>
          </w:tcPr>
          <w:p w:rsidR="00185608" w:rsidRPr="00F3569E" w:rsidRDefault="00185608" w:rsidP="00230FAA">
            <w:pPr>
              <w:keepNext/>
              <w:keepLines/>
              <w:rPr>
                <w:i/>
                <w:iCs/>
                <w:sz w:val="16"/>
                <w:szCs w:val="16"/>
              </w:rPr>
            </w:pPr>
            <w:r w:rsidRPr="00F3569E">
              <w:rPr>
                <w:i/>
                <w:iCs/>
                <w:sz w:val="16"/>
                <w:szCs w:val="16"/>
              </w:rPr>
              <w:t xml:space="preserve"> *Las cifras de gastos en 2016 son preliminares, a reserva de verificación por el Auditor Externo.</w:t>
            </w:r>
          </w:p>
        </w:tc>
      </w:tr>
    </w:tbl>
    <w:p w:rsidR="00185608" w:rsidRPr="00F3569E" w:rsidRDefault="00185608" w:rsidP="00230FAA">
      <w:pPr>
        <w:keepNext/>
        <w:keepLines/>
        <w:rPr>
          <w:i/>
          <w:sz w:val="20"/>
        </w:rPr>
      </w:pPr>
    </w:p>
    <w:p w:rsidR="00185608" w:rsidRPr="00F3569E" w:rsidRDefault="00185608" w:rsidP="00230FAA">
      <w:pPr>
        <w:keepNext/>
        <w:keepLines/>
        <w:ind w:left="567" w:right="424"/>
        <w:rPr>
          <w:i/>
          <w:sz w:val="16"/>
          <w:szCs w:val="16"/>
        </w:rPr>
      </w:pPr>
      <w:r w:rsidRPr="00F3569E">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185608" w:rsidRPr="00F3569E" w:rsidRDefault="00185608" w:rsidP="00230FAA">
      <w:pPr>
        <w:rPr>
          <w:sz w:val="20"/>
        </w:rPr>
      </w:pPr>
    </w:p>
    <w:p w:rsidR="00185608" w:rsidRPr="00F3569E" w:rsidRDefault="00185608" w:rsidP="00230FAA">
      <w:pPr>
        <w:rPr>
          <w:sz w:val="20"/>
        </w:rPr>
      </w:pPr>
    </w:p>
    <w:p w:rsidR="00185608" w:rsidRPr="00F3569E" w:rsidRDefault="00185608" w:rsidP="00230FAA">
      <w:pPr>
        <w:jc w:val="both"/>
        <w:rPr>
          <w:sz w:val="20"/>
          <w:u w:val="single"/>
        </w:rPr>
      </w:pPr>
      <w:r w:rsidRPr="00F3569E">
        <w:rPr>
          <w:sz w:val="20"/>
        </w:rPr>
        <w:t>A.</w:t>
      </w:r>
      <w:r w:rsidRPr="00F3569E">
        <w:rPr>
          <w:sz w:val="20"/>
        </w:rPr>
        <w:tab/>
      </w:r>
      <w:r w:rsidRPr="00F3569E">
        <w:rPr>
          <w:sz w:val="20"/>
          <w:u w:val="single"/>
        </w:rPr>
        <w:t>Presupuesto de 2016/17 tras las transferencias</w:t>
      </w:r>
    </w:p>
    <w:p w:rsidR="00185608" w:rsidRPr="00F3569E" w:rsidRDefault="00185608" w:rsidP="00230FAA">
      <w:pPr>
        <w:jc w:val="both"/>
        <w:rPr>
          <w:sz w:val="20"/>
        </w:rPr>
      </w:pPr>
    </w:p>
    <w:p w:rsidR="00185608" w:rsidRPr="00F3569E" w:rsidRDefault="00185608" w:rsidP="00185608">
      <w:pPr>
        <w:pStyle w:val="ListParagraph"/>
        <w:numPr>
          <w:ilvl w:val="0"/>
          <w:numId w:val="54"/>
        </w:numPr>
        <w:ind w:left="0" w:firstLine="0"/>
        <w:contextualSpacing/>
        <w:jc w:val="both"/>
        <w:rPr>
          <w:rFonts w:cs="Arial"/>
          <w:lang w:val="es-ES" w:eastAsia="ko-KR"/>
        </w:rPr>
      </w:pPr>
      <w:r w:rsidRPr="00F3569E">
        <w:rPr>
          <w:rFonts w:cs="Arial"/>
          <w:lang w:val="es-ES" w:eastAsia="ko-KR"/>
        </w:rPr>
        <w:t xml:space="preserve">El aumento total en el presupuesto de 2016/17 tras las transferencias con respecto al presupuesto aprobado de 2016/17 </w:t>
      </w:r>
      <w:r w:rsidR="0048069B">
        <w:rPr>
          <w:rFonts w:cs="Arial"/>
          <w:lang w:val="es-ES" w:eastAsia="ko-KR"/>
        </w:rPr>
        <w:t>se debió</w:t>
      </w:r>
      <w:r w:rsidRPr="00F3569E">
        <w:rPr>
          <w:rFonts w:cs="Arial"/>
          <w:lang w:val="es-ES" w:eastAsia="ko-KR"/>
        </w:rPr>
        <w:t xml:space="preserve"> al aumento en los recursos de personal, debido a:  i) las reclasificaciones de dos puestos;  ii) la regularización de una función permanente para prestar apoyo en la organización de los seminarios itinerantes en los países desarrollados y los países con economías en transición;  y iii) el traslado al programa de un administrador auxiliar de programas a fin de fortalecer la labor que se lleva a cabo en los países de Asia Central, el Cáucaso y Europa Oriental, lo cual se refleja principalmente en el resultado previsto III.1 (Estrategias y planes nacionales de innovación y de P.I.).  La leve disminución en los recursos no relativos a personal </w:t>
      </w:r>
      <w:r w:rsidR="0048069B">
        <w:rPr>
          <w:rFonts w:cs="Arial"/>
          <w:lang w:val="es-ES" w:eastAsia="ko-KR"/>
        </w:rPr>
        <w:t>se debió</w:t>
      </w:r>
      <w:r w:rsidRPr="00F3569E">
        <w:rPr>
          <w:rFonts w:cs="Arial"/>
          <w:lang w:val="es-ES" w:eastAsia="ko-KR"/>
        </w:rPr>
        <w:t xml:space="preserve"> a la transferencia de recursos destinados a pasantías al DGRRHH (programa 23), que gestiona las pasantías de manera centralizada.</w:t>
      </w:r>
    </w:p>
    <w:p w:rsidR="00185608" w:rsidRPr="00F3569E" w:rsidRDefault="00185608" w:rsidP="00230FAA">
      <w:pPr>
        <w:jc w:val="both"/>
        <w:rPr>
          <w:sz w:val="20"/>
        </w:rPr>
      </w:pPr>
    </w:p>
    <w:p w:rsidR="00185608" w:rsidRPr="00F3569E" w:rsidRDefault="00185608" w:rsidP="00230FAA">
      <w:pPr>
        <w:jc w:val="both"/>
        <w:rPr>
          <w:sz w:val="20"/>
          <w:u w:val="single"/>
        </w:rPr>
      </w:pPr>
      <w:r w:rsidRPr="00F3569E">
        <w:rPr>
          <w:sz w:val="20"/>
        </w:rPr>
        <w:t>B.</w:t>
      </w:r>
      <w:r w:rsidRPr="00F3569E">
        <w:rPr>
          <w:sz w:val="20"/>
        </w:rPr>
        <w:tab/>
      </w:r>
      <w:r w:rsidRPr="00F3569E">
        <w:rPr>
          <w:sz w:val="20"/>
          <w:u w:val="single"/>
        </w:rPr>
        <w:t>Utilización del presupuesto en 2016/17</w:t>
      </w:r>
    </w:p>
    <w:p w:rsidR="00185608" w:rsidRPr="00F3569E" w:rsidRDefault="00185608" w:rsidP="00230FAA">
      <w:pPr>
        <w:jc w:val="both"/>
        <w:rPr>
          <w:sz w:val="20"/>
        </w:rPr>
      </w:pPr>
    </w:p>
    <w:p w:rsidR="00185608" w:rsidRPr="00F3569E" w:rsidRDefault="00185608" w:rsidP="00185608">
      <w:pPr>
        <w:pStyle w:val="ListParagraph"/>
        <w:numPr>
          <w:ilvl w:val="0"/>
          <w:numId w:val="54"/>
        </w:numPr>
        <w:ind w:left="0" w:firstLine="0"/>
        <w:contextualSpacing/>
        <w:jc w:val="both"/>
        <w:rPr>
          <w:rFonts w:cs="Arial"/>
          <w:lang w:val="es-ES" w:eastAsia="zh-CN"/>
        </w:rPr>
      </w:pPr>
      <w:r w:rsidRPr="00F3569E">
        <w:rPr>
          <w:rFonts w:cs="Arial"/>
          <w:lang w:val="es-ES" w:eastAsia="zh-CN"/>
        </w:rPr>
        <w:t>La utilización del presupuesto se ha mantenido dentro de los límites establecidos (40-60%) durante el primer año del bienio.</w:t>
      </w:r>
    </w:p>
    <w:p w:rsidR="00185608" w:rsidRPr="00F3569E" w:rsidRDefault="00185608" w:rsidP="00230FAA">
      <w:pPr>
        <w:pStyle w:val="ListParagraph"/>
        <w:ind w:left="0"/>
        <w:jc w:val="both"/>
        <w:rPr>
          <w:rFonts w:cs="Arial"/>
          <w:lang w:val="es-ES" w:eastAsia="zh-CN"/>
        </w:rPr>
      </w:pPr>
    </w:p>
    <w:p w:rsidR="00185608" w:rsidRPr="00F3569E" w:rsidRDefault="00185608" w:rsidP="00230FAA">
      <w:pPr>
        <w:pStyle w:val="ListParagraph"/>
        <w:ind w:left="0"/>
        <w:jc w:val="both"/>
        <w:rPr>
          <w:rFonts w:cs="Arial"/>
          <w:lang w:val="es-ES" w:eastAsia="zh-CN"/>
        </w:rPr>
      </w:pPr>
    </w:p>
    <w:p w:rsidR="00B06083" w:rsidRDefault="00B06083">
      <w:pPr>
        <w:rPr>
          <w:b/>
          <w:bCs/>
          <w:iCs/>
          <w:szCs w:val="22"/>
          <w:lang w:val="es-ES_tradnl"/>
        </w:rPr>
      </w:pPr>
      <w:r>
        <w:rPr>
          <w:b/>
          <w:bCs/>
          <w:iCs/>
          <w:szCs w:val="22"/>
          <w:lang w:val="es-ES_tradnl"/>
        </w:rPr>
        <w:br w:type="page"/>
      </w:r>
    </w:p>
    <w:p w:rsidR="00185608" w:rsidRPr="00A329A2" w:rsidRDefault="00185608" w:rsidP="00B562A5">
      <w:pPr>
        <w:keepNext/>
        <w:tabs>
          <w:tab w:val="left" w:pos="2410"/>
          <w:tab w:val="right" w:pos="9072"/>
        </w:tabs>
        <w:outlineLvl w:val="1"/>
        <w:rPr>
          <w:b/>
          <w:bCs/>
          <w:iCs/>
          <w:szCs w:val="22"/>
        </w:rPr>
      </w:pPr>
      <w:bookmarkStart w:id="46" w:name="_Toc482711256"/>
      <w:r w:rsidRPr="00A329A2">
        <w:rPr>
          <w:b/>
          <w:bCs/>
          <w:iCs/>
          <w:szCs w:val="22"/>
          <w:lang w:val="es-ES_tradnl"/>
        </w:rPr>
        <w:lastRenderedPageBreak/>
        <w:t>PROGRAMA 11</w:t>
      </w:r>
      <w:r w:rsidRPr="00A329A2">
        <w:rPr>
          <w:bCs/>
          <w:iCs/>
          <w:szCs w:val="22"/>
          <w:lang w:val="es-ES_tradnl"/>
        </w:rPr>
        <w:tab/>
      </w:r>
      <w:r w:rsidRPr="00A329A2">
        <w:rPr>
          <w:b/>
          <w:bCs/>
          <w:iCs/>
          <w:szCs w:val="22"/>
          <w:lang w:val="es-ES_tradnl"/>
        </w:rPr>
        <w:t>ACADEMIA DE LA OMPI</w:t>
      </w:r>
      <w:bookmarkEnd w:id="46"/>
    </w:p>
    <w:p w:rsidR="00185608" w:rsidRPr="00A329A2" w:rsidRDefault="00185608" w:rsidP="00230FAA">
      <w:pPr>
        <w:ind w:left="1985" w:hanging="1985"/>
        <w:rPr>
          <w:rFonts w:cs="Times New Roman"/>
          <w:sz w:val="20"/>
        </w:rPr>
      </w:pPr>
    </w:p>
    <w:p w:rsidR="00185608" w:rsidRPr="00A329A2" w:rsidRDefault="00185608" w:rsidP="00B562A5">
      <w:pPr>
        <w:tabs>
          <w:tab w:val="left" w:pos="2410"/>
        </w:tabs>
        <w:ind w:left="2410" w:hanging="2410"/>
        <w:rPr>
          <w:rFonts w:cs="Times New Roman"/>
          <w:b/>
          <w:sz w:val="20"/>
        </w:rPr>
      </w:pPr>
      <w:r w:rsidRPr="00A329A2">
        <w:rPr>
          <w:rFonts w:cs="Times New Roman"/>
          <w:b/>
          <w:sz w:val="20"/>
          <w:lang w:val="es-ES_tradnl"/>
        </w:rPr>
        <w:t>Director de programa</w:t>
      </w:r>
      <w:r w:rsidRPr="00A329A2">
        <w:rPr>
          <w:rFonts w:cs="Times New Roman"/>
          <w:sz w:val="20"/>
          <w:lang w:val="es-ES_tradnl"/>
        </w:rPr>
        <w:tab/>
      </w:r>
      <w:r w:rsidRPr="00A329A2">
        <w:rPr>
          <w:rFonts w:cs="Times New Roman"/>
          <w:b/>
          <w:sz w:val="20"/>
          <w:lang w:val="es-ES_tradnl"/>
        </w:rPr>
        <w:t>Sr. M. Matus</w:t>
      </w:r>
    </w:p>
    <w:p w:rsidR="00185608" w:rsidRPr="00A329A2" w:rsidRDefault="00185608" w:rsidP="00230FAA">
      <w:pPr>
        <w:ind w:left="1985" w:hanging="1985"/>
        <w:jc w:val="center"/>
        <w:rPr>
          <w:rFonts w:cs="Times New Roman"/>
          <w:b/>
          <w:sz w:val="20"/>
        </w:rPr>
      </w:pPr>
      <w:r w:rsidRPr="00A329A2">
        <w:rPr>
          <w:noProof/>
          <w:lang w:val="en-US" w:eastAsia="en-US"/>
        </w:rPr>
        <w:drawing>
          <wp:inline distT="0" distB="0" distL="0" distR="0" wp14:anchorId="32B39AFB" wp14:editId="2F4D66B4">
            <wp:extent cx="5007650" cy="2454277"/>
            <wp:effectExtent l="0" t="0" r="254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007875" cy="2454387"/>
                    </a:xfrm>
                    <a:prstGeom prst="rect">
                      <a:avLst/>
                    </a:prstGeom>
                    <a:noFill/>
                    <a:ln>
                      <a:noFill/>
                    </a:ln>
                  </pic:spPr>
                </pic:pic>
              </a:graphicData>
            </a:graphic>
          </wp:inline>
        </w:drawing>
      </w:r>
      <w:r w:rsidRPr="00A329A2">
        <w:t xml:space="preserve"> </w:t>
      </w:r>
    </w:p>
    <w:tbl>
      <w:tblPr>
        <w:tblW w:w="5000" w:type="pct"/>
        <w:tblInd w:w="58" w:type="dxa"/>
        <w:tblLayout w:type="fixed"/>
        <w:tblCellMar>
          <w:left w:w="115" w:type="dxa"/>
          <w:right w:w="115" w:type="dxa"/>
        </w:tblCellMar>
        <w:tblLook w:val="0000" w:firstRow="0" w:lastRow="0" w:firstColumn="0" w:lastColumn="0" w:noHBand="0" w:noVBand="0"/>
      </w:tblPr>
      <w:tblGrid>
        <w:gridCol w:w="1970"/>
        <w:gridCol w:w="2416"/>
        <w:gridCol w:w="1073"/>
        <w:gridCol w:w="2787"/>
        <w:gridCol w:w="941"/>
      </w:tblGrid>
      <w:tr w:rsidR="00185608" w:rsidRPr="00A329A2" w:rsidTr="00230FAA">
        <w:trPr>
          <w:trHeight w:val="535"/>
        </w:trPr>
        <w:tc>
          <w:tcPr>
            <w:tcW w:w="5000" w:type="pct"/>
            <w:gridSpan w:val="5"/>
            <w:shd w:val="clear" w:color="auto" w:fill="C6D9F1" w:themeFill="text2" w:themeFillTint="33"/>
            <w:tcMar>
              <w:left w:w="58" w:type="dxa"/>
              <w:right w:w="58" w:type="dxa"/>
            </w:tcMar>
            <w:vAlign w:val="center"/>
          </w:tcPr>
          <w:p w:rsidR="00185608" w:rsidRPr="00A329A2" w:rsidRDefault="00185608" w:rsidP="00230FAA">
            <w:pPr>
              <w:keepNext/>
              <w:keepLines/>
              <w:tabs>
                <w:tab w:val="left" w:pos="1452"/>
              </w:tabs>
              <w:ind w:left="1701" w:hanging="1701"/>
              <w:rPr>
                <w:bCs/>
                <w:sz w:val="16"/>
                <w:szCs w:val="16"/>
              </w:rPr>
            </w:pPr>
            <w:r w:rsidRPr="00A329A2">
              <w:rPr>
                <w:b/>
                <w:bCs/>
                <w:sz w:val="16"/>
                <w:szCs w:val="16"/>
              </w:rPr>
              <w:t>Resultado previsto:</w:t>
            </w:r>
            <w:r w:rsidRPr="00A329A2">
              <w:rPr>
                <w:b/>
                <w:bCs/>
                <w:sz w:val="16"/>
                <w:szCs w:val="16"/>
              </w:rPr>
              <w:tab/>
            </w:r>
            <w:r w:rsidRPr="00A329A2">
              <w:rPr>
                <w:bCs/>
                <w:sz w:val="16"/>
                <w:szCs w:val="16"/>
                <w:lang w:val="es-ES_tradn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185608" w:rsidRPr="00A329A2" w:rsidTr="00230FAA">
        <w:trPr>
          <w:trHeight w:val="156"/>
        </w:trPr>
        <w:tc>
          <w:tcPr>
            <w:tcW w:w="1072" w:type="pct"/>
            <w:shd w:val="clear" w:color="auto" w:fill="auto"/>
            <w:tcMar>
              <w:left w:w="58" w:type="dxa"/>
              <w:right w:w="58" w:type="dxa"/>
            </w:tcMar>
            <w:vAlign w:val="center"/>
          </w:tcPr>
          <w:p w:rsidR="00185608" w:rsidRPr="00A329A2" w:rsidRDefault="00185608" w:rsidP="00230FAA">
            <w:pPr>
              <w:rPr>
                <w:b/>
                <w:bCs/>
                <w:sz w:val="16"/>
                <w:szCs w:val="16"/>
              </w:rPr>
            </w:pPr>
            <w:r w:rsidRPr="00A329A2">
              <w:rPr>
                <w:b/>
                <w:bCs/>
                <w:sz w:val="16"/>
                <w:szCs w:val="16"/>
                <w:lang w:val="es-ES_tradnl"/>
              </w:rPr>
              <w:t>Indicadores de rendimiento</w:t>
            </w:r>
          </w:p>
        </w:tc>
        <w:tc>
          <w:tcPr>
            <w:tcW w:w="1315" w:type="pct"/>
            <w:shd w:val="clear" w:color="auto" w:fill="auto"/>
            <w:tcMar>
              <w:left w:w="58" w:type="dxa"/>
              <w:right w:w="58" w:type="dxa"/>
            </w:tcMar>
            <w:vAlign w:val="center"/>
          </w:tcPr>
          <w:p w:rsidR="00185608" w:rsidRPr="00A329A2" w:rsidRDefault="00185608" w:rsidP="00230FAA">
            <w:pPr>
              <w:rPr>
                <w:b/>
                <w:bCs/>
                <w:sz w:val="16"/>
                <w:szCs w:val="16"/>
              </w:rPr>
            </w:pPr>
            <w:r w:rsidRPr="00A329A2">
              <w:rPr>
                <w:b/>
                <w:bCs/>
                <w:sz w:val="16"/>
                <w:szCs w:val="16"/>
                <w:lang w:val="es-ES_tradnl"/>
              </w:rPr>
              <w:t>Referencias de base</w:t>
            </w:r>
          </w:p>
        </w:tc>
        <w:tc>
          <w:tcPr>
            <w:tcW w:w="584" w:type="pct"/>
            <w:shd w:val="clear" w:color="auto" w:fill="auto"/>
            <w:tcMar>
              <w:top w:w="110" w:type="dxa"/>
              <w:left w:w="58" w:type="dxa"/>
              <w:right w:w="58" w:type="dxa"/>
            </w:tcMar>
            <w:vAlign w:val="center"/>
          </w:tcPr>
          <w:p w:rsidR="00185608" w:rsidRPr="00A329A2" w:rsidRDefault="00185608" w:rsidP="00230FAA">
            <w:pPr>
              <w:tabs>
                <w:tab w:val="left" w:pos="290"/>
              </w:tabs>
              <w:rPr>
                <w:b/>
                <w:bCs/>
                <w:sz w:val="16"/>
                <w:szCs w:val="16"/>
              </w:rPr>
            </w:pPr>
            <w:r w:rsidRPr="00A329A2">
              <w:rPr>
                <w:b/>
                <w:bCs/>
                <w:sz w:val="16"/>
                <w:szCs w:val="16"/>
                <w:lang w:val="es-ES_tradnl"/>
              </w:rPr>
              <w:t>Objetivos</w:t>
            </w:r>
          </w:p>
        </w:tc>
        <w:tc>
          <w:tcPr>
            <w:tcW w:w="1517" w:type="pct"/>
            <w:shd w:val="clear" w:color="auto" w:fill="FFFFFF"/>
            <w:tcMar>
              <w:top w:w="110" w:type="dxa"/>
              <w:left w:w="58" w:type="dxa"/>
              <w:right w:w="58" w:type="dxa"/>
            </w:tcMar>
            <w:vAlign w:val="center"/>
          </w:tcPr>
          <w:p w:rsidR="00185608" w:rsidRPr="00A329A2" w:rsidRDefault="00185608" w:rsidP="00230FAA">
            <w:pPr>
              <w:rPr>
                <w:b/>
                <w:bCs/>
                <w:sz w:val="16"/>
                <w:szCs w:val="16"/>
              </w:rPr>
            </w:pPr>
            <w:r w:rsidRPr="00A329A2">
              <w:rPr>
                <w:b/>
                <w:bCs/>
                <w:sz w:val="16"/>
                <w:szCs w:val="16"/>
                <w:lang w:val="es-ES_tradnl"/>
              </w:rPr>
              <w:t>Datos sobre el rendimiento</w:t>
            </w:r>
          </w:p>
        </w:tc>
        <w:tc>
          <w:tcPr>
            <w:tcW w:w="512" w:type="pct"/>
            <w:shd w:val="clear" w:color="auto" w:fill="auto"/>
            <w:tcMar>
              <w:top w:w="110" w:type="dxa"/>
              <w:left w:w="58" w:type="dxa"/>
              <w:right w:w="58" w:type="dxa"/>
            </w:tcMar>
            <w:vAlign w:val="center"/>
          </w:tcPr>
          <w:p w:rsidR="00185608" w:rsidRPr="00A329A2" w:rsidRDefault="00185608" w:rsidP="00230FAA">
            <w:pPr>
              <w:keepNext/>
              <w:keepLines/>
              <w:jc w:val="center"/>
              <w:rPr>
                <w:b/>
                <w:bCs/>
                <w:sz w:val="16"/>
                <w:szCs w:val="16"/>
              </w:rPr>
            </w:pPr>
            <w:r w:rsidRPr="00A329A2">
              <w:rPr>
                <w:b/>
                <w:bCs/>
                <w:sz w:val="16"/>
                <w:szCs w:val="16"/>
                <w:lang w:val="es-ES_tradnl"/>
              </w:rPr>
              <w:t>Clave de colores</w:t>
            </w:r>
          </w:p>
        </w:tc>
      </w:tr>
      <w:tr w:rsidR="00185608" w:rsidRPr="00A329A2" w:rsidTr="00230FAA">
        <w:trPr>
          <w:trHeight w:val="1191"/>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rPr>
              <w:t>%</w:t>
            </w:r>
            <w:r w:rsidRPr="00A329A2">
              <w:rPr>
                <w:sz w:val="16"/>
                <w:szCs w:val="16"/>
                <w:lang w:val="es-ES_tradnl"/>
              </w:rPr>
              <w:t xml:space="preserve"> de estudiantes y supervisores satisfechos con los programas de formación, sobre la base de evaluaciones de las necesidades de formación</w:t>
            </w:r>
          </w:p>
        </w:tc>
        <w:tc>
          <w:tcPr>
            <w:tcW w:w="1315" w:type="pct"/>
            <w:shd w:val="clear" w:color="auto" w:fill="auto"/>
            <w:tcMar>
              <w:left w:w="58" w:type="dxa"/>
              <w:right w:w="58" w:type="dxa"/>
            </w:tcMar>
          </w:tcPr>
          <w:p w:rsidR="00185608" w:rsidRPr="00A329A2" w:rsidRDefault="00185608" w:rsidP="00230FAA">
            <w:pPr>
              <w:rPr>
                <w:sz w:val="16"/>
                <w:szCs w:val="16"/>
              </w:rPr>
            </w:pPr>
            <w:r w:rsidRPr="00A329A2">
              <w:rPr>
                <w:sz w:val="16"/>
                <w:lang w:val="es-ES_tradnl"/>
              </w:rPr>
              <w:t>No se dispone de datos.</w:t>
            </w:r>
            <w:r w:rsidRPr="00A329A2">
              <w:rPr>
                <w:sz w:val="16"/>
              </w:rPr>
              <w:t xml:space="preserve"> </w:t>
            </w:r>
          </w:p>
        </w:tc>
        <w:tc>
          <w:tcPr>
            <w:tcW w:w="584" w:type="pct"/>
            <w:shd w:val="clear" w:color="auto" w:fill="auto"/>
            <w:tcMar>
              <w:top w:w="110" w:type="dxa"/>
              <w:left w:w="58" w:type="dxa"/>
              <w:right w:w="58" w:type="dxa"/>
            </w:tcMar>
          </w:tcPr>
          <w:p w:rsidR="00185608" w:rsidRPr="00A329A2" w:rsidRDefault="00185608" w:rsidP="00230FAA">
            <w:pPr>
              <w:rPr>
                <w:sz w:val="16"/>
                <w:szCs w:val="16"/>
              </w:rPr>
            </w:pPr>
            <w:r w:rsidRPr="00A329A2">
              <w:rPr>
                <w:sz w:val="16"/>
                <w:szCs w:val="16"/>
                <w:lang w:val="es-ES_tradnl"/>
              </w:rPr>
              <w:t>70% de los encuestados</w:t>
            </w:r>
          </w:p>
        </w:tc>
        <w:tc>
          <w:tcPr>
            <w:tcW w:w="1517" w:type="pct"/>
            <w:shd w:val="clear" w:color="auto" w:fill="FFFFFF"/>
            <w:tcMar>
              <w:top w:w="110" w:type="dxa"/>
              <w:left w:w="58" w:type="dxa"/>
              <w:right w:w="58" w:type="dxa"/>
            </w:tcMar>
          </w:tcPr>
          <w:p w:rsidR="00185608" w:rsidRPr="00A329A2" w:rsidRDefault="00185608" w:rsidP="00230FAA">
            <w:pPr>
              <w:rPr>
                <w:sz w:val="16"/>
                <w:szCs w:val="16"/>
              </w:rPr>
            </w:pPr>
            <w:r w:rsidRPr="00A329A2">
              <w:rPr>
                <w:sz w:val="16"/>
                <w:szCs w:val="16"/>
              </w:rPr>
              <w:t>La recopilación de datos se hará en 2017</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70C0"/>
                <w:sz w:val="16"/>
                <w:szCs w:val="16"/>
                <w:lang w:val="es-ES_tradnl"/>
              </w:rPr>
              <w:t>No disponible para 2016</w:t>
            </w:r>
          </w:p>
        </w:tc>
      </w:tr>
      <w:tr w:rsidR="00185608" w:rsidRPr="00A329A2" w:rsidTr="00230FAA">
        <w:trPr>
          <w:trHeight w:val="588"/>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rPr>
              <w:t>%</w:t>
            </w:r>
            <w:r w:rsidRPr="00A329A2">
              <w:rPr>
                <w:sz w:val="16"/>
                <w:szCs w:val="16"/>
                <w:lang w:val="es-ES_tradnl"/>
              </w:rPr>
              <w:t xml:space="preserve"> de participantes con mejores conocimientos y aptitudes en varios campos de la P.I.</w:t>
            </w:r>
            <w:r w:rsidRPr="00A329A2">
              <w:rPr>
                <w:sz w:val="16"/>
                <w:szCs w:val="16"/>
              </w:rPr>
              <w:t xml:space="preserve"> </w:t>
            </w:r>
          </w:p>
        </w:tc>
        <w:tc>
          <w:tcPr>
            <w:tcW w:w="1315" w:type="pct"/>
            <w:shd w:val="clear" w:color="auto" w:fill="auto"/>
            <w:tcMar>
              <w:left w:w="58" w:type="dxa"/>
              <w:right w:w="58" w:type="dxa"/>
            </w:tcMar>
          </w:tcPr>
          <w:p w:rsidR="00185608" w:rsidRPr="00A329A2" w:rsidRDefault="00185608" w:rsidP="00230FAA">
            <w:pPr>
              <w:rPr>
                <w:sz w:val="16"/>
                <w:szCs w:val="16"/>
              </w:rPr>
            </w:pPr>
            <w:r w:rsidRPr="00A329A2">
              <w:rPr>
                <w:sz w:val="16"/>
                <w:szCs w:val="16"/>
                <w:lang w:val="es-ES_tradnl"/>
              </w:rPr>
              <w:t>No se dispone de datos.</w:t>
            </w:r>
          </w:p>
        </w:tc>
        <w:tc>
          <w:tcPr>
            <w:tcW w:w="584" w:type="pct"/>
            <w:shd w:val="clear" w:color="auto" w:fill="auto"/>
            <w:tcMar>
              <w:top w:w="110" w:type="dxa"/>
              <w:left w:w="58" w:type="dxa"/>
              <w:right w:w="58" w:type="dxa"/>
            </w:tcMar>
          </w:tcPr>
          <w:p w:rsidR="00185608" w:rsidRPr="00A329A2" w:rsidRDefault="00185608" w:rsidP="00230FAA">
            <w:pPr>
              <w:rPr>
                <w:sz w:val="16"/>
                <w:szCs w:val="16"/>
              </w:rPr>
            </w:pPr>
            <w:r w:rsidRPr="00A329A2">
              <w:rPr>
                <w:sz w:val="16"/>
                <w:szCs w:val="16"/>
                <w:lang w:val="es-ES_tradnl"/>
              </w:rPr>
              <w:t>60% de los encuestados</w:t>
            </w:r>
          </w:p>
        </w:tc>
        <w:tc>
          <w:tcPr>
            <w:tcW w:w="1517" w:type="pct"/>
            <w:shd w:val="clear" w:color="auto" w:fill="FFFFFF"/>
            <w:tcMar>
              <w:top w:w="110" w:type="dxa"/>
              <w:left w:w="58" w:type="dxa"/>
              <w:right w:w="58" w:type="dxa"/>
            </w:tcMar>
          </w:tcPr>
          <w:p w:rsidR="00185608" w:rsidRPr="00A329A2" w:rsidRDefault="00185608" w:rsidP="00230FAA">
            <w:pPr>
              <w:keepNext/>
              <w:keepLines/>
              <w:rPr>
                <w:sz w:val="16"/>
                <w:szCs w:val="16"/>
              </w:rPr>
            </w:pPr>
            <w:r w:rsidRPr="00A329A2">
              <w:rPr>
                <w:sz w:val="16"/>
                <w:szCs w:val="16"/>
              </w:rPr>
              <w:t>La recopilación de datos se hará en 2017</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70C0"/>
                <w:sz w:val="16"/>
                <w:szCs w:val="16"/>
                <w:lang w:val="es-ES_tradnl"/>
              </w:rPr>
              <w:t>No disponible para 2016</w:t>
            </w:r>
          </w:p>
        </w:tc>
      </w:tr>
      <w:tr w:rsidR="00185608" w:rsidRPr="00A329A2" w:rsidTr="00230FAA">
        <w:trPr>
          <w:trHeight w:val="929"/>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lang w:val="es-ES_tradnl"/>
              </w:rPr>
              <w:t>N.º de acuerdos de cooperación y asociación concertados en sintonía con las nuevas metas de la Academia</w:t>
            </w:r>
          </w:p>
        </w:tc>
        <w:tc>
          <w:tcPr>
            <w:tcW w:w="1315" w:type="pct"/>
            <w:shd w:val="clear" w:color="auto" w:fill="auto"/>
            <w:tcMar>
              <w:left w:w="58" w:type="dxa"/>
              <w:right w:w="58" w:type="dxa"/>
            </w:tcMar>
          </w:tcPr>
          <w:p w:rsidR="00185608" w:rsidRPr="00230BA2" w:rsidRDefault="00185608" w:rsidP="00230FAA">
            <w:pPr>
              <w:rPr>
                <w:color w:val="002060"/>
                <w:sz w:val="16"/>
              </w:rPr>
            </w:pPr>
            <w:r w:rsidRPr="00230BA2">
              <w:rPr>
                <w:i/>
                <w:color w:val="002060"/>
                <w:sz w:val="16"/>
                <w:szCs w:val="16"/>
              </w:rPr>
              <w:t>Referencia actualizada a fines de 2015:</w:t>
            </w:r>
          </w:p>
          <w:p w:rsidR="00185608" w:rsidRPr="00230BA2" w:rsidRDefault="00185608" w:rsidP="00230FAA">
            <w:pPr>
              <w:rPr>
                <w:color w:val="002060"/>
                <w:sz w:val="16"/>
                <w:szCs w:val="16"/>
              </w:rPr>
            </w:pPr>
            <w:r w:rsidRPr="00230BA2">
              <w:rPr>
                <w:color w:val="002060"/>
                <w:sz w:val="16"/>
                <w:szCs w:val="16"/>
              </w:rPr>
              <w:t>0</w:t>
            </w:r>
          </w:p>
          <w:p w:rsidR="00185608" w:rsidRPr="00A329A2" w:rsidRDefault="00185608" w:rsidP="00230FAA">
            <w:pPr>
              <w:rPr>
                <w:sz w:val="16"/>
                <w:szCs w:val="16"/>
              </w:rPr>
            </w:pPr>
          </w:p>
          <w:p w:rsidR="00185608" w:rsidRPr="00A329A2" w:rsidRDefault="00185608" w:rsidP="00230FAA">
            <w:pPr>
              <w:rPr>
                <w:i/>
                <w:sz w:val="16"/>
                <w:szCs w:val="16"/>
                <w:lang w:bidi="th-TH"/>
              </w:rPr>
            </w:pPr>
            <w:r w:rsidRPr="00A329A2">
              <w:rPr>
                <w:i/>
                <w:sz w:val="16"/>
                <w:szCs w:val="16"/>
                <w:lang w:val="es-ES_tradnl" w:bidi="th-TH"/>
              </w:rPr>
              <w:t>Referencia original en el presupuesto de 2016/17:</w:t>
            </w:r>
            <w:r w:rsidRPr="00A329A2">
              <w:rPr>
                <w:i/>
                <w:sz w:val="16"/>
                <w:szCs w:val="16"/>
                <w:lang w:bidi="th-TH"/>
              </w:rPr>
              <w:t xml:space="preserve">  </w:t>
            </w:r>
          </w:p>
          <w:p w:rsidR="00185608" w:rsidRPr="00A329A2" w:rsidRDefault="00185608" w:rsidP="00230FAA">
            <w:pPr>
              <w:spacing w:after="240"/>
              <w:rPr>
                <w:sz w:val="16"/>
                <w:szCs w:val="16"/>
              </w:rPr>
            </w:pPr>
            <w:r w:rsidRPr="00A329A2">
              <w:rPr>
                <w:sz w:val="16"/>
                <w:szCs w:val="16"/>
                <w:lang w:val="es-ES_tradnl"/>
              </w:rPr>
              <w:t>No se dispone de datos.</w:t>
            </w:r>
          </w:p>
        </w:tc>
        <w:tc>
          <w:tcPr>
            <w:tcW w:w="584" w:type="pct"/>
            <w:shd w:val="clear" w:color="auto" w:fill="auto"/>
            <w:tcMar>
              <w:top w:w="110" w:type="dxa"/>
              <w:left w:w="58" w:type="dxa"/>
              <w:right w:w="58" w:type="dxa"/>
            </w:tcMar>
          </w:tcPr>
          <w:p w:rsidR="00185608" w:rsidRPr="00A329A2" w:rsidRDefault="00185608" w:rsidP="00230FAA">
            <w:pPr>
              <w:rPr>
                <w:sz w:val="16"/>
                <w:szCs w:val="16"/>
              </w:rPr>
            </w:pPr>
            <w:r w:rsidRPr="00A329A2">
              <w:rPr>
                <w:sz w:val="16"/>
                <w:szCs w:val="16"/>
              </w:rPr>
              <w:t>5</w:t>
            </w:r>
          </w:p>
        </w:tc>
        <w:tc>
          <w:tcPr>
            <w:tcW w:w="1517" w:type="pct"/>
            <w:shd w:val="clear" w:color="auto" w:fill="FFFFFF"/>
            <w:tcMar>
              <w:top w:w="110" w:type="dxa"/>
              <w:left w:w="58" w:type="dxa"/>
              <w:right w:w="58" w:type="dxa"/>
            </w:tcMar>
          </w:tcPr>
          <w:p w:rsidR="00185608" w:rsidRPr="00A329A2" w:rsidRDefault="00185608" w:rsidP="00230FAA">
            <w:pPr>
              <w:keepNext/>
              <w:keepLines/>
              <w:rPr>
                <w:sz w:val="16"/>
                <w:szCs w:val="16"/>
              </w:rPr>
            </w:pPr>
            <w:r w:rsidRPr="00A329A2">
              <w:rPr>
                <w:sz w:val="16"/>
                <w:szCs w:val="16"/>
              </w:rPr>
              <w:t>En 2016, se concertaron 6 acuerdos/asociaciones de cooperación con China (2), Francia, Malasia, Marruecos, Nicaragua y Turquía en consonancia con la nueva visión de la Academia.</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B050"/>
                <w:sz w:val="16"/>
                <w:szCs w:val="16"/>
                <w:lang w:val="es-ES_tradnl"/>
              </w:rPr>
              <w:t>Avanza</w:t>
            </w:r>
          </w:p>
        </w:tc>
      </w:tr>
      <w:tr w:rsidR="00185608" w:rsidRPr="00A329A2" w:rsidTr="00230FAA">
        <w:trPr>
          <w:trHeight w:val="1000"/>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lang w:val="es-ES_tradnl"/>
              </w:rPr>
              <w:t>% de aumento del n.º de participantes que siguen los cursos de enseñanza a distancia (DL) de la Academia</w:t>
            </w:r>
          </w:p>
        </w:tc>
        <w:tc>
          <w:tcPr>
            <w:tcW w:w="1315" w:type="pct"/>
            <w:shd w:val="clear" w:color="auto" w:fill="auto"/>
            <w:tcMar>
              <w:left w:w="58" w:type="dxa"/>
              <w:right w:w="58" w:type="dxa"/>
            </w:tcMar>
          </w:tcPr>
          <w:p w:rsidR="00185608" w:rsidRPr="00230BA2" w:rsidRDefault="00185608" w:rsidP="00230FAA">
            <w:pPr>
              <w:rPr>
                <w:i/>
                <w:color w:val="002060"/>
                <w:sz w:val="16"/>
              </w:rPr>
            </w:pPr>
            <w:r w:rsidRPr="00230BA2">
              <w:rPr>
                <w:i/>
                <w:color w:val="002060"/>
                <w:sz w:val="16"/>
                <w:lang w:val="es-ES_tradnl"/>
              </w:rPr>
              <w:t>Referencia actualizada a fines de 2015:</w:t>
            </w:r>
            <w:r w:rsidRPr="00230BA2">
              <w:rPr>
                <w:i/>
                <w:color w:val="002060"/>
                <w:sz w:val="16"/>
              </w:rPr>
              <w:t xml:space="preserve">  </w:t>
            </w:r>
          </w:p>
          <w:p w:rsidR="00185608" w:rsidRPr="00230BA2" w:rsidRDefault="00185608" w:rsidP="00230FAA">
            <w:pPr>
              <w:rPr>
                <w:color w:val="002060"/>
                <w:sz w:val="16"/>
              </w:rPr>
            </w:pPr>
            <w:r w:rsidRPr="00230BA2">
              <w:rPr>
                <w:color w:val="002060"/>
                <w:sz w:val="16"/>
              </w:rPr>
              <w:t>78.551</w:t>
            </w:r>
            <w:r w:rsidRPr="00230BA2">
              <w:rPr>
                <w:color w:val="002060"/>
                <w:sz w:val="16"/>
                <w:szCs w:val="16"/>
              </w:rPr>
              <w:t xml:space="preserve">:  </w:t>
            </w:r>
          </w:p>
          <w:p w:rsidR="00185608" w:rsidRPr="00230BA2" w:rsidRDefault="00185608" w:rsidP="00230FAA">
            <w:pPr>
              <w:rPr>
                <w:color w:val="002060"/>
                <w:sz w:val="16"/>
                <w:szCs w:val="16"/>
              </w:rPr>
            </w:pPr>
            <w:r w:rsidRPr="00230BA2">
              <w:rPr>
                <w:color w:val="002060"/>
                <w:sz w:val="16"/>
                <w:szCs w:val="16"/>
              </w:rPr>
              <w:t>2015 (43.616)</w:t>
            </w:r>
          </w:p>
          <w:p w:rsidR="00185608" w:rsidRPr="00230BA2" w:rsidRDefault="00185608" w:rsidP="00230FAA">
            <w:pPr>
              <w:rPr>
                <w:color w:val="002060"/>
                <w:sz w:val="16"/>
                <w:szCs w:val="16"/>
              </w:rPr>
            </w:pPr>
            <w:r w:rsidRPr="00230BA2">
              <w:rPr>
                <w:color w:val="002060"/>
                <w:sz w:val="16"/>
                <w:szCs w:val="16"/>
              </w:rPr>
              <w:t>2014 (34.935)</w:t>
            </w:r>
          </w:p>
          <w:p w:rsidR="00185608" w:rsidRPr="00A329A2" w:rsidRDefault="00185608" w:rsidP="00230FAA">
            <w:pPr>
              <w:rPr>
                <w:sz w:val="16"/>
                <w:szCs w:val="16"/>
              </w:rPr>
            </w:pPr>
          </w:p>
          <w:p w:rsidR="00185608" w:rsidRPr="00A329A2" w:rsidRDefault="00185608" w:rsidP="00230FAA">
            <w:pPr>
              <w:rPr>
                <w:i/>
                <w:sz w:val="16"/>
                <w:szCs w:val="16"/>
                <w:lang w:bidi="th-TH"/>
              </w:rPr>
            </w:pPr>
            <w:r w:rsidRPr="00A329A2">
              <w:rPr>
                <w:i/>
                <w:sz w:val="16"/>
                <w:szCs w:val="16"/>
                <w:lang w:val="es-ES_tradnl" w:bidi="th-TH"/>
              </w:rPr>
              <w:t>Referencia original en el presupuesto de 2016/17:</w:t>
            </w:r>
            <w:r w:rsidRPr="00A329A2">
              <w:rPr>
                <w:i/>
                <w:sz w:val="16"/>
                <w:szCs w:val="16"/>
                <w:lang w:bidi="th-TH"/>
              </w:rPr>
              <w:t xml:space="preserve">  </w:t>
            </w:r>
          </w:p>
          <w:p w:rsidR="00185608" w:rsidRPr="00A329A2" w:rsidRDefault="00185608" w:rsidP="00230FAA">
            <w:pPr>
              <w:spacing w:after="240"/>
              <w:rPr>
                <w:sz w:val="16"/>
                <w:szCs w:val="16"/>
              </w:rPr>
            </w:pPr>
            <w:r w:rsidRPr="00A329A2">
              <w:rPr>
                <w:sz w:val="16"/>
                <w:szCs w:val="16"/>
              </w:rPr>
              <w:t>35.000 (</w:t>
            </w:r>
            <w:r w:rsidRPr="00A329A2">
              <w:rPr>
                <w:sz w:val="16"/>
              </w:rPr>
              <w:t>2014</w:t>
            </w:r>
            <w:r w:rsidRPr="00A329A2">
              <w:rPr>
                <w:sz w:val="16"/>
                <w:szCs w:val="16"/>
              </w:rPr>
              <w:t>)</w:t>
            </w:r>
            <w:r w:rsidRPr="00A329A2">
              <w:rPr>
                <w:rStyle w:val="FootnoteReference"/>
              </w:rPr>
              <w:footnoteReference w:id="55"/>
            </w:r>
            <w:r w:rsidRPr="00A329A2">
              <w:rPr>
                <w:sz w:val="16"/>
                <w:szCs w:val="16"/>
              </w:rPr>
              <w:t xml:space="preserve"> </w:t>
            </w:r>
          </w:p>
        </w:tc>
        <w:tc>
          <w:tcPr>
            <w:tcW w:w="584" w:type="pct"/>
            <w:shd w:val="clear" w:color="auto" w:fill="auto"/>
            <w:tcMar>
              <w:top w:w="110" w:type="dxa"/>
              <w:left w:w="58" w:type="dxa"/>
              <w:right w:w="58" w:type="dxa"/>
            </w:tcMar>
          </w:tcPr>
          <w:p w:rsidR="00185608" w:rsidRPr="00A329A2" w:rsidRDefault="00185608" w:rsidP="00230FAA">
            <w:pPr>
              <w:rPr>
                <w:sz w:val="16"/>
                <w:szCs w:val="16"/>
              </w:rPr>
            </w:pPr>
            <w:r w:rsidRPr="00A329A2">
              <w:rPr>
                <w:sz w:val="16"/>
                <w:szCs w:val="16"/>
              </w:rPr>
              <w:t>10%</w:t>
            </w:r>
          </w:p>
        </w:tc>
        <w:tc>
          <w:tcPr>
            <w:tcW w:w="1517" w:type="pct"/>
            <w:shd w:val="clear" w:color="auto" w:fill="FFFFFF"/>
            <w:tcMar>
              <w:top w:w="110" w:type="dxa"/>
              <w:left w:w="58" w:type="dxa"/>
              <w:right w:w="58" w:type="dxa"/>
            </w:tcMar>
          </w:tcPr>
          <w:p w:rsidR="00185608" w:rsidRPr="00A329A2" w:rsidRDefault="00185608" w:rsidP="00230FAA">
            <w:pPr>
              <w:keepNext/>
              <w:keepLines/>
              <w:rPr>
                <w:sz w:val="16"/>
                <w:szCs w:val="16"/>
              </w:rPr>
            </w:pPr>
            <w:r w:rsidRPr="00A329A2">
              <w:rPr>
                <w:sz w:val="16"/>
                <w:szCs w:val="16"/>
              </w:rPr>
              <w:t>25% (54.596) de aumento con respecto a 2015</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B050"/>
                <w:sz w:val="16"/>
                <w:szCs w:val="16"/>
                <w:lang w:val="es-ES_tradnl"/>
              </w:rPr>
              <w:t>Avanza</w:t>
            </w:r>
          </w:p>
        </w:tc>
      </w:tr>
      <w:tr w:rsidR="00185608" w:rsidRPr="00A329A2" w:rsidTr="00230FAA">
        <w:trPr>
          <w:trHeight w:val="817"/>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lang w:val="es-ES_tradnl"/>
              </w:rPr>
              <w:t>N.º de cursos de enseñanza a distancia que han sido analizados y actualizados</w:t>
            </w:r>
          </w:p>
        </w:tc>
        <w:tc>
          <w:tcPr>
            <w:tcW w:w="1315" w:type="pct"/>
            <w:shd w:val="clear" w:color="auto" w:fill="auto"/>
            <w:tcMar>
              <w:left w:w="58" w:type="dxa"/>
              <w:right w:w="58" w:type="dxa"/>
            </w:tcMar>
          </w:tcPr>
          <w:p w:rsidR="00185608" w:rsidRPr="00230BA2" w:rsidRDefault="00185608" w:rsidP="00230FAA">
            <w:pPr>
              <w:rPr>
                <w:i/>
                <w:color w:val="002060"/>
                <w:sz w:val="16"/>
              </w:rPr>
            </w:pPr>
            <w:r w:rsidRPr="00230BA2">
              <w:rPr>
                <w:i/>
                <w:color w:val="002060"/>
                <w:sz w:val="16"/>
                <w:lang w:val="es-ES_tradnl"/>
              </w:rPr>
              <w:t>Referencia actualizada a fines de 2015:</w:t>
            </w:r>
            <w:r w:rsidRPr="00230BA2">
              <w:rPr>
                <w:i/>
                <w:color w:val="002060"/>
                <w:sz w:val="16"/>
              </w:rPr>
              <w:t xml:space="preserve">  </w:t>
            </w:r>
          </w:p>
          <w:p w:rsidR="00185608" w:rsidRPr="00230BA2" w:rsidRDefault="00185608" w:rsidP="00230FAA">
            <w:pPr>
              <w:rPr>
                <w:color w:val="002060"/>
                <w:sz w:val="16"/>
                <w:szCs w:val="16"/>
              </w:rPr>
            </w:pPr>
            <w:r w:rsidRPr="00230BA2">
              <w:rPr>
                <w:color w:val="002060"/>
                <w:sz w:val="16"/>
                <w:szCs w:val="16"/>
              </w:rPr>
              <w:t>2</w:t>
            </w:r>
          </w:p>
          <w:p w:rsidR="00185608" w:rsidRPr="00A329A2" w:rsidRDefault="00185608" w:rsidP="00230FAA">
            <w:pPr>
              <w:rPr>
                <w:sz w:val="16"/>
                <w:szCs w:val="16"/>
              </w:rPr>
            </w:pPr>
          </w:p>
          <w:p w:rsidR="00185608" w:rsidRPr="00A329A2" w:rsidRDefault="00185608" w:rsidP="00230FAA">
            <w:pPr>
              <w:rPr>
                <w:i/>
                <w:sz w:val="16"/>
                <w:szCs w:val="16"/>
                <w:lang w:bidi="th-TH"/>
              </w:rPr>
            </w:pPr>
            <w:r w:rsidRPr="00A329A2">
              <w:rPr>
                <w:i/>
                <w:sz w:val="16"/>
                <w:szCs w:val="16"/>
                <w:lang w:val="es-ES_tradnl" w:bidi="th-TH"/>
              </w:rPr>
              <w:t>Referencia original en el presupuesto de 2016/17:</w:t>
            </w:r>
          </w:p>
          <w:p w:rsidR="00185608" w:rsidRPr="00A329A2" w:rsidRDefault="00185608" w:rsidP="00230FAA">
            <w:pPr>
              <w:spacing w:after="240"/>
              <w:rPr>
                <w:i/>
                <w:sz w:val="16"/>
                <w:szCs w:val="16"/>
                <w:lang w:bidi="th-TH"/>
              </w:rPr>
            </w:pPr>
            <w:r w:rsidRPr="00A329A2">
              <w:rPr>
                <w:sz w:val="16"/>
                <w:szCs w:val="16"/>
              </w:rPr>
              <w:t>0</w:t>
            </w:r>
          </w:p>
        </w:tc>
        <w:tc>
          <w:tcPr>
            <w:tcW w:w="584" w:type="pct"/>
            <w:shd w:val="clear" w:color="auto" w:fill="auto"/>
            <w:tcMar>
              <w:top w:w="110" w:type="dxa"/>
              <w:left w:w="58" w:type="dxa"/>
              <w:right w:w="58" w:type="dxa"/>
            </w:tcMar>
          </w:tcPr>
          <w:p w:rsidR="00185608" w:rsidRPr="00A329A2" w:rsidRDefault="00185608" w:rsidP="00230FAA">
            <w:pPr>
              <w:rPr>
                <w:sz w:val="16"/>
                <w:szCs w:val="16"/>
              </w:rPr>
            </w:pPr>
            <w:r w:rsidRPr="00A329A2">
              <w:rPr>
                <w:sz w:val="16"/>
                <w:szCs w:val="16"/>
              </w:rPr>
              <w:t>4</w:t>
            </w:r>
          </w:p>
        </w:tc>
        <w:tc>
          <w:tcPr>
            <w:tcW w:w="1517" w:type="pct"/>
            <w:shd w:val="clear" w:color="auto" w:fill="FFFFFF"/>
            <w:tcMar>
              <w:top w:w="110" w:type="dxa"/>
              <w:left w:w="58" w:type="dxa"/>
              <w:right w:w="58" w:type="dxa"/>
            </w:tcMar>
          </w:tcPr>
          <w:p w:rsidR="00185608" w:rsidRPr="00A329A2" w:rsidRDefault="00185608" w:rsidP="00230FAA">
            <w:pPr>
              <w:keepNext/>
              <w:keepLines/>
              <w:rPr>
                <w:sz w:val="16"/>
                <w:szCs w:val="16"/>
              </w:rPr>
            </w:pPr>
            <w:r w:rsidRPr="00A329A2">
              <w:rPr>
                <w:sz w:val="16"/>
                <w:szCs w:val="16"/>
              </w:rPr>
              <w:t>2 cursos adicionales en 2016:</w:t>
            </w:r>
          </w:p>
          <w:p w:rsidR="00185608" w:rsidRPr="00A329A2" w:rsidRDefault="00185608" w:rsidP="00185608">
            <w:pPr>
              <w:pStyle w:val="ListParagraph"/>
              <w:keepNext/>
              <w:keepLines/>
              <w:numPr>
                <w:ilvl w:val="0"/>
                <w:numId w:val="55"/>
              </w:numPr>
              <w:rPr>
                <w:sz w:val="16"/>
                <w:szCs w:val="16"/>
                <w:lang w:val="es-ES"/>
              </w:rPr>
            </w:pPr>
            <w:r w:rsidRPr="00A329A2">
              <w:rPr>
                <w:sz w:val="16"/>
                <w:szCs w:val="16"/>
                <w:lang w:val="es-ES"/>
              </w:rPr>
              <w:t>DL318: Búsquedas de información de patentes</w:t>
            </w:r>
          </w:p>
          <w:p w:rsidR="00185608" w:rsidRPr="00A329A2" w:rsidRDefault="00185608" w:rsidP="00185608">
            <w:pPr>
              <w:pStyle w:val="ListParagraph"/>
              <w:keepNext/>
              <w:keepLines/>
              <w:numPr>
                <w:ilvl w:val="0"/>
                <w:numId w:val="55"/>
              </w:numPr>
              <w:rPr>
                <w:sz w:val="16"/>
                <w:szCs w:val="16"/>
                <w:lang w:val="es-ES"/>
              </w:rPr>
            </w:pPr>
            <w:r w:rsidRPr="00A329A2">
              <w:rPr>
                <w:sz w:val="16"/>
                <w:szCs w:val="16"/>
                <w:lang w:val="es-ES"/>
              </w:rPr>
              <w:t>DL320: Aspectos fundamentales de la redacción de solicitudes de patente</w:t>
            </w:r>
            <w:r w:rsidRPr="00A329A2" w:rsidDel="00B638E5">
              <w:rPr>
                <w:sz w:val="16"/>
                <w:szCs w:val="16"/>
                <w:lang w:val="es-ES"/>
              </w:rPr>
              <w:t xml:space="preserve"> </w:t>
            </w:r>
          </w:p>
          <w:p w:rsidR="00185608" w:rsidRPr="00A329A2" w:rsidRDefault="00185608" w:rsidP="00230FAA">
            <w:pPr>
              <w:keepNext/>
              <w:keepLines/>
              <w:rPr>
                <w:sz w:val="16"/>
                <w:szCs w:val="16"/>
              </w:rPr>
            </w:pPr>
            <w:r w:rsidRPr="00A329A2">
              <w:rPr>
                <w:sz w:val="16"/>
                <w:szCs w:val="16"/>
              </w:rPr>
              <w:t>(4 cursos en total)</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B050"/>
                <w:sz w:val="16"/>
                <w:szCs w:val="16"/>
                <w:lang w:val="es-ES_tradnl"/>
              </w:rPr>
              <w:t>Avanza</w:t>
            </w:r>
          </w:p>
        </w:tc>
      </w:tr>
      <w:tr w:rsidR="00185608" w:rsidRPr="00A329A2" w:rsidTr="00230FAA">
        <w:trPr>
          <w:trHeight w:val="670"/>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lang w:val="es-ES_tradnl"/>
              </w:rPr>
              <w:lastRenderedPageBreak/>
              <w:t>N.º de academias nacionales creadas en el marco del proyecto que han pasado a ser sostenibles</w:t>
            </w:r>
            <w:r w:rsidRPr="00A329A2">
              <w:rPr>
                <w:rStyle w:val="FootnoteReference"/>
              </w:rPr>
              <w:footnoteReference w:id="56"/>
            </w:r>
          </w:p>
        </w:tc>
        <w:tc>
          <w:tcPr>
            <w:tcW w:w="1315" w:type="pct"/>
            <w:shd w:val="clear" w:color="auto" w:fill="auto"/>
            <w:tcMar>
              <w:left w:w="58" w:type="dxa"/>
              <w:right w:w="58" w:type="dxa"/>
            </w:tcMar>
          </w:tcPr>
          <w:p w:rsidR="00185608" w:rsidRPr="00A329A2" w:rsidRDefault="00185608" w:rsidP="00230FAA">
            <w:pPr>
              <w:rPr>
                <w:sz w:val="16"/>
                <w:szCs w:val="16"/>
              </w:rPr>
            </w:pPr>
            <w:r w:rsidRPr="00A329A2">
              <w:rPr>
                <w:sz w:val="16"/>
              </w:rPr>
              <w:t xml:space="preserve">0 </w:t>
            </w:r>
          </w:p>
        </w:tc>
        <w:tc>
          <w:tcPr>
            <w:tcW w:w="584" w:type="pct"/>
            <w:shd w:val="clear" w:color="auto" w:fill="auto"/>
            <w:tcMar>
              <w:top w:w="110" w:type="dxa"/>
              <w:left w:w="58" w:type="dxa"/>
              <w:right w:w="58" w:type="dxa"/>
            </w:tcMar>
          </w:tcPr>
          <w:p w:rsidR="00185608" w:rsidRPr="00A329A2" w:rsidRDefault="00185608" w:rsidP="00230FAA">
            <w:pPr>
              <w:rPr>
                <w:sz w:val="16"/>
                <w:szCs w:val="16"/>
              </w:rPr>
            </w:pPr>
            <w:r w:rsidRPr="00A329A2">
              <w:rPr>
                <w:sz w:val="16"/>
                <w:szCs w:val="16"/>
              </w:rPr>
              <w:t>4</w:t>
            </w:r>
          </w:p>
        </w:tc>
        <w:tc>
          <w:tcPr>
            <w:tcW w:w="1517" w:type="pct"/>
            <w:shd w:val="clear" w:color="auto" w:fill="FFFFFF"/>
            <w:tcMar>
              <w:top w:w="110" w:type="dxa"/>
              <w:left w:w="58" w:type="dxa"/>
              <w:right w:w="58" w:type="dxa"/>
            </w:tcMar>
          </w:tcPr>
          <w:p w:rsidR="00185608" w:rsidRPr="00A329A2" w:rsidRDefault="00185608" w:rsidP="00230FAA">
            <w:pPr>
              <w:keepNext/>
              <w:keepLines/>
              <w:rPr>
                <w:sz w:val="16"/>
                <w:szCs w:val="16"/>
              </w:rPr>
            </w:pPr>
            <w:r w:rsidRPr="00A329A2">
              <w:rPr>
                <w:sz w:val="16"/>
                <w:szCs w:val="16"/>
              </w:rPr>
              <w:t>La recopilación de datos se hará en 2017</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70C0"/>
                <w:sz w:val="16"/>
                <w:szCs w:val="16"/>
                <w:lang w:val="es-ES_tradnl"/>
              </w:rPr>
              <w:t>No disponible para 2016</w:t>
            </w:r>
          </w:p>
        </w:tc>
      </w:tr>
      <w:tr w:rsidR="00185608" w:rsidRPr="00A329A2" w:rsidTr="00230FAA">
        <w:trPr>
          <w:trHeight w:val="922"/>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lang w:val="es-ES_tradnl"/>
              </w:rPr>
              <w:t>Cursos y programas de P.I. nuevos y perfeccionados en instituciones docentes</w:t>
            </w:r>
          </w:p>
        </w:tc>
        <w:tc>
          <w:tcPr>
            <w:tcW w:w="1315" w:type="pct"/>
            <w:shd w:val="clear" w:color="auto" w:fill="auto"/>
            <w:tcMar>
              <w:left w:w="58" w:type="dxa"/>
              <w:right w:w="58" w:type="dxa"/>
            </w:tcMar>
          </w:tcPr>
          <w:p w:rsidR="00185608" w:rsidRPr="00230BA2" w:rsidRDefault="00185608" w:rsidP="00230FAA">
            <w:pPr>
              <w:rPr>
                <w:i/>
                <w:color w:val="002060"/>
                <w:sz w:val="16"/>
              </w:rPr>
            </w:pPr>
            <w:r w:rsidRPr="00230BA2">
              <w:rPr>
                <w:i/>
                <w:color w:val="002060"/>
                <w:sz w:val="16"/>
                <w:lang w:val="es-ES_tradnl"/>
              </w:rPr>
              <w:t>Referencia actualizada a fines de 2015:</w:t>
            </w:r>
            <w:r w:rsidRPr="00230BA2">
              <w:rPr>
                <w:i/>
                <w:color w:val="002060"/>
                <w:sz w:val="16"/>
              </w:rPr>
              <w:t xml:space="preserve">  </w:t>
            </w:r>
          </w:p>
          <w:p w:rsidR="00185608" w:rsidRPr="00230BA2" w:rsidRDefault="00185608" w:rsidP="00230FAA">
            <w:pPr>
              <w:rPr>
                <w:color w:val="002060"/>
                <w:sz w:val="16"/>
                <w:szCs w:val="16"/>
              </w:rPr>
            </w:pPr>
            <w:r w:rsidRPr="00230BA2">
              <w:rPr>
                <w:color w:val="002060"/>
                <w:sz w:val="16"/>
                <w:szCs w:val="16"/>
              </w:rPr>
              <w:t>3 nuevos programas de enseñanza</w:t>
            </w:r>
          </w:p>
          <w:p w:rsidR="00185608" w:rsidRPr="00230BA2" w:rsidRDefault="00185608" w:rsidP="00230FAA">
            <w:pPr>
              <w:rPr>
                <w:color w:val="002060"/>
                <w:sz w:val="16"/>
                <w:szCs w:val="16"/>
              </w:rPr>
            </w:pPr>
            <w:r w:rsidRPr="00230BA2">
              <w:rPr>
                <w:color w:val="002060"/>
                <w:sz w:val="16"/>
                <w:szCs w:val="16"/>
              </w:rPr>
              <w:t>5 universidades introdujeron mejoras en programas de enseñanza de la P.I. ya establecidos (en 2014/15)</w:t>
            </w:r>
          </w:p>
          <w:p w:rsidR="00185608" w:rsidRPr="00A329A2" w:rsidRDefault="00185608" w:rsidP="00230FAA">
            <w:pPr>
              <w:rPr>
                <w:sz w:val="16"/>
                <w:szCs w:val="16"/>
              </w:rPr>
            </w:pPr>
          </w:p>
          <w:p w:rsidR="00185608" w:rsidRPr="00A329A2" w:rsidRDefault="00185608" w:rsidP="00230FAA">
            <w:pPr>
              <w:rPr>
                <w:i/>
                <w:sz w:val="16"/>
                <w:szCs w:val="16"/>
                <w:lang w:bidi="th-TH"/>
              </w:rPr>
            </w:pPr>
            <w:r w:rsidRPr="00A329A2">
              <w:rPr>
                <w:i/>
                <w:sz w:val="16"/>
                <w:szCs w:val="16"/>
                <w:lang w:val="es-ES_tradnl" w:bidi="th-TH"/>
              </w:rPr>
              <w:t>Referencia original en el presupuesto de 2016/17:</w:t>
            </w:r>
          </w:p>
          <w:p w:rsidR="00185608" w:rsidRPr="00A329A2" w:rsidRDefault="00185608" w:rsidP="00230FAA">
            <w:pPr>
              <w:spacing w:after="240"/>
              <w:rPr>
                <w:sz w:val="16"/>
                <w:szCs w:val="16"/>
              </w:rPr>
            </w:pPr>
            <w:r w:rsidRPr="00A329A2">
              <w:rPr>
                <w:sz w:val="16"/>
                <w:szCs w:val="16"/>
              </w:rPr>
              <w:t>5</w:t>
            </w:r>
          </w:p>
        </w:tc>
        <w:tc>
          <w:tcPr>
            <w:tcW w:w="584" w:type="pct"/>
            <w:shd w:val="clear" w:color="auto" w:fill="auto"/>
            <w:tcMar>
              <w:top w:w="110" w:type="dxa"/>
              <w:left w:w="58" w:type="dxa"/>
              <w:right w:w="58" w:type="dxa"/>
            </w:tcMar>
          </w:tcPr>
          <w:p w:rsidR="00185608" w:rsidRPr="00A329A2" w:rsidRDefault="00185608" w:rsidP="00230FAA">
            <w:pPr>
              <w:rPr>
                <w:sz w:val="16"/>
                <w:szCs w:val="16"/>
              </w:rPr>
            </w:pPr>
            <w:r w:rsidRPr="00A329A2">
              <w:rPr>
                <w:sz w:val="16"/>
                <w:szCs w:val="16"/>
                <w:lang w:val="es-ES_tradnl"/>
              </w:rPr>
              <w:t>Aumento del 20%</w:t>
            </w:r>
          </w:p>
        </w:tc>
        <w:tc>
          <w:tcPr>
            <w:tcW w:w="1517" w:type="pct"/>
            <w:shd w:val="clear" w:color="auto" w:fill="FFFFFF"/>
            <w:tcMar>
              <w:top w:w="110" w:type="dxa"/>
              <w:left w:w="58" w:type="dxa"/>
              <w:right w:w="58" w:type="dxa"/>
            </w:tcMar>
          </w:tcPr>
          <w:p w:rsidR="00185608" w:rsidRPr="00A329A2" w:rsidRDefault="00185608" w:rsidP="00230FAA">
            <w:pPr>
              <w:keepNext/>
              <w:rPr>
                <w:sz w:val="16"/>
                <w:szCs w:val="16"/>
              </w:rPr>
            </w:pPr>
            <w:r w:rsidRPr="00A329A2">
              <w:rPr>
                <w:sz w:val="16"/>
                <w:szCs w:val="16"/>
              </w:rPr>
              <w:t>3 universidades instauraron nuevos programas de enseñanza:</w:t>
            </w:r>
          </w:p>
          <w:p w:rsidR="00185608" w:rsidRPr="00A329A2" w:rsidRDefault="00185608" w:rsidP="00185608">
            <w:pPr>
              <w:pStyle w:val="ListParagraph"/>
              <w:keepNext/>
              <w:numPr>
                <w:ilvl w:val="0"/>
                <w:numId w:val="56"/>
              </w:numPr>
              <w:rPr>
                <w:sz w:val="16"/>
                <w:szCs w:val="16"/>
                <w:lang w:val="es-ES"/>
              </w:rPr>
            </w:pPr>
            <w:r w:rsidRPr="00A329A2">
              <w:rPr>
                <w:sz w:val="16"/>
                <w:szCs w:val="16"/>
                <w:lang w:val="es-ES"/>
              </w:rPr>
              <w:t>La Universidad de Ankara con la Oficina Turca de Patentes y Marcas (Turquía)</w:t>
            </w:r>
          </w:p>
          <w:p w:rsidR="00185608" w:rsidRPr="00A329A2" w:rsidRDefault="00185608" w:rsidP="00185608">
            <w:pPr>
              <w:pStyle w:val="ListParagraph"/>
              <w:keepNext/>
              <w:numPr>
                <w:ilvl w:val="0"/>
                <w:numId w:val="56"/>
              </w:numPr>
              <w:rPr>
                <w:sz w:val="16"/>
                <w:szCs w:val="16"/>
              </w:rPr>
            </w:pPr>
            <w:r w:rsidRPr="00A329A2">
              <w:rPr>
                <w:sz w:val="16"/>
                <w:szCs w:val="16"/>
                <w:lang w:val="es-ES"/>
              </w:rPr>
              <w:t xml:space="preserve">La </w:t>
            </w:r>
            <w:r w:rsidRPr="00A329A2">
              <w:rPr>
                <w:sz w:val="16"/>
                <w:szCs w:val="16"/>
              </w:rPr>
              <w:t>Universidad Tongji (China)</w:t>
            </w:r>
          </w:p>
          <w:p w:rsidR="00185608" w:rsidRPr="00A329A2" w:rsidRDefault="00185608" w:rsidP="00185608">
            <w:pPr>
              <w:pStyle w:val="ListParagraph"/>
              <w:keepNext/>
              <w:numPr>
                <w:ilvl w:val="0"/>
                <w:numId w:val="56"/>
              </w:numPr>
              <w:rPr>
                <w:sz w:val="16"/>
                <w:szCs w:val="16"/>
              </w:rPr>
            </w:pPr>
            <w:r w:rsidRPr="00A329A2">
              <w:rPr>
                <w:i/>
                <w:sz w:val="16"/>
                <w:szCs w:val="16"/>
              </w:rPr>
              <w:t>La University of the West Indies</w:t>
            </w:r>
            <w:r w:rsidRPr="00A329A2">
              <w:rPr>
                <w:sz w:val="16"/>
                <w:szCs w:val="16"/>
              </w:rPr>
              <w:t xml:space="preserve">, Mona Campus (Jamaica) </w:t>
            </w:r>
          </w:p>
          <w:p w:rsidR="00185608" w:rsidRPr="00A329A2" w:rsidRDefault="00185608" w:rsidP="00230FAA">
            <w:pPr>
              <w:pStyle w:val="ListParagraph"/>
              <w:keepNext/>
              <w:ind w:left="360"/>
              <w:rPr>
                <w:sz w:val="16"/>
                <w:szCs w:val="16"/>
              </w:rPr>
            </w:pPr>
          </w:p>
          <w:p w:rsidR="00185608" w:rsidRPr="00A329A2" w:rsidRDefault="00185608" w:rsidP="00230FAA">
            <w:pPr>
              <w:keepNext/>
              <w:rPr>
                <w:sz w:val="16"/>
                <w:szCs w:val="16"/>
              </w:rPr>
            </w:pPr>
            <w:r w:rsidRPr="00A329A2">
              <w:rPr>
                <w:sz w:val="16"/>
                <w:szCs w:val="16"/>
              </w:rPr>
              <w:t>2 universidades introdujeron mejoras en los programas de enseñanza ya establecidos:</w:t>
            </w:r>
          </w:p>
          <w:p w:rsidR="00185608" w:rsidRPr="00A329A2" w:rsidRDefault="00185608" w:rsidP="00185608">
            <w:pPr>
              <w:pStyle w:val="ListParagraph"/>
              <w:keepNext/>
              <w:numPr>
                <w:ilvl w:val="0"/>
                <w:numId w:val="56"/>
              </w:numPr>
              <w:rPr>
                <w:sz w:val="16"/>
                <w:szCs w:val="16"/>
                <w:lang w:val="es-ES"/>
              </w:rPr>
            </w:pPr>
            <w:r w:rsidRPr="00A329A2">
              <w:rPr>
                <w:sz w:val="16"/>
                <w:szCs w:val="16"/>
                <w:lang w:val="es-ES"/>
              </w:rPr>
              <w:t>El Consejo Nicaragüense de Ciencia y Tecnología (CONICYT) y la Universidad Martín Lutero (Nicaragua)</w:t>
            </w:r>
            <w:r w:rsidRPr="00A329A2">
              <w:rPr>
                <w:lang w:val="es-ES"/>
              </w:rPr>
              <w:t xml:space="preserve"> </w:t>
            </w:r>
          </w:p>
          <w:p w:rsidR="00185608" w:rsidRPr="00A329A2" w:rsidRDefault="00185608" w:rsidP="00185608">
            <w:pPr>
              <w:pStyle w:val="ListParagraph"/>
              <w:keepNext/>
              <w:numPr>
                <w:ilvl w:val="0"/>
                <w:numId w:val="56"/>
              </w:numPr>
              <w:rPr>
                <w:sz w:val="16"/>
                <w:szCs w:val="16"/>
              </w:rPr>
            </w:pPr>
            <w:r w:rsidRPr="00A329A2">
              <w:rPr>
                <w:sz w:val="16"/>
                <w:szCs w:val="16"/>
              </w:rPr>
              <w:t>La</w:t>
            </w:r>
            <w:r w:rsidRPr="00A329A2">
              <w:rPr>
                <w:i/>
                <w:sz w:val="16"/>
                <w:szCs w:val="16"/>
              </w:rPr>
              <w:t xml:space="preserve"> University of the West Indies, Cave Hill</w:t>
            </w:r>
            <w:r w:rsidRPr="00A329A2">
              <w:rPr>
                <w:sz w:val="16"/>
                <w:szCs w:val="16"/>
              </w:rPr>
              <w:t xml:space="preserve"> (Barbados)</w:t>
            </w:r>
          </w:p>
          <w:p w:rsidR="00185608" w:rsidRPr="00A329A2" w:rsidRDefault="00185608" w:rsidP="00230FAA">
            <w:pPr>
              <w:ind w:left="360"/>
            </w:pPr>
            <w:r w:rsidRPr="00A329A2">
              <w:rPr>
                <w:sz w:val="16"/>
                <w:szCs w:val="16"/>
              </w:rPr>
              <w:t>(2016)</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B050"/>
                <w:sz w:val="16"/>
                <w:szCs w:val="16"/>
                <w:lang w:val="es-ES_tradnl"/>
              </w:rPr>
              <w:t>Avanza</w:t>
            </w:r>
            <w:r w:rsidRPr="00A329A2">
              <w:rPr>
                <w:b/>
                <w:sz w:val="16"/>
                <w:szCs w:val="16"/>
              </w:rPr>
              <w:t xml:space="preserve"> </w:t>
            </w:r>
          </w:p>
        </w:tc>
      </w:tr>
      <w:tr w:rsidR="00185608" w:rsidRPr="00A329A2" w:rsidTr="00230FAA">
        <w:trPr>
          <w:trHeight w:val="1036"/>
        </w:trPr>
        <w:tc>
          <w:tcPr>
            <w:tcW w:w="1072" w:type="pct"/>
            <w:shd w:val="clear" w:color="auto" w:fill="auto"/>
            <w:tcMar>
              <w:left w:w="58" w:type="dxa"/>
              <w:right w:w="58" w:type="dxa"/>
            </w:tcMar>
          </w:tcPr>
          <w:p w:rsidR="00185608" w:rsidRPr="00A329A2" w:rsidRDefault="00185608" w:rsidP="00230FAA">
            <w:pPr>
              <w:rPr>
                <w:sz w:val="16"/>
                <w:szCs w:val="16"/>
              </w:rPr>
            </w:pPr>
            <w:r w:rsidRPr="00A329A2">
              <w:rPr>
                <w:sz w:val="16"/>
                <w:szCs w:val="16"/>
                <w:lang w:val="es-ES_tradnl"/>
              </w:rPr>
              <w:t>Distribución geográfica más equilibrada en los cursos de verano</w:t>
            </w:r>
          </w:p>
        </w:tc>
        <w:tc>
          <w:tcPr>
            <w:tcW w:w="1315" w:type="pct"/>
            <w:shd w:val="clear" w:color="auto" w:fill="auto"/>
            <w:tcMar>
              <w:left w:w="58" w:type="dxa"/>
              <w:right w:w="58" w:type="dxa"/>
            </w:tcMar>
          </w:tcPr>
          <w:p w:rsidR="00185608" w:rsidRPr="00230BA2" w:rsidRDefault="00185608" w:rsidP="00230FAA">
            <w:pPr>
              <w:rPr>
                <w:color w:val="002060"/>
                <w:sz w:val="16"/>
                <w:szCs w:val="16"/>
              </w:rPr>
            </w:pPr>
            <w:r w:rsidRPr="00230BA2">
              <w:rPr>
                <w:i/>
                <w:color w:val="002060"/>
                <w:sz w:val="16"/>
                <w:lang w:val="es-ES_tradnl"/>
              </w:rPr>
              <w:t>Referencia actualizada a fines de 2015:</w:t>
            </w:r>
            <w:r w:rsidRPr="00230BA2">
              <w:rPr>
                <w:i/>
                <w:color w:val="002060"/>
                <w:sz w:val="16"/>
              </w:rPr>
              <w:t xml:space="preserve">  </w:t>
            </w:r>
            <w:r w:rsidRPr="00230BA2">
              <w:rPr>
                <w:color w:val="002060"/>
                <w:sz w:val="16"/>
                <w:szCs w:val="16"/>
              </w:rPr>
              <w:t xml:space="preserve">7 regiones:  </w:t>
            </w:r>
          </w:p>
          <w:p w:rsidR="00185608" w:rsidRPr="00230BA2" w:rsidRDefault="00185608" w:rsidP="00230FAA">
            <w:pPr>
              <w:rPr>
                <w:color w:val="002060"/>
                <w:sz w:val="16"/>
                <w:szCs w:val="16"/>
              </w:rPr>
            </w:pPr>
            <w:r w:rsidRPr="00230BA2">
              <w:rPr>
                <w:color w:val="002060"/>
                <w:sz w:val="16"/>
                <w:szCs w:val="16"/>
              </w:rPr>
              <w:t>África, América Latina, Asia, China, Europa Central y Oriental, Europa Occidental, Norteamérica</w:t>
            </w:r>
          </w:p>
          <w:p w:rsidR="00185608" w:rsidRPr="00A329A2" w:rsidRDefault="00185608" w:rsidP="00230FAA">
            <w:pPr>
              <w:rPr>
                <w:sz w:val="16"/>
                <w:szCs w:val="16"/>
              </w:rPr>
            </w:pPr>
          </w:p>
          <w:p w:rsidR="00185608" w:rsidRPr="00A329A2" w:rsidRDefault="00185608" w:rsidP="00230FAA">
            <w:pPr>
              <w:rPr>
                <w:i/>
                <w:sz w:val="16"/>
                <w:szCs w:val="16"/>
                <w:lang w:bidi="th-TH"/>
              </w:rPr>
            </w:pPr>
            <w:r w:rsidRPr="00A329A2">
              <w:rPr>
                <w:i/>
                <w:sz w:val="16"/>
                <w:szCs w:val="16"/>
                <w:lang w:val="es-ES_tradnl"/>
              </w:rPr>
              <w:t xml:space="preserve">Referencia original en el presupuesto de 2016/17:  </w:t>
            </w:r>
            <w:r w:rsidRPr="00A329A2">
              <w:rPr>
                <w:sz w:val="16"/>
                <w:szCs w:val="16"/>
                <w:lang w:val="es-ES_tradnl"/>
              </w:rPr>
              <w:t>6 regiones</w:t>
            </w:r>
            <w:r w:rsidRPr="00A329A2">
              <w:rPr>
                <w:sz w:val="16"/>
                <w:szCs w:val="16"/>
              </w:rPr>
              <w:t xml:space="preserve"> </w:t>
            </w:r>
          </w:p>
        </w:tc>
        <w:tc>
          <w:tcPr>
            <w:tcW w:w="584" w:type="pct"/>
            <w:shd w:val="clear" w:color="auto" w:fill="auto"/>
            <w:tcMar>
              <w:top w:w="110" w:type="dxa"/>
              <w:left w:w="58" w:type="dxa"/>
              <w:right w:w="58" w:type="dxa"/>
            </w:tcMar>
          </w:tcPr>
          <w:p w:rsidR="00185608" w:rsidRPr="00560254" w:rsidRDefault="00185608" w:rsidP="00230FAA">
            <w:pPr>
              <w:rPr>
                <w:i/>
                <w:color w:val="002060"/>
                <w:sz w:val="16"/>
              </w:rPr>
            </w:pPr>
            <w:r w:rsidRPr="00560254">
              <w:rPr>
                <w:i/>
                <w:color w:val="002060"/>
                <w:sz w:val="16"/>
              </w:rPr>
              <w:t>Objetivo actualizado:</w:t>
            </w:r>
          </w:p>
          <w:p w:rsidR="00185608" w:rsidRPr="00560254" w:rsidRDefault="00185608" w:rsidP="00230FAA">
            <w:pPr>
              <w:rPr>
                <w:color w:val="002060"/>
                <w:sz w:val="16"/>
              </w:rPr>
            </w:pPr>
            <w:r w:rsidRPr="00560254">
              <w:rPr>
                <w:color w:val="002060"/>
                <w:sz w:val="16"/>
              </w:rPr>
              <w:t>Mantener 7 regiones</w:t>
            </w:r>
          </w:p>
          <w:p w:rsidR="00185608" w:rsidRPr="00A329A2" w:rsidRDefault="00185608" w:rsidP="00230FAA">
            <w:pPr>
              <w:keepNext/>
              <w:keepLines/>
              <w:rPr>
                <w:sz w:val="16"/>
                <w:szCs w:val="16"/>
              </w:rPr>
            </w:pPr>
          </w:p>
          <w:p w:rsidR="00185608" w:rsidRPr="00A329A2" w:rsidRDefault="00185608" w:rsidP="00230FAA">
            <w:pPr>
              <w:rPr>
                <w:i/>
                <w:sz w:val="16"/>
                <w:szCs w:val="16"/>
                <w:lang w:bidi="th-TH"/>
              </w:rPr>
            </w:pPr>
            <w:r w:rsidRPr="00A329A2">
              <w:rPr>
                <w:i/>
                <w:sz w:val="16"/>
                <w:szCs w:val="16"/>
                <w:lang w:val="es-ES_tradnl" w:bidi="th-TH"/>
              </w:rPr>
              <w:t>Objetivo original en el presupuesto de 2016/17:</w:t>
            </w:r>
          </w:p>
          <w:p w:rsidR="00185608" w:rsidRPr="00A329A2" w:rsidRDefault="00185608" w:rsidP="00230FAA">
            <w:pPr>
              <w:keepNext/>
              <w:keepLines/>
              <w:rPr>
                <w:sz w:val="16"/>
                <w:szCs w:val="16"/>
              </w:rPr>
            </w:pPr>
            <w:r w:rsidRPr="00A329A2">
              <w:rPr>
                <w:sz w:val="16"/>
                <w:szCs w:val="16"/>
                <w:lang w:val="es-ES_tradnl"/>
              </w:rPr>
              <w:t>7 regiones</w:t>
            </w:r>
          </w:p>
        </w:tc>
        <w:tc>
          <w:tcPr>
            <w:tcW w:w="1517" w:type="pct"/>
            <w:shd w:val="clear" w:color="auto" w:fill="FFFFFF"/>
            <w:tcMar>
              <w:top w:w="110" w:type="dxa"/>
              <w:left w:w="58" w:type="dxa"/>
              <w:right w:w="58" w:type="dxa"/>
            </w:tcMar>
          </w:tcPr>
          <w:p w:rsidR="00185608" w:rsidRPr="00A329A2" w:rsidRDefault="00185608" w:rsidP="00230FAA">
            <w:pPr>
              <w:keepNext/>
              <w:keepLines/>
              <w:rPr>
                <w:sz w:val="16"/>
                <w:szCs w:val="16"/>
              </w:rPr>
            </w:pPr>
            <w:r w:rsidRPr="00A329A2">
              <w:rPr>
                <w:sz w:val="16"/>
                <w:szCs w:val="16"/>
              </w:rPr>
              <w:t>Se mantiene objetivo de 7 regiones</w:t>
            </w:r>
          </w:p>
        </w:tc>
        <w:tc>
          <w:tcPr>
            <w:tcW w:w="512" w:type="pct"/>
            <w:shd w:val="clear" w:color="auto" w:fill="auto"/>
            <w:tcMar>
              <w:top w:w="110" w:type="dxa"/>
              <w:left w:w="58" w:type="dxa"/>
              <w:right w:w="58" w:type="dxa"/>
            </w:tcMar>
          </w:tcPr>
          <w:p w:rsidR="00185608" w:rsidRPr="00A329A2" w:rsidRDefault="00185608" w:rsidP="00230FAA">
            <w:pPr>
              <w:keepNext/>
              <w:keepLines/>
              <w:jc w:val="center"/>
              <w:rPr>
                <w:b/>
                <w:sz w:val="16"/>
                <w:szCs w:val="16"/>
              </w:rPr>
            </w:pPr>
            <w:r w:rsidRPr="00A329A2">
              <w:rPr>
                <w:b/>
                <w:color w:val="00B050"/>
                <w:sz w:val="16"/>
                <w:szCs w:val="16"/>
                <w:lang w:val="es-ES_tradnl"/>
              </w:rPr>
              <w:t>Avanza</w:t>
            </w:r>
          </w:p>
        </w:tc>
      </w:tr>
    </w:tbl>
    <w:p w:rsidR="00185608" w:rsidRPr="00A329A2" w:rsidRDefault="00185608" w:rsidP="00230FAA">
      <w:pPr>
        <w:rPr>
          <w:sz w:val="20"/>
        </w:rPr>
      </w:pPr>
    </w:p>
    <w:p w:rsidR="00185608" w:rsidRPr="00A329A2" w:rsidRDefault="00185608">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185608" w:rsidRPr="00A329A2" w:rsidTr="00230FAA">
        <w:trPr>
          <w:trHeight w:val="423"/>
          <w:jc w:val="center"/>
        </w:trPr>
        <w:tc>
          <w:tcPr>
            <w:tcW w:w="9571" w:type="dxa"/>
            <w:shd w:val="clear" w:color="auto" w:fill="C6D9F1" w:themeFill="text2" w:themeFillTint="33"/>
            <w:vAlign w:val="center"/>
          </w:tcPr>
          <w:p w:rsidR="00185608" w:rsidRPr="00A329A2" w:rsidRDefault="00185608" w:rsidP="00230FAA">
            <w:pPr>
              <w:keepNext/>
              <w:keepLines/>
              <w:jc w:val="center"/>
              <w:rPr>
                <w:b/>
                <w:sz w:val="20"/>
              </w:rPr>
            </w:pPr>
            <w:r w:rsidRPr="00A329A2">
              <w:rPr>
                <w:b/>
                <w:sz w:val="20"/>
              </w:rPr>
              <w:br w:type="page"/>
            </w:r>
            <w:r w:rsidRPr="00A329A2">
              <w:rPr>
                <w:b/>
                <w:sz w:val="20"/>
                <w:lang w:val="es-ES_tradnl"/>
              </w:rPr>
              <w:t>Utilización de los recursos del programa 11</w:t>
            </w:r>
          </w:p>
        </w:tc>
      </w:tr>
    </w:tbl>
    <w:p w:rsidR="00185608" w:rsidRPr="00A329A2" w:rsidRDefault="00185608" w:rsidP="00230FAA">
      <w:pPr>
        <w:rPr>
          <w:sz w:val="20"/>
        </w:rPr>
      </w:pPr>
    </w:p>
    <w:p w:rsidR="00185608" w:rsidRPr="00A329A2" w:rsidRDefault="00185608" w:rsidP="00230FAA">
      <w:pPr>
        <w:pStyle w:val="NormalWeb"/>
        <w:keepNext/>
        <w:keepLines/>
        <w:spacing w:before="0" w:beforeAutospacing="0" w:after="0" w:afterAutospacing="0"/>
        <w:jc w:val="center"/>
        <w:rPr>
          <w:lang w:val="es-ES"/>
        </w:rPr>
      </w:pPr>
      <w:r w:rsidRPr="00A329A2">
        <w:rPr>
          <w:lang w:val="es-ES_tradnl"/>
        </w:rPr>
        <w:t>Presupuesto y gastos reales (por resultado)</w:t>
      </w:r>
    </w:p>
    <w:p w:rsidR="00185608" w:rsidRPr="00A329A2" w:rsidRDefault="00185608" w:rsidP="00230FAA">
      <w:pPr>
        <w:pStyle w:val="NormalWeb"/>
        <w:keepNext/>
        <w:keepLines/>
        <w:spacing w:before="0" w:beforeAutospacing="0" w:after="0" w:afterAutospacing="0"/>
        <w:jc w:val="center"/>
        <w:rPr>
          <w:i/>
          <w:iCs/>
          <w:sz w:val="16"/>
          <w:szCs w:val="16"/>
          <w:lang w:val="es-ES"/>
        </w:rPr>
      </w:pPr>
      <w:r w:rsidRPr="00A329A2">
        <w:rPr>
          <w:i/>
          <w:iCs/>
          <w:sz w:val="16"/>
          <w:szCs w:val="16"/>
          <w:lang w:val="es-ES_tradnl"/>
        </w:rPr>
        <w:t>(en miles de francos suizos)</w:t>
      </w:r>
    </w:p>
    <w:p w:rsidR="00185608" w:rsidRPr="00A329A2" w:rsidRDefault="00185608" w:rsidP="00230FAA">
      <w:pPr>
        <w:rPr>
          <w:sz w:val="20"/>
        </w:rPr>
      </w:pPr>
    </w:p>
    <w:tbl>
      <w:tblPr>
        <w:tblW w:w="8222" w:type="dxa"/>
        <w:jc w:val="center"/>
        <w:tblLook w:val="04A0" w:firstRow="1" w:lastRow="0" w:firstColumn="1" w:lastColumn="0" w:noHBand="0" w:noVBand="1"/>
      </w:tblPr>
      <w:tblGrid>
        <w:gridCol w:w="483"/>
        <w:gridCol w:w="4237"/>
        <w:gridCol w:w="1186"/>
        <w:gridCol w:w="1310"/>
        <w:gridCol w:w="1171"/>
      </w:tblGrid>
      <w:tr w:rsidR="00185608" w:rsidRPr="00A329A2" w:rsidTr="00230FAA">
        <w:trPr>
          <w:trHeight w:val="825"/>
          <w:jc w:val="center"/>
        </w:trPr>
        <w:tc>
          <w:tcPr>
            <w:tcW w:w="4714" w:type="dxa"/>
            <w:gridSpan w:val="2"/>
            <w:tcBorders>
              <w:top w:val="nil"/>
              <w:left w:val="nil"/>
              <w:bottom w:val="nil"/>
              <w:right w:val="nil"/>
            </w:tcBorders>
            <w:shd w:val="clear" w:color="000000" w:fill="C5D9F1"/>
            <w:noWrap/>
            <w:vAlign w:val="center"/>
            <w:hideMark/>
          </w:tcPr>
          <w:p w:rsidR="00185608" w:rsidRPr="00A329A2" w:rsidRDefault="00185608" w:rsidP="00230FAA">
            <w:pPr>
              <w:jc w:val="center"/>
              <w:rPr>
                <w:b/>
                <w:bCs/>
                <w:sz w:val="16"/>
                <w:szCs w:val="16"/>
              </w:rPr>
            </w:pPr>
            <w:r w:rsidRPr="00A329A2">
              <w:rPr>
                <w:b/>
                <w:bCs/>
                <w:sz w:val="16"/>
                <w:szCs w:val="16"/>
                <w:lang w:val="es-ES_tradnl"/>
              </w:rPr>
              <w:t>Número del resultado previsto y descripción</w:t>
            </w:r>
            <w:r w:rsidRPr="00A329A2">
              <w:rPr>
                <w:b/>
                <w:bCs/>
                <w:sz w:val="16"/>
                <w:szCs w:val="16"/>
              </w:rPr>
              <w:t xml:space="preserve"> </w:t>
            </w:r>
          </w:p>
        </w:tc>
        <w:tc>
          <w:tcPr>
            <w:tcW w:w="1158" w:type="dxa"/>
            <w:tcBorders>
              <w:top w:val="nil"/>
              <w:left w:val="nil"/>
              <w:bottom w:val="nil"/>
              <w:right w:val="nil"/>
            </w:tcBorders>
            <w:shd w:val="clear" w:color="000000" w:fill="C5D9F1"/>
            <w:vAlign w:val="center"/>
            <w:hideMark/>
          </w:tcPr>
          <w:p w:rsidR="00185608" w:rsidRPr="00A329A2" w:rsidRDefault="00185608" w:rsidP="00230FAA">
            <w:pPr>
              <w:jc w:val="center"/>
              <w:rPr>
                <w:b/>
                <w:bCs/>
                <w:sz w:val="16"/>
                <w:szCs w:val="16"/>
              </w:rPr>
            </w:pPr>
            <w:r w:rsidRPr="00A329A2">
              <w:rPr>
                <w:b/>
                <w:bCs/>
                <w:sz w:val="16"/>
                <w:szCs w:val="16"/>
              </w:rPr>
              <w:t xml:space="preserve"> </w:t>
            </w:r>
            <w:r w:rsidRPr="00A329A2">
              <w:rPr>
                <w:b/>
                <w:bCs/>
                <w:sz w:val="16"/>
                <w:szCs w:val="16"/>
                <w:lang w:val="es-ES_tradnl"/>
              </w:rPr>
              <w:t>Presupuesto aprobado de 2016/17</w:t>
            </w:r>
            <w:r w:rsidRPr="00A329A2">
              <w:rPr>
                <w:b/>
                <w:bCs/>
                <w:sz w:val="16"/>
                <w:szCs w:val="16"/>
              </w:rPr>
              <w:t xml:space="preserve"> </w:t>
            </w:r>
          </w:p>
        </w:tc>
        <w:tc>
          <w:tcPr>
            <w:tcW w:w="1157" w:type="dxa"/>
            <w:tcBorders>
              <w:top w:val="nil"/>
              <w:left w:val="nil"/>
              <w:bottom w:val="nil"/>
              <w:right w:val="nil"/>
            </w:tcBorders>
            <w:shd w:val="clear" w:color="000000" w:fill="C5D9F1"/>
            <w:vAlign w:val="center"/>
            <w:hideMark/>
          </w:tcPr>
          <w:p w:rsidR="00185608" w:rsidRPr="00A329A2" w:rsidRDefault="00185608" w:rsidP="00230FAA">
            <w:pPr>
              <w:jc w:val="center"/>
              <w:rPr>
                <w:b/>
                <w:bCs/>
                <w:sz w:val="16"/>
                <w:szCs w:val="16"/>
              </w:rPr>
            </w:pPr>
            <w:r w:rsidRPr="00A329A2">
              <w:rPr>
                <w:b/>
                <w:bCs/>
                <w:sz w:val="16"/>
                <w:szCs w:val="16"/>
              </w:rPr>
              <w:t xml:space="preserve"> </w:t>
            </w:r>
            <w:r w:rsidRPr="00A329A2">
              <w:rPr>
                <w:b/>
                <w:bCs/>
                <w:sz w:val="16"/>
                <w:szCs w:val="16"/>
                <w:lang w:val="es-ES_tradnl"/>
              </w:rPr>
              <w:t>Presupuesto de 2016/17 tras las transferencias</w:t>
            </w:r>
            <w:r w:rsidRPr="00A329A2">
              <w:rPr>
                <w:b/>
                <w:bCs/>
                <w:sz w:val="16"/>
                <w:szCs w:val="16"/>
              </w:rPr>
              <w:t xml:space="preserve"> </w:t>
            </w:r>
          </w:p>
        </w:tc>
        <w:tc>
          <w:tcPr>
            <w:tcW w:w="1171" w:type="dxa"/>
            <w:tcBorders>
              <w:top w:val="nil"/>
              <w:left w:val="nil"/>
              <w:bottom w:val="nil"/>
              <w:right w:val="nil"/>
            </w:tcBorders>
            <w:shd w:val="clear" w:color="000000" w:fill="C5D9F1"/>
            <w:vAlign w:val="center"/>
            <w:hideMark/>
          </w:tcPr>
          <w:p w:rsidR="00185608" w:rsidRPr="00A329A2" w:rsidRDefault="00185608" w:rsidP="00230FAA">
            <w:pPr>
              <w:jc w:val="center"/>
              <w:rPr>
                <w:b/>
                <w:bCs/>
                <w:sz w:val="16"/>
                <w:szCs w:val="16"/>
              </w:rPr>
            </w:pPr>
            <w:r w:rsidRPr="00A329A2">
              <w:rPr>
                <w:b/>
                <w:bCs/>
                <w:sz w:val="16"/>
                <w:szCs w:val="16"/>
              </w:rPr>
              <w:t xml:space="preserve"> </w:t>
            </w:r>
            <w:r w:rsidRPr="00A329A2">
              <w:rPr>
                <w:b/>
                <w:bCs/>
                <w:sz w:val="16"/>
                <w:szCs w:val="16"/>
                <w:lang w:val="es-ES_tradnl"/>
              </w:rPr>
              <w:t>Gastos en 2016*</w:t>
            </w:r>
            <w:r w:rsidRPr="00A329A2">
              <w:rPr>
                <w:b/>
                <w:bCs/>
                <w:sz w:val="16"/>
                <w:szCs w:val="16"/>
              </w:rPr>
              <w:t xml:space="preserve"> </w:t>
            </w:r>
          </w:p>
        </w:tc>
      </w:tr>
      <w:tr w:rsidR="00185608" w:rsidRPr="00A329A2" w:rsidTr="00230FAA">
        <w:trPr>
          <w:trHeight w:val="860"/>
          <w:jc w:val="center"/>
        </w:trPr>
        <w:tc>
          <w:tcPr>
            <w:tcW w:w="477" w:type="dxa"/>
            <w:tcBorders>
              <w:top w:val="nil"/>
              <w:left w:val="nil"/>
              <w:bottom w:val="nil"/>
              <w:right w:val="nil"/>
            </w:tcBorders>
            <w:shd w:val="clear" w:color="auto" w:fill="auto"/>
            <w:noWrap/>
            <w:vAlign w:val="center"/>
            <w:hideMark/>
          </w:tcPr>
          <w:p w:rsidR="00185608" w:rsidRPr="00A329A2" w:rsidRDefault="00185608" w:rsidP="00230FAA">
            <w:pPr>
              <w:rPr>
                <w:sz w:val="16"/>
                <w:szCs w:val="16"/>
              </w:rPr>
            </w:pPr>
            <w:r w:rsidRPr="00A329A2">
              <w:rPr>
                <w:sz w:val="16"/>
                <w:szCs w:val="16"/>
              </w:rPr>
              <w:t>III.2</w:t>
            </w:r>
          </w:p>
        </w:tc>
        <w:tc>
          <w:tcPr>
            <w:tcW w:w="4237" w:type="dxa"/>
            <w:tcBorders>
              <w:top w:val="nil"/>
              <w:left w:val="nil"/>
              <w:bottom w:val="nil"/>
              <w:right w:val="nil"/>
            </w:tcBorders>
            <w:shd w:val="clear" w:color="auto" w:fill="auto"/>
            <w:vAlign w:val="center"/>
            <w:hideMark/>
          </w:tcPr>
          <w:p w:rsidR="00185608" w:rsidRPr="00A329A2" w:rsidRDefault="00185608" w:rsidP="00230FAA">
            <w:pPr>
              <w:rPr>
                <w:sz w:val="16"/>
                <w:szCs w:val="16"/>
              </w:rPr>
            </w:pPr>
            <w:r w:rsidRPr="00A329A2">
              <w:rPr>
                <w:sz w:val="16"/>
                <w:szCs w:val="16"/>
                <w:lang w:val="es-ES_tradnl"/>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58" w:type="dxa"/>
            <w:tcBorders>
              <w:top w:val="nil"/>
              <w:left w:val="nil"/>
              <w:bottom w:val="nil"/>
              <w:right w:val="nil"/>
            </w:tcBorders>
            <w:shd w:val="clear" w:color="auto" w:fill="auto"/>
            <w:noWrap/>
            <w:vAlign w:val="center"/>
            <w:hideMark/>
          </w:tcPr>
          <w:p w:rsidR="00185608" w:rsidRPr="00A329A2" w:rsidRDefault="00185608" w:rsidP="00230FAA">
            <w:pPr>
              <w:jc w:val="center"/>
              <w:rPr>
                <w:sz w:val="16"/>
                <w:szCs w:val="16"/>
              </w:rPr>
            </w:pPr>
            <w:r w:rsidRPr="00A329A2">
              <w:rPr>
                <w:sz w:val="16"/>
                <w:szCs w:val="16"/>
              </w:rPr>
              <w:t>13.083</w:t>
            </w:r>
          </w:p>
        </w:tc>
        <w:tc>
          <w:tcPr>
            <w:tcW w:w="1157" w:type="dxa"/>
            <w:tcBorders>
              <w:top w:val="nil"/>
              <w:left w:val="nil"/>
              <w:bottom w:val="nil"/>
              <w:right w:val="nil"/>
            </w:tcBorders>
            <w:shd w:val="clear" w:color="auto" w:fill="auto"/>
            <w:noWrap/>
            <w:vAlign w:val="center"/>
            <w:hideMark/>
          </w:tcPr>
          <w:p w:rsidR="00185608" w:rsidRPr="00A329A2" w:rsidRDefault="00185608" w:rsidP="00230FAA">
            <w:pPr>
              <w:jc w:val="center"/>
              <w:rPr>
                <w:sz w:val="16"/>
                <w:szCs w:val="16"/>
              </w:rPr>
            </w:pPr>
            <w:r w:rsidRPr="00A329A2">
              <w:rPr>
                <w:sz w:val="16"/>
                <w:szCs w:val="16"/>
              </w:rPr>
              <w:t>13.333</w:t>
            </w:r>
          </w:p>
        </w:tc>
        <w:tc>
          <w:tcPr>
            <w:tcW w:w="1171" w:type="dxa"/>
            <w:tcBorders>
              <w:top w:val="nil"/>
              <w:left w:val="nil"/>
              <w:bottom w:val="nil"/>
              <w:right w:val="nil"/>
            </w:tcBorders>
            <w:shd w:val="clear" w:color="auto" w:fill="auto"/>
            <w:noWrap/>
            <w:vAlign w:val="center"/>
            <w:hideMark/>
          </w:tcPr>
          <w:p w:rsidR="00185608" w:rsidRPr="00A329A2" w:rsidRDefault="00185608" w:rsidP="00230FAA">
            <w:pPr>
              <w:jc w:val="center"/>
              <w:rPr>
                <w:sz w:val="16"/>
                <w:szCs w:val="16"/>
              </w:rPr>
            </w:pPr>
            <w:r w:rsidRPr="00A329A2">
              <w:rPr>
                <w:sz w:val="16"/>
                <w:szCs w:val="16"/>
              </w:rPr>
              <w:t>5.765</w:t>
            </w:r>
          </w:p>
        </w:tc>
      </w:tr>
      <w:tr w:rsidR="00185608" w:rsidRPr="00A329A2" w:rsidTr="00230FAA">
        <w:trPr>
          <w:trHeight w:val="225"/>
          <w:jc w:val="center"/>
        </w:trPr>
        <w:tc>
          <w:tcPr>
            <w:tcW w:w="477" w:type="dxa"/>
            <w:tcBorders>
              <w:top w:val="nil"/>
              <w:left w:val="nil"/>
              <w:bottom w:val="nil"/>
              <w:right w:val="nil"/>
            </w:tcBorders>
            <w:shd w:val="clear" w:color="000000" w:fill="C5D9F1"/>
            <w:noWrap/>
            <w:vAlign w:val="bottom"/>
            <w:hideMark/>
          </w:tcPr>
          <w:p w:rsidR="00185608" w:rsidRPr="00A329A2" w:rsidRDefault="00185608" w:rsidP="00230FAA">
            <w:pPr>
              <w:rPr>
                <w:sz w:val="16"/>
                <w:szCs w:val="16"/>
              </w:rPr>
            </w:pPr>
            <w:r w:rsidRPr="00A329A2">
              <w:rPr>
                <w:sz w:val="16"/>
                <w:szCs w:val="16"/>
              </w:rPr>
              <w:t> </w:t>
            </w:r>
          </w:p>
        </w:tc>
        <w:tc>
          <w:tcPr>
            <w:tcW w:w="4237" w:type="dxa"/>
            <w:tcBorders>
              <w:top w:val="nil"/>
              <w:left w:val="nil"/>
              <w:bottom w:val="nil"/>
              <w:right w:val="nil"/>
            </w:tcBorders>
            <w:shd w:val="clear" w:color="000000" w:fill="C5D9F1"/>
            <w:noWrap/>
            <w:vAlign w:val="bottom"/>
            <w:hideMark/>
          </w:tcPr>
          <w:p w:rsidR="00185608" w:rsidRPr="00A329A2" w:rsidRDefault="00185608" w:rsidP="00230FAA">
            <w:pPr>
              <w:jc w:val="right"/>
              <w:rPr>
                <w:b/>
                <w:bCs/>
                <w:sz w:val="16"/>
                <w:szCs w:val="16"/>
              </w:rPr>
            </w:pPr>
            <w:r w:rsidRPr="00A329A2">
              <w:rPr>
                <w:b/>
                <w:bCs/>
                <w:sz w:val="16"/>
                <w:szCs w:val="16"/>
                <w:lang w:val="es-ES_tradnl"/>
              </w:rPr>
              <w:t>Total</w:t>
            </w:r>
          </w:p>
        </w:tc>
        <w:tc>
          <w:tcPr>
            <w:tcW w:w="1158" w:type="dxa"/>
            <w:tcBorders>
              <w:top w:val="nil"/>
              <w:left w:val="nil"/>
              <w:bottom w:val="nil"/>
              <w:right w:val="nil"/>
            </w:tcBorders>
            <w:shd w:val="clear" w:color="000000" w:fill="C5D9F1"/>
            <w:noWrap/>
            <w:vAlign w:val="center"/>
            <w:hideMark/>
          </w:tcPr>
          <w:p w:rsidR="00185608" w:rsidRPr="00A329A2" w:rsidRDefault="00185608" w:rsidP="00230FAA">
            <w:pPr>
              <w:jc w:val="center"/>
              <w:rPr>
                <w:sz w:val="16"/>
                <w:szCs w:val="16"/>
              </w:rPr>
            </w:pPr>
            <w:r w:rsidRPr="00A329A2">
              <w:rPr>
                <w:sz w:val="16"/>
                <w:szCs w:val="16"/>
              </w:rPr>
              <w:t>13.083</w:t>
            </w:r>
          </w:p>
        </w:tc>
        <w:tc>
          <w:tcPr>
            <w:tcW w:w="1157" w:type="dxa"/>
            <w:tcBorders>
              <w:top w:val="nil"/>
              <w:left w:val="nil"/>
              <w:bottom w:val="nil"/>
              <w:right w:val="nil"/>
            </w:tcBorders>
            <w:shd w:val="clear" w:color="000000" w:fill="C5D9F1"/>
            <w:noWrap/>
            <w:vAlign w:val="center"/>
            <w:hideMark/>
          </w:tcPr>
          <w:p w:rsidR="00185608" w:rsidRPr="00A329A2" w:rsidRDefault="00185608" w:rsidP="00230FAA">
            <w:pPr>
              <w:jc w:val="center"/>
              <w:rPr>
                <w:sz w:val="16"/>
                <w:szCs w:val="16"/>
              </w:rPr>
            </w:pPr>
            <w:r w:rsidRPr="00A329A2">
              <w:rPr>
                <w:sz w:val="16"/>
                <w:szCs w:val="16"/>
              </w:rPr>
              <w:t>13.333</w:t>
            </w:r>
          </w:p>
        </w:tc>
        <w:tc>
          <w:tcPr>
            <w:tcW w:w="1171" w:type="dxa"/>
            <w:tcBorders>
              <w:top w:val="nil"/>
              <w:left w:val="nil"/>
              <w:bottom w:val="nil"/>
              <w:right w:val="nil"/>
            </w:tcBorders>
            <w:shd w:val="clear" w:color="000000" w:fill="C5D9F1"/>
            <w:noWrap/>
            <w:vAlign w:val="center"/>
            <w:hideMark/>
          </w:tcPr>
          <w:p w:rsidR="00185608" w:rsidRPr="00A329A2" w:rsidRDefault="00185608" w:rsidP="00230FAA">
            <w:pPr>
              <w:jc w:val="center"/>
              <w:rPr>
                <w:sz w:val="16"/>
                <w:szCs w:val="16"/>
              </w:rPr>
            </w:pPr>
            <w:r w:rsidRPr="00A329A2">
              <w:rPr>
                <w:sz w:val="16"/>
                <w:szCs w:val="16"/>
              </w:rPr>
              <w:t>5.765</w:t>
            </w:r>
          </w:p>
        </w:tc>
      </w:tr>
      <w:tr w:rsidR="00185608" w:rsidRPr="00A329A2" w:rsidTr="00230FAA">
        <w:trPr>
          <w:trHeight w:val="330"/>
          <w:jc w:val="center"/>
        </w:trPr>
        <w:tc>
          <w:tcPr>
            <w:tcW w:w="7029" w:type="dxa"/>
            <w:gridSpan w:val="4"/>
            <w:tcBorders>
              <w:top w:val="nil"/>
              <w:left w:val="nil"/>
              <w:bottom w:val="nil"/>
              <w:right w:val="nil"/>
            </w:tcBorders>
            <w:shd w:val="clear" w:color="auto" w:fill="auto"/>
            <w:noWrap/>
            <w:vAlign w:val="center"/>
            <w:hideMark/>
          </w:tcPr>
          <w:p w:rsidR="00185608" w:rsidRPr="00A329A2" w:rsidRDefault="00185608" w:rsidP="00230FAA">
            <w:pPr>
              <w:rPr>
                <w:i/>
                <w:iCs/>
                <w:sz w:val="16"/>
                <w:szCs w:val="16"/>
              </w:rPr>
            </w:pPr>
            <w:r w:rsidRPr="00A329A2">
              <w:rPr>
                <w:i/>
                <w:iCs/>
                <w:sz w:val="16"/>
                <w:szCs w:val="16"/>
                <w:lang w:val="es-ES_tradnl"/>
              </w:rPr>
              <w:t>*Las cifras de gastos en 2016 son preliminares, a reserva de verificación por el Auditor Externo.</w:t>
            </w:r>
          </w:p>
        </w:tc>
        <w:tc>
          <w:tcPr>
            <w:tcW w:w="1171" w:type="dxa"/>
            <w:tcBorders>
              <w:top w:val="nil"/>
              <w:left w:val="nil"/>
              <w:bottom w:val="nil"/>
              <w:right w:val="nil"/>
            </w:tcBorders>
            <w:shd w:val="clear" w:color="auto" w:fill="auto"/>
            <w:noWrap/>
            <w:vAlign w:val="center"/>
            <w:hideMark/>
          </w:tcPr>
          <w:p w:rsidR="00185608" w:rsidRPr="00A329A2" w:rsidRDefault="00185608" w:rsidP="00230FAA">
            <w:pPr>
              <w:rPr>
                <w:sz w:val="16"/>
                <w:szCs w:val="16"/>
              </w:rPr>
            </w:pPr>
          </w:p>
        </w:tc>
      </w:tr>
    </w:tbl>
    <w:p w:rsidR="00185608" w:rsidRPr="00A329A2" w:rsidRDefault="00185608" w:rsidP="00230FAA">
      <w:pPr>
        <w:rPr>
          <w:sz w:val="18"/>
          <w:szCs w:val="18"/>
        </w:rPr>
      </w:pPr>
    </w:p>
    <w:p w:rsidR="00185608" w:rsidRPr="00A329A2" w:rsidRDefault="00185608" w:rsidP="00230FAA">
      <w:pPr>
        <w:pStyle w:val="NormalWeb"/>
        <w:keepNext/>
        <w:keepLines/>
        <w:spacing w:before="0" w:beforeAutospacing="0" w:after="0" w:afterAutospacing="0"/>
        <w:jc w:val="center"/>
        <w:rPr>
          <w:lang w:val="es-ES"/>
        </w:rPr>
      </w:pPr>
      <w:r w:rsidRPr="00A329A2">
        <w:rPr>
          <w:lang w:val="es-ES_tradnl"/>
        </w:rPr>
        <w:lastRenderedPageBreak/>
        <w:t>Presupuesto y gastos reales (de personal y no relativos a personal)</w:t>
      </w:r>
      <w:r w:rsidRPr="00A329A2">
        <w:rPr>
          <w:lang w:val="es-ES"/>
        </w:rPr>
        <w:t xml:space="preserve"> </w:t>
      </w:r>
    </w:p>
    <w:p w:rsidR="00185608" w:rsidRPr="00A329A2" w:rsidRDefault="00185608" w:rsidP="00230FAA">
      <w:pPr>
        <w:pStyle w:val="NormalWeb"/>
        <w:keepNext/>
        <w:keepLines/>
        <w:spacing w:before="0" w:beforeAutospacing="0" w:after="0" w:afterAutospacing="0"/>
        <w:jc w:val="center"/>
        <w:rPr>
          <w:i/>
          <w:iCs/>
          <w:sz w:val="16"/>
          <w:szCs w:val="16"/>
          <w:lang w:val="es-ES"/>
        </w:rPr>
      </w:pPr>
      <w:r w:rsidRPr="00A329A2">
        <w:rPr>
          <w:i/>
          <w:iCs/>
          <w:sz w:val="16"/>
          <w:szCs w:val="16"/>
          <w:lang w:val="es-ES_tradnl"/>
        </w:rPr>
        <w:t>(en miles de francos suizos)</w:t>
      </w:r>
    </w:p>
    <w:p w:rsidR="00185608" w:rsidRPr="00A329A2" w:rsidRDefault="00185608" w:rsidP="00230FAA">
      <w:pPr>
        <w:keepNext/>
        <w:keepLines/>
        <w:rPr>
          <w:bCs/>
          <w:sz w:val="18"/>
          <w:szCs w:val="18"/>
        </w:rPr>
      </w:pPr>
    </w:p>
    <w:tbl>
      <w:tblPr>
        <w:tblW w:w="8222" w:type="dxa"/>
        <w:jc w:val="center"/>
        <w:tblLook w:val="04A0" w:firstRow="1" w:lastRow="0" w:firstColumn="1" w:lastColumn="0" w:noHBand="0" w:noVBand="1"/>
      </w:tblPr>
      <w:tblGrid>
        <w:gridCol w:w="2470"/>
        <w:gridCol w:w="1438"/>
        <w:gridCol w:w="1438"/>
        <w:gridCol w:w="1438"/>
        <w:gridCol w:w="1438"/>
      </w:tblGrid>
      <w:tr w:rsidR="00185608" w:rsidRPr="00A329A2" w:rsidTr="00230FAA">
        <w:trPr>
          <w:trHeight w:val="622"/>
          <w:jc w:val="center"/>
        </w:trPr>
        <w:tc>
          <w:tcPr>
            <w:tcW w:w="2440" w:type="dxa"/>
            <w:tcBorders>
              <w:top w:val="nil"/>
              <w:left w:val="nil"/>
              <w:bottom w:val="nil"/>
              <w:right w:val="nil"/>
            </w:tcBorders>
            <w:shd w:val="clear" w:color="000000" w:fill="C5D9F1"/>
            <w:noWrap/>
            <w:vAlign w:val="center"/>
            <w:hideMark/>
          </w:tcPr>
          <w:p w:rsidR="00185608" w:rsidRPr="00A329A2" w:rsidRDefault="00185608" w:rsidP="00230FAA">
            <w:pPr>
              <w:keepNext/>
              <w:rPr>
                <w:sz w:val="16"/>
                <w:szCs w:val="16"/>
              </w:rPr>
            </w:pPr>
            <w:r w:rsidRPr="00A329A2">
              <w:rPr>
                <w:sz w:val="16"/>
                <w:szCs w:val="16"/>
              </w:rPr>
              <w:t> </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lang w:val="es-ES_tradnl"/>
              </w:rPr>
              <w:t>Índice de utilización (%)</w:t>
            </w:r>
          </w:p>
        </w:tc>
      </w:tr>
      <w:tr w:rsidR="00185608" w:rsidRPr="00A329A2" w:rsidTr="00230FAA">
        <w:trPr>
          <w:trHeight w:val="252"/>
          <w:jc w:val="center"/>
        </w:trPr>
        <w:tc>
          <w:tcPr>
            <w:tcW w:w="2440" w:type="dxa"/>
            <w:tcBorders>
              <w:top w:val="nil"/>
              <w:left w:val="nil"/>
              <w:bottom w:val="nil"/>
              <w:right w:val="nil"/>
            </w:tcBorders>
            <w:shd w:val="clear" w:color="auto" w:fill="auto"/>
            <w:noWrap/>
            <w:vAlign w:val="center"/>
            <w:hideMark/>
          </w:tcPr>
          <w:p w:rsidR="00185608" w:rsidRPr="00A329A2" w:rsidRDefault="00185608" w:rsidP="00230FAA">
            <w:pPr>
              <w:keepNext/>
              <w:rPr>
                <w:sz w:val="16"/>
                <w:szCs w:val="16"/>
              </w:rPr>
            </w:pPr>
            <w:r w:rsidRPr="00A329A2">
              <w:rPr>
                <w:sz w:val="16"/>
                <w:szCs w:val="16"/>
              </w:rPr>
              <w:t xml:space="preserve"> </w:t>
            </w:r>
            <w:r w:rsidRPr="00A329A2">
              <w:rPr>
                <w:sz w:val="16"/>
                <w:szCs w:val="16"/>
                <w:lang w:val="es-ES_tradnl"/>
              </w:rPr>
              <w:t>Recursos de personal</w:t>
            </w:r>
            <w:r w:rsidRPr="00A329A2">
              <w:rPr>
                <w:sz w:val="16"/>
                <w:szCs w:val="16"/>
              </w:rPr>
              <w:t xml:space="preserve">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 xml:space="preserve">7.779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 xml:space="preserve">7.939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 xml:space="preserve">3.639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46%</w:t>
            </w:r>
          </w:p>
        </w:tc>
      </w:tr>
      <w:tr w:rsidR="00185608" w:rsidRPr="00A329A2" w:rsidTr="00230FAA">
        <w:trPr>
          <w:trHeight w:val="308"/>
          <w:jc w:val="center"/>
        </w:trPr>
        <w:tc>
          <w:tcPr>
            <w:tcW w:w="2440" w:type="dxa"/>
            <w:tcBorders>
              <w:top w:val="nil"/>
              <w:left w:val="nil"/>
              <w:bottom w:val="nil"/>
              <w:right w:val="nil"/>
            </w:tcBorders>
            <w:shd w:val="clear" w:color="auto" w:fill="auto"/>
            <w:noWrap/>
            <w:vAlign w:val="center"/>
            <w:hideMark/>
          </w:tcPr>
          <w:p w:rsidR="00185608" w:rsidRPr="00A329A2" w:rsidRDefault="00185608" w:rsidP="00230FAA">
            <w:pPr>
              <w:keepNext/>
              <w:rPr>
                <w:sz w:val="16"/>
                <w:szCs w:val="16"/>
              </w:rPr>
            </w:pPr>
            <w:r w:rsidRPr="00A329A2">
              <w:rPr>
                <w:sz w:val="16"/>
                <w:szCs w:val="16"/>
              </w:rPr>
              <w:t xml:space="preserve"> </w:t>
            </w:r>
            <w:r w:rsidRPr="00A329A2">
              <w:rPr>
                <w:sz w:val="16"/>
                <w:szCs w:val="16"/>
                <w:lang w:val="es-ES_tradnl"/>
              </w:rPr>
              <w:t>Recursos no relativos a personal</w:t>
            </w:r>
            <w:r w:rsidRPr="00A329A2">
              <w:rPr>
                <w:sz w:val="16"/>
                <w:szCs w:val="16"/>
              </w:rPr>
              <w:t xml:space="preserve">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 xml:space="preserve">5.304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 xml:space="preserve">5.394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 xml:space="preserve">2.126 </w:t>
            </w:r>
          </w:p>
        </w:tc>
        <w:tc>
          <w:tcPr>
            <w:tcW w:w="1420" w:type="dxa"/>
            <w:tcBorders>
              <w:top w:val="nil"/>
              <w:left w:val="nil"/>
              <w:bottom w:val="nil"/>
              <w:right w:val="nil"/>
            </w:tcBorders>
            <w:shd w:val="clear" w:color="auto" w:fill="auto"/>
            <w:vAlign w:val="center"/>
            <w:hideMark/>
          </w:tcPr>
          <w:p w:rsidR="00185608" w:rsidRPr="00A329A2" w:rsidRDefault="00185608" w:rsidP="00230FAA">
            <w:pPr>
              <w:keepNext/>
              <w:jc w:val="center"/>
              <w:rPr>
                <w:sz w:val="16"/>
                <w:szCs w:val="16"/>
              </w:rPr>
            </w:pPr>
            <w:r w:rsidRPr="00A329A2">
              <w:rPr>
                <w:sz w:val="16"/>
                <w:szCs w:val="16"/>
              </w:rPr>
              <w:t>39%</w:t>
            </w:r>
          </w:p>
        </w:tc>
      </w:tr>
      <w:tr w:rsidR="00185608" w:rsidRPr="00A329A2" w:rsidTr="00230FAA">
        <w:trPr>
          <w:trHeight w:val="225"/>
          <w:jc w:val="center"/>
        </w:trPr>
        <w:tc>
          <w:tcPr>
            <w:tcW w:w="2440" w:type="dxa"/>
            <w:tcBorders>
              <w:top w:val="nil"/>
              <w:left w:val="nil"/>
              <w:bottom w:val="nil"/>
              <w:right w:val="nil"/>
            </w:tcBorders>
            <w:shd w:val="clear" w:color="000000" w:fill="C5D9F1"/>
            <w:noWrap/>
            <w:vAlign w:val="center"/>
            <w:hideMark/>
          </w:tcPr>
          <w:p w:rsidR="00185608" w:rsidRPr="00A329A2" w:rsidRDefault="00185608" w:rsidP="00230FAA">
            <w:pPr>
              <w:keepNext/>
              <w:jc w:val="right"/>
              <w:rPr>
                <w:b/>
                <w:bCs/>
                <w:sz w:val="16"/>
                <w:szCs w:val="16"/>
              </w:rPr>
            </w:pPr>
            <w:r w:rsidRPr="00A329A2">
              <w:rPr>
                <w:b/>
                <w:bCs/>
                <w:sz w:val="16"/>
                <w:szCs w:val="16"/>
              </w:rPr>
              <w:t xml:space="preserve"> </w:t>
            </w:r>
            <w:r w:rsidRPr="00A329A2">
              <w:rPr>
                <w:b/>
                <w:bCs/>
                <w:sz w:val="16"/>
                <w:szCs w:val="16"/>
                <w:lang w:val="es-ES_tradnl"/>
              </w:rPr>
              <w:t>Total</w:t>
            </w:r>
            <w:r w:rsidRPr="00A329A2">
              <w:rPr>
                <w:b/>
                <w:bCs/>
                <w:sz w:val="16"/>
                <w:szCs w:val="16"/>
              </w:rPr>
              <w:t xml:space="preserve"> </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rPr>
              <w:t xml:space="preserve">13.083 </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rPr>
              <w:t xml:space="preserve">13.333 </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rPr>
              <w:t xml:space="preserve">5.765 </w:t>
            </w:r>
          </w:p>
        </w:tc>
        <w:tc>
          <w:tcPr>
            <w:tcW w:w="1420" w:type="dxa"/>
            <w:tcBorders>
              <w:top w:val="nil"/>
              <w:left w:val="nil"/>
              <w:bottom w:val="nil"/>
              <w:right w:val="nil"/>
            </w:tcBorders>
            <w:shd w:val="clear" w:color="000000" w:fill="C5D9F1"/>
            <w:vAlign w:val="center"/>
            <w:hideMark/>
          </w:tcPr>
          <w:p w:rsidR="00185608" w:rsidRPr="00A329A2" w:rsidRDefault="00185608" w:rsidP="00230FAA">
            <w:pPr>
              <w:keepNext/>
              <w:jc w:val="center"/>
              <w:rPr>
                <w:b/>
                <w:bCs/>
                <w:sz w:val="16"/>
                <w:szCs w:val="16"/>
              </w:rPr>
            </w:pPr>
            <w:r w:rsidRPr="00A329A2">
              <w:rPr>
                <w:b/>
                <w:bCs/>
                <w:sz w:val="16"/>
                <w:szCs w:val="16"/>
              </w:rPr>
              <w:t>43%</w:t>
            </w:r>
          </w:p>
        </w:tc>
      </w:tr>
      <w:tr w:rsidR="00185608" w:rsidRPr="00A329A2" w:rsidTr="00230FAA">
        <w:trPr>
          <w:trHeight w:val="300"/>
          <w:jc w:val="center"/>
        </w:trPr>
        <w:tc>
          <w:tcPr>
            <w:tcW w:w="8120" w:type="dxa"/>
            <w:gridSpan w:val="5"/>
            <w:tcBorders>
              <w:top w:val="nil"/>
              <w:left w:val="nil"/>
              <w:bottom w:val="nil"/>
              <w:right w:val="nil"/>
            </w:tcBorders>
            <w:shd w:val="clear" w:color="auto" w:fill="auto"/>
            <w:noWrap/>
            <w:vAlign w:val="center"/>
            <w:hideMark/>
          </w:tcPr>
          <w:p w:rsidR="00185608" w:rsidRPr="00A329A2" w:rsidRDefault="00185608" w:rsidP="00230FAA">
            <w:pPr>
              <w:keepNext/>
              <w:rPr>
                <w:i/>
                <w:iCs/>
                <w:sz w:val="16"/>
                <w:szCs w:val="16"/>
              </w:rPr>
            </w:pPr>
            <w:r w:rsidRPr="00A329A2">
              <w:rPr>
                <w:i/>
                <w:iCs/>
                <w:sz w:val="16"/>
                <w:szCs w:val="16"/>
              </w:rPr>
              <w:t xml:space="preserve"> </w:t>
            </w:r>
            <w:r w:rsidRPr="00A329A2">
              <w:rPr>
                <w:i/>
                <w:iCs/>
                <w:sz w:val="16"/>
                <w:szCs w:val="16"/>
                <w:lang w:val="es-ES_tradnl"/>
              </w:rPr>
              <w:t>*Las cifras de gastos en 2016 son preliminares, a reserva de verificación por el Auditor Externo</w:t>
            </w:r>
            <w:r w:rsidRPr="00A329A2">
              <w:rPr>
                <w:i/>
                <w:iCs/>
                <w:sz w:val="16"/>
                <w:szCs w:val="16"/>
              </w:rPr>
              <w:t>.</w:t>
            </w:r>
          </w:p>
        </w:tc>
      </w:tr>
    </w:tbl>
    <w:p w:rsidR="00185608" w:rsidRPr="00A329A2" w:rsidRDefault="00185608" w:rsidP="00230FAA">
      <w:pPr>
        <w:keepNext/>
        <w:keepLines/>
        <w:spacing w:before="180"/>
        <w:ind w:left="567" w:right="425"/>
        <w:rPr>
          <w:i/>
          <w:sz w:val="16"/>
          <w:szCs w:val="16"/>
        </w:rPr>
      </w:pPr>
      <w:r w:rsidRPr="00A329A2">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185608" w:rsidRPr="00A329A2" w:rsidRDefault="00185608" w:rsidP="00230FAA">
      <w:pPr>
        <w:keepNext/>
        <w:rPr>
          <w:sz w:val="20"/>
        </w:rPr>
      </w:pPr>
    </w:p>
    <w:p w:rsidR="00185608" w:rsidRPr="00A329A2" w:rsidRDefault="00185608" w:rsidP="00230FAA">
      <w:pPr>
        <w:jc w:val="both"/>
        <w:rPr>
          <w:sz w:val="20"/>
          <w:u w:val="single"/>
        </w:rPr>
      </w:pPr>
      <w:r w:rsidRPr="00A329A2">
        <w:rPr>
          <w:sz w:val="20"/>
          <w:lang w:val="es-ES_tradnl"/>
        </w:rPr>
        <w:t>A.</w:t>
      </w:r>
      <w:r w:rsidRPr="00A329A2">
        <w:rPr>
          <w:sz w:val="20"/>
          <w:lang w:val="es-ES_tradnl"/>
        </w:rPr>
        <w:tab/>
      </w:r>
      <w:r w:rsidRPr="00A329A2">
        <w:rPr>
          <w:sz w:val="20"/>
          <w:u w:val="single"/>
          <w:lang w:val="es-ES_tradnl"/>
        </w:rPr>
        <w:t>Presupuesto de 2016/17 tras las transferencias</w:t>
      </w:r>
    </w:p>
    <w:p w:rsidR="00185608" w:rsidRPr="00A329A2" w:rsidRDefault="00185608" w:rsidP="00230FAA">
      <w:pPr>
        <w:jc w:val="both"/>
        <w:rPr>
          <w:sz w:val="20"/>
        </w:rPr>
      </w:pPr>
    </w:p>
    <w:p w:rsidR="00185608" w:rsidRPr="00A329A2" w:rsidRDefault="00185608" w:rsidP="00185608">
      <w:pPr>
        <w:pStyle w:val="ListParagraph"/>
        <w:numPr>
          <w:ilvl w:val="0"/>
          <w:numId w:val="57"/>
        </w:numPr>
        <w:ind w:left="0" w:firstLine="0"/>
        <w:jc w:val="both"/>
        <w:rPr>
          <w:lang w:val="es-ES"/>
        </w:rPr>
      </w:pPr>
      <w:r w:rsidRPr="00A329A2">
        <w:rPr>
          <w:lang w:val="es-ES"/>
        </w:rPr>
        <w:t xml:space="preserve">El leve aumento en los recursos no relativos a personal con respecto al presupuesto aprobado de 2016/17 </w:t>
      </w:r>
      <w:r w:rsidR="0048069B">
        <w:rPr>
          <w:lang w:val="es-ES"/>
        </w:rPr>
        <w:t>se debió</w:t>
      </w:r>
      <w:r w:rsidRPr="00A329A2">
        <w:rPr>
          <w:lang w:val="es-ES"/>
        </w:rPr>
        <w:t xml:space="preserve"> a la transferencia de la responsabilidad de la gestión del curso internacional avanzado sobre P.I. desde el programa 30 (“Apoyo a las pymes y a la capacidad empresarial”) a la Academia de la OMPI.  </w:t>
      </w:r>
    </w:p>
    <w:p w:rsidR="00185608" w:rsidRPr="00A329A2" w:rsidRDefault="00185608" w:rsidP="00230FAA">
      <w:pPr>
        <w:jc w:val="both"/>
        <w:rPr>
          <w:sz w:val="20"/>
        </w:rPr>
      </w:pPr>
    </w:p>
    <w:p w:rsidR="00185608" w:rsidRPr="00A329A2" w:rsidRDefault="00185608" w:rsidP="00230FAA">
      <w:pPr>
        <w:jc w:val="both"/>
        <w:rPr>
          <w:sz w:val="20"/>
          <w:u w:val="single"/>
        </w:rPr>
      </w:pPr>
      <w:r w:rsidRPr="00A329A2">
        <w:rPr>
          <w:sz w:val="20"/>
          <w:lang w:val="es-ES_tradnl"/>
        </w:rPr>
        <w:t>B.</w:t>
      </w:r>
      <w:r w:rsidRPr="00A329A2">
        <w:rPr>
          <w:sz w:val="20"/>
          <w:lang w:val="es-ES_tradnl"/>
        </w:rPr>
        <w:tab/>
      </w:r>
      <w:r w:rsidRPr="00A329A2">
        <w:rPr>
          <w:sz w:val="20"/>
          <w:u w:val="single"/>
          <w:lang w:val="es-ES_tradnl"/>
        </w:rPr>
        <w:t>Utilización del presupuesto en 2016/17</w:t>
      </w:r>
    </w:p>
    <w:p w:rsidR="00185608" w:rsidRPr="00A329A2" w:rsidRDefault="00185608" w:rsidP="00230FAA">
      <w:pPr>
        <w:jc w:val="both"/>
        <w:rPr>
          <w:sz w:val="20"/>
        </w:rPr>
      </w:pPr>
    </w:p>
    <w:p w:rsidR="00185608" w:rsidRPr="00A329A2" w:rsidRDefault="00185608" w:rsidP="00185608">
      <w:pPr>
        <w:pStyle w:val="ListParagraph"/>
        <w:numPr>
          <w:ilvl w:val="0"/>
          <w:numId w:val="57"/>
        </w:numPr>
        <w:ind w:left="0" w:firstLine="0"/>
        <w:jc w:val="both"/>
        <w:rPr>
          <w:lang w:val="es-ES"/>
        </w:rPr>
      </w:pPr>
      <w:r w:rsidRPr="00A329A2">
        <w:rPr>
          <w:lang w:val="es-ES_tradnl"/>
        </w:rPr>
        <w:t xml:space="preserve">La utilización del presupuesto </w:t>
      </w:r>
      <w:r w:rsidR="00B562A5">
        <w:rPr>
          <w:lang w:val="es-ES_tradnl"/>
        </w:rPr>
        <w:t xml:space="preserve">de recursos de personal </w:t>
      </w:r>
      <w:r w:rsidRPr="00A329A2">
        <w:rPr>
          <w:lang w:val="es-ES_tradnl"/>
        </w:rPr>
        <w:t>se ha mantenido dentro de los límites establecidos (40-60%) durante el primer año del bienio.</w:t>
      </w:r>
      <w:r w:rsidRPr="00A329A2">
        <w:rPr>
          <w:lang w:val="es-ES"/>
        </w:rPr>
        <w:t xml:space="preserve">  La utilización de</w:t>
      </w:r>
      <w:r w:rsidR="00CB0271">
        <w:rPr>
          <w:lang w:val="es-ES"/>
        </w:rPr>
        <w:t>l</w:t>
      </w:r>
      <w:r w:rsidRPr="00A329A2">
        <w:rPr>
          <w:lang w:val="es-ES"/>
        </w:rPr>
        <w:t xml:space="preserve"> 39% del presupuesto </w:t>
      </w:r>
      <w:r w:rsidR="00CB0271">
        <w:rPr>
          <w:lang w:val="es-ES"/>
        </w:rPr>
        <w:t>de</w:t>
      </w:r>
      <w:r w:rsidRPr="00A329A2">
        <w:rPr>
          <w:lang w:val="es-ES"/>
        </w:rPr>
        <w:t xml:space="preserve"> recursos no relativos a personal </w:t>
      </w:r>
      <w:r w:rsidR="0048069B">
        <w:rPr>
          <w:lang w:val="es-ES"/>
        </w:rPr>
        <w:t>se debió</w:t>
      </w:r>
      <w:r w:rsidRPr="00A329A2">
        <w:rPr>
          <w:lang w:val="es-ES"/>
        </w:rPr>
        <w:t xml:space="preserve"> principalmente a que la ejecución del proyecto de la A.D. sobre “Cooperación con los institutos de capacitación judicial en los países en desarrollo y los PMA” fue más lenta de lo previsto.</w:t>
      </w:r>
    </w:p>
    <w:p w:rsidR="00185608" w:rsidRPr="00A329A2" w:rsidRDefault="00185608" w:rsidP="00230FAA">
      <w:pPr>
        <w:pStyle w:val="ListParagraph"/>
        <w:ind w:left="0"/>
        <w:jc w:val="both"/>
        <w:rPr>
          <w:lang w:val="es-ES"/>
        </w:rPr>
      </w:pPr>
    </w:p>
    <w:p w:rsidR="004E3187" w:rsidRDefault="004E3187">
      <w:pPr>
        <w:rPr>
          <w:b/>
          <w:bCs/>
          <w:iCs/>
          <w:szCs w:val="22"/>
        </w:rPr>
      </w:pPr>
      <w:r>
        <w:rPr>
          <w:b/>
          <w:bCs/>
          <w:iCs/>
          <w:szCs w:val="22"/>
        </w:rPr>
        <w:br w:type="page"/>
      </w:r>
    </w:p>
    <w:p w:rsidR="00185608" w:rsidRPr="00965C71" w:rsidRDefault="00185608" w:rsidP="00230FAA">
      <w:pPr>
        <w:keepNext/>
        <w:tabs>
          <w:tab w:val="left" w:pos="2410"/>
        </w:tabs>
        <w:ind w:left="2410" w:hanging="2410"/>
        <w:outlineLvl w:val="1"/>
        <w:rPr>
          <w:b/>
          <w:bCs/>
          <w:iCs/>
          <w:szCs w:val="22"/>
        </w:rPr>
      </w:pPr>
      <w:bookmarkStart w:id="47" w:name="_Toc482711257"/>
      <w:r w:rsidRPr="00965C71">
        <w:rPr>
          <w:b/>
          <w:bCs/>
          <w:iCs/>
          <w:szCs w:val="22"/>
        </w:rPr>
        <w:lastRenderedPageBreak/>
        <w:t>PROGRAMA 30</w:t>
      </w:r>
      <w:r w:rsidRPr="00965C71">
        <w:rPr>
          <w:bCs/>
          <w:iCs/>
          <w:szCs w:val="22"/>
        </w:rPr>
        <w:tab/>
      </w:r>
      <w:r w:rsidRPr="00965C71">
        <w:rPr>
          <w:b/>
          <w:bCs/>
          <w:iCs/>
          <w:szCs w:val="22"/>
        </w:rPr>
        <w:t>APOYO A LAS PEQUEÑAS Y MEDIANAS EMPRESAS (PYMES) Y A LA CAPACIDAD EMPRESARIAL</w:t>
      </w:r>
      <w:bookmarkEnd w:id="47"/>
    </w:p>
    <w:p w:rsidR="00185608" w:rsidRPr="00965C71" w:rsidRDefault="00185608" w:rsidP="00230FAA">
      <w:pPr>
        <w:ind w:left="1985" w:hanging="1985"/>
        <w:rPr>
          <w:rFonts w:cs="Times New Roman"/>
          <w:sz w:val="20"/>
        </w:rPr>
      </w:pPr>
    </w:p>
    <w:p w:rsidR="00185608" w:rsidRPr="00965C71" w:rsidRDefault="00185608" w:rsidP="00230FAA">
      <w:pPr>
        <w:tabs>
          <w:tab w:val="left" w:pos="2410"/>
        </w:tabs>
        <w:rPr>
          <w:rFonts w:cs="Times New Roman"/>
          <w:b/>
          <w:sz w:val="20"/>
        </w:rPr>
      </w:pPr>
      <w:r w:rsidRPr="00965C71">
        <w:rPr>
          <w:rFonts w:cs="Times New Roman"/>
          <w:b/>
          <w:sz w:val="20"/>
        </w:rPr>
        <w:t>Director de programa</w:t>
      </w:r>
      <w:r w:rsidRPr="00965C71">
        <w:rPr>
          <w:rFonts w:cs="Times New Roman"/>
          <w:sz w:val="20"/>
        </w:rPr>
        <w:tab/>
      </w:r>
      <w:r w:rsidRPr="00965C71">
        <w:rPr>
          <w:rFonts w:cs="Times New Roman"/>
          <w:b/>
          <w:sz w:val="20"/>
        </w:rPr>
        <w:t>Director general</w:t>
      </w:r>
    </w:p>
    <w:p w:rsidR="00185608" w:rsidRPr="00965C71" w:rsidRDefault="00185608" w:rsidP="00230FAA">
      <w:pPr>
        <w:ind w:left="1985" w:hanging="1985"/>
        <w:jc w:val="center"/>
        <w:rPr>
          <w:rFonts w:cs="Times New Roman"/>
          <w:b/>
          <w:sz w:val="20"/>
        </w:rPr>
      </w:pPr>
      <w:r w:rsidRPr="00965C71">
        <w:rPr>
          <w:noProof/>
          <w:lang w:val="en-US" w:eastAsia="en-US"/>
        </w:rPr>
        <w:drawing>
          <wp:inline distT="0" distB="0" distL="0" distR="0" wp14:anchorId="4769C0DC" wp14:editId="3F189DF9">
            <wp:extent cx="4921135" cy="2879387"/>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924302" cy="2881240"/>
                    </a:xfrm>
                    <a:prstGeom prst="rect">
                      <a:avLst/>
                    </a:prstGeom>
                    <a:noFill/>
                    <a:ln>
                      <a:noFill/>
                    </a:ln>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80"/>
        <w:gridCol w:w="2519"/>
        <w:gridCol w:w="18"/>
        <w:gridCol w:w="1203"/>
        <w:gridCol w:w="2573"/>
        <w:gridCol w:w="922"/>
      </w:tblGrid>
      <w:tr w:rsidR="00185608" w:rsidRPr="00965C71" w:rsidTr="00230FAA">
        <w:trPr>
          <w:trHeight w:val="565"/>
        </w:trPr>
        <w:tc>
          <w:tcPr>
            <w:tcW w:w="5000" w:type="pct"/>
            <w:gridSpan w:val="6"/>
            <w:shd w:val="clear" w:color="auto" w:fill="C6D9F1" w:themeFill="text2" w:themeFillTint="33"/>
            <w:tcMar>
              <w:left w:w="58" w:type="dxa"/>
              <w:right w:w="58" w:type="dxa"/>
            </w:tcMar>
            <w:vAlign w:val="center"/>
          </w:tcPr>
          <w:p w:rsidR="00185608" w:rsidRPr="00965C71" w:rsidRDefault="00185608" w:rsidP="00230FAA">
            <w:pPr>
              <w:keepNext/>
              <w:keepLines/>
              <w:tabs>
                <w:tab w:val="left" w:pos="1452"/>
              </w:tabs>
              <w:ind w:left="1701" w:hanging="1701"/>
              <w:rPr>
                <w:b/>
                <w:bCs/>
                <w:sz w:val="16"/>
                <w:szCs w:val="16"/>
              </w:rPr>
            </w:pPr>
            <w:r w:rsidRPr="00965C71">
              <w:rPr>
                <w:b/>
                <w:bCs/>
                <w:sz w:val="16"/>
                <w:szCs w:val="16"/>
              </w:rPr>
              <w:t>Resultado previsto:</w:t>
            </w:r>
            <w:r w:rsidRPr="00965C71">
              <w:rPr>
                <w:b/>
                <w:bCs/>
                <w:sz w:val="16"/>
                <w:szCs w:val="16"/>
              </w:rPr>
              <w:tab/>
            </w:r>
            <w:r w:rsidRPr="00965C71">
              <w:rPr>
                <w:bCs/>
                <w:sz w:val="16"/>
                <w:szCs w:val="16"/>
              </w:rPr>
              <w:t>III.1  Estrategias y planes nacionales de innovación y de P.I. que estén en sintonía con los objetivos nacionales de desarrollo</w:t>
            </w:r>
          </w:p>
        </w:tc>
      </w:tr>
      <w:tr w:rsidR="00185608" w:rsidRPr="00965C71" w:rsidTr="00230FAA">
        <w:tc>
          <w:tcPr>
            <w:tcW w:w="1074" w:type="pct"/>
            <w:shd w:val="clear" w:color="auto" w:fill="auto"/>
            <w:tcMar>
              <w:left w:w="58" w:type="dxa"/>
              <w:right w:w="58" w:type="dxa"/>
            </w:tcMar>
            <w:vAlign w:val="center"/>
          </w:tcPr>
          <w:p w:rsidR="00185608" w:rsidRPr="00965C71" w:rsidRDefault="00185608" w:rsidP="00230FAA">
            <w:pPr>
              <w:rPr>
                <w:b/>
                <w:bCs/>
                <w:sz w:val="16"/>
                <w:szCs w:val="16"/>
              </w:rPr>
            </w:pPr>
            <w:r w:rsidRPr="00965C71">
              <w:rPr>
                <w:b/>
                <w:bCs/>
                <w:sz w:val="16"/>
                <w:szCs w:val="16"/>
              </w:rPr>
              <w:t>Indicador de rendimiento</w:t>
            </w:r>
          </w:p>
        </w:tc>
        <w:tc>
          <w:tcPr>
            <w:tcW w:w="1377" w:type="pct"/>
            <w:gridSpan w:val="2"/>
            <w:shd w:val="clear" w:color="auto" w:fill="auto"/>
            <w:tcMar>
              <w:left w:w="58" w:type="dxa"/>
              <w:right w:w="58" w:type="dxa"/>
            </w:tcMar>
            <w:vAlign w:val="center"/>
          </w:tcPr>
          <w:p w:rsidR="00185608" w:rsidRPr="00965C71" w:rsidRDefault="00185608" w:rsidP="00230FAA">
            <w:pPr>
              <w:rPr>
                <w:b/>
                <w:bCs/>
                <w:sz w:val="16"/>
                <w:szCs w:val="16"/>
              </w:rPr>
            </w:pPr>
            <w:r w:rsidRPr="00965C71">
              <w:rPr>
                <w:b/>
                <w:bCs/>
                <w:sz w:val="16"/>
                <w:szCs w:val="16"/>
              </w:rPr>
              <w:t>Referencia de base</w:t>
            </w:r>
          </w:p>
        </w:tc>
        <w:tc>
          <w:tcPr>
            <w:tcW w:w="653" w:type="pct"/>
            <w:shd w:val="clear" w:color="auto" w:fill="auto"/>
            <w:tcMar>
              <w:top w:w="110" w:type="dxa"/>
              <w:left w:w="58" w:type="dxa"/>
              <w:right w:w="58" w:type="dxa"/>
            </w:tcMar>
            <w:vAlign w:val="center"/>
          </w:tcPr>
          <w:p w:rsidR="00185608" w:rsidRPr="00965C71" w:rsidRDefault="00185608" w:rsidP="00230FAA">
            <w:pPr>
              <w:tabs>
                <w:tab w:val="left" w:pos="290"/>
              </w:tabs>
              <w:rPr>
                <w:b/>
                <w:bCs/>
                <w:sz w:val="16"/>
                <w:szCs w:val="16"/>
              </w:rPr>
            </w:pPr>
            <w:r w:rsidRPr="00965C71">
              <w:rPr>
                <w:b/>
                <w:bCs/>
                <w:sz w:val="16"/>
                <w:szCs w:val="16"/>
              </w:rPr>
              <w:t>Objetivo</w:t>
            </w:r>
          </w:p>
        </w:tc>
        <w:tc>
          <w:tcPr>
            <w:tcW w:w="1396" w:type="pct"/>
            <w:shd w:val="clear" w:color="auto" w:fill="FFFFFF"/>
            <w:tcMar>
              <w:top w:w="110" w:type="dxa"/>
              <w:left w:w="58" w:type="dxa"/>
              <w:right w:w="58" w:type="dxa"/>
            </w:tcMar>
            <w:vAlign w:val="center"/>
          </w:tcPr>
          <w:p w:rsidR="00185608" w:rsidRPr="00965C71" w:rsidRDefault="00185608" w:rsidP="00230FAA">
            <w:pPr>
              <w:rPr>
                <w:b/>
                <w:bCs/>
                <w:sz w:val="16"/>
                <w:szCs w:val="16"/>
              </w:rPr>
            </w:pPr>
            <w:r w:rsidRPr="00965C71">
              <w:rPr>
                <w:b/>
                <w:bCs/>
                <w:sz w:val="16"/>
                <w:szCs w:val="16"/>
              </w:rPr>
              <w:t>Datos sobre el rendimiento</w:t>
            </w:r>
          </w:p>
        </w:tc>
        <w:tc>
          <w:tcPr>
            <w:tcW w:w="500" w:type="pct"/>
            <w:shd w:val="clear" w:color="auto" w:fill="auto"/>
            <w:tcMar>
              <w:top w:w="110" w:type="dxa"/>
              <w:left w:w="58" w:type="dxa"/>
              <w:right w:w="58" w:type="dxa"/>
            </w:tcMar>
            <w:vAlign w:val="center"/>
          </w:tcPr>
          <w:p w:rsidR="00185608" w:rsidRPr="00965C71" w:rsidRDefault="00185608" w:rsidP="00230FAA">
            <w:pPr>
              <w:keepNext/>
              <w:keepLines/>
              <w:jc w:val="center"/>
              <w:rPr>
                <w:b/>
                <w:bCs/>
                <w:sz w:val="16"/>
                <w:szCs w:val="16"/>
              </w:rPr>
            </w:pPr>
            <w:r w:rsidRPr="00965C71">
              <w:rPr>
                <w:b/>
                <w:bCs/>
                <w:sz w:val="16"/>
                <w:szCs w:val="16"/>
              </w:rPr>
              <w:t>Clave de colores</w:t>
            </w:r>
          </w:p>
        </w:tc>
      </w:tr>
      <w:tr w:rsidR="00185608" w:rsidRPr="00965C71" w:rsidTr="00230FAA">
        <w:trPr>
          <w:trHeight w:val="1911"/>
        </w:trPr>
        <w:tc>
          <w:tcPr>
            <w:tcW w:w="1074" w:type="pct"/>
            <w:shd w:val="clear" w:color="auto" w:fill="auto"/>
            <w:tcMar>
              <w:left w:w="58" w:type="dxa"/>
              <w:right w:w="58" w:type="dxa"/>
            </w:tcMar>
          </w:tcPr>
          <w:p w:rsidR="00185608" w:rsidRPr="00965C71" w:rsidRDefault="00185608" w:rsidP="00230FAA">
            <w:pPr>
              <w:ind w:right="176"/>
              <w:rPr>
                <w:sz w:val="16"/>
                <w:szCs w:val="16"/>
              </w:rPr>
            </w:pPr>
            <w:r w:rsidRPr="00965C71">
              <w:rPr>
                <w:sz w:val="16"/>
                <w:szCs w:val="16"/>
              </w:rPr>
              <w:t>N.º de estrategias nacionales de P.I. encaminadas a promover la creatividad, incluida la innovación</w:t>
            </w:r>
          </w:p>
        </w:tc>
        <w:tc>
          <w:tcPr>
            <w:tcW w:w="1377" w:type="pct"/>
            <w:gridSpan w:val="2"/>
            <w:shd w:val="clear" w:color="auto" w:fill="auto"/>
            <w:tcMar>
              <w:left w:w="58" w:type="dxa"/>
              <w:right w:w="58" w:type="dxa"/>
            </w:tcMar>
          </w:tcPr>
          <w:p w:rsidR="00185608" w:rsidRPr="00C44A83" w:rsidRDefault="00185608" w:rsidP="00230FAA">
            <w:pPr>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rPr>
                <w:color w:val="002060"/>
                <w:sz w:val="16"/>
                <w:szCs w:val="16"/>
              </w:rPr>
            </w:pPr>
            <w:r w:rsidRPr="00C44A83">
              <w:rPr>
                <w:color w:val="002060"/>
                <w:sz w:val="16"/>
                <w:szCs w:val="16"/>
              </w:rPr>
              <w:t>Labor iniciada en 6 países (Camerún, Jamaica, Rwanda, Serbia, Sri Lank</w:t>
            </w:r>
            <w:r w:rsidR="00B562A5">
              <w:rPr>
                <w:color w:val="002060"/>
                <w:sz w:val="16"/>
                <w:szCs w:val="16"/>
              </w:rPr>
              <w:t xml:space="preserve">a, Trinidad y Tabago) </w:t>
            </w:r>
          </w:p>
          <w:p w:rsidR="00185608" w:rsidRPr="00965C71" w:rsidRDefault="00185608" w:rsidP="00230FAA">
            <w:pPr>
              <w:rPr>
                <w:sz w:val="16"/>
                <w:szCs w:val="16"/>
              </w:rPr>
            </w:pPr>
          </w:p>
          <w:p w:rsidR="00185608" w:rsidRPr="00965C71" w:rsidRDefault="00185608" w:rsidP="00230FAA">
            <w:pPr>
              <w:ind w:right="176"/>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spacing w:after="60"/>
              <w:ind w:right="176"/>
              <w:rPr>
                <w:sz w:val="16"/>
                <w:szCs w:val="16"/>
              </w:rPr>
            </w:pPr>
            <w:r w:rsidRPr="00965C71">
              <w:rPr>
                <w:sz w:val="16"/>
                <w:szCs w:val="16"/>
              </w:rPr>
              <w:t>4 iniciadas (2014)</w:t>
            </w:r>
          </w:p>
        </w:tc>
        <w:tc>
          <w:tcPr>
            <w:tcW w:w="653" w:type="pct"/>
            <w:shd w:val="clear" w:color="auto" w:fill="auto"/>
            <w:tcMar>
              <w:top w:w="110" w:type="dxa"/>
              <w:left w:w="58" w:type="dxa"/>
              <w:right w:w="58" w:type="dxa"/>
            </w:tcMar>
          </w:tcPr>
          <w:p w:rsidR="00185608" w:rsidRPr="00965C71" w:rsidRDefault="00185608" w:rsidP="00230FAA">
            <w:pPr>
              <w:ind w:right="176"/>
              <w:rPr>
                <w:sz w:val="16"/>
                <w:szCs w:val="16"/>
              </w:rPr>
            </w:pPr>
            <w:r w:rsidRPr="00965C71">
              <w:rPr>
                <w:sz w:val="16"/>
                <w:szCs w:val="16"/>
              </w:rPr>
              <w:t>5 países</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 xml:space="preserve">Una estrategia nacional de P.I. encaminada a promover la creatividad, incluida la innovación (Albania) </w:t>
            </w:r>
          </w:p>
          <w:p w:rsidR="00185608" w:rsidRPr="00965C71" w:rsidRDefault="00185608" w:rsidP="00230FAA">
            <w:pPr>
              <w:rPr>
                <w:sz w:val="16"/>
                <w:szCs w:val="16"/>
              </w:rPr>
            </w:pPr>
          </w:p>
          <w:p w:rsidR="00185608" w:rsidRPr="00965C71" w:rsidRDefault="00185608" w:rsidP="00230FAA">
            <w:pPr>
              <w:rPr>
                <w:sz w:val="16"/>
                <w:szCs w:val="16"/>
              </w:rPr>
            </w:pPr>
            <w:r w:rsidRPr="00965C71">
              <w:rPr>
                <w:sz w:val="16"/>
                <w:szCs w:val="16"/>
              </w:rPr>
              <w:t>Iniciación de estrategias nacionales de P.I. en otros tres países (</w:t>
            </w:r>
            <w:r w:rsidR="00B562A5">
              <w:rPr>
                <w:sz w:val="16"/>
                <w:szCs w:val="16"/>
              </w:rPr>
              <w:t xml:space="preserve">Eslovaquia, </w:t>
            </w:r>
            <w:r w:rsidRPr="00965C71">
              <w:rPr>
                <w:sz w:val="16"/>
                <w:szCs w:val="16"/>
              </w:rPr>
              <w:t>Georgia, Kirguistán, Letonia)</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FF0000"/>
                <w:sz w:val="16"/>
                <w:szCs w:val="16"/>
              </w:rPr>
              <w:t>No avanza</w:t>
            </w:r>
          </w:p>
        </w:tc>
      </w:tr>
      <w:tr w:rsidR="00185608" w:rsidRPr="00965C71" w:rsidTr="00230FAA">
        <w:trPr>
          <w:trHeight w:val="565"/>
        </w:trPr>
        <w:tc>
          <w:tcPr>
            <w:tcW w:w="5000" w:type="pct"/>
            <w:gridSpan w:val="6"/>
            <w:shd w:val="clear" w:color="auto" w:fill="C6D9F1" w:themeFill="text2" w:themeFillTint="33"/>
            <w:tcMar>
              <w:left w:w="58" w:type="dxa"/>
              <w:right w:w="58" w:type="dxa"/>
            </w:tcMar>
            <w:vAlign w:val="center"/>
          </w:tcPr>
          <w:p w:rsidR="00185608" w:rsidRPr="00965C71" w:rsidRDefault="00185608" w:rsidP="00230FAA">
            <w:pPr>
              <w:keepNext/>
              <w:keepLines/>
              <w:tabs>
                <w:tab w:val="left" w:pos="1452"/>
              </w:tabs>
              <w:ind w:left="1701" w:hanging="1701"/>
              <w:rPr>
                <w:b/>
                <w:bCs/>
                <w:sz w:val="16"/>
                <w:szCs w:val="16"/>
              </w:rPr>
            </w:pPr>
            <w:r w:rsidRPr="00965C71">
              <w:rPr>
                <w:b/>
                <w:bCs/>
                <w:sz w:val="16"/>
                <w:szCs w:val="16"/>
              </w:rPr>
              <w:t>Resultado previsto:</w:t>
            </w:r>
            <w:r w:rsidRPr="00965C71">
              <w:rPr>
                <w:b/>
                <w:bCs/>
                <w:sz w:val="16"/>
                <w:szCs w:val="16"/>
              </w:rPr>
              <w:tab/>
            </w:r>
            <w:r w:rsidRPr="00965C71">
              <w:rPr>
                <w:bCs/>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185608" w:rsidRPr="00965C71" w:rsidTr="00230FAA">
        <w:tc>
          <w:tcPr>
            <w:tcW w:w="1074" w:type="pct"/>
            <w:shd w:val="clear" w:color="auto" w:fill="auto"/>
            <w:tcMar>
              <w:left w:w="58" w:type="dxa"/>
              <w:right w:w="58" w:type="dxa"/>
            </w:tcMar>
            <w:vAlign w:val="center"/>
          </w:tcPr>
          <w:p w:rsidR="00185608" w:rsidRPr="00965C71" w:rsidRDefault="00185608" w:rsidP="00230FAA">
            <w:pPr>
              <w:rPr>
                <w:b/>
                <w:bCs/>
                <w:sz w:val="16"/>
                <w:szCs w:val="16"/>
              </w:rPr>
            </w:pPr>
            <w:r w:rsidRPr="00965C71">
              <w:rPr>
                <w:b/>
                <w:bCs/>
                <w:sz w:val="16"/>
                <w:szCs w:val="16"/>
              </w:rPr>
              <w:t>Indicador de rendimiento</w:t>
            </w:r>
          </w:p>
        </w:tc>
        <w:tc>
          <w:tcPr>
            <w:tcW w:w="1377" w:type="pct"/>
            <w:gridSpan w:val="2"/>
            <w:shd w:val="clear" w:color="auto" w:fill="auto"/>
            <w:tcMar>
              <w:left w:w="58" w:type="dxa"/>
              <w:right w:w="58" w:type="dxa"/>
            </w:tcMar>
            <w:vAlign w:val="center"/>
          </w:tcPr>
          <w:p w:rsidR="00185608" w:rsidRPr="00965C71" w:rsidRDefault="00185608" w:rsidP="00230FAA">
            <w:pPr>
              <w:rPr>
                <w:b/>
                <w:bCs/>
                <w:sz w:val="16"/>
                <w:szCs w:val="16"/>
              </w:rPr>
            </w:pPr>
            <w:r w:rsidRPr="00965C71">
              <w:rPr>
                <w:b/>
                <w:bCs/>
                <w:sz w:val="16"/>
                <w:szCs w:val="16"/>
              </w:rPr>
              <w:t>Referencia de base</w:t>
            </w:r>
          </w:p>
        </w:tc>
        <w:tc>
          <w:tcPr>
            <w:tcW w:w="653" w:type="pct"/>
            <w:shd w:val="clear" w:color="auto" w:fill="auto"/>
            <w:tcMar>
              <w:top w:w="110" w:type="dxa"/>
              <w:left w:w="58" w:type="dxa"/>
              <w:right w:w="58" w:type="dxa"/>
            </w:tcMar>
            <w:vAlign w:val="center"/>
          </w:tcPr>
          <w:p w:rsidR="00185608" w:rsidRPr="00965C71" w:rsidRDefault="00185608" w:rsidP="00230FAA">
            <w:pPr>
              <w:rPr>
                <w:b/>
                <w:bCs/>
                <w:sz w:val="16"/>
                <w:szCs w:val="16"/>
              </w:rPr>
            </w:pPr>
            <w:r w:rsidRPr="00965C71">
              <w:rPr>
                <w:b/>
                <w:bCs/>
                <w:sz w:val="16"/>
                <w:szCs w:val="16"/>
              </w:rPr>
              <w:t>Objetivo</w:t>
            </w:r>
          </w:p>
        </w:tc>
        <w:tc>
          <w:tcPr>
            <w:tcW w:w="1396" w:type="pct"/>
            <w:shd w:val="clear" w:color="auto" w:fill="FFFFFF"/>
            <w:tcMar>
              <w:top w:w="110" w:type="dxa"/>
              <w:left w:w="58" w:type="dxa"/>
              <w:right w:w="58" w:type="dxa"/>
            </w:tcMar>
            <w:vAlign w:val="center"/>
          </w:tcPr>
          <w:p w:rsidR="00185608" w:rsidRPr="00965C71" w:rsidRDefault="00185608" w:rsidP="00230FAA">
            <w:pPr>
              <w:rPr>
                <w:b/>
                <w:bCs/>
                <w:sz w:val="16"/>
                <w:szCs w:val="16"/>
              </w:rPr>
            </w:pPr>
            <w:r w:rsidRPr="00965C71">
              <w:rPr>
                <w:b/>
                <w:bCs/>
                <w:sz w:val="16"/>
                <w:szCs w:val="16"/>
              </w:rPr>
              <w:t>Datos sobre el rendimiento</w:t>
            </w:r>
          </w:p>
        </w:tc>
        <w:tc>
          <w:tcPr>
            <w:tcW w:w="500" w:type="pct"/>
            <w:shd w:val="clear" w:color="auto" w:fill="auto"/>
            <w:tcMar>
              <w:top w:w="110" w:type="dxa"/>
              <w:left w:w="58" w:type="dxa"/>
              <w:right w:w="58" w:type="dxa"/>
            </w:tcMar>
            <w:vAlign w:val="center"/>
          </w:tcPr>
          <w:p w:rsidR="00185608" w:rsidRPr="00965C71" w:rsidRDefault="00185608" w:rsidP="00230FAA">
            <w:pPr>
              <w:keepNext/>
              <w:keepLines/>
              <w:jc w:val="center"/>
              <w:rPr>
                <w:b/>
                <w:bCs/>
                <w:sz w:val="16"/>
                <w:szCs w:val="16"/>
              </w:rPr>
            </w:pPr>
            <w:r w:rsidRPr="00965C71">
              <w:rPr>
                <w:b/>
                <w:bCs/>
                <w:sz w:val="16"/>
                <w:szCs w:val="16"/>
              </w:rPr>
              <w:t>Clave de colores</w:t>
            </w:r>
          </w:p>
        </w:tc>
      </w:tr>
      <w:tr w:rsidR="00185608" w:rsidRPr="00965C71" w:rsidTr="00230FAA">
        <w:trPr>
          <w:trHeight w:val="718"/>
        </w:trPr>
        <w:tc>
          <w:tcPr>
            <w:tcW w:w="1074" w:type="pct"/>
            <w:shd w:val="clear" w:color="auto" w:fill="auto"/>
            <w:tcMar>
              <w:left w:w="58" w:type="dxa"/>
              <w:right w:w="58" w:type="dxa"/>
            </w:tcMar>
          </w:tcPr>
          <w:p w:rsidR="00185608" w:rsidRPr="00965C71" w:rsidRDefault="00185608" w:rsidP="00230FAA">
            <w:pPr>
              <w:ind w:right="176"/>
              <w:rPr>
                <w:sz w:val="16"/>
                <w:szCs w:val="16"/>
              </w:rPr>
            </w:pPr>
            <w:r w:rsidRPr="00965C71">
              <w:rPr>
                <w:sz w:val="16"/>
                <w:szCs w:val="16"/>
              </w:rPr>
              <w:t>% de profesionales de la P.I. formados que utilizan en su trabajo las nuevas aptitudes adquiridas</w:t>
            </w:r>
          </w:p>
        </w:tc>
        <w:tc>
          <w:tcPr>
            <w:tcW w:w="1377" w:type="pct"/>
            <w:gridSpan w:val="2"/>
            <w:shd w:val="clear" w:color="auto" w:fill="auto"/>
            <w:tcMar>
              <w:left w:w="58" w:type="dxa"/>
              <w:right w:w="58" w:type="dxa"/>
            </w:tcMar>
          </w:tcPr>
          <w:p w:rsidR="00185608" w:rsidRPr="00C44A83" w:rsidRDefault="00185608" w:rsidP="00230FAA">
            <w:pPr>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rPr>
                <w:color w:val="002060"/>
                <w:sz w:val="16"/>
                <w:szCs w:val="16"/>
              </w:rPr>
            </w:pPr>
            <w:r w:rsidRPr="00C44A83">
              <w:rPr>
                <w:color w:val="002060"/>
                <w:sz w:val="16"/>
                <w:szCs w:val="16"/>
              </w:rPr>
              <w:t>77%</w:t>
            </w:r>
          </w:p>
          <w:p w:rsidR="00185608" w:rsidRPr="00965C71" w:rsidRDefault="00185608" w:rsidP="00230FAA">
            <w:pPr>
              <w:rPr>
                <w:sz w:val="16"/>
                <w:szCs w:val="16"/>
              </w:rPr>
            </w:pPr>
          </w:p>
          <w:p w:rsidR="00185608" w:rsidRPr="00965C71" w:rsidRDefault="00185608" w:rsidP="00230FAA">
            <w:pPr>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spacing w:after="60"/>
              <w:rPr>
                <w:sz w:val="16"/>
                <w:szCs w:val="16"/>
              </w:rPr>
            </w:pPr>
            <w:r w:rsidRPr="00965C71">
              <w:rPr>
                <w:sz w:val="16"/>
                <w:szCs w:val="16"/>
              </w:rPr>
              <w:t>&gt;60%</w:t>
            </w:r>
          </w:p>
        </w:tc>
        <w:tc>
          <w:tcPr>
            <w:tcW w:w="653" w:type="pct"/>
            <w:shd w:val="clear" w:color="auto" w:fill="auto"/>
            <w:tcMar>
              <w:top w:w="110" w:type="dxa"/>
              <w:left w:w="58" w:type="dxa"/>
              <w:right w:w="58" w:type="dxa"/>
            </w:tcMar>
          </w:tcPr>
          <w:p w:rsidR="00185608" w:rsidRPr="00945489" w:rsidRDefault="00185608" w:rsidP="00230FAA">
            <w:pPr>
              <w:rPr>
                <w:i/>
                <w:color w:val="002060"/>
                <w:sz w:val="16"/>
                <w:szCs w:val="16"/>
              </w:rPr>
            </w:pPr>
            <w:r w:rsidRPr="00945489">
              <w:rPr>
                <w:i/>
                <w:color w:val="002060"/>
                <w:sz w:val="16"/>
                <w:szCs w:val="16"/>
              </w:rPr>
              <w:t xml:space="preserve">Objetivo actualizado:  </w:t>
            </w:r>
          </w:p>
          <w:p w:rsidR="00185608" w:rsidRPr="00945489" w:rsidRDefault="00185608" w:rsidP="00230FAA">
            <w:pPr>
              <w:rPr>
                <w:color w:val="002060"/>
                <w:sz w:val="16"/>
                <w:szCs w:val="16"/>
              </w:rPr>
            </w:pPr>
            <w:r w:rsidRPr="00945489">
              <w:rPr>
                <w:color w:val="002060"/>
                <w:sz w:val="16"/>
                <w:szCs w:val="16"/>
              </w:rPr>
              <w:t>70%</w:t>
            </w:r>
          </w:p>
          <w:p w:rsidR="00185608" w:rsidRPr="00965C71" w:rsidRDefault="00185608" w:rsidP="00230FAA">
            <w:pPr>
              <w:rPr>
                <w:sz w:val="16"/>
                <w:szCs w:val="16"/>
              </w:rPr>
            </w:pPr>
          </w:p>
          <w:p w:rsidR="00185608" w:rsidRPr="00965C71" w:rsidRDefault="00185608" w:rsidP="00230FAA">
            <w:pPr>
              <w:rPr>
                <w:i/>
                <w:sz w:val="16"/>
                <w:szCs w:val="16"/>
              </w:rPr>
            </w:pPr>
            <w:r w:rsidRPr="00965C71">
              <w:rPr>
                <w:i/>
                <w:sz w:val="16"/>
                <w:szCs w:val="16"/>
              </w:rPr>
              <w:t xml:space="preserve">Objetivo original en el presupuesto 2016/17:  </w:t>
            </w:r>
          </w:p>
          <w:p w:rsidR="00185608" w:rsidRPr="00965C71" w:rsidRDefault="00185608" w:rsidP="00230FAA">
            <w:pPr>
              <w:rPr>
                <w:sz w:val="16"/>
                <w:szCs w:val="16"/>
              </w:rPr>
            </w:pPr>
            <w:r w:rsidRPr="00965C71">
              <w:rPr>
                <w:sz w:val="16"/>
                <w:szCs w:val="16"/>
              </w:rPr>
              <w:t>50%</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63%</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00B050"/>
                <w:sz w:val="16"/>
                <w:szCs w:val="16"/>
              </w:rPr>
              <w:t>Avanza</w:t>
            </w:r>
          </w:p>
        </w:tc>
      </w:tr>
      <w:tr w:rsidR="00185608" w:rsidRPr="00965C71" w:rsidTr="00230FAA">
        <w:trPr>
          <w:trHeight w:val="565"/>
        </w:trPr>
        <w:tc>
          <w:tcPr>
            <w:tcW w:w="5000" w:type="pct"/>
            <w:gridSpan w:val="6"/>
            <w:shd w:val="clear" w:color="auto" w:fill="C6D9F1" w:themeFill="text2" w:themeFillTint="33"/>
            <w:tcMar>
              <w:left w:w="58" w:type="dxa"/>
              <w:right w:w="58" w:type="dxa"/>
            </w:tcMar>
            <w:vAlign w:val="center"/>
          </w:tcPr>
          <w:p w:rsidR="00185608" w:rsidRPr="00965C71" w:rsidRDefault="00185608" w:rsidP="00230FAA">
            <w:pPr>
              <w:keepNext/>
              <w:keepLines/>
              <w:tabs>
                <w:tab w:val="left" w:pos="1452"/>
              </w:tabs>
              <w:ind w:left="1701" w:hanging="1701"/>
              <w:rPr>
                <w:b/>
                <w:bCs/>
                <w:sz w:val="16"/>
                <w:szCs w:val="16"/>
              </w:rPr>
            </w:pPr>
            <w:r w:rsidRPr="00965C71">
              <w:rPr>
                <w:b/>
                <w:bCs/>
                <w:sz w:val="16"/>
                <w:szCs w:val="16"/>
              </w:rPr>
              <w:lastRenderedPageBreak/>
              <w:t>Resultado previsto:</w:t>
            </w:r>
            <w:r w:rsidRPr="00965C71">
              <w:rPr>
                <w:b/>
                <w:bCs/>
                <w:sz w:val="16"/>
                <w:szCs w:val="16"/>
              </w:rPr>
              <w:tab/>
            </w:r>
            <w:r w:rsidRPr="00965C71">
              <w:rPr>
                <w:bCs/>
                <w:sz w:val="16"/>
                <w:szCs w:val="16"/>
              </w:rPr>
              <w:t>III.6  Mayor capacidad de las pymes para utilizar con éxito la P.I. con el fin de apoyar la innovación</w:t>
            </w:r>
          </w:p>
        </w:tc>
      </w:tr>
      <w:tr w:rsidR="00185608" w:rsidRPr="00965C71" w:rsidTr="00230FAA">
        <w:tc>
          <w:tcPr>
            <w:tcW w:w="1074" w:type="pct"/>
            <w:shd w:val="clear" w:color="auto" w:fill="auto"/>
            <w:tcMar>
              <w:left w:w="58" w:type="dxa"/>
              <w:right w:w="58" w:type="dxa"/>
            </w:tcMar>
            <w:vAlign w:val="center"/>
          </w:tcPr>
          <w:p w:rsidR="00185608" w:rsidRPr="00965C71" w:rsidRDefault="00185608" w:rsidP="00230FAA">
            <w:pPr>
              <w:keepNext/>
              <w:rPr>
                <w:b/>
                <w:bCs/>
                <w:sz w:val="16"/>
                <w:szCs w:val="16"/>
              </w:rPr>
            </w:pPr>
            <w:r w:rsidRPr="00965C71">
              <w:rPr>
                <w:b/>
                <w:bCs/>
                <w:sz w:val="16"/>
                <w:szCs w:val="16"/>
              </w:rPr>
              <w:t>Indicadores de rendimiento</w:t>
            </w:r>
          </w:p>
        </w:tc>
        <w:tc>
          <w:tcPr>
            <w:tcW w:w="1367" w:type="pct"/>
            <w:shd w:val="clear" w:color="auto" w:fill="auto"/>
            <w:tcMar>
              <w:left w:w="58" w:type="dxa"/>
              <w:right w:w="58" w:type="dxa"/>
            </w:tcMar>
            <w:vAlign w:val="center"/>
          </w:tcPr>
          <w:p w:rsidR="00185608" w:rsidRPr="00965C71" w:rsidRDefault="00185608" w:rsidP="00230FAA">
            <w:pPr>
              <w:keepNext/>
              <w:rPr>
                <w:b/>
                <w:bCs/>
                <w:sz w:val="16"/>
                <w:szCs w:val="16"/>
              </w:rPr>
            </w:pPr>
            <w:r w:rsidRPr="00965C71">
              <w:rPr>
                <w:b/>
                <w:bCs/>
                <w:sz w:val="16"/>
                <w:szCs w:val="16"/>
              </w:rPr>
              <w:t>Referencias de base</w:t>
            </w:r>
          </w:p>
        </w:tc>
        <w:tc>
          <w:tcPr>
            <w:tcW w:w="663" w:type="pct"/>
            <w:gridSpan w:val="2"/>
            <w:shd w:val="clear" w:color="auto" w:fill="auto"/>
            <w:tcMar>
              <w:top w:w="110" w:type="dxa"/>
              <w:left w:w="58" w:type="dxa"/>
              <w:right w:w="58" w:type="dxa"/>
            </w:tcMar>
            <w:vAlign w:val="center"/>
          </w:tcPr>
          <w:p w:rsidR="00185608" w:rsidRPr="00965C71" w:rsidRDefault="00185608" w:rsidP="00230FAA">
            <w:pPr>
              <w:keepNext/>
              <w:rPr>
                <w:b/>
                <w:bCs/>
                <w:sz w:val="16"/>
                <w:szCs w:val="16"/>
              </w:rPr>
            </w:pPr>
            <w:r w:rsidRPr="00965C71">
              <w:rPr>
                <w:b/>
                <w:bCs/>
                <w:sz w:val="16"/>
                <w:szCs w:val="16"/>
              </w:rPr>
              <w:t>Objetivos</w:t>
            </w:r>
          </w:p>
        </w:tc>
        <w:tc>
          <w:tcPr>
            <w:tcW w:w="1396" w:type="pct"/>
            <w:shd w:val="clear" w:color="auto" w:fill="FFFFFF"/>
            <w:tcMar>
              <w:top w:w="110" w:type="dxa"/>
              <w:left w:w="58" w:type="dxa"/>
              <w:right w:w="58" w:type="dxa"/>
            </w:tcMar>
            <w:vAlign w:val="center"/>
          </w:tcPr>
          <w:p w:rsidR="00185608" w:rsidRPr="00965C71" w:rsidRDefault="00185608" w:rsidP="00230FAA">
            <w:pPr>
              <w:keepNext/>
              <w:rPr>
                <w:b/>
                <w:bCs/>
                <w:sz w:val="16"/>
                <w:szCs w:val="16"/>
              </w:rPr>
            </w:pPr>
            <w:r w:rsidRPr="00965C71">
              <w:rPr>
                <w:b/>
                <w:bCs/>
                <w:sz w:val="16"/>
                <w:szCs w:val="16"/>
              </w:rPr>
              <w:t>Datos sobre el rendimiento</w:t>
            </w:r>
          </w:p>
        </w:tc>
        <w:tc>
          <w:tcPr>
            <w:tcW w:w="500" w:type="pct"/>
            <w:shd w:val="clear" w:color="auto" w:fill="auto"/>
            <w:tcMar>
              <w:top w:w="110" w:type="dxa"/>
              <w:left w:w="58" w:type="dxa"/>
              <w:right w:w="58" w:type="dxa"/>
            </w:tcMar>
            <w:vAlign w:val="center"/>
          </w:tcPr>
          <w:p w:rsidR="00185608" w:rsidRPr="00965C71" w:rsidRDefault="00185608" w:rsidP="00230FAA">
            <w:pPr>
              <w:keepNext/>
              <w:keepLines/>
              <w:jc w:val="center"/>
              <w:rPr>
                <w:b/>
                <w:bCs/>
                <w:sz w:val="16"/>
                <w:szCs w:val="16"/>
              </w:rPr>
            </w:pPr>
            <w:r w:rsidRPr="00965C71">
              <w:rPr>
                <w:b/>
                <w:bCs/>
                <w:sz w:val="16"/>
                <w:szCs w:val="16"/>
              </w:rPr>
              <w:t>Clave de colores</w:t>
            </w:r>
          </w:p>
        </w:tc>
      </w:tr>
      <w:tr w:rsidR="00185608" w:rsidRPr="00965C71" w:rsidTr="00230FAA">
        <w:trPr>
          <w:trHeight w:val="538"/>
        </w:trPr>
        <w:tc>
          <w:tcPr>
            <w:tcW w:w="1074" w:type="pct"/>
            <w:shd w:val="clear" w:color="auto" w:fill="auto"/>
            <w:tcMar>
              <w:left w:w="58" w:type="dxa"/>
              <w:right w:w="58" w:type="dxa"/>
            </w:tcMar>
          </w:tcPr>
          <w:p w:rsidR="00185608" w:rsidRPr="00965C71" w:rsidRDefault="00185608" w:rsidP="00230FAA">
            <w:pPr>
              <w:keepNext/>
              <w:ind w:right="176"/>
              <w:rPr>
                <w:sz w:val="16"/>
                <w:szCs w:val="16"/>
              </w:rPr>
            </w:pPr>
            <w:r w:rsidRPr="00965C71">
              <w:rPr>
                <w:sz w:val="16"/>
                <w:szCs w:val="16"/>
              </w:rPr>
              <w:t>N.º de suscripciones al Boletín para las pymes</w:t>
            </w:r>
          </w:p>
        </w:tc>
        <w:tc>
          <w:tcPr>
            <w:tcW w:w="1367" w:type="pct"/>
            <w:shd w:val="clear" w:color="auto" w:fill="auto"/>
            <w:tcMar>
              <w:left w:w="58" w:type="dxa"/>
              <w:right w:w="58" w:type="dxa"/>
            </w:tcMar>
          </w:tcPr>
          <w:p w:rsidR="00185608" w:rsidRPr="00C44A83" w:rsidRDefault="00185608" w:rsidP="00230FAA">
            <w:pPr>
              <w:keepNext/>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keepNext/>
              <w:jc w:val="both"/>
              <w:rPr>
                <w:color w:val="002060"/>
                <w:sz w:val="16"/>
                <w:szCs w:val="16"/>
                <w:lang w:bidi="th-TH"/>
              </w:rPr>
            </w:pPr>
            <w:r w:rsidRPr="00C44A83">
              <w:rPr>
                <w:color w:val="002060"/>
                <w:sz w:val="16"/>
                <w:szCs w:val="16"/>
                <w:lang w:bidi="th-TH"/>
              </w:rPr>
              <w:t>6.657 (2015)</w:t>
            </w:r>
            <w:r w:rsidRPr="00C44A83">
              <w:rPr>
                <w:rStyle w:val="FootnoteReference"/>
                <w:color w:val="002060"/>
                <w:lang w:bidi="th-TH"/>
              </w:rPr>
              <w:footnoteReference w:id="57"/>
            </w:r>
          </w:p>
          <w:p w:rsidR="00185608" w:rsidRPr="00965C71" w:rsidRDefault="00185608" w:rsidP="00230FAA">
            <w:pPr>
              <w:keepNext/>
              <w:rPr>
                <w:sz w:val="16"/>
                <w:szCs w:val="16"/>
              </w:rPr>
            </w:pPr>
          </w:p>
          <w:p w:rsidR="00185608" w:rsidRPr="00965C71" w:rsidRDefault="00185608" w:rsidP="00230FAA">
            <w:pPr>
              <w:keepNext/>
              <w:ind w:right="176"/>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keepNext/>
              <w:spacing w:after="240"/>
              <w:ind w:right="176"/>
              <w:rPr>
                <w:sz w:val="16"/>
                <w:szCs w:val="16"/>
              </w:rPr>
            </w:pPr>
            <w:r w:rsidRPr="00965C71">
              <w:rPr>
                <w:sz w:val="16"/>
                <w:szCs w:val="16"/>
              </w:rPr>
              <w:t>40.510 (2014)</w:t>
            </w:r>
          </w:p>
        </w:tc>
        <w:tc>
          <w:tcPr>
            <w:tcW w:w="663" w:type="pct"/>
            <w:gridSpan w:val="2"/>
            <w:shd w:val="clear" w:color="auto" w:fill="auto"/>
            <w:tcMar>
              <w:top w:w="110" w:type="dxa"/>
              <w:left w:w="58" w:type="dxa"/>
              <w:right w:w="58" w:type="dxa"/>
            </w:tcMar>
          </w:tcPr>
          <w:p w:rsidR="00185608" w:rsidRPr="00965C71" w:rsidRDefault="00185608" w:rsidP="00230FAA">
            <w:pPr>
              <w:keepNext/>
              <w:rPr>
                <w:sz w:val="16"/>
                <w:szCs w:val="16"/>
              </w:rPr>
            </w:pPr>
            <w:r w:rsidRPr="00965C71">
              <w:rPr>
                <w:sz w:val="16"/>
                <w:szCs w:val="16"/>
              </w:rPr>
              <w:t>10%</w:t>
            </w:r>
          </w:p>
        </w:tc>
        <w:tc>
          <w:tcPr>
            <w:tcW w:w="1396" w:type="pct"/>
            <w:shd w:val="clear" w:color="auto" w:fill="FFFFFF"/>
            <w:tcMar>
              <w:top w:w="110" w:type="dxa"/>
              <w:left w:w="58" w:type="dxa"/>
              <w:right w:w="58" w:type="dxa"/>
            </w:tcMar>
          </w:tcPr>
          <w:p w:rsidR="00185608" w:rsidRPr="00965C71" w:rsidRDefault="00185608" w:rsidP="00230FAA">
            <w:pPr>
              <w:pStyle w:val="FootnoteText"/>
              <w:keepNext/>
              <w:rPr>
                <w:sz w:val="16"/>
                <w:szCs w:val="16"/>
              </w:rPr>
            </w:pPr>
            <w:r w:rsidRPr="00965C71">
              <w:rPr>
                <w:sz w:val="16"/>
                <w:szCs w:val="16"/>
              </w:rPr>
              <w:t xml:space="preserve">En junio de 2015 se interrumpió la publicación del Boletín para las pymes tras el lanzamiento de la plataforma de los boletines electrónicos de noticias </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proofErr w:type="spellStart"/>
            <w:r w:rsidRPr="00965C71">
              <w:rPr>
                <w:b/>
                <w:sz w:val="16"/>
                <w:szCs w:val="16"/>
              </w:rPr>
              <w:t>Disconti</w:t>
            </w:r>
            <w:r w:rsidR="00B562A5">
              <w:rPr>
                <w:b/>
                <w:sz w:val="16"/>
                <w:szCs w:val="16"/>
              </w:rPr>
              <w:t>-</w:t>
            </w:r>
            <w:r w:rsidRPr="00965C71">
              <w:rPr>
                <w:b/>
                <w:sz w:val="16"/>
                <w:szCs w:val="16"/>
              </w:rPr>
              <w:t>nuado</w:t>
            </w:r>
            <w:proofErr w:type="spellEnd"/>
          </w:p>
        </w:tc>
      </w:tr>
      <w:tr w:rsidR="00185608" w:rsidRPr="00965C71" w:rsidTr="00230FAA">
        <w:trPr>
          <w:trHeight w:val="1159"/>
        </w:trPr>
        <w:tc>
          <w:tcPr>
            <w:tcW w:w="1074" w:type="pct"/>
            <w:shd w:val="clear" w:color="auto" w:fill="auto"/>
            <w:tcMar>
              <w:left w:w="58" w:type="dxa"/>
              <w:right w:w="58" w:type="dxa"/>
            </w:tcMar>
          </w:tcPr>
          <w:p w:rsidR="00185608" w:rsidRPr="00965C71" w:rsidRDefault="00185608" w:rsidP="00230FAA">
            <w:pPr>
              <w:keepNext/>
              <w:ind w:right="176"/>
              <w:rPr>
                <w:sz w:val="16"/>
                <w:szCs w:val="16"/>
              </w:rPr>
            </w:pPr>
            <w:r w:rsidRPr="00965C71">
              <w:rPr>
                <w:sz w:val="16"/>
                <w:szCs w:val="16"/>
              </w:rPr>
              <w:t>N.º de directrices y material sobre pymes descargado del sitio web</w:t>
            </w:r>
          </w:p>
        </w:tc>
        <w:tc>
          <w:tcPr>
            <w:tcW w:w="1367" w:type="pct"/>
            <w:shd w:val="clear" w:color="auto" w:fill="auto"/>
            <w:tcMar>
              <w:left w:w="58" w:type="dxa"/>
              <w:right w:w="58" w:type="dxa"/>
            </w:tcMar>
          </w:tcPr>
          <w:p w:rsidR="00185608" w:rsidRPr="00C44A83" w:rsidRDefault="00185608" w:rsidP="00230FAA">
            <w:pPr>
              <w:keepNext/>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keepNext/>
              <w:rPr>
                <w:color w:val="002060"/>
                <w:sz w:val="16"/>
                <w:szCs w:val="16"/>
                <w:lang w:bidi="th-TH"/>
              </w:rPr>
            </w:pPr>
            <w:r w:rsidRPr="00C44A83">
              <w:rPr>
                <w:color w:val="002060"/>
                <w:sz w:val="16"/>
                <w:szCs w:val="16"/>
                <w:lang w:bidi="th-TH"/>
              </w:rPr>
              <w:t>2015:</w:t>
            </w:r>
          </w:p>
          <w:p w:rsidR="00185608" w:rsidRPr="00C44A83" w:rsidRDefault="00185608" w:rsidP="00230FAA">
            <w:pPr>
              <w:keepNext/>
              <w:rPr>
                <w:color w:val="002060"/>
                <w:sz w:val="16"/>
                <w:szCs w:val="16"/>
                <w:lang w:bidi="th-TH"/>
              </w:rPr>
            </w:pPr>
            <w:r w:rsidRPr="00C44A83">
              <w:rPr>
                <w:color w:val="002060"/>
                <w:sz w:val="16"/>
                <w:szCs w:val="16"/>
                <w:lang w:bidi="th-TH"/>
              </w:rPr>
              <w:t xml:space="preserve">- N.º de descargas:  71.867 </w:t>
            </w:r>
          </w:p>
          <w:p w:rsidR="00185608" w:rsidRPr="00C44A83" w:rsidRDefault="00185608" w:rsidP="00230FAA">
            <w:pPr>
              <w:keepNext/>
              <w:rPr>
                <w:color w:val="002060"/>
                <w:sz w:val="16"/>
                <w:szCs w:val="16"/>
                <w:lang w:bidi="th-TH"/>
              </w:rPr>
            </w:pPr>
            <w:r w:rsidRPr="00C44A83">
              <w:rPr>
                <w:color w:val="002060"/>
                <w:sz w:val="16"/>
                <w:szCs w:val="16"/>
                <w:lang w:bidi="th-TH"/>
              </w:rPr>
              <w:t xml:space="preserve">- N.º de páginas vistas en el sitio web de pymes:  960.196 </w:t>
            </w:r>
          </w:p>
          <w:p w:rsidR="00185608" w:rsidRPr="00965C71" w:rsidRDefault="00185608" w:rsidP="00230FAA">
            <w:pPr>
              <w:keepNext/>
              <w:rPr>
                <w:sz w:val="16"/>
                <w:szCs w:val="16"/>
              </w:rPr>
            </w:pPr>
          </w:p>
          <w:p w:rsidR="00185608" w:rsidRPr="00965C71" w:rsidRDefault="00185608" w:rsidP="00230FAA">
            <w:pPr>
              <w:keepNext/>
              <w:ind w:right="176"/>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keepNext/>
              <w:ind w:right="176"/>
              <w:rPr>
                <w:sz w:val="16"/>
                <w:szCs w:val="16"/>
              </w:rPr>
            </w:pPr>
            <w:r w:rsidRPr="00965C71">
              <w:rPr>
                <w:sz w:val="16"/>
                <w:szCs w:val="16"/>
              </w:rPr>
              <w:t>2014:</w:t>
            </w:r>
          </w:p>
          <w:p w:rsidR="00185608" w:rsidRPr="00965C71" w:rsidRDefault="00185608" w:rsidP="00230FAA">
            <w:pPr>
              <w:keepNext/>
              <w:ind w:right="176"/>
              <w:rPr>
                <w:sz w:val="16"/>
                <w:szCs w:val="16"/>
              </w:rPr>
            </w:pPr>
            <w:r w:rsidRPr="00965C71">
              <w:rPr>
                <w:sz w:val="16"/>
                <w:szCs w:val="16"/>
              </w:rPr>
              <w:t>- N.º de descargas:  70.559</w:t>
            </w:r>
          </w:p>
          <w:p w:rsidR="00185608" w:rsidRPr="00965C71" w:rsidRDefault="00185608" w:rsidP="00BD70A6">
            <w:pPr>
              <w:ind w:right="176"/>
              <w:rPr>
                <w:sz w:val="16"/>
                <w:szCs w:val="16"/>
              </w:rPr>
            </w:pPr>
            <w:r w:rsidRPr="00965C71">
              <w:rPr>
                <w:sz w:val="16"/>
                <w:szCs w:val="16"/>
              </w:rPr>
              <w:t>- N.º de páginas vistas en el sitio web de pymes:  821.150</w:t>
            </w:r>
          </w:p>
        </w:tc>
        <w:tc>
          <w:tcPr>
            <w:tcW w:w="663" w:type="pct"/>
            <w:gridSpan w:val="2"/>
            <w:shd w:val="clear" w:color="auto" w:fill="auto"/>
            <w:tcMar>
              <w:top w:w="110" w:type="dxa"/>
              <w:left w:w="58" w:type="dxa"/>
              <w:right w:w="58" w:type="dxa"/>
            </w:tcMar>
          </w:tcPr>
          <w:p w:rsidR="00185608" w:rsidRPr="00965C71" w:rsidRDefault="00185608" w:rsidP="00230FAA">
            <w:pPr>
              <w:keepNext/>
              <w:ind w:right="176"/>
              <w:rPr>
                <w:sz w:val="16"/>
                <w:szCs w:val="16"/>
              </w:rPr>
            </w:pPr>
          </w:p>
          <w:p w:rsidR="00185608" w:rsidRPr="00965C71" w:rsidRDefault="00185608" w:rsidP="00230FAA">
            <w:pPr>
              <w:keepNext/>
              <w:ind w:right="176"/>
              <w:rPr>
                <w:sz w:val="16"/>
                <w:szCs w:val="16"/>
              </w:rPr>
            </w:pPr>
          </w:p>
          <w:p w:rsidR="00185608" w:rsidRPr="00965C71" w:rsidRDefault="00185608" w:rsidP="00230FAA">
            <w:pPr>
              <w:keepNext/>
              <w:ind w:right="176"/>
              <w:rPr>
                <w:sz w:val="16"/>
                <w:szCs w:val="16"/>
              </w:rPr>
            </w:pPr>
          </w:p>
          <w:p w:rsidR="00185608" w:rsidRPr="00965C71" w:rsidRDefault="00185608" w:rsidP="00230FAA">
            <w:pPr>
              <w:keepNext/>
              <w:ind w:right="176"/>
              <w:rPr>
                <w:sz w:val="16"/>
                <w:szCs w:val="16"/>
              </w:rPr>
            </w:pPr>
            <w:r w:rsidRPr="00965C71">
              <w:rPr>
                <w:sz w:val="16"/>
                <w:szCs w:val="16"/>
              </w:rPr>
              <w:t>10%</w:t>
            </w:r>
          </w:p>
          <w:p w:rsidR="00185608" w:rsidRPr="00965C71" w:rsidRDefault="00185608" w:rsidP="00230FAA">
            <w:pPr>
              <w:keepNext/>
              <w:ind w:right="176"/>
              <w:rPr>
                <w:sz w:val="16"/>
                <w:szCs w:val="16"/>
              </w:rPr>
            </w:pPr>
            <w:r w:rsidRPr="00965C71">
              <w:rPr>
                <w:sz w:val="16"/>
                <w:szCs w:val="16"/>
              </w:rPr>
              <w:t>10%</w:t>
            </w:r>
          </w:p>
        </w:tc>
        <w:tc>
          <w:tcPr>
            <w:tcW w:w="1396" w:type="pct"/>
            <w:shd w:val="clear" w:color="auto" w:fill="FFFFFF"/>
            <w:tcMar>
              <w:top w:w="110" w:type="dxa"/>
              <w:left w:w="58" w:type="dxa"/>
              <w:right w:w="58" w:type="dxa"/>
            </w:tcMar>
          </w:tcPr>
          <w:p w:rsidR="00185608" w:rsidRPr="00965C71" w:rsidRDefault="00185608" w:rsidP="00230FAA">
            <w:pPr>
              <w:keepNext/>
              <w:rPr>
                <w:sz w:val="16"/>
                <w:szCs w:val="16"/>
                <w:lang w:bidi="th-TH"/>
              </w:rPr>
            </w:pPr>
            <w:r w:rsidRPr="00965C71">
              <w:rPr>
                <w:sz w:val="16"/>
                <w:szCs w:val="16"/>
                <w:lang w:bidi="th-TH"/>
              </w:rPr>
              <w:t>- N.º de descargas:  58.733</w:t>
            </w:r>
            <w:r w:rsidRPr="00965C71">
              <w:rPr>
                <w:rStyle w:val="FootnoteReference"/>
                <w:lang w:bidi="th-TH"/>
              </w:rPr>
              <w:footnoteReference w:id="58"/>
            </w:r>
            <w:r w:rsidRPr="00965C71">
              <w:rPr>
                <w:sz w:val="16"/>
                <w:szCs w:val="16"/>
                <w:lang w:bidi="th-TH"/>
              </w:rPr>
              <w:t xml:space="preserve"> </w:t>
            </w:r>
          </w:p>
          <w:p w:rsidR="00185608" w:rsidRPr="00965C71" w:rsidRDefault="00185608" w:rsidP="00230FAA">
            <w:pPr>
              <w:keepNext/>
              <w:spacing w:after="60"/>
              <w:rPr>
                <w:rFonts w:ascii="Wingdings 3" w:hAnsi="Wingdings 3"/>
                <w:sz w:val="16"/>
                <w:szCs w:val="16"/>
                <w:lang w:bidi="th-TH"/>
              </w:rPr>
            </w:pPr>
            <w:r w:rsidRPr="00965C71">
              <w:rPr>
                <w:sz w:val="16"/>
                <w:szCs w:val="16"/>
                <w:lang w:bidi="th-TH"/>
              </w:rPr>
              <w:t>(-18% en comparación con 2015)</w:t>
            </w:r>
          </w:p>
          <w:p w:rsidR="00185608" w:rsidRPr="00965C71" w:rsidRDefault="00185608" w:rsidP="00230FAA">
            <w:pPr>
              <w:keepNext/>
              <w:rPr>
                <w:sz w:val="16"/>
                <w:szCs w:val="16"/>
                <w:lang w:bidi="th-TH"/>
              </w:rPr>
            </w:pPr>
            <w:r w:rsidRPr="00965C71">
              <w:rPr>
                <w:sz w:val="16"/>
                <w:szCs w:val="16"/>
                <w:lang w:bidi="th-TH"/>
              </w:rPr>
              <w:t>- N.º de páginas vistas en el sitio web de pymes:  1.144.629 (+19% en comparación con 2015)</w:t>
            </w:r>
          </w:p>
          <w:p w:rsidR="00185608" w:rsidRPr="00965C71" w:rsidRDefault="00185608" w:rsidP="00230FAA">
            <w:pPr>
              <w:keepNext/>
              <w:rPr>
                <w:sz w:val="16"/>
                <w:szCs w:val="16"/>
              </w:rPr>
            </w:pP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FF0000"/>
                <w:sz w:val="16"/>
                <w:szCs w:val="16"/>
              </w:rPr>
              <w:t>No avanza</w:t>
            </w:r>
          </w:p>
          <w:p w:rsidR="00185608" w:rsidRPr="00965C71" w:rsidRDefault="00185608" w:rsidP="00230FAA">
            <w:pPr>
              <w:keepNext/>
              <w:keepLines/>
              <w:jc w:val="center"/>
              <w:rPr>
                <w:sz w:val="16"/>
                <w:szCs w:val="16"/>
              </w:rPr>
            </w:pPr>
          </w:p>
          <w:p w:rsidR="00185608" w:rsidRPr="00965C71" w:rsidRDefault="00185608" w:rsidP="00230FAA">
            <w:pPr>
              <w:keepNext/>
              <w:keepLines/>
              <w:jc w:val="center"/>
              <w:rPr>
                <w:b/>
                <w:sz w:val="16"/>
                <w:szCs w:val="16"/>
              </w:rPr>
            </w:pPr>
            <w:r w:rsidRPr="00965C71">
              <w:rPr>
                <w:b/>
                <w:color w:val="00B050"/>
                <w:sz w:val="16"/>
                <w:szCs w:val="16"/>
              </w:rPr>
              <w:t>Avanza</w:t>
            </w:r>
          </w:p>
        </w:tc>
      </w:tr>
      <w:tr w:rsidR="00185608" w:rsidRPr="00965C71" w:rsidTr="00230FAA">
        <w:trPr>
          <w:trHeight w:val="1420"/>
        </w:trPr>
        <w:tc>
          <w:tcPr>
            <w:tcW w:w="1074" w:type="pct"/>
            <w:shd w:val="clear" w:color="auto" w:fill="auto"/>
            <w:tcMar>
              <w:left w:w="58" w:type="dxa"/>
              <w:right w:w="58" w:type="dxa"/>
            </w:tcMar>
          </w:tcPr>
          <w:p w:rsidR="00185608" w:rsidRPr="00965C71" w:rsidRDefault="00185608" w:rsidP="00230FAA">
            <w:pPr>
              <w:ind w:right="176"/>
              <w:rPr>
                <w:sz w:val="16"/>
                <w:szCs w:val="16"/>
              </w:rPr>
            </w:pPr>
            <w:r w:rsidRPr="00965C71">
              <w:rPr>
                <w:sz w:val="16"/>
                <w:szCs w:val="16"/>
              </w:rPr>
              <w:t>% de participantes en los programas de formación destinados a las instituciones de apoyo a las pymes que están satisfechos con el contenido y la organización de esos eventos</w:t>
            </w:r>
          </w:p>
        </w:tc>
        <w:tc>
          <w:tcPr>
            <w:tcW w:w="1367" w:type="pct"/>
            <w:shd w:val="clear" w:color="auto" w:fill="auto"/>
            <w:tcMar>
              <w:left w:w="58" w:type="dxa"/>
              <w:right w:w="58" w:type="dxa"/>
            </w:tcMar>
          </w:tcPr>
          <w:p w:rsidR="00185608" w:rsidRPr="00C44A83" w:rsidRDefault="00185608" w:rsidP="00230FAA">
            <w:pPr>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pStyle w:val="Default"/>
              <w:rPr>
                <w:color w:val="002060"/>
                <w:sz w:val="16"/>
                <w:szCs w:val="16"/>
                <w:lang w:val="es-ES"/>
              </w:rPr>
            </w:pPr>
            <w:r w:rsidRPr="00C44A83">
              <w:rPr>
                <w:color w:val="002060"/>
                <w:sz w:val="16"/>
                <w:szCs w:val="16"/>
                <w:lang w:val="es-ES"/>
              </w:rPr>
              <w:t>100% (46% muy satisfecho; 54% satisfecho)</w:t>
            </w:r>
          </w:p>
          <w:p w:rsidR="00185608" w:rsidRPr="00965C71" w:rsidRDefault="00185608" w:rsidP="00230FAA">
            <w:pPr>
              <w:rPr>
                <w:sz w:val="16"/>
                <w:szCs w:val="16"/>
              </w:rPr>
            </w:pPr>
          </w:p>
          <w:p w:rsidR="00185608" w:rsidRPr="00965C71" w:rsidRDefault="00185608" w:rsidP="00230FAA">
            <w:pPr>
              <w:ind w:right="176"/>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spacing w:after="120"/>
              <w:ind w:right="176"/>
              <w:rPr>
                <w:sz w:val="16"/>
                <w:szCs w:val="16"/>
              </w:rPr>
            </w:pPr>
            <w:r w:rsidRPr="00965C71">
              <w:rPr>
                <w:sz w:val="16"/>
                <w:szCs w:val="16"/>
              </w:rPr>
              <w:t>100%</w:t>
            </w:r>
          </w:p>
        </w:tc>
        <w:tc>
          <w:tcPr>
            <w:tcW w:w="663" w:type="pct"/>
            <w:gridSpan w:val="2"/>
            <w:shd w:val="clear" w:color="auto" w:fill="auto"/>
            <w:tcMar>
              <w:top w:w="110" w:type="dxa"/>
              <w:left w:w="58" w:type="dxa"/>
              <w:right w:w="58" w:type="dxa"/>
            </w:tcMar>
          </w:tcPr>
          <w:p w:rsidR="00185608" w:rsidRPr="00965C71" w:rsidRDefault="00185608" w:rsidP="00230FAA">
            <w:pPr>
              <w:ind w:right="176"/>
              <w:rPr>
                <w:sz w:val="16"/>
                <w:szCs w:val="16"/>
              </w:rPr>
            </w:pPr>
            <w:r w:rsidRPr="00965C71">
              <w:rPr>
                <w:sz w:val="16"/>
                <w:szCs w:val="16"/>
              </w:rPr>
              <w:t>90%</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90% (42% muy satisfecho; 48% satisfecho)</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00B050"/>
                <w:sz w:val="16"/>
                <w:szCs w:val="16"/>
              </w:rPr>
              <w:t>Avanza</w:t>
            </w:r>
          </w:p>
        </w:tc>
      </w:tr>
      <w:tr w:rsidR="00185608" w:rsidRPr="00965C71" w:rsidTr="00230FAA">
        <w:trPr>
          <w:trHeight w:val="997"/>
        </w:trPr>
        <w:tc>
          <w:tcPr>
            <w:tcW w:w="1074" w:type="pct"/>
            <w:shd w:val="clear" w:color="auto" w:fill="auto"/>
            <w:tcMar>
              <w:left w:w="58" w:type="dxa"/>
              <w:right w:w="58" w:type="dxa"/>
            </w:tcMar>
          </w:tcPr>
          <w:p w:rsidR="00185608" w:rsidRPr="00965C71" w:rsidRDefault="00185608" w:rsidP="00230FAA">
            <w:pPr>
              <w:ind w:right="176"/>
              <w:rPr>
                <w:sz w:val="16"/>
                <w:szCs w:val="16"/>
              </w:rPr>
            </w:pPr>
            <w:r w:rsidRPr="00965C71">
              <w:rPr>
                <w:sz w:val="16"/>
                <w:szCs w:val="16"/>
              </w:rPr>
              <w:t>% de instituciones de apoyo a las pymes que, tras haber recibido formación, suministran información y prestan servicios de asesoramiento sobre gestión de activos de P.I.</w:t>
            </w:r>
          </w:p>
        </w:tc>
        <w:tc>
          <w:tcPr>
            <w:tcW w:w="1367" w:type="pct"/>
            <w:shd w:val="clear" w:color="auto" w:fill="auto"/>
            <w:tcMar>
              <w:left w:w="58" w:type="dxa"/>
              <w:right w:w="58" w:type="dxa"/>
            </w:tcMar>
          </w:tcPr>
          <w:p w:rsidR="00185608" w:rsidRPr="00C44A83" w:rsidRDefault="00185608" w:rsidP="00230FAA">
            <w:pPr>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rPr>
                <w:color w:val="002060"/>
                <w:sz w:val="16"/>
                <w:szCs w:val="16"/>
              </w:rPr>
            </w:pPr>
            <w:r w:rsidRPr="00C44A83">
              <w:rPr>
                <w:color w:val="002060"/>
                <w:sz w:val="16"/>
                <w:szCs w:val="16"/>
              </w:rPr>
              <w:t xml:space="preserve">100%:  </w:t>
            </w:r>
          </w:p>
          <w:p w:rsidR="00185608" w:rsidRPr="00C44A83" w:rsidRDefault="00185608" w:rsidP="00230FAA">
            <w:pPr>
              <w:rPr>
                <w:color w:val="002060"/>
                <w:sz w:val="16"/>
                <w:szCs w:val="16"/>
              </w:rPr>
            </w:pPr>
            <w:r w:rsidRPr="00C44A83">
              <w:rPr>
                <w:color w:val="002060"/>
                <w:sz w:val="16"/>
                <w:szCs w:val="16"/>
              </w:rPr>
              <w:t>muy a menudo (48%);  a menudo (32%);  a veces (20%)</w:t>
            </w:r>
          </w:p>
          <w:p w:rsidR="00185608" w:rsidRPr="00965C71" w:rsidRDefault="00185608" w:rsidP="00230FAA">
            <w:pPr>
              <w:rPr>
                <w:sz w:val="16"/>
                <w:szCs w:val="16"/>
              </w:rPr>
            </w:pPr>
          </w:p>
          <w:p w:rsidR="00185608" w:rsidRPr="00965C71" w:rsidRDefault="00185608" w:rsidP="00230FAA">
            <w:pPr>
              <w:ind w:right="176"/>
              <w:rPr>
                <w:i/>
                <w:sz w:val="16"/>
                <w:szCs w:val="16"/>
                <w:lang w:bidi="th-TH"/>
              </w:rPr>
            </w:pPr>
            <w:r w:rsidRPr="00965C71">
              <w:rPr>
                <w:i/>
                <w:sz w:val="16"/>
                <w:szCs w:val="16"/>
                <w:lang w:bidi="th-TH"/>
              </w:rPr>
              <w:t xml:space="preserve">Referencia original en el presupuesto de 2016/17:  </w:t>
            </w:r>
          </w:p>
          <w:p w:rsidR="00185608" w:rsidRPr="00965C71" w:rsidRDefault="00185608" w:rsidP="00BD70A6">
            <w:pPr>
              <w:ind w:right="176"/>
              <w:rPr>
                <w:sz w:val="16"/>
                <w:szCs w:val="16"/>
              </w:rPr>
            </w:pPr>
            <w:r w:rsidRPr="00965C71">
              <w:rPr>
                <w:sz w:val="16"/>
                <w:szCs w:val="16"/>
              </w:rPr>
              <w:t>100%</w:t>
            </w:r>
          </w:p>
        </w:tc>
        <w:tc>
          <w:tcPr>
            <w:tcW w:w="663" w:type="pct"/>
            <w:gridSpan w:val="2"/>
            <w:shd w:val="clear" w:color="auto" w:fill="auto"/>
            <w:tcMar>
              <w:top w:w="110" w:type="dxa"/>
              <w:left w:w="58" w:type="dxa"/>
              <w:right w:w="58" w:type="dxa"/>
            </w:tcMar>
          </w:tcPr>
          <w:p w:rsidR="00185608" w:rsidRPr="00965C71" w:rsidRDefault="00185608" w:rsidP="00230FAA">
            <w:pPr>
              <w:ind w:right="176"/>
              <w:rPr>
                <w:sz w:val="16"/>
                <w:szCs w:val="16"/>
              </w:rPr>
            </w:pPr>
            <w:r w:rsidRPr="00965C71">
              <w:rPr>
                <w:sz w:val="16"/>
                <w:szCs w:val="16"/>
              </w:rPr>
              <w:t>80%</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100%</w:t>
            </w:r>
          </w:p>
          <w:p w:rsidR="00185608" w:rsidRPr="00965C71" w:rsidRDefault="00185608" w:rsidP="00230FAA">
            <w:pPr>
              <w:rPr>
                <w:sz w:val="16"/>
                <w:szCs w:val="16"/>
              </w:rPr>
            </w:pPr>
            <w:r w:rsidRPr="00965C71">
              <w:rPr>
                <w:sz w:val="16"/>
                <w:szCs w:val="16"/>
              </w:rPr>
              <w:t>Muy a menudo (80%); a menudo  (20%)</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00B050"/>
                <w:sz w:val="16"/>
                <w:szCs w:val="16"/>
              </w:rPr>
              <w:t>Avanza</w:t>
            </w:r>
          </w:p>
        </w:tc>
      </w:tr>
      <w:tr w:rsidR="00185608" w:rsidRPr="00965C71" w:rsidTr="00230FAA">
        <w:trPr>
          <w:trHeight w:val="1322"/>
        </w:trPr>
        <w:tc>
          <w:tcPr>
            <w:tcW w:w="1074" w:type="pct"/>
            <w:shd w:val="clear" w:color="auto" w:fill="auto"/>
            <w:tcMar>
              <w:left w:w="58" w:type="dxa"/>
              <w:right w:w="58" w:type="dxa"/>
            </w:tcMar>
          </w:tcPr>
          <w:p w:rsidR="00185608" w:rsidRPr="00965C71" w:rsidRDefault="00185608" w:rsidP="00BD70A6">
            <w:pPr>
              <w:ind w:right="176"/>
              <w:rPr>
                <w:sz w:val="16"/>
                <w:szCs w:val="16"/>
              </w:rPr>
            </w:pPr>
            <w:r w:rsidRPr="00965C71">
              <w:rPr>
                <w:sz w:val="16"/>
                <w:szCs w:val="16"/>
              </w:rPr>
              <w:t>% de participantes en programas de formación destinados a las instituciones de apoyo a las pymes que han adquirido mayores conocimientos y perfeccionado habilidades para su trabajo</w:t>
            </w:r>
          </w:p>
        </w:tc>
        <w:tc>
          <w:tcPr>
            <w:tcW w:w="1367" w:type="pct"/>
            <w:shd w:val="clear" w:color="auto" w:fill="auto"/>
            <w:tcMar>
              <w:left w:w="58" w:type="dxa"/>
              <w:right w:w="58" w:type="dxa"/>
            </w:tcMar>
          </w:tcPr>
          <w:p w:rsidR="00185608" w:rsidRPr="00965C71" w:rsidRDefault="00185608" w:rsidP="00230FAA">
            <w:pPr>
              <w:ind w:right="176"/>
              <w:rPr>
                <w:sz w:val="16"/>
                <w:szCs w:val="16"/>
              </w:rPr>
            </w:pPr>
            <w:r w:rsidRPr="00965C71">
              <w:rPr>
                <w:sz w:val="16"/>
                <w:szCs w:val="16"/>
              </w:rPr>
              <w:t xml:space="preserve">n.d. </w:t>
            </w:r>
          </w:p>
        </w:tc>
        <w:tc>
          <w:tcPr>
            <w:tcW w:w="663" w:type="pct"/>
            <w:gridSpan w:val="2"/>
            <w:shd w:val="clear" w:color="auto" w:fill="auto"/>
            <w:tcMar>
              <w:top w:w="110" w:type="dxa"/>
              <w:left w:w="58" w:type="dxa"/>
              <w:right w:w="58" w:type="dxa"/>
            </w:tcMar>
          </w:tcPr>
          <w:p w:rsidR="00185608" w:rsidRPr="00965C71" w:rsidRDefault="00185608" w:rsidP="00230FAA">
            <w:pPr>
              <w:ind w:right="176"/>
              <w:rPr>
                <w:sz w:val="16"/>
                <w:szCs w:val="16"/>
              </w:rPr>
            </w:pPr>
            <w:r w:rsidRPr="00965C71">
              <w:rPr>
                <w:sz w:val="16"/>
                <w:szCs w:val="16"/>
              </w:rPr>
              <w:t>50%</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No se dispone de datos.</w:t>
            </w:r>
          </w:p>
        </w:tc>
        <w:tc>
          <w:tcPr>
            <w:tcW w:w="500" w:type="pct"/>
            <w:shd w:val="clear" w:color="auto" w:fill="auto"/>
            <w:tcMar>
              <w:top w:w="110" w:type="dxa"/>
              <w:left w:w="58" w:type="dxa"/>
              <w:right w:w="58" w:type="dxa"/>
            </w:tcMar>
          </w:tcPr>
          <w:p w:rsidR="00185608" w:rsidRPr="00965C71" w:rsidRDefault="00185608" w:rsidP="005F5945">
            <w:pPr>
              <w:keepNext/>
              <w:keepLines/>
              <w:jc w:val="center"/>
              <w:rPr>
                <w:b/>
                <w:sz w:val="16"/>
                <w:szCs w:val="16"/>
              </w:rPr>
            </w:pPr>
            <w:r w:rsidRPr="00965C71">
              <w:rPr>
                <w:b/>
                <w:color w:val="0070C0"/>
                <w:sz w:val="16"/>
                <w:szCs w:val="16"/>
              </w:rPr>
              <w:t>No disponible en 2016</w:t>
            </w:r>
          </w:p>
        </w:tc>
      </w:tr>
      <w:tr w:rsidR="00185608" w:rsidRPr="00965C71" w:rsidTr="00230FAA">
        <w:trPr>
          <w:trHeight w:val="790"/>
        </w:trPr>
        <w:tc>
          <w:tcPr>
            <w:tcW w:w="1074" w:type="pct"/>
            <w:shd w:val="clear" w:color="auto" w:fill="auto"/>
            <w:tcMar>
              <w:left w:w="58" w:type="dxa"/>
              <w:right w:w="58" w:type="dxa"/>
            </w:tcMar>
          </w:tcPr>
          <w:p w:rsidR="00185608" w:rsidRPr="00965C71" w:rsidRDefault="00185608" w:rsidP="00230FAA">
            <w:pPr>
              <w:ind w:right="176"/>
              <w:rPr>
                <w:sz w:val="16"/>
                <w:szCs w:val="16"/>
              </w:rPr>
            </w:pPr>
            <w:r w:rsidRPr="00965C71">
              <w:rPr>
                <w:sz w:val="16"/>
                <w:szCs w:val="16"/>
              </w:rPr>
              <w:t>N.º de países que han establecido o perfeccionado programas de formación sobre P.I. para pymes</w:t>
            </w:r>
          </w:p>
        </w:tc>
        <w:tc>
          <w:tcPr>
            <w:tcW w:w="1367" w:type="pct"/>
            <w:shd w:val="clear" w:color="auto" w:fill="auto"/>
            <w:tcMar>
              <w:left w:w="58" w:type="dxa"/>
              <w:right w:w="58" w:type="dxa"/>
            </w:tcMar>
          </w:tcPr>
          <w:p w:rsidR="00185608" w:rsidRPr="00C44A83" w:rsidRDefault="00185608" w:rsidP="00230FAA">
            <w:pPr>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pStyle w:val="Default"/>
              <w:rPr>
                <w:color w:val="002060"/>
                <w:sz w:val="16"/>
                <w:szCs w:val="16"/>
                <w:lang w:val="es-ES"/>
              </w:rPr>
            </w:pPr>
            <w:r w:rsidRPr="00C44A83">
              <w:rPr>
                <w:color w:val="002060"/>
                <w:sz w:val="16"/>
                <w:szCs w:val="16"/>
                <w:lang w:val="es-ES"/>
              </w:rPr>
              <w:t xml:space="preserve">18 países/organizaciones regionales (en total) </w:t>
            </w:r>
          </w:p>
          <w:p w:rsidR="00185608" w:rsidRPr="00965C71" w:rsidRDefault="00185608" w:rsidP="00230FAA">
            <w:pPr>
              <w:rPr>
                <w:sz w:val="16"/>
                <w:szCs w:val="16"/>
              </w:rPr>
            </w:pPr>
          </w:p>
          <w:p w:rsidR="00185608" w:rsidRPr="00965C71" w:rsidRDefault="00185608" w:rsidP="00230FAA">
            <w:pPr>
              <w:ind w:right="176"/>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spacing w:after="120"/>
              <w:ind w:right="176"/>
              <w:rPr>
                <w:sz w:val="16"/>
                <w:szCs w:val="16"/>
              </w:rPr>
            </w:pPr>
            <w:r w:rsidRPr="00965C71">
              <w:rPr>
                <w:sz w:val="16"/>
                <w:szCs w:val="16"/>
              </w:rPr>
              <w:t>13</w:t>
            </w:r>
          </w:p>
        </w:tc>
        <w:tc>
          <w:tcPr>
            <w:tcW w:w="663" w:type="pct"/>
            <w:gridSpan w:val="2"/>
            <w:shd w:val="clear" w:color="auto" w:fill="auto"/>
            <w:tcMar>
              <w:top w:w="110" w:type="dxa"/>
              <w:left w:w="58" w:type="dxa"/>
              <w:right w:w="58" w:type="dxa"/>
            </w:tcMar>
          </w:tcPr>
          <w:p w:rsidR="00185608" w:rsidRPr="00965C71" w:rsidRDefault="00185608" w:rsidP="00230FAA">
            <w:pPr>
              <w:ind w:right="176"/>
              <w:rPr>
                <w:sz w:val="16"/>
                <w:szCs w:val="16"/>
              </w:rPr>
            </w:pPr>
            <w:r w:rsidRPr="00965C71">
              <w:rPr>
                <w:sz w:val="16"/>
                <w:szCs w:val="16"/>
              </w:rPr>
              <w:t>10 más</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 xml:space="preserve">Instituciones de cuatro  países (Republica del Irán, Federación de Rusia, Seychelles, Sudáfrica) indicaron que habían establecido o perfeccionado programas de formación y asistencia para pymes </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00B050"/>
                <w:sz w:val="16"/>
                <w:szCs w:val="16"/>
              </w:rPr>
              <w:t>Avanza</w:t>
            </w:r>
          </w:p>
        </w:tc>
      </w:tr>
      <w:tr w:rsidR="00185608" w:rsidRPr="00965C71" w:rsidTr="00230FAA">
        <w:trPr>
          <w:trHeight w:val="858"/>
        </w:trPr>
        <w:tc>
          <w:tcPr>
            <w:tcW w:w="1074" w:type="pct"/>
            <w:shd w:val="clear" w:color="auto" w:fill="auto"/>
            <w:tcMar>
              <w:left w:w="58" w:type="dxa"/>
              <w:right w:w="58" w:type="dxa"/>
            </w:tcMar>
          </w:tcPr>
          <w:p w:rsidR="00185608" w:rsidRPr="00965C71" w:rsidRDefault="00185608" w:rsidP="00230FAA">
            <w:pPr>
              <w:spacing w:after="120"/>
              <w:ind w:right="176"/>
              <w:rPr>
                <w:sz w:val="16"/>
                <w:szCs w:val="16"/>
              </w:rPr>
            </w:pPr>
            <w:r w:rsidRPr="00965C71">
              <w:rPr>
                <w:sz w:val="16"/>
                <w:szCs w:val="16"/>
              </w:rPr>
              <w:lastRenderedPageBreak/>
              <w:t>N.º de países que han elaborado o adoptado políticas de P.I. para pymes</w:t>
            </w:r>
          </w:p>
        </w:tc>
        <w:tc>
          <w:tcPr>
            <w:tcW w:w="1367" w:type="pct"/>
            <w:shd w:val="clear" w:color="auto" w:fill="auto"/>
            <w:tcMar>
              <w:left w:w="58" w:type="dxa"/>
              <w:right w:w="58" w:type="dxa"/>
            </w:tcMar>
          </w:tcPr>
          <w:p w:rsidR="00185608" w:rsidRPr="00965C71" w:rsidRDefault="00185608" w:rsidP="00230FAA">
            <w:pPr>
              <w:ind w:right="176"/>
              <w:rPr>
                <w:sz w:val="16"/>
                <w:szCs w:val="16"/>
              </w:rPr>
            </w:pPr>
            <w:r w:rsidRPr="00965C71">
              <w:rPr>
                <w:sz w:val="16"/>
                <w:szCs w:val="16"/>
              </w:rPr>
              <w:t>n.d.</w:t>
            </w:r>
          </w:p>
        </w:tc>
        <w:tc>
          <w:tcPr>
            <w:tcW w:w="663" w:type="pct"/>
            <w:gridSpan w:val="2"/>
            <w:shd w:val="clear" w:color="auto" w:fill="auto"/>
            <w:tcMar>
              <w:top w:w="110" w:type="dxa"/>
              <w:left w:w="58" w:type="dxa"/>
              <w:right w:w="58" w:type="dxa"/>
            </w:tcMar>
          </w:tcPr>
          <w:p w:rsidR="00185608" w:rsidRPr="00965C71" w:rsidRDefault="00185608" w:rsidP="00230FAA">
            <w:pPr>
              <w:ind w:right="176"/>
              <w:rPr>
                <w:sz w:val="16"/>
                <w:szCs w:val="16"/>
              </w:rPr>
            </w:pPr>
            <w:r w:rsidRPr="00965C71">
              <w:rPr>
                <w:sz w:val="16"/>
                <w:szCs w:val="16"/>
              </w:rPr>
              <w:t>5 países</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Ninguno</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FF0000"/>
                <w:sz w:val="16"/>
                <w:szCs w:val="16"/>
              </w:rPr>
              <w:t>No avanza</w:t>
            </w:r>
          </w:p>
        </w:tc>
      </w:tr>
      <w:tr w:rsidR="00185608" w:rsidRPr="00965C71" w:rsidTr="00230FAA">
        <w:trPr>
          <w:trHeight w:val="565"/>
        </w:trPr>
        <w:tc>
          <w:tcPr>
            <w:tcW w:w="5000" w:type="pct"/>
            <w:gridSpan w:val="6"/>
            <w:shd w:val="clear" w:color="auto" w:fill="C6D9F1" w:themeFill="text2" w:themeFillTint="33"/>
            <w:tcMar>
              <w:left w:w="58" w:type="dxa"/>
              <w:right w:w="58" w:type="dxa"/>
            </w:tcMar>
            <w:vAlign w:val="center"/>
          </w:tcPr>
          <w:p w:rsidR="00185608" w:rsidRPr="00965C71" w:rsidRDefault="00185608" w:rsidP="00230FAA">
            <w:pPr>
              <w:keepNext/>
              <w:keepLines/>
              <w:tabs>
                <w:tab w:val="left" w:pos="1452"/>
              </w:tabs>
              <w:ind w:left="1701" w:hanging="1701"/>
              <w:rPr>
                <w:b/>
                <w:bCs/>
                <w:sz w:val="16"/>
                <w:szCs w:val="16"/>
              </w:rPr>
            </w:pPr>
            <w:r w:rsidRPr="00965C71">
              <w:rPr>
                <w:b/>
                <w:bCs/>
                <w:sz w:val="16"/>
                <w:szCs w:val="16"/>
              </w:rPr>
              <w:t>Resultado previsto:</w:t>
            </w:r>
            <w:r w:rsidRPr="00965C71">
              <w:rPr>
                <w:b/>
                <w:bCs/>
                <w:sz w:val="16"/>
                <w:szCs w:val="16"/>
              </w:rPr>
              <w:tab/>
            </w:r>
            <w:r w:rsidRPr="00965C71">
              <w:rPr>
                <w:bCs/>
                <w:sz w:val="16"/>
                <w:szCs w:val="16"/>
              </w:rPr>
              <w:t>IV.2  Mejora del acceso y uso de información de P.I. por parte de instituciones de P.I. y el público para fomentar la innovación y la creatividad</w:t>
            </w:r>
          </w:p>
        </w:tc>
      </w:tr>
      <w:tr w:rsidR="00185608" w:rsidRPr="00965C71" w:rsidTr="00230FAA">
        <w:tc>
          <w:tcPr>
            <w:tcW w:w="1074" w:type="pct"/>
            <w:shd w:val="clear" w:color="auto" w:fill="auto"/>
            <w:tcMar>
              <w:left w:w="58" w:type="dxa"/>
              <w:right w:w="58" w:type="dxa"/>
            </w:tcMar>
            <w:vAlign w:val="center"/>
          </w:tcPr>
          <w:p w:rsidR="00185608" w:rsidRPr="00965C71" w:rsidRDefault="00185608" w:rsidP="00230FAA">
            <w:pPr>
              <w:rPr>
                <w:b/>
                <w:bCs/>
                <w:sz w:val="16"/>
                <w:szCs w:val="16"/>
              </w:rPr>
            </w:pPr>
            <w:r w:rsidRPr="00965C71">
              <w:rPr>
                <w:b/>
                <w:bCs/>
                <w:sz w:val="16"/>
                <w:szCs w:val="16"/>
              </w:rPr>
              <w:t>Indicadores de rendimiento</w:t>
            </w:r>
          </w:p>
        </w:tc>
        <w:tc>
          <w:tcPr>
            <w:tcW w:w="1377" w:type="pct"/>
            <w:gridSpan w:val="2"/>
            <w:shd w:val="clear" w:color="auto" w:fill="auto"/>
            <w:tcMar>
              <w:left w:w="58" w:type="dxa"/>
              <w:right w:w="58" w:type="dxa"/>
            </w:tcMar>
            <w:vAlign w:val="center"/>
          </w:tcPr>
          <w:p w:rsidR="00185608" w:rsidRPr="00965C71" w:rsidRDefault="00185608" w:rsidP="00230FAA">
            <w:pPr>
              <w:rPr>
                <w:b/>
                <w:bCs/>
                <w:sz w:val="16"/>
                <w:szCs w:val="16"/>
              </w:rPr>
            </w:pPr>
            <w:r w:rsidRPr="00965C71">
              <w:rPr>
                <w:b/>
                <w:bCs/>
                <w:sz w:val="16"/>
                <w:szCs w:val="16"/>
              </w:rPr>
              <w:t>Referencias de base</w:t>
            </w:r>
          </w:p>
        </w:tc>
        <w:tc>
          <w:tcPr>
            <w:tcW w:w="653" w:type="pct"/>
            <w:shd w:val="clear" w:color="auto" w:fill="auto"/>
            <w:tcMar>
              <w:top w:w="110" w:type="dxa"/>
              <w:left w:w="58" w:type="dxa"/>
              <w:right w:w="58" w:type="dxa"/>
            </w:tcMar>
            <w:vAlign w:val="center"/>
          </w:tcPr>
          <w:p w:rsidR="00185608" w:rsidRPr="00965C71" w:rsidRDefault="00185608" w:rsidP="00230FAA">
            <w:pPr>
              <w:rPr>
                <w:b/>
                <w:bCs/>
                <w:sz w:val="16"/>
                <w:szCs w:val="16"/>
              </w:rPr>
            </w:pPr>
            <w:r w:rsidRPr="00965C71">
              <w:rPr>
                <w:b/>
                <w:bCs/>
                <w:sz w:val="16"/>
                <w:szCs w:val="16"/>
              </w:rPr>
              <w:t>Objetivos</w:t>
            </w:r>
          </w:p>
        </w:tc>
        <w:tc>
          <w:tcPr>
            <w:tcW w:w="1396" w:type="pct"/>
            <w:shd w:val="clear" w:color="auto" w:fill="FFFFFF"/>
            <w:tcMar>
              <w:top w:w="110" w:type="dxa"/>
              <w:left w:w="58" w:type="dxa"/>
              <w:right w:w="58" w:type="dxa"/>
            </w:tcMar>
            <w:vAlign w:val="center"/>
          </w:tcPr>
          <w:p w:rsidR="00185608" w:rsidRPr="00965C71" w:rsidRDefault="00185608" w:rsidP="00230FAA">
            <w:pPr>
              <w:rPr>
                <w:b/>
                <w:bCs/>
                <w:sz w:val="16"/>
                <w:szCs w:val="16"/>
              </w:rPr>
            </w:pPr>
            <w:r w:rsidRPr="00965C71">
              <w:rPr>
                <w:b/>
                <w:bCs/>
                <w:sz w:val="16"/>
                <w:szCs w:val="16"/>
              </w:rPr>
              <w:t>Datos sobre el rendimiento</w:t>
            </w:r>
          </w:p>
        </w:tc>
        <w:tc>
          <w:tcPr>
            <w:tcW w:w="500" w:type="pct"/>
            <w:shd w:val="clear" w:color="auto" w:fill="auto"/>
            <w:tcMar>
              <w:top w:w="110" w:type="dxa"/>
              <w:left w:w="58" w:type="dxa"/>
              <w:right w:w="58" w:type="dxa"/>
            </w:tcMar>
            <w:vAlign w:val="center"/>
          </w:tcPr>
          <w:p w:rsidR="00185608" w:rsidRPr="00965C71" w:rsidRDefault="00185608" w:rsidP="00230FAA">
            <w:pPr>
              <w:keepNext/>
              <w:keepLines/>
              <w:jc w:val="center"/>
              <w:rPr>
                <w:b/>
                <w:bCs/>
                <w:sz w:val="16"/>
                <w:szCs w:val="16"/>
              </w:rPr>
            </w:pPr>
            <w:r w:rsidRPr="00965C71">
              <w:rPr>
                <w:b/>
                <w:bCs/>
                <w:sz w:val="16"/>
                <w:szCs w:val="16"/>
              </w:rPr>
              <w:t>Clave de colores</w:t>
            </w:r>
          </w:p>
        </w:tc>
      </w:tr>
      <w:tr w:rsidR="00185608" w:rsidRPr="00965C71" w:rsidTr="00230FAA">
        <w:trPr>
          <w:trHeight w:val="1109"/>
        </w:trPr>
        <w:tc>
          <w:tcPr>
            <w:tcW w:w="1074" w:type="pct"/>
            <w:shd w:val="clear" w:color="auto" w:fill="auto"/>
            <w:tcMar>
              <w:left w:w="58" w:type="dxa"/>
              <w:right w:w="58" w:type="dxa"/>
            </w:tcMar>
          </w:tcPr>
          <w:p w:rsidR="00185608" w:rsidRPr="00965C71" w:rsidRDefault="00185608" w:rsidP="00230FAA">
            <w:pPr>
              <w:rPr>
                <w:sz w:val="16"/>
                <w:szCs w:val="16"/>
              </w:rPr>
            </w:pPr>
            <w:r w:rsidRPr="00965C71">
              <w:rPr>
                <w:sz w:val="16"/>
                <w:szCs w:val="16"/>
              </w:rPr>
              <w:t>N.º de oficinas de transferencia de tecnología (OTT) que se han establecido o reforzado en universidades o instituciones de I+D en el marco del programa “Iniciativa Universitaria de la OMPI”</w:t>
            </w:r>
          </w:p>
        </w:tc>
        <w:tc>
          <w:tcPr>
            <w:tcW w:w="1377" w:type="pct"/>
            <w:gridSpan w:val="2"/>
            <w:shd w:val="clear" w:color="auto" w:fill="auto"/>
            <w:tcMar>
              <w:left w:w="58" w:type="dxa"/>
              <w:right w:w="58" w:type="dxa"/>
            </w:tcMar>
          </w:tcPr>
          <w:p w:rsidR="00185608" w:rsidRPr="00C44A83" w:rsidRDefault="00185608" w:rsidP="00230FAA">
            <w:pPr>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rPr>
                <w:color w:val="002060"/>
                <w:sz w:val="16"/>
                <w:szCs w:val="16"/>
              </w:rPr>
            </w:pPr>
            <w:r w:rsidRPr="00C44A83">
              <w:rPr>
                <w:color w:val="002060"/>
                <w:sz w:val="16"/>
                <w:szCs w:val="16"/>
              </w:rPr>
              <w:t>10 en 2014/15: Túnez (4); Filipinas (6)</w:t>
            </w:r>
          </w:p>
          <w:p w:rsidR="00185608" w:rsidRPr="00965C71" w:rsidRDefault="00185608" w:rsidP="00230FAA">
            <w:pPr>
              <w:rPr>
                <w:i/>
                <w:sz w:val="16"/>
                <w:szCs w:val="16"/>
                <w:lang w:bidi="th-TH"/>
              </w:rPr>
            </w:pPr>
          </w:p>
          <w:p w:rsidR="00185608" w:rsidRPr="00965C71" w:rsidRDefault="00185608" w:rsidP="00230FAA">
            <w:pPr>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rPr>
                <w:sz w:val="16"/>
                <w:szCs w:val="16"/>
              </w:rPr>
            </w:pPr>
            <w:r w:rsidRPr="00965C71">
              <w:rPr>
                <w:sz w:val="16"/>
                <w:szCs w:val="16"/>
              </w:rPr>
              <w:t>Por determinar</w:t>
            </w:r>
          </w:p>
        </w:tc>
        <w:tc>
          <w:tcPr>
            <w:tcW w:w="653" w:type="pct"/>
            <w:shd w:val="clear" w:color="auto" w:fill="auto"/>
            <w:tcMar>
              <w:top w:w="110" w:type="dxa"/>
              <w:left w:w="58" w:type="dxa"/>
              <w:right w:w="58" w:type="dxa"/>
            </w:tcMar>
          </w:tcPr>
          <w:p w:rsidR="00185608" w:rsidRPr="00945489" w:rsidRDefault="00185608" w:rsidP="00230FAA">
            <w:pPr>
              <w:rPr>
                <w:i/>
                <w:color w:val="002060"/>
                <w:sz w:val="16"/>
                <w:szCs w:val="16"/>
              </w:rPr>
            </w:pPr>
            <w:r w:rsidRPr="00945489">
              <w:rPr>
                <w:i/>
                <w:color w:val="002060"/>
                <w:sz w:val="16"/>
                <w:szCs w:val="16"/>
              </w:rPr>
              <w:t xml:space="preserve">Objetivo actualizado:  </w:t>
            </w:r>
          </w:p>
          <w:p w:rsidR="00185608" w:rsidRPr="00945489" w:rsidRDefault="00185608" w:rsidP="00230FAA">
            <w:pPr>
              <w:rPr>
                <w:color w:val="002060"/>
                <w:sz w:val="16"/>
                <w:szCs w:val="16"/>
              </w:rPr>
            </w:pPr>
            <w:r w:rsidRPr="00945489">
              <w:rPr>
                <w:color w:val="002060"/>
                <w:sz w:val="16"/>
                <w:szCs w:val="16"/>
              </w:rPr>
              <w:t>6 OTT adicionales (16 en total)</w:t>
            </w:r>
          </w:p>
          <w:p w:rsidR="00185608" w:rsidRPr="00965C71" w:rsidRDefault="00185608" w:rsidP="00230FAA">
            <w:pPr>
              <w:rPr>
                <w:sz w:val="16"/>
                <w:szCs w:val="16"/>
              </w:rPr>
            </w:pPr>
          </w:p>
          <w:p w:rsidR="00185608" w:rsidRPr="00965C71" w:rsidRDefault="00185608" w:rsidP="00230FAA">
            <w:pPr>
              <w:rPr>
                <w:i/>
                <w:sz w:val="16"/>
                <w:szCs w:val="16"/>
              </w:rPr>
            </w:pPr>
            <w:r w:rsidRPr="00965C71">
              <w:rPr>
                <w:i/>
                <w:sz w:val="16"/>
                <w:szCs w:val="16"/>
              </w:rPr>
              <w:t xml:space="preserve">Objetivo original en el presupuesto 2016/17:  </w:t>
            </w:r>
          </w:p>
          <w:p w:rsidR="00185608" w:rsidRPr="00965C71" w:rsidRDefault="00185608" w:rsidP="00230FAA">
            <w:pPr>
              <w:spacing w:after="240"/>
              <w:rPr>
                <w:sz w:val="16"/>
                <w:szCs w:val="16"/>
              </w:rPr>
            </w:pPr>
            <w:r w:rsidRPr="00965C71">
              <w:rPr>
                <w:sz w:val="16"/>
                <w:szCs w:val="16"/>
              </w:rPr>
              <w:t>6 OTT</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Se ha establecido una OTT en el Ministerio de Ciencias de Montenegro</w:t>
            </w:r>
          </w:p>
          <w:p w:rsidR="00185608" w:rsidRPr="00965C71" w:rsidRDefault="00185608" w:rsidP="00230FAA">
            <w:pPr>
              <w:rPr>
                <w:sz w:val="16"/>
                <w:szCs w:val="16"/>
              </w:rPr>
            </w:pPr>
          </w:p>
          <w:p w:rsidR="00185608" w:rsidRPr="00965C71" w:rsidRDefault="00185608" w:rsidP="00230FAA">
            <w:pPr>
              <w:rPr>
                <w:sz w:val="16"/>
                <w:szCs w:val="16"/>
              </w:rPr>
            </w:pPr>
            <w:r w:rsidRPr="00965C71">
              <w:rPr>
                <w:sz w:val="16"/>
                <w:szCs w:val="16"/>
              </w:rPr>
              <w:t>Se siguió avanzando en el proceso de consolidación de cuatro OTT en Túnez con el fin de que funcionaran de manera independiente y sostenible en 2016:</w:t>
            </w:r>
          </w:p>
          <w:p w:rsidR="00185608" w:rsidRPr="00965C71" w:rsidRDefault="00185608" w:rsidP="00185608">
            <w:pPr>
              <w:pStyle w:val="ListParagraph"/>
              <w:numPr>
                <w:ilvl w:val="0"/>
                <w:numId w:val="61"/>
              </w:numPr>
              <w:rPr>
                <w:sz w:val="16"/>
                <w:szCs w:val="16"/>
                <w:lang w:val="fr-FR"/>
              </w:rPr>
            </w:pPr>
            <w:r w:rsidRPr="00965C71">
              <w:rPr>
                <w:i/>
                <w:sz w:val="16"/>
                <w:szCs w:val="16"/>
                <w:lang w:val="fr-FR"/>
              </w:rPr>
              <w:t>Centre Technique de la Chimie (CTC)</w:t>
            </w:r>
          </w:p>
          <w:p w:rsidR="00185608" w:rsidRPr="00965C71" w:rsidRDefault="00185608" w:rsidP="00185608">
            <w:pPr>
              <w:pStyle w:val="ListParagraph"/>
              <w:numPr>
                <w:ilvl w:val="0"/>
                <w:numId w:val="61"/>
              </w:numPr>
              <w:rPr>
                <w:sz w:val="16"/>
                <w:szCs w:val="16"/>
                <w:lang w:val="es-ES"/>
              </w:rPr>
            </w:pPr>
            <w:r w:rsidRPr="00965C71">
              <w:rPr>
                <w:sz w:val="16"/>
                <w:szCs w:val="16"/>
                <w:lang w:val="es-ES"/>
              </w:rPr>
              <w:t>Parque tecnológico El Ghazala</w:t>
            </w:r>
          </w:p>
          <w:p w:rsidR="00185608" w:rsidRPr="00965C71" w:rsidRDefault="00185608" w:rsidP="00185608">
            <w:pPr>
              <w:pStyle w:val="ListParagraph"/>
              <w:numPr>
                <w:ilvl w:val="0"/>
                <w:numId w:val="61"/>
              </w:numPr>
              <w:rPr>
                <w:sz w:val="16"/>
                <w:szCs w:val="16"/>
                <w:lang w:val="es-ES"/>
              </w:rPr>
            </w:pPr>
            <w:r w:rsidRPr="00965C71">
              <w:rPr>
                <w:sz w:val="16"/>
                <w:szCs w:val="16"/>
                <w:lang w:val="es-ES"/>
              </w:rPr>
              <w:t>Packtec, centro técnico de embalaje</w:t>
            </w:r>
          </w:p>
          <w:p w:rsidR="00185608" w:rsidRPr="00965C71" w:rsidRDefault="00185608" w:rsidP="00185608">
            <w:pPr>
              <w:pStyle w:val="ListParagraph"/>
              <w:numPr>
                <w:ilvl w:val="0"/>
                <w:numId w:val="61"/>
              </w:numPr>
              <w:spacing w:after="120"/>
              <w:ind w:left="357" w:hanging="357"/>
              <w:rPr>
                <w:sz w:val="16"/>
                <w:szCs w:val="16"/>
                <w:lang w:val="es-ES"/>
              </w:rPr>
            </w:pPr>
            <w:r w:rsidRPr="00965C71">
              <w:rPr>
                <w:sz w:val="16"/>
                <w:szCs w:val="16"/>
                <w:lang w:val="es-ES"/>
              </w:rPr>
              <w:t>Parque tecnológico de Sidi Thabet (TST)</w:t>
            </w:r>
          </w:p>
        </w:tc>
        <w:tc>
          <w:tcPr>
            <w:tcW w:w="500" w:type="pct"/>
            <w:shd w:val="clear" w:color="auto" w:fill="auto"/>
            <w:tcMar>
              <w:top w:w="110" w:type="dxa"/>
              <w:left w:w="58" w:type="dxa"/>
              <w:right w:w="58" w:type="dxa"/>
            </w:tcMar>
          </w:tcPr>
          <w:p w:rsidR="00185608" w:rsidRPr="00965C71" w:rsidRDefault="00185608" w:rsidP="00230FAA">
            <w:pPr>
              <w:keepNext/>
              <w:keepLines/>
              <w:jc w:val="center"/>
              <w:rPr>
                <w:b/>
                <w:sz w:val="16"/>
                <w:szCs w:val="16"/>
              </w:rPr>
            </w:pPr>
            <w:r w:rsidRPr="00965C71">
              <w:rPr>
                <w:b/>
                <w:color w:val="FF0000"/>
                <w:sz w:val="16"/>
                <w:szCs w:val="16"/>
              </w:rPr>
              <w:t>No avanza</w:t>
            </w:r>
          </w:p>
        </w:tc>
      </w:tr>
      <w:tr w:rsidR="00185608" w:rsidRPr="00965C71" w:rsidTr="00230FAA">
        <w:trPr>
          <w:trHeight w:val="430"/>
        </w:trPr>
        <w:tc>
          <w:tcPr>
            <w:tcW w:w="1074" w:type="pct"/>
            <w:shd w:val="clear" w:color="auto" w:fill="auto"/>
            <w:tcMar>
              <w:left w:w="58" w:type="dxa"/>
              <w:right w:w="58" w:type="dxa"/>
            </w:tcMar>
          </w:tcPr>
          <w:p w:rsidR="00185608" w:rsidRPr="00965C71" w:rsidRDefault="00185608" w:rsidP="00230FAA">
            <w:pPr>
              <w:rPr>
                <w:sz w:val="16"/>
                <w:szCs w:val="16"/>
              </w:rPr>
            </w:pPr>
            <w:r w:rsidRPr="00965C71">
              <w:rPr>
                <w:sz w:val="16"/>
                <w:szCs w:val="16"/>
              </w:rPr>
              <w:t xml:space="preserve">N.º de universidades o instituciones de investigación que han desarrollado o mejorado sus políticas de P.I. </w:t>
            </w:r>
          </w:p>
        </w:tc>
        <w:tc>
          <w:tcPr>
            <w:tcW w:w="1377" w:type="pct"/>
            <w:gridSpan w:val="2"/>
            <w:shd w:val="clear" w:color="auto" w:fill="auto"/>
            <w:tcMar>
              <w:left w:w="58" w:type="dxa"/>
              <w:right w:w="58" w:type="dxa"/>
            </w:tcMar>
          </w:tcPr>
          <w:p w:rsidR="00185608" w:rsidRPr="00C44A83" w:rsidRDefault="00185608" w:rsidP="00230FAA">
            <w:pPr>
              <w:rPr>
                <w:i/>
                <w:color w:val="002060"/>
                <w:sz w:val="16"/>
                <w:szCs w:val="16"/>
              </w:rPr>
            </w:pPr>
            <w:r w:rsidRPr="00C44A83">
              <w:rPr>
                <w:i/>
                <w:color w:val="002060"/>
                <w:sz w:val="16"/>
                <w:szCs w:val="16"/>
              </w:rPr>
              <w:t xml:space="preserve">Referencia actualizada a fines de 2015:  </w:t>
            </w:r>
          </w:p>
          <w:p w:rsidR="00185608" w:rsidRPr="00C44A83" w:rsidRDefault="00185608" w:rsidP="00230FAA">
            <w:pPr>
              <w:rPr>
                <w:color w:val="002060"/>
                <w:sz w:val="16"/>
                <w:szCs w:val="16"/>
              </w:rPr>
            </w:pPr>
            <w:r w:rsidRPr="00C44A83">
              <w:rPr>
                <w:color w:val="002060"/>
                <w:sz w:val="16"/>
                <w:szCs w:val="16"/>
              </w:rPr>
              <w:t xml:space="preserve">436 universidades:  </w:t>
            </w:r>
          </w:p>
          <w:p w:rsidR="00185608" w:rsidRPr="00C44A83" w:rsidRDefault="00185608" w:rsidP="00185608">
            <w:pPr>
              <w:pStyle w:val="ListParagraph"/>
              <w:numPr>
                <w:ilvl w:val="0"/>
                <w:numId w:val="58"/>
              </w:numPr>
              <w:ind w:left="111" w:hanging="111"/>
              <w:rPr>
                <w:rFonts w:cs="Arial"/>
                <w:color w:val="002060"/>
                <w:sz w:val="16"/>
                <w:szCs w:val="16"/>
                <w:lang w:val="es-ES"/>
              </w:rPr>
            </w:pPr>
            <w:r w:rsidRPr="00C44A83">
              <w:rPr>
                <w:rFonts w:cs="Arial"/>
                <w:color w:val="002060"/>
                <w:sz w:val="16"/>
                <w:szCs w:val="16"/>
                <w:lang w:val="es-ES"/>
              </w:rPr>
              <w:t xml:space="preserve">Polonia (434) </w:t>
            </w:r>
          </w:p>
          <w:p w:rsidR="00185608" w:rsidRPr="00C44A83" w:rsidRDefault="00185608" w:rsidP="00185608">
            <w:pPr>
              <w:pStyle w:val="ListParagraph"/>
              <w:numPr>
                <w:ilvl w:val="0"/>
                <w:numId w:val="58"/>
              </w:numPr>
              <w:ind w:left="111" w:hanging="111"/>
              <w:rPr>
                <w:rFonts w:cs="Arial"/>
                <w:color w:val="002060"/>
                <w:sz w:val="16"/>
                <w:szCs w:val="16"/>
                <w:lang w:val="es-ES"/>
              </w:rPr>
            </w:pPr>
            <w:r w:rsidRPr="00C44A83">
              <w:rPr>
                <w:rFonts w:cs="Arial"/>
                <w:color w:val="002060"/>
                <w:sz w:val="16"/>
                <w:szCs w:val="16"/>
                <w:lang w:val="es-ES"/>
              </w:rPr>
              <w:t>Federación de Rusia (1)</w:t>
            </w:r>
          </w:p>
          <w:p w:rsidR="00185608" w:rsidRPr="00C44A83" w:rsidRDefault="00185608" w:rsidP="00185608">
            <w:pPr>
              <w:pStyle w:val="ListParagraph"/>
              <w:numPr>
                <w:ilvl w:val="0"/>
                <w:numId w:val="58"/>
              </w:numPr>
              <w:ind w:left="111" w:hanging="111"/>
              <w:rPr>
                <w:rFonts w:cs="Arial"/>
                <w:color w:val="002060"/>
                <w:sz w:val="16"/>
                <w:szCs w:val="16"/>
                <w:lang w:val="es-ES"/>
              </w:rPr>
            </w:pPr>
            <w:r w:rsidRPr="00C44A83">
              <w:rPr>
                <w:rFonts w:cs="Arial"/>
                <w:color w:val="002060"/>
                <w:sz w:val="16"/>
                <w:szCs w:val="16"/>
                <w:lang w:val="es-ES"/>
              </w:rPr>
              <w:t>Uzbekistán (1)</w:t>
            </w:r>
          </w:p>
          <w:p w:rsidR="00185608" w:rsidRPr="00965C71" w:rsidRDefault="00185608" w:rsidP="00230FAA">
            <w:pPr>
              <w:rPr>
                <w:sz w:val="16"/>
                <w:szCs w:val="16"/>
              </w:rPr>
            </w:pPr>
          </w:p>
          <w:p w:rsidR="00185608" w:rsidRPr="00965C71" w:rsidRDefault="00185608" w:rsidP="00230FAA">
            <w:pPr>
              <w:rPr>
                <w:i/>
                <w:sz w:val="16"/>
                <w:szCs w:val="16"/>
                <w:lang w:bidi="th-TH"/>
              </w:rPr>
            </w:pPr>
            <w:r w:rsidRPr="00965C71">
              <w:rPr>
                <w:i/>
                <w:sz w:val="16"/>
                <w:szCs w:val="16"/>
                <w:lang w:bidi="th-TH"/>
              </w:rPr>
              <w:t xml:space="preserve">Referencia original en el presupuesto de 2016/17:  </w:t>
            </w:r>
          </w:p>
          <w:p w:rsidR="00185608" w:rsidRPr="00965C71" w:rsidRDefault="00185608" w:rsidP="00230FAA">
            <w:pPr>
              <w:spacing w:after="240"/>
              <w:rPr>
                <w:sz w:val="16"/>
                <w:szCs w:val="16"/>
              </w:rPr>
            </w:pPr>
            <w:r w:rsidRPr="00965C71">
              <w:rPr>
                <w:sz w:val="16"/>
                <w:szCs w:val="16"/>
              </w:rPr>
              <w:t>150 universidades en países con economías en transición (2014)</w:t>
            </w:r>
          </w:p>
        </w:tc>
        <w:tc>
          <w:tcPr>
            <w:tcW w:w="653" w:type="pct"/>
            <w:shd w:val="clear" w:color="auto" w:fill="auto"/>
            <w:tcMar>
              <w:top w:w="110" w:type="dxa"/>
              <w:left w:w="58" w:type="dxa"/>
              <w:right w:w="58" w:type="dxa"/>
            </w:tcMar>
          </w:tcPr>
          <w:p w:rsidR="00185608" w:rsidRPr="00965C71" w:rsidRDefault="00185608" w:rsidP="00230FAA">
            <w:pPr>
              <w:rPr>
                <w:sz w:val="16"/>
                <w:szCs w:val="16"/>
              </w:rPr>
            </w:pPr>
            <w:r w:rsidRPr="00965C71">
              <w:rPr>
                <w:sz w:val="16"/>
                <w:szCs w:val="16"/>
              </w:rPr>
              <w:t>Otras 10 universidades</w:t>
            </w:r>
          </w:p>
        </w:tc>
        <w:tc>
          <w:tcPr>
            <w:tcW w:w="1396" w:type="pct"/>
            <w:shd w:val="clear" w:color="auto" w:fill="FFFFFF"/>
            <w:tcMar>
              <w:top w:w="110" w:type="dxa"/>
              <w:left w:w="58" w:type="dxa"/>
              <w:right w:w="58" w:type="dxa"/>
            </w:tcMar>
          </w:tcPr>
          <w:p w:rsidR="00185608" w:rsidRPr="00965C71" w:rsidRDefault="00185608" w:rsidP="00230FAA">
            <w:pPr>
              <w:rPr>
                <w:sz w:val="16"/>
                <w:szCs w:val="16"/>
              </w:rPr>
            </w:pPr>
            <w:r w:rsidRPr="00965C71">
              <w:rPr>
                <w:sz w:val="16"/>
                <w:szCs w:val="16"/>
              </w:rPr>
              <w:t>3 universidades o instituciones de investigación han elaborado políticas de P.I.:</w:t>
            </w:r>
          </w:p>
          <w:p w:rsidR="00185608" w:rsidRPr="00965C71" w:rsidRDefault="00185608" w:rsidP="00185608">
            <w:pPr>
              <w:pStyle w:val="ListParagraph"/>
              <w:numPr>
                <w:ilvl w:val="0"/>
                <w:numId w:val="59"/>
              </w:numPr>
              <w:rPr>
                <w:sz w:val="16"/>
                <w:szCs w:val="16"/>
                <w:lang w:val="es-ES"/>
              </w:rPr>
            </w:pPr>
            <w:r w:rsidRPr="00965C71">
              <w:rPr>
                <w:sz w:val="16"/>
                <w:szCs w:val="16"/>
                <w:lang w:val="es-ES"/>
              </w:rPr>
              <w:t>Universidad de Agricultura y Recursos Naturales (BUAN) (Botswana)</w:t>
            </w:r>
          </w:p>
          <w:p w:rsidR="00185608" w:rsidRPr="00965C71" w:rsidRDefault="00185608" w:rsidP="00185608">
            <w:pPr>
              <w:pStyle w:val="ListParagraph"/>
              <w:numPr>
                <w:ilvl w:val="0"/>
                <w:numId w:val="59"/>
              </w:numPr>
              <w:rPr>
                <w:sz w:val="16"/>
                <w:szCs w:val="16"/>
                <w:lang w:val="es-ES"/>
              </w:rPr>
            </w:pPr>
            <w:r w:rsidRPr="00965C71">
              <w:rPr>
                <w:i/>
                <w:sz w:val="16"/>
                <w:szCs w:val="16"/>
                <w:lang w:val="es-ES"/>
              </w:rPr>
              <w:t>Instituto Superior de Ciências e Tecnologia de Moçambique</w:t>
            </w:r>
            <w:r w:rsidRPr="00965C71">
              <w:rPr>
                <w:sz w:val="16"/>
                <w:szCs w:val="16"/>
                <w:lang w:val="es-ES"/>
              </w:rPr>
              <w:t xml:space="preserve"> (ISCTEM) (Mozambique)</w:t>
            </w:r>
          </w:p>
          <w:p w:rsidR="00185608" w:rsidRPr="00965C71" w:rsidRDefault="00185608" w:rsidP="00185608">
            <w:pPr>
              <w:pStyle w:val="ListParagraph"/>
              <w:numPr>
                <w:ilvl w:val="0"/>
                <w:numId w:val="59"/>
              </w:numPr>
              <w:rPr>
                <w:sz w:val="16"/>
                <w:szCs w:val="16"/>
                <w:lang w:val="es-ES"/>
              </w:rPr>
            </w:pPr>
            <w:r w:rsidRPr="00965C71">
              <w:rPr>
                <w:i/>
                <w:sz w:val="16"/>
                <w:szCs w:val="16"/>
                <w:lang w:val="es-ES"/>
              </w:rPr>
              <w:t>Universidade Eduardo Mondlane, Centro de Estudos sobre Direito de Integração Regional da SADC-CEDIR</w:t>
            </w:r>
            <w:r w:rsidRPr="00965C71">
              <w:rPr>
                <w:sz w:val="16"/>
                <w:szCs w:val="16"/>
                <w:lang w:val="es-ES"/>
              </w:rPr>
              <w:t xml:space="preserve"> (Mozambique); y</w:t>
            </w:r>
          </w:p>
          <w:p w:rsidR="00185608" w:rsidRPr="00965C71" w:rsidRDefault="00185608" w:rsidP="00230FAA">
            <w:pPr>
              <w:rPr>
                <w:sz w:val="16"/>
                <w:szCs w:val="16"/>
              </w:rPr>
            </w:pPr>
            <w:r w:rsidRPr="00965C71">
              <w:rPr>
                <w:sz w:val="16"/>
                <w:szCs w:val="16"/>
              </w:rPr>
              <w:t>4 universidades o instituciones de investigación han reforzado las políticas de P.I.:</w:t>
            </w:r>
          </w:p>
          <w:p w:rsidR="00185608" w:rsidRPr="00965C71" w:rsidRDefault="00185608" w:rsidP="00185608">
            <w:pPr>
              <w:pStyle w:val="ListParagraph"/>
              <w:numPr>
                <w:ilvl w:val="0"/>
                <w:numId w:val="59"/>
              </w:numPr>
              <w:rPr>
                <w:sz w:val="16"/>
                <w:szCs w:val="16"/>
                <w:lang w:val="es-ES"/>
              </w:rPr>
            </w:pPr>
            <w:r w:rsidRPr="00965C71">
              <w:rPr>
                <w:sz w:val="16"/>
                <w:szCs w:val="16"/>
                <w:lang w:val="es-ES"/>
              </w:rPr>
              <w:t>Universidad Estatal de Ilia (Georgia)</w:t>
            </w:r>
          </w:p>
          <w:p w:rsidR="00185608" w:rsidRPr="00965C71" w:rsidRDefault="00185608" w:rsidP="00185608">
            <w:pPr>
              <w:pStyle w:val="ListParagraph"/>
              <w:numPr>
                <w:ilvl w:val="0"/>
                <w:numId w:val="59"/>
              </w:numPr>
              <w:rPr>
                <w:sz w:val="16"/>
                <w:szCs w:val="16"/>
              </w:rPr>
            </w:pPr>
            <w:r w:rsidRPr="00965C71">
              <w:rPr>
                <w:i/>
                <w:sz w:val="16"/>
                <w:szCs w:val="16"/>
              </w:rPr>
              <w:t>Pavol Jozef Šafárik University</w:t>
            </w:r>
            <w:r w:rsidRPr="00965C71">
              <w:rPr>
                <w:sz w:val="16"/>
                <w:szCs w:val="16"/>
              </w:rPr>
              <w:t xml:space="preserve"> (Eslovaquia)</w:t>
            </w:r>
          </w:p>
          <w:p w:rsidR="00185608" w:rsidRPr="00965C71" w:rsidRDefault="00185608" w:rsidP="00185608">
            <w:pPr>
              <w:pStyle w:val="ListParagraph"/>
              <w:numPr>
                <w:ilvl w:val="0"/>
                <w:numId w:val="59"/>
              </w:numPr>
              <w:rPr>
                <w:sz w:val="16"/>
                <w:szCs w:val="16"/>
                <w:lang w:val="es-ES"/>
              </w:rPr>
            </w:pPr>
            <w:r w:rsidRPr="00965C71">
              <w:rPr>
                <w:sz w:val="16"/>
                <w:szCs w:val="16"/>
                <w:lang w:val="es-ES"/>
              </w:rPr>
              <w:t>Universidad Jagiellonian (Poland)</w:t>
            </w:r>
          </w:p>
          <w:p w:rsidR="00185608" w:rsidRPr="00965C71" w:rsidRDefault="00185608" w:rsidP="00185608">
            <w:pPr>
              <w:pStyle w:val="ListParagraph"/>
              <w:numPr>
                <w:ilvl w:val="0"/>
                <w:numId w:val="59"/>
              </w:numPr>
              <w:rPr>
                <w:sz w:val="16"/>
                <w:szCs w:val="16"/>
                <w:lang w:val="es-ES"/>
              </w:rPr>
            </w:pPr>
            <w:r w:rsidRPr="00965C71">
              <w:rPr>
                <w:sz w:val="16"/>
                <w:szCs w:val="16"/>
                <w:lang w:val="es-ES"/>
              </w:rPr>
              <w:t>Ministerio de Ciencias de Montenegro (Montenegro)</w:t>
            </w:r>
          </w:p>
          <w:p w:rsidR="00185608" w:rsidRPr="00965C71" w:rsidRDefault="00185608" w:rsidP="00230FAA">
            <w:pPr>
              <w:rPr>
                <w:sz w:val="16"/>
                <w:szCs w:val="16"/>
              </w:rPr>
            </w:pPr>
          </w:p>
          <w:p w:rsidR="00185608" w:rsidRPr="00965C71" w:rsidRDefault="00185608" w:rsidP="00230FAA">
            <w:pPr>
              <w:rPr>
                <w:sz w:val="16"/>
                <w:szCs w:val="16"/>
              </w:rPr>
            </w:pPr>
            <w:r w:rsidRPr="00965C71">
              <w:rPr>
                <w:sz w:val="16"/>
                <w:szCs w:val="16"/>
              </w:rPr>
              <w:t>(en total, 444 universidades o instituciones de investigación)</w:t>
            </w:r>
          </w:p>
        </w:tc>
        <w:tc>
          <w:tcPr>
            <w:tcW w:w="500" w:type="pct"/>
            <w:shd w:val="clear" w:color="auto" w:fill="auto"/>
            <w:tcMar>
              <w:top w:w="110" w:type="dxa"/>
              <w:left w:w="58" w:type="dxa"/>
              <w:right w:w="58" w:type="dxa"/>
            </w:tcMar>
          </w:tcPr>
          <w:p w:rsidR="00185608" w:rsidRPr="00965C71" w:rsidRDefault="00185608" w:rsidP="00230FAA">
            <w:pPr>
              <w:keepNext/>
              <w:keepLines/>
              <w:jc w:val="center"/>
              <w:rPr>
                <w:sz w:val="16"/>
                <w:szCs w:val="16"/>
              </w:rPr>
            </w:pPr>
            <w:r w:rsidRPr="00965C71">
              <w:rPr>
                <w:b/>
                <w:color w:val="00B050"/>
                <w:sz w:val="16"/>
                <w:szCs w:val="16"/>
              </w:rPr>
              <w:t>Avanza</w:t>
            </w:r>
          </w:p>
        </w:tc>
      </w:tr>
    </w:tbl>
    <w:p w:rsidR="00185608" w:rsidRPr="00965C71" w:rsidRDefault="00185608" w:rsidP="00230FAA">
      <w:pPr>
        <w:rPr>
          <w:sz w:val="20"/>
        </w:rPr>
      </w:pPr>
    </w:p>
    <w:p w:rsidR="00185608" w:rsidRPr="00965C71" w:rsidRDefault="00185608">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185608" w:rsidRPr="00965C71" w:rsidTr="00230FAA">
        <w:trPr>
          <w:trHeight w:val="423"/>
          <w:jc w:val="center"/>
        </w:trPr>
        <w:tc>
          <w:tcPr>
            <w:tcW w:w="9571" w:type="dxa"/>
            <w:shd w:val="clear" w:color="auto" w:fill="C6D9F1" w:themeFill="text2" w:themeFillTint="33"/>
            <w:vAlign w:val="center"/>
          </w:tcPr>
          <w:p w:rsidR="00185608" w:rsidRPr="00965C71" w:rsidRDefault="00185608" w:rsidP="00230FAA">
            <w:pPr>
              <w:keepNext/>
              <w:keepLines/>
              <w:jc w:val="center"/>
              <w:rPr>
                <w:b/>
                <w:sz w:val="20"/>
              </w:rPr>
            </w:pPr>
            <w:r w:rsidRPr="00965C71">
              <w:rPr>
                <w:b/>
                <w:sz w:val="20"/>
              </w:rPr>
              <w:lastRenderedPageBreak/>
              <w:t>Utilización de los recursos del programa 30</w:t>
            </w:r>
          </w:p>
        </w:tc>
      </w:tr>
    </w:tbl>
    <w:p w:rsidR="00185608" w:rsidRPr="00965C71" w:rsidRDefault="00185608" w:rsidP="00230FAA">
      <w:pPr>
        <w:keepNext/>
        <w:rPr>
          <w:sz w:val="20"/>
        </w:rPr>
      </w:pPr>
    </w:p>
    <w:p w:rsidR="00185608" w:rsidRPr="00965C71" w:rsidRDefault="00185608" w:rsidP="00230FAA">
      <w:pPr>
        <w:keepNext/>
        <w:keepLines/>
        <w:jc w:val="center"/>
        <w:rPr>
          <w:sz w:val="18"/>
          <w:szCs w:val="18"/>
        </w:rPr>
      </w:pPr>
      <w:r w:rsidRPr="00965C71">
        <w:rPr>
          <w:sz w:val="18"/>
          <w:szCs w:val="18"/>
        </w:rPr>
        <w:t>Presupuesto y gastos reales (por resultado)</w:t>
      </w:r>
    </w:p>
    <w:p w:rsidR="00185608" w:rsidRPr="00965C71" w:rsidRDefault="00185608" w:rsidP="00230FAA">
      <w:pPr>
        <w:keepNext/>
        <w:keepLines/>
        <w:jc w:val="center"/>
        <w:rPr>
          <w:i/>
          <w:iCs/>
          <w:sz w:val="16"/>
          <w:szCs w:val="16"/>
        </w:rPr>
      </w:pPr>
      <w:r w:rsidRPr="00965C71">
        <w:rPr>
          <w:i/>
          <w:iCs/>
          <w:sz w:val="16"/>
          <w:szCs w:val="16"/>
        </w:rPr>
        <w:t>(en miles de francos suizos)</w:t>
      </w:r>
    </w:p>
    <w:p w:rsidR="00185608" w:rsidRPr="00965C71" w:rsidRDefault="00185608" w:rsidP="00230FAA">
      <w:pPr>
        <w:keepNext/>
        <w:rPr>
          <w:sz w:val="20"/>
        </w:rPr>
      </w:pPr>
    </w:p>
    <w:tbl>
      <w:tblPr>
        <w:tblW w:w="8222" w:type="dxa"/>
        <w:jc w:val="center"/>
        <w:tblLook w:val="04A0" w:firstRow="1" w:lastRow="0" w:firstColumn="1" w:lastColumn="0" w:noHBand="0" w:noVBand="1"/>
      </w:tblPr>
      <w:tblGrid>
        <w:gridCol w:w="518"/>
        <w:gridCol w:w="4282"/>
        <w:gridCol w:w="1186"/>
        <w:gridCol w:w="1310"/>
        <w:gridCol w:w="1180"/>
      </w:tblGrid>
      <w:tr w:rsidR="00185608" w:rsidRPr="00965C71" w:rsidTr="00230FAA">
        <w:trPr>
          <w:trHeight w:val="825"/>
          <w:jc w:val="center"/>
        </w:trPr>
        <w:tc>
          <w:tcPr>
            <w:tcW w:w="4800" w:type="dxa"/>
            <w:gridSpan w:val="2"/>
            <w:tcBorders>
              <w:top w:val="nil"/>
              <w:left w:val="nil"/>
              <w:bottom w:val="nil"/>
              <w:right w:val="nil"/>
            </w:tcBorders>
            <w:shd w:val="clear" w:color="000000" w:fill="C5D9F1"/>
            <w:noWrap/>
            <w:vAlign w:val="center"/>
            <w:hideMark/>
          </w:tcPr>
          <w:p w:rsidR="00185608" w:rsidRPr="00965C71" w:rsidRDefault="00185608" w:rsidP="00230FAA">
            <w:pPr>
              <w:keepNext/>
              <w:jc w:val="center"/>
              <w:rPr>
                <w:b/>
                <w:bCs/>
                <w:sz w:val="16"/>
                <w:szCs w:val="16"/>
              </w:rPr>
            </w:pPr>
            <w:r w:rsidRPr="00965C71">
              <w:rPr>
                <w:b/>
                <w:bCs/>
                <w:sz w:val="16"/>
                <w:szCs w:val="16"/>
              </w:rPr>
              <w:t xml:space="preserve">Número del resultado previsto y descripción </w:t>
            </w:r>
          </w:p>
        </w:tc>
        <w:tc>
          <w:tcPr>
            <w:tcW w:w="1180" w:type="dxa"/>
            <w:tcBorders>
              <w:top w:val="nil"/>
              <w:left w:val="nil"/>
              <w:bottom w:val="nil"/>
              <w:right w:val="nil"/>
            </w:tcBorders>
            <w:shd w:val="clear" w:color="000000" w:fill="C5D9F1"/>
            <w:vAlign w:val="center"/>
            <w:hideMark/>
          </w:tcPr>
          <w:p w:rsidR="00185608" w:rsidRPr="00965C71" w:rsidRDefault="00185608" w:rsidP="00230FAA">
            <w:pPr>
              <w:keepNext/>
              <w:jc w:val="center"/>
              <w:rPr>
                <w:b/>
                <w:bCs/>
                <w:sz w:val="16"/>
                <w:szCs w:val="16"/>
              </w:rPr>
            </w:pPr>
            <w:r w:rsidRPr="00965C71">
              <w:rPr>
                <w:b/>
                <w:bCs/>
                <w:sz w:val="16"/>
                <w:szCs w:val="16"/>
              </w:rPr>
              <w:t xml:space="preserve"> Presupuesto aprobado de 2016/17 </w:t>
            </w:r>
          </w:p>
        </w:tc>
        <w:tc>
          <w:tcPr>
            <w:tcW w:w="1180" w:type="dxa"/>
            <w:tcBorders>
              <w:top w:val="nil"/>
              <w:left w:val="nil"/>
              <w:bottom w:val="nil"/>
              <w:right w:val="nil"/>
            </w:tcBorders>
            <w:shd w:val="clear" w:color="000000" w:fill="C5D9F1"/>
            <w:vAlign w:val="center"/>
            <w:hideMark/>
          </w:tcPr>
          <w:p w:rsidR="00185608" w:rsidRPr="00965C71" w:rsidRDefault="00185608" w:rsidP="00230FAA">
            <w:pPr>
              <w:keepNext/>
              <w:jc w:val="center"/>
              <w:rPr>
                <w:b/>
                <w:bCs/>
                <w:sz w:val="16"/>
                <w:szCs w:val="16"/>
              </w:rPr>
            </w:pPr>
            <w:r w:rsidRPr="00965C71">
              <w:rPr>
                <w:b/>
                <w:bCs/>
                <w:sz w:val="16"/>
                <w:szCs w:val="16"/>
              </w:rPr>
              <w:t xml:space="preserve"> Presupuesto de 2016/17 tras las transferencias </w:t>
            </w:r>
          </w:p>
        </w:tc>
        <w:tc>
          <w:tcPr>
            <w:tcW w:w="1180" w:type="dxa"/>
            <w:tcBorders>
              <w:top w:val="nil"/>
              <w:left w:val="nil"/>
              <w:bottom w:val="nil"/>
              <w:right w:val="nil"/>
            </w:tcBorders>
            <w:shd w:val="clear" w:color="000000" w:fill="C5D9F1"/>
            <w:vAlign w:val="center"/>
            <w:hideMark/>
          </w:tcPr>
          <w:p w:rsidR="00185608" w:rsidRPr="00965C71" w:rsidRDefault="00185608" w:rsidP="00230FAA">
            <w:pPr>
              <w:keepNext/>
              <w:jc w:val="center"/>
              <w:rPr>
                <w:b/>
                <w:bCs/>
                <w:sz w:val="16"/>
                <w:szCs w:val="16"/>
              </w:rPr>
            </w:pPr>
            <w:r w:rsidRPr="00965C71">
              <w:rPr>
                <w:b/>
                <w:bCs/>
                <w:sz w:val="16"/>
                <w:szCs w:val="16"/>
              </w:rPr>
              <w:t xml:space="preserve"> Gastos en 2016* </w:t>
            </w:r>
          </w:p>
        </w:tc>
      </w:tr>
      <w:tr w:rsidR="00185608" w:rsidRPr="00965C71" w:rsidTr="00230FAA">
        <w:trPr>
          <w:trHeight w:val="815"/>
          <w:jc w:val="center"/>
        </w:trPr>
        <w:tc>
          <w:tcPr>
            <w:tcW w:w="518" w:type="dxa"/>
            <w:tcBorders>
              <w:top w:val="nil"/>
              <w:left w:val="nil"/>
              <w:bottom w:val="nil"/>
              <w:right w:val="nil"/>
            </w:tcBorders>
            <w:shd w:val="clear" w:color="auto" w:fill="auto"/>
            <w:noWrap/>
            <w:vAlign w:val="center"/>
            <w:hideMark/>
          </w:tcPr>
          <w:p w:rsidR="00185608" w:rsidRPr="00965C71" w:rsidRDefault="00185608" w:rsidP="00230FAA">
            <w:pPr>
              <w:keepNext/>
              <w:rPr>
                <w:sz w:val="16"/>
                <w:szCs w:val="16"/>
              </w:rPr>
            </w:pPr>
            <w:r w:rsidRPr="00965C71">
              <w:rPr>
                <w:sz w:val="16"/>
                <w:szCs w:val="16"/>
              </w:rPr>
              <w:t>III.1</w:t>
            </w:r>
          </w:p>
        </w:tc>
        <w:tc>
          <w:tcPr>
            <w:tcW w:w="4282" w:type="dxa"/>
            <w:tcBorders>
              <w:top w:val="nil"/>
              <w:left w:val="nil"/>
              <w:bottom w:val="nil"/>
              <w:right w:val="nil"/>
            </w:tcBorders>
            <w:shd w:val="clear" w:color="auto" w:fill="auto"/>
            <w:vAlign w:val="center"/>
            <w:hideMark/>
          </w:tcPr>
          <w:p w:rsidR="00185608" w:rsidRPr="00965C71" w:rsidRDefault="00185608" w:rsidP="00230FAA">
            <w:pPr>
              <w:keepNext/>
              <w:rPr>
                <w:sz w:val="16"/>
                <w:szCs w:val="16"/>
              </w:rPr>
            </w:pPr>
            <w:r w:rsidRPr="00965C71">
              <w:rPr>
                <w:sz w:val="16"/>
                <w:szCs w:val="16"/>
              </w:rPr>
              <w:t>Estrategias y planes nacionales de innovación y de P.I. que estén en sintonía con los objetivos nacionales de desarrollo</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keepNext/>
              <w:jc w:val="center"/>
              <w:rPr>
                <w:sz w:val="16"/>
                <w:szCs w:val="16"/>
              </w:rPr>
            </w:pPr>
            <w:r w:rsidRPr="00965C71">
              <w:rPr>
                <w:sz w:val="16"/>
                <w:szCs w:val="16"/>
              </w:rPr>
              <w:t>1.020</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keepNext/>
              <w:jc w:val="center"/>
              <w:rPr>
                <w:sz w:val="16"/>
                <w:szCs w:val="16"/>
              </w:rPr>
            </w:pPr>
            <w:r w:rsidRPr="00965C71">
              <w:rPr>
                <w:sz w:val="16"/>
                <w:szCs w:val="16"/>
              </w:rPr>
              <w:t>895</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keepNext/>
              <w:jc w:val="center"/>
              <w:rPr>
                <w:sz w:val="16"/>
                <w:szCs w:val="16"/>
              </w:rPr>
            </w:pPr>
            <w:r w:rsidRPr="00965C71">
              <w:rPr>
                <w:sz w:val="16"/>
                <w:szCs w:val="16"/>
              </w:rPr>
              <w:t>402</w:t>
            </w:r>
          </w:p>
        </w:tc>
      </w:tr>
      <w:tr w:rsidR="00185608" w:rsidRPr="00965C71" w:rsidTr="00230FAA">
        <w:trPr>
          <w:trHeight w:val="842"/>
          <w:jc w:val="center"/>
        </w:trPr>
        <w:tc>
          <w:tcPr>
            <w:tcW w:w="518" w:type="dxa"/>
            <w:tcBorders>
              <w:top w:val="nil"/>
              <w:left w:val="nil"/>
              <w:bottom w:val="nil"/>
              <w:right w:val="nil"/>
            </w:tcBorders>
            <w:shd w:val="clear" w:color="auto" w:fill="auto"/>
            <w:noWrap/>
            <w:vAlign w:val="center"/>
            <w:hideMark/>
          </w:tcPr>
          <w:p w:rsidR="00185608" w:rsidRPr="00965C71" w:rsidRDefault="00185608" w:rsidP="00230FAA">
            <w:pPr>
              <w:rPr>
                <w:sz w:val="16"/>
                <w:szCs w:val="16"/>
              </w:rPr>
            </w:pPr>
            <w:r w:rsidRPr="00965C71">
              <w:rPr>
                <w:sz w:val="16"/>
                <w:szCs w:val="16"/>
              </w:rPr>
              <w:t>III.2</w:t>
            </w:r>
          </w:p>
        </w:tc>
        <w:tc>
          <w:tcPr>
            <w:tcW w:w="4282" w:type="dxa"/>
            <w:tcBorders>
              <w:top w:val="nil"/>
              <w:left w:val="nil"/>
              <w:bottom w:val="nil"/>
              <w:right w:val="nil"/>
            </w:tcBorders>
            <w:shd w:val="clear" w:color="auto" w:fill="auto"/>
            <w:vAlign w:val="center"/>
            <w:hideMark/>
          </w:tcPr>
          <w:p w:rsidR="00185608" w:rsidRPr="00965C71" w:rsidRDefault="00185608" w:rsidP="00230FAA">
            <w:pPr>
              <w:rPr>
                <w:sz w:val="16"/>
                <w:szCs w:val="16"/>
              </w:rPr>
            </w:pPr>
            <w:r w:rsidRPr="00965C71">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962</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746</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458</w:t>
            </w:r>
          </w:p>
        </w:tc>
      </w:tr>
      <w:tr w:rsidR="00185608" w:rsidRPr="00965C71" w:rsidTr="00230FAA">
        <w:trPr>
          <w:trHeight w:val="708"/>
          <w:jc w:val="center"/>
        </w:trPr>
        <w:tc>
          <w:tcPr>
            <w:tcW w:w="518" w:type="dxa"/>
            <w:tcBorders>
              <w:top w:val="nil"/>
              <w:left w:val="nil"/>
              <w:bottom w:val="nil"/>
              <w:right w:val="nil"/>
            </w:tcBorders>
            <w:shd w:val="clear" w:color="auto" w:fill="auto"/>
            <w:noWrap/>
            <w:vAlign w:val="center"/>
            <w:hideMark/>
          </w:tcPr>
          <w:p w:rsidR="00185608" w:rsidRPr="00965C71" w:rsidRDefault="00185608" w:rsidP="00230FAA">
            <w:pPr>
              <w:rPr>
                <w:sz w:val="16"/>
                <w:szCs w:val="16"/>
              </w:rPr>
            </w:pPr>
            <w:r w:rsidRPr="00965C71">
              <w:rPr>
                <w:sz w:val="16"/>
                <w:szCs w:val="16"/>
              </w:rPr>
              <w:t>III.6</w:t>
            </w:r>
          </w:p>
        </w:tc>
        <w:tc>
          <w:tcPr>
            <w:tcW w:w="4282" w:type="dxa"/>
            <w:tcBorders>
              <w:top w:val="nil"/>
              <w:left w:val="nil"/>
              <w:bottom w:val="nil"/>
              <w:right w:val="nil"/>
            </w:tcBorders>
            <w:shd w:val="clear" w:color="auto" w:fill="auto"/>
            <w:vAlign w:val="center"/>
            <w:hideMark/>
          </w:tcPr>
          <w:p w:rsidR="00185608" w:rsidRPr="00965C71" w:rsidRDefault="00185608" w:rsidP="00230FAA">
            <w:pPr>
              <w:rPr>
                <w:sz w:val="16"/>
                <w:szCs w:val="16"/>
              </w:rPr>
            </w:pPr>
            <w:r w:rsidRPr="00965C71">
              <w:rPr>
                <w:sz w:val="16"/>
                <w:szCs w:val="16"/>
              </w:rPr>
              <w:t>Mayor capacidad de las pymes para utilizar con éxito la P.I. con el fin de apoyar la innovación</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3.125</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3.100</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1.369</w:t>
            </w:r>
          </w:p>
        </w:tc>
      </w:tr>
      <w:tr w:rsidR="00185608" w:rsidRPr="00965C71" w:rsidTr="00230FAA">
        <w:trPr>
          <w:trHeight w:val="819"/>
          <w:jc w:val="center"/>
        </w:trPr>
        <w:tc>
          <w:tcPr>
            <w:tcW w:w="518" w:type="dxa"/>
            <w:tcBorders>
              <w:top w:val="nil"/>
              <w:left w:val="nil"/>
              <w:bottom w:val="nil"/>
              <w:right w:val="nil"/>
            </w:tcBorders>
            <w:shd w:val="clear" w:color="auto" w:fill="auto"/>
            <w:noWrap/>
            <w:vAlign w:val="center"/>
            <w:hideMark/>
          </w:tcPr>
          <w:p w:rsidR="00185608" w:rsidRPr="00965C71" w:rsidRDefault="00185608" w:rsidP="00230FAA">
            <w:pPr>
              <w:rPr>
                <w:sz w:val="16"/>
                <w:szCs w:val="16"/>
              </w:rPr>
            </w:pPr>
            <w:r w:rsidRPr="00965C71">
              <w:rPr>
                <w:sz w:val="16"/>
                <w:szCs w:val="16"/>
              </w:rPr>
              <w:t>IV.2</w:t>
            </w:r>
          </w:p>
        </w:tc>
        <w:tc>
          <w:tcPr>
            <w:tcW w:w="4282" w:type="dxa"/>
            <w:tcBorders>
              <w:top w:val="nil"/>
              <w:left w:val="nil"/>
              <w:bottom w:val="nil"/>
              <w:right w:val="nil"/>
            </w:tcBorders>
            <w:shd w:val="clear" w:color="auto" w:fill="auto"/>
            <w:vAlign w:val="center"/>
            <w:hideMark/>
          </w:tcPr>
          <w:p w:rsidR="00185608" w:rsidRPr="00965C71" w:rsidRDefault="00185608" w:rsidP="00230FAA">
            <w:pPr>
              <w:rPr>
                <w:sz w:val="16"/>
                <w:szCs w:val="16"/>
              </w:rPr>
            </w:pPr>
            <w:r w:rsidRPr="00965C71">
              <w:rPr>
                <w:sz w:val="16"/>
                <w:szCs w:val="16"/>
              </w:rPr>
              <w:t>Mejora del acceso y uso de información de P.I. por parte de instituciones de P.I. y el público para fomentar la innovación y la creatividad</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976</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1.521</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jc w:val="center"/>
              <w:rPr>
                <w:sz w:val="16"/>
                <w:szCs w:val="16"/>
              </w:rPr>
            </w:pPr>
            <w:r w:rsidRPr="00965C71">
              <w:rPr>
                <w:sz w:val="16"/>
                <w:szCs w:val="16"/>
              </w:rPr>
              <w:t>629</w:t>
            </w:r>
          </w:p>
        </w:tc>
      </w:tr>
      <w:tr w:rsidR="00185608" w:rsidRPr="00965C71" w:rsidTr="00230FAA">
        <w:trPr>
          <w:trHeight w:val="225"/>
          <w:jc w:val="center"/>
        </w:trPr>
        <w:tc>
          <w:tcPr>
            <w:tcW w:w="518" w:type="dxa"/>
            <w:tcBorders>
              <w:top w:val="nil"/>
              <w:left w:val="nil"/>
              <w:bottom w:val="nil"/>
              <w:right w:val="nil"/>
            </w:tcBorders>
            <w:shd w:val="clear" w:color="000000" w:fill="C5D9F1"/>
            <w:noWrap/>
            <w:vAlign w:val="bottom"/>
            <w:hideMark/>
          </w:tcPr>
          <w:p w:rsidR="00185608" w:rsidRPr="00965C71" w:rsidRDefault="00185608" w:rsidP="00230FAA">
            <w:pPr>
              <w:rPr>
                <w:sz w:val="16"/>
                <w:szCs w:val="16"/>
              </w:rPr>
            </w:pPr>
            <w:r w:rsidRPr="00965C71">
              <w:rPr>
                <w:sz w:val="16"/>
                <w:szCs w:val="16"/>
              </w:rPr>
              <w:t> </w:t>
            </w:r>
          </w:p>
        </w:tc>
        <w:tc>
          <w:tcPr>
            <w:tcW w:w="4282" w:type="dxa"/>
            <w:tcBorders>
              <w:top w:val="nil"/>
              <w:left w:val="nil"/>
              <w:bottom w:val="nil"/>
              <w:right w:val="nil"/>
            </w:tcBorders>
            <w:shd w:val="clear" w:color="000000" w:fill="C5D9F1"/>
            <w:noWrap/>
            <w:vAlign w:val="bottom"/>
            <w:hideMark/>
          </w:tcPr>
          <w:p w:rsidR="00185608" w:rsidRPr="00965C71" w:rsidRDefault="00185608" w:rsidP="00230FAA">
            <w:pPr>
              <w:jc w:val="right"/>
              <w:rPr>
                <w:b/>
                <w:bCs/>
                <w:sz w:val="16"/>
                <w:szCs w:val="16"/>
              </w:rPr>
            </w:pPr>
            <w:r w:rsidRPr="00965C71">
              <w:rPr>
                <w:b/>
                <w:bCs/>
                <w:sz w:val="16"/>
                <w:szCs w:val="16"/>
              </w:rPr>
              <w:t>Total</w:t>
            </w:r>
          </w:p>
        </w:tc>
        <w:tc>
          <w:tcPr>
            <w:tcW w:w="1180" w:type="dxa"/>
            <w:tcBorders>
              <w:top w:val="nil"/>
              <w:left w:val="nil"/>
              <w:bottom w:val="nil"/>
              <w:right w:val="nil"/>
            </w:tcBorders>
            <w:shd w:val="clear" w:color="000000" w:fill="C5D9F1"/>
            <w:noWrap/>
            <w:vAlign w:val="center"/>
            <w:hideMark/>
          </w:tcPr>
          <w:p w:rsidR="00185608" w:rsidRPr="00965C71" w:rsidRDefault="00185608" w:rsidP="00230FAA">
            <w:pPr>
              <w:jc w:val="center"/>
              <w:rPr>
                <w:sz w:val="16"/>
                <w:szCs w:val="16"/>
              </w:rPr>
            </w:pPr>
            <w:r w:rsidRPr="00965C71">
              <w:rPr>
                <w:sz w:val="16"/>
                <w:szCs w:val="16"/>
              </w:rPr>
              <w:t>6.083</w:t>
            </w:r>
          </w:p>
        </w:tc>
        <w:tc>
          <w:tcPr>
            <w:tcW w:w="1180" w:type="dxa"/>
            <w:tcBorders>
              <w:top w:val="nil"/>
              <w:left w:val="nil"/>
              <w:bottom w:val="nil"/>
              <w:right w:val="nil"/>
            </w:tcBorders>
            <w:shd w:val="clear" w:color="000000" w:fill="C5D9F1"/>
            <w:noWrap/>
            <w:vAlign w:val="center"/>
            <w:hideMark/>
          </w:tcPr>
          <w:p w:rsidR="00185608" w:rsidRPr="00965C71" w:rsidRDefault="00185608" w:rsidP="00230FAA">
            <w:pPr>
              <w:jc w:val="center"/>
              <w:rPr>
                <w:sz w:val="16"/>
                <w:szCs w:val="16"/>
              </w:rPr>
            </w:pPr>
            <w:r w:rsidRPr="00965C71">
              <w:rPr>
                <w:sz w:val="16"/>
                <w:szCs w:val="16"/>
              </w:rPr>
              <w:t>6.262</w:t>
            </w:r>
          </w:p>
        </w:tc>
        <w:tc>
          <w:tcPr>
            <w:tcW w:w="1180" w:type="dxa"/>
            <w:tcBorders>
              <w:top w:val="nil"/>
              <w:left w:val="nil"/>
              <w:bottom w:val="nil"/>
              <w:right w:val="nil"/>
            </w:tcBorders>
            <w:shd w:val="clear" w:color="000000" w:fill="C5D9F1"/>
            <w:noWrap/>
            <w:vAlign w:val="center"/>
            <w:hideMark/>
          </w:tcPr>
          <w:p w:rsidR="00185608" w:rsidRPr="00965C71" w:rsidRDefault="00185608" w:rsidP="00230FAA">
            <w:pPr>
              <w:jc w:val="center"/>
              <w:rPr>
                <w:sz w:val="16"/>
                <w:szCs w:val="16"/>
              </w:rPr>
            </w:pPr>
            <w:r w:rsidRPr="00965C71">
              <w:rPr>
                <w:sz w:val="16"/>
                <w:szCs w:val="16"/>
              </w:rPr>
              <w:t>2.857</w:t>
            </w:r>
          </w:p>
        </w:tc>
      </w:tr>
      <w:tr w:rsidR="00185608" w:rsidRPr="00965C71" w:rsidTr="00230FAA">
        <w:trPr>
          <w:trHeight w:val="330"/>
          <w:jc w:val="center"/>
        </w:trPr>
        <w:tc>
          <w:tcPr>
            <w:tcW w:w="7160" w:type="dxa"/>
            <w:gridSpan w:val="4"/>
            <w:tcBorders>
              <w:top w:val="nil"/>
              <w:left w:val="nil"/>
              <w:bottom w:val="nil"/>
              <w:right w:val="nil"/>
            </w:tcBorders>
            <w:shd w:val="clear" w:color="auto" w:fill="auto"/>
            <w:noWrap/>
            <w:vAlign w:val="center"/>
            <w:hideMark/>
          </w:tcPr>
          <w:p w:rsidR="00185608" w:rsidRPr="00965C71" w:rsidRDefault="00185608" w:rsidP="00230FAA">
            <w:pPr>
              <w:rPr>
                <w:i/>
                <w:iCs/>
                <w:sz w:val="16"/>
                <w:szCs w:val="16"/>
              </w:rPr>
            </w:pPr>
            <w:r w:rsidRPr="00965C71">
              <w:rPr>
                <w:i/>
                <w:iCs/>
                <w:sz w:val="16"/>
                <w:szCs w:val="16"/>
              </w:rPr>
              <w:t>*Las cifras de gastos en 2016 son preliminares, a reserva de verificación por el Auditor Externo.</w:t>
            </w:r>
          </w:p>
        </w:tc>
        <w:tc>
          <w:tcPr>
            <w:tcW w:w="1180" w:type="dxa"/>
            <w:tcBorders>
              <w:top w:val="nil"/>
              <w:left w:val="nil"/>
              <w:bottom w:val="nil"/>
              <w:right w:val="nil"/>
            </w:tcBorders>
            <w:shd w:val="clear" w:color="auto" w:fill="auto"/>
            <w:noWrap/>
            <w:vAlign w:val="center"/>
            <w:hideMark/>
          </w:tcPr>
          <w:p w:rsidR="00185608" w:rsidRPr="00965C71" w:rsidRDefault="00185608" w:rsidP="00230FAA">
            <w:pPr>
              <w:rPr>
                <w:sz w:val="16"/>
                <w:szCs w:val="16"/>
              </w:rPr>
            </w:pPr>
          </w:p>
        </w:tc>
      </w:tr>
    </w:tbl>
    <w:p w:rsidR="00185608" w:rsidRPr="00965C71" w:rsidRDefault="00185608" w:rsidP="00230FAA">
      <w:pPr>
        <w:rPr>
          <w:sz w:val="20"/>
        </w:rPr>
      </w:pPr>
    </w:p>
    <w:p w:rsidR="00185608" w:rsidRPr="00965C71" w:rsidRDefault="00185608" w:rsidP="00230FAA">
      <w:pPr>
        <w:keepNext/>
        <w:keepLines/>
        <w:jc w:val="center"/>
        <w:rPr>
          <w:sz w:val="18"/>
          <w:szCs w:val="18"/>
        </w:rPr>
      </w:pPr>
      <w:r w:rsidRPr="00965C71">
        <w:rPr>
          <w:sz w:val="18"/>
          <w:szCs w:val="18"/>
        </w:rPr>
        <w:t xml:space="preserve">Presupuesto y gastos reales (de personal y no relativos a personal) </w:t>
      </w:r>
    </w:p>
    <w:p w:rsidR="00185608" w:rsidRPr="00965C71" w:rsidRDefault="00185608" w:rsidP="00230FAA">
      <w:pPr>
        <w:keepNext/>
        <w:keepLines/>
        <w:jc w:val="center"/>
        <w:rPr>
          <w:i/>
          <w:iCs/>
          <w:sz w:val="16"/>
          <w:szCs w:val="16"/>
        </w:rPr>
      </w:pPr>
      <w:r w:rsidRPr="00965C71">
        <w:rPr>
          <w:i/>
          <w:iCs/>
          <w:sz w:val="16"/>
          <w:szCs w:val="16"/>
        </w:rPr>
        <w:t>(en miles de francos suizos)</w:t>
      </w:r>
    </w:p>
    <w:p w:rsidR="00185608" w:rsidRPr="00965C71" w:rsidRDefault="00185608" w:rsidP="00230FAA">
      <w:pPr>
        <w:keepNext/>
        <w:keepLines/>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185608" w:rsidRPr="00965C71" w:rsidTr="00230FAA">
        <w:trPr>
          <w:trHeight w:val="720"/>
          <w:jc w:val="center"/>
        </w:trPr>
        <w:tc>
          <w:tcPr>
            <w:tcW w:w="2440" w:type="dxa"/>
            <w:tcBorders>
              <w:top w:val="nil"/>
              <w:left w:val="nil"/>
              <w:bottom w:val="nil"/>
              <w:right w:val="nil"/>
            </w:tcBorders>
            <w:shd w:val="clear" w:color="000000" w:fill="C5D9F1"/>
            <w:noWrap/>
            <w:vAlign w:val="center"/>
            <w:hideMark/>
          </w:tcPr>
          <w:p w:rsidR="00185608" w:rsidRPr="00965C71" w:rsidRDefault="00185608" w:rsidP="00230FAA">
            <w:pPr>
              <w:keepNext/>
              <w:keepLines/>
              <w:rPr>
                <w:sz w:val="16"/>
                <w:szCs w:val="16"/>
              </w:rPr>
            </w:pPr>
            <w:r w:rsidRPr="00965C71">
              <w:rPr>
                <w:sz w:val="16"/>
                <w:szCs w:val="16"/>
              </w:rPr>
              <w:t> </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Gastos en 2016*</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Índice de utilización (%)</w:t>
            </w:r>
          </w:p>
        </w:tc>
      </w:tr>
      <w:tr w:rsidR="00185608" w:rsidRPr="00965C71"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965C71" w:rsidRDefault="00185608" w:rsidP="00230FAA">
            <w:pPr>
              <w:keepNext/>
              <w:keepLines/>
              <w:rPr>
                <w:sz w:val="16"/>
                <w:szCs w:val="16"/>
              </w:rPr>
            </w:pPr>
            <w:r w:rsidRPr="00965C71">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 xml:space="preserve">4.522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 xml:space="preserve">4.908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 xml:space="preserve">2.338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48%</w:t>
            </w:r>
          </w:p>
        </w:tc>
      </w:tr>
      <w:tr w:rsidR="00185608" w:rsidRPr="00965C71" w:rsidTr="00230FAA">
        <w:trPr>
          <w:trHeight w:val="315"/>
          <w:jc w:val="center"/>
        </w:trPr>
        <w:tc>
          <w:tcPr>
            <w:tcW w:w="2440" w:type="dxa"/>
            <w:tcBorders>
              <w:top w:val="nil"/>
              <w:left w:val="nil"/>
              <w:bottom w:val="nil"/>
              <w:right w:val="nil"/>
            </w:tcBorders>
            <w:shd w:val="clear" w:color="auto" w:fill="auto"/>
            <w:noWrap/>
            <w:vAlign w:val="center"/>
            <w:hideMark/>
          </w:tcPr>
          <w:p w:rsidR="00185608" w:rsidRPr="00965C71" w:rsidRDefault="00185608" w:rsidP="00230FAA">
            <w:pPr>
              <w:keepNext/>
              <w:keepLines/>
              <w:rPr>
                <w:sz w:val="16"/>
                <w:szCs w:val="16"/>
              </w:rPr>
            </w:pPr>
            <w:r w:rsidRPr="00965C71">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 xml:space="preserve">1.561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 xml:space="preserve">1.354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 xml:space="preserve">520 </w:t>
            </w:r>
          </w:p>
        </w:tc>
        <w:tc>
          <w:tcPr>
            <w:tcW w:w="1420" w:type="dxa"/>
            <w:tcBorders>
              <w:top w:val="nil"/>
              <w:left w:val="nil"/>
              <w:bottom w:val="nil"/>
              <w:right w:val="nil"/>
            </w:tcBorders>
            <w:shd w:val="clear" w:color="auto" w:fill="auto"/>
            <w:vAlign w:val="center"/>
            <w:hideMark/>
          </w:tcPr>
          <w:p w:rsidR="00185608" w:rsidRPr="00965C71" w:rsidRDefault="00185608" w:rsidP="00230FAA">
            <w:pPr>
              <w:keepNext/>
              <w:keepLines/>
              <w:jc w:val="center"/>
              <w:rPr>
                <w:sz w:val="16"/>
                <w:szCs w:val="16"/>
              </w:rPr>
            </w:pPr>
            <w:r w:rsidRPr="00965C71">
              <w:rPr>
                <w:sz w:val="16"/>
                <w:szCs w:val="16"/>
              </w:rPr>
              <w:t>38%</w:t>
            </w:r>
          </w:p>
        </w:tc>
      </w:tr>
      <w:tr w:rsidR="00185608" w:rsidRPr="00965C71" w:rsidTr="00230FAA">
        <w:trPr>
          <w:trHeight w:val="225"/>
          <w:jc w:val="center"/>
        </w:trPr>
        <w:tc>
          <w:tcPr>
            <w:tcW w:w="2440" w:type="dxa"/>
            <w:tcBorders>
              <w:top w:val="nil"/>
              <w:left w:val="nil"/>
              <w:bottom w:val="nil"/>
              <w:right w:val="nil"/>
            </w:tcBorders>
            <w:shd w:val="clear" w:color="000000" w:fill="C5D9F1"/>
            <w:noWrap/>
            <w:vAlign w:val="center"/>
            <w:hideMark/>
          </w:tcPr>
          <w:p w:rsidR="00185608" w:rsidRPr="00965C71" w:rsidRDefault="00185608" w:rsidP="00230FAA">
            <w:pPr>
              <w:keepNext/>
              <w:keepLines/>
              <w:jc w:val="right"/>
              <w:rPr>
                <w:b/>
                <w:bCs/>
                <w:sz w:val="16"/>
                <w:szCs w:val="16"/>
              </w:rPr>
            </w:pPr>
            <w:r w:rsidRPr="00965C71">
              <w:rPr>
                <w:b/>
                <w:bCs/>
                <w:sz w:val="16"/>
                <w:szCs w:val="16"/>
              </w:rPr>
              <w:t xml:space="preserve"> Total </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 xml:space="preserve">6.083 </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 xml:space="preserve">6.262 </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 xml:space="preserve">2.857 </w:t>
            </w:r>
          </w:p>
        </w:tc>
        <w:tc>
          <w:tcPr>
            <w:tcW w:w="1420" w:type="dxa"/>
            <w:tcBorders>
              <w:top w:val="nil"/>
              <w:left w:val="nil"/>
              <w:bottom w:val="nil"/>
              <w:right w:val="nil"/>
            </w:tcBorders>
            <w:shd w:val="clear" w:color="000000" w:fill="C5D9F1"/>
            <w:vAlign w:val="center"/>
            <w:hideMark/>
          </w:tcPr>
          <w:p w:rsidR="00185608" w:rsidRPr="00965C71" w:rsidRDefault="00185608" w:rsidP="00230FAA">
            <w:pPr>
              <w:keepNext/>
              <w:keepLines/>
              <w:jc w:val="center"/>
              <w:rPr>
                <w:b/>
                <w:bCs/>
                <w:sz w:val="16"/>
                <w:szCs w:val="16"/>
              </w:rPr>
            </w:pPr>
            <w:r w:rsidRPr="00965C71">
              <w:rPr>
                <w:b/>
                <w:bCs/>
                <w:sz w:val="16"/>
                <w:szCs w:val="16"/>
              </w:rPr>
              <w:t>46%</w:t>
            </w:r>
          </w:p>
        </w:tc>
      </w:tr>
      <w:tr w:rsidR="00185608" w:rsidRPr="00965C71" w:rsidTr="00230FAA">
        <w:trPr>
          <w:trHeight w:val="300"/>
          <w:jc w:val="center"/>
        </w:trPr>
        <w:tc>
          <w:tcPr>
            <w:tcW w:w="8120" w:type="dxa"/>
            <w:gridSpan w:val="5"/>
            <w:tcBorders>
              <w:top w:val="nil"/>
              <w:left w:val="nil"/>
              <w:bottom w:val="nil"/>
              <w:right w:val="nil"/>
            </w:tcBorders>
            <w:shd w:val="clear" w:color="auto" w:fill="auto"/>
            <w:noWrap/>
            <w:vAlign w:val="center"/>
            <w:hideMark/>
          </w:tcPr>
          <w:p w:rsidR="00185608" w:rsidRPr="00965C71" w:rsidRDefault="00185608" w:rsidP="00230FAA">
            <w:pPr>
              <w:keepNext/>
              <w:keepLines/>
              <w:rPr>
                <w:i/>
                <w:iCs/>
                <w:sz w:val="16"/>
                <w:szCs w:val="16"/>
              </w:rPr>
            </w:pPr>
            <w:r w:rsidRPr="00965C71">
              <w:rPr>
                <w:i/>
                <w:iCs/>
                <w:sz w:val="16"/>
                <w:szCs w:val="16"/>
              </w:rPr>
              <w:t xml:space="preserve"> *Las cifras de gastos en 2016 son preliminares, a reserva de verificación por el Auditor Externo.</w:t>
            </w:r>
          </w:p>
        </w:tc>
      </w:tr>
    </w:tbl>
    <w:p w:rsidR="00185608" w:rsidRPr="00965C71" w:rsidRDefault="00185608" w:rsidP="00230FAA">
      <w:pPr>
        <w:rPr>
          <w:sz w:val="20"/>
        </w:rPr>
      </w:pPr>
    </w:p>
    <w:p w:rsidR="00185608" w:rsidRPr="00965C71" w:rsidRDefault="00185608" w:rsidP="00230FAA">
      <w:pPr>
        <w:keepNext/>
        <w:keepLines/>
        <w:ind w:left="567" w:right="282"/>
        <w:rPr>
          <w:i/>
          <w:sz w:val="16"/>
          <w:szCs w:val="16"/>
        </w:rPr>
      </w:pPr>
      <w:r w:rsidRPr="00965C71">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185608" w:rsidRPr="00965C71" w:rsidRDefault="00185608" w:rsidP="00230FAA">
      <w:pPr>
        <w:jc w:val="both"/>
        <w:rPr>
          <w:sz w:val="20"/>
        </w:rPr>
      </w:pPr>
    </w:p>
    <w:p w:rsidR="00185608" w:rsidRPr="00965C71" w:rsidRDefault="00185608" w:rsidP="00230FAA">
      <w:pPr>
        <w:jc w:val="both"/>
        <w:rPr>
          <w:sz w:val="20"/>
        </w:rPr>
      </w:pPr>
    </w:p>
    <w:p w:rsidR="00185608" w:rsidRPr="00965C71" w:rsidRDefault="00185608" w:rsidP="00230FAA">
      <w:pPr>
        <w:jc w:val="both"/>
        <w:rPr>
          <w:sz w:val="20"/>
          <w:u w:val="single"/>
        </w:rPr>
      </w:pPr>
      <w:r w:rsidRPr="00965C71">
        <w:rPr>
          <w:sz w:val="20"/>
        </w:rPr>
        <w:t>A.</w:t>
      </w:r>
      <w:r w:rsidRPr="00965C71">
        <w:rPr>
          <w:sz w:val="20"/>
        </w:rPr>
        <w:tab/>
      </w:r>
      <w:r w:rsidRPr="00965C71">
        <w:rPr>
          <w:sz w:val="20"/>
          <w:u w:val="single"/>
        </w:rPr>
        <w:t>Presupuesto de 2016/17 tras las transferencias</w:t>
      </w:r>
    </w:p>
    <w:p w:rsidR="00185608" w:rsidRPr="00965C71" w:rsidRDefault="00185608" w:rsidP="00230FAA">
      <w:pPr>
        <w:jc w:val="both"/>
        <w:rPr>
          <w:sz w:val="20"/>
        </w:rPr>
      </w:pPr>
    </w:p>
    <w:p w:rsidR="00185608" w:rsidRPr="00965C71" w:rsidRDefault="00185608" w:rsidP="00185608">
      <w:pPr>
        <w:pStyle w:val="ListParagraph"/>
        <w:numPr>
          <w:ilvl w:val="0"/>
          <w:numId w:val="60"/>
        </w:numPr>
        <w:tabs>
          <w:tab w:val="left" w:pos="0"/>
          <w:tab w:val="left" w:pos="709"/>
        </w:tabs>
        <w:autoSpaceDE w:val="0"/>
        <w:autoSpaceDN w:val="0"/>
        <w:ind w:left="0" w:firstLine="0"/>
        <w:contextualSpacing/>
        <w:jc w:val="both"/>
        <w:rPr>
          <w:lang w:val="es-ES" w:eastAsia="ko-KR"/>
        </w:rPr>
      </w:pPr>
      <w:r w:rsidRPr="00965C71">
        <w:rPr>
          <w:lang w:val="es-ES" w:eastAsia="zh-CN"/>
        </w:rPr>
        <w:t>El aumento neto de recursos de personal en comparación con el presupuesto aprobado de 2</w:t>
      </w:r>
      <w:r w:rsidRPr="00965C71">
        <w:rPr>
          <w:lang w:val="es-ES" w:eastAsia="ko-KR"/>
        </w:rPr>
        <w:t xml:space="preserve">016/17 se debió principalmente, por un lado, a:  i) la transferencia al programa de dos puestos (uno de ellos temporal) desde el programa 3 (Derecho de autor y derechos conexos) y el programa 28 (Seguridad) para reforzar la capacidad de la División de Pymes, y ii) la reclasificaciones en el interior del programa;  y, por otro, a la transferencia de un puesto al programa 11 (Academia de la OMPI) a fin de apoyar la gestión, la planificación estratégica y la coordinación.  </w:t>
      </w:r>
    </w:p>
    <w:p w:rsidR="00185608" w:rsidRPr="00965C71" w:rsidRDefault="00185608" w:rsidP="00230FAA">
      <w:pPr>
        <w:tabs>
          <w:tab w:val="left" w:pos="0"/>
          <w:tab w:val="left" w:pos="709"/>
        </w:tabs>
        <w:autoSpaceDE w:val="0"/>
        <w:autoSpaceDN w:val="0"/>
        <w:contextualSpacing/>
        <w:jc w:val="both"/>
        <w:rPr>
          <w:sz w:val="20"/>
          <w:lang w:eastAsia="ko-KR"/>
        </w:rPr>
      </w:pPr>
    </w:p>
    <w:p w:rsidR="00185608" w:rsidRPr="00965C71" w:rsidRDefault="00185608" w:rsidP="00185608">
      <w:pPr>
        <w:pStyle w:val="ListParagraph"/>
        <w:numPr>
          <w:ilvl w:val="0"/>
          <w:numId w:val="60"/>
        </w:numPr>
        <w:tabs>
          <w:tab w:val="left" w:pos="0"/>
          <w:tab w:val="left" w:pos="709"/>
        </w:tabs>
        <w:autoSpaceDE w:val="0"/>
        <w:autoSpaceDN w:val="0"/>
        <w:ind w:left="0" w:firstLine="0"/>
        <w:contextualSpacing/>
        <w:jc w:val="both"/>
        <w:rPr>
          <w:lang w:val="es-ES" w:eastAsia="ko-KR"/>
        </w:rPr>
      </w:pPr>
      <w:r w:rsidRPr="00965C71">
        <w:rPr>
          <w:lang w:val="es-ES" w:eastAsia="ko-KR"/>
        </w:rPr>
        <w:t xml:space="preserve">La disminución de recursos no relativos a personal se debió a la transferencia de recursos desde este programa:  i) al programa 11 (Academia de la OMPI) para la colaboración con instituciones en apoyo de cursos internacionales de nivel avanzado;  ii) al programa 18 (La P.I. y los desafíos mundiales) en apoyo de la labor sobre la P.I. y la política de competencia;  y iii) al programa 23 (Gestión y desarrollo de los recursos humanos) para cubrir los gastos relativos a pasantías.  Una parte de los saldos no utilizados de 2016 también fue reasignada a otras prioridades organizativas. </w:t>
      </w:r>
    </w:p>
    <w:p w:rsidR="00185608" w:rsidRPr="00965C71" w:rsidRDefault="00185608" w:rsidP="00230FAA">
      <w:pPr>
        <w:tabs>
          <w:tab w:val="left" w:pos="0"/>
          <w:tab w:val="left" w:pos="709"/>
        </w:tabs>
        <w:autoSpaceDE w:val="0"/>
        <w:autoSpaceDN w:val="0"/>
        <w:contextualSpacing/>
        <w:jc w:val="both"/>
        <w:rPr>
          <w:sz w:val="20"/>
          <w:lang w:eastAsia="ko-KR"/>
        </w:rPr>
      </w:pPr>
    </w:p>
    <w:p w:rsidR="00185608" w:rsidRPr="00965C71" w:rsidRDefault="00185608" w:rsidP="00230FAA">
      <w:pPr>
        <w:keepNext/>
        <w:jc w:val="both"/>
        <w:rPr>
          <w:sz w:val="20"/>
          <w:u w:val="single"/>
        </w:rPr>
      </w:pPr>
      <w:r w:rsidRPr="00965C71">
        <w:rPr>
          <w:sz w:val="20"/>
        </w:rPr>
        <w:lastRenderedPageBreak/>
        <w:t>B.</w:t>
      </w:r>
      <w:r w:rsidRPr="00965C71">
        <w:rPr>
          <w:sz w:val="20"/>
        </w:rPr>
        <w:tab/>
      </w:r>
      <w:r w:rsidRPr="00965C71">
        <w:rPr>
          <w:sz w:val="20"/>
          <w:u w:val="single"/>
        </w:rPr>
        <w:t>Utilización del presupuesto en 2016/17</w:t>
      </w:r>
    </w:p>
    <w:p w:rsidR="00185608" w:rsidRPr="00965C71" w:rsidRDefault="00185608" w:rsidP="00230FAA">
      <w:pPr>
        <w:keepNext/>
        <w:jc w:val="both"/>
        <w:rPr>
          <w:sz w:val="20"/>
        </w:rPr>
      </w:pPr>
    </w:p>
    <w:p w:rsidR="00185608" w:rsidRPr="00965C71" w:rsidRDefault="00185608" w:rsidP="00185608">
      <w:pPr>
        <w:pStyle w:val="ListParagraph"/>
        <w:keepNext/>
        <w:keepLines/>
        <w:numPr>
          <w:ilvl w:val="0"/>
          <w:numId w:val="60"/>
        </w:numPr>
        <w:tabs>
          <w:tab w:val="left" w:pos="0"/>
          <w:tab w:val="left" w:pos="709"/>
        </w:tabs>
        <w:autoSpaceDE w:val="0"/>
        <w:autoSpaceDN w:val="0"/>
        <w:ind w:left="0" w:firstLine="0"/>
        <w:contextualSpacing/>
        <w:jc w:val="both"/>
        <w:rPr>
          <w:lang w:val="es-ES"/>
        </w:rPr>
      </w:pPr>
      <w:r w:rsidRPr="00965C71">
        <w:rPr>
          <w:lang w:val="es-ES"/>
        </w:rPr>
        <w:t xml:space="preserve">La utilización del presupuesto </w:t>
      </w:r>
      <w:r w:rsidR="00B562A5">
        <w:rPr>
          <w:lang w:val="es-ES"/>
        </w:rPr>
        <w:t>de</w:t>
      </w:r>
      <w:r w:rsidRPr="00965C71">
        <w:rPr>
          <w:lang w:val="es-ES"/>
        </w:rPr>
        <w:t xml:space="preserve"> recursos de personal se ha mantenido dentro de los límites establecidos (40-60%) durante el primer año del bienio.  En 2016, los gastos no relativos a personal fueron inferiores a los establecidos como objetivo debido a las demoras en la aplicación de actividades relativas a:  i) trabajos de divulgación y fomento de la capacidad en apoyo de empresas e instituciones innovadoras;  ii) comercialización de la P.I.;  y iii) trabajos de divulgación y fomento de la capacidad/servicios de asesoramiento para pymes.</w:t>
      </w:r>
    </w:p>
    <w:p w:rsidR="00185608" w:rsidRPr="00965C71" w:rsidRDefault="00185608" w:rsidP="00230FAA"/>
    <w:p w:rsidR="00185608" w:rsidRPr="00965C71" w:rsidRDefault="00185608" w:rsidP="00230FAA"/>
    <w:p w:rsidR="00185608" w:rsidRPr="00965C71" w:rsidRDefault="00185608" w:rsidP="00230FAA"/>
    <w:p w:rsidR="00EE1CCE" w:rsidRPr="002F663B" w:rsidRDefault="00EE1CCE" w:rsidP="00EE1CCE">
      <w:pPr>
        <w:pStyle w:val="ListParagraph"/>
        <w:ind w:left="0"/>
        <w:contextualSpacing/>
        <w:jc w:val="both"/>
        <w:rPr>
          <w:rFonts w:cs="Arial"/>
          <w:lang w:val="es-ES"/>
        </w:rPr>
      </w:pPr>
    </w:p>
    <w:p w:rsidR="00EE1CCE" w:rsidRPr="002F663B" w:rsidRDefault="00EE1CCE" w:rsidP="00EE1CCE">
      <w:pPr>
        <w:pStyle w:val="ListParagraph"/>
        <w:ind w:left="0"/>
        <w:contextualSpacing/>
        <w:jc w:val="both"/>
        <w:rPr>
          <w:rFonts w:cs="Arial"/>
          <w:lang w:val="es-ES"/>
        </w:rPr>
      </w:pPr>
      <w:r w:rsidRPr="002F663B">
        <w:rPr>
          <w:rFonts w:cs="Arial"/>
          <w:lang w:val="es-ES"/>
        </w:rPr>
        <w:br w:type="page"/>
      </w:r>
    </w:p>
    <w:p w:rsidR="00EE1CCE" w:rsidRPr="008F3D8D" w:rsidRDefault="00EE1CCE" w:rsidP="00425619">
      <w:pPr>
        <w:pStyle w:val="Heading2"/>
        <w:spacing w:before="0" w:after="0"/>
        <w:jc w:val="center"/>
        <w:rPr>
          <w:b/>
          <w:sz w:val="20"/>
          <w:szCs w:val="20"/>
        </w:rPr>
      </w:pPr>
      <w:bookmarkStart w:id="48" w:name="_Toc482711258"/>
      <w:bookmarkStart w:id="49" w:name="_Toc367350587"/>
      <w:r w:rsidRPr="008F3D8D">
        <w:rPr>
          <w:b/>
          <w:sz w:val="20"/>
          <w:szCs w:val="20"/>
          <w:lang w:val="es-ES_tradnl"/>
        </w:rPr>
        <w:lastRenderedPageBreak/>
        <w:t>META ESTRATÉGICA IV</w:t>
      </w:r>
      <w:bookmarkEnd w:id="48"/>
    </w:p>
    <w:p w:rsidR="00EE1CCE" w:rsidRPr="008F3D8D" w:rsidRDefault="00EE1CCE" w:rsidP="00425619">
      <w:pPr>
        <w:jc w:val="center"/>
        <w:rPr>
          <w:b/>
          <w:sz w:val="20"/>
        </w:rPr>
      </w:pPr>
    </w:p>
    <w:p w:rsidR="00EE1CCE" w:rsidRPr="008F3D8D" w:rsidRDefault="00EE1CCE" w:rsidP="00425619">
      <w:pPr>
        <w:jc w:val="center"/>
        <w:rPr>
          <w:b/>
          <w:sz w:val="20"/>
        </w:rPr>
      </w:pPr>
      <w:r w:rsidRPr="008F3D8D">
        <w:rPr>
          <w:b/>
          <w:sz w:val="20"/>
          <w:lang w:val="es-ES_tradnl"/>
        </w:rPr>
        <w:t>COORDINACIÓN Y DESARROLLO DE LA INFRAESTRUCTURA MUNDIAL DE P.I.</w:t>
      </w:r>
    </w:p>
    <w:p w:rsidR="00EE1CCE" w:rsidRPr="008F3D8D" w:rsidRDefault="00EE1CCE" w:rsidP="00425619">
      <w:pPr>
        <w:rPr>
          <w:sz w:val="20"/>
        </w:rPr>
      </w:pPr>
    </w:p>
    <w:p w:rsidR="00EE1CCE" w:rsidRPr="008F3D8D" w:rsidRDefault="00EE1CCE" w:rsidP="00425619">
      <w:pPr>
        <w:jc w:val="center"/>
        <w:rPr>
          <w:b/>
          <w:sz w:val="20"/>
        </w:rPr>
      </w:pPr>
      <w:r w:rsidRPr="008F3D8D">
        <w:rPr>
          <w:b/>
          <w:sz w:val="20"/>
        </w:rPr>
        <w:t>Tablero de control del rendimiento a mediano plazo (2016)</w:t>
      </w:r>
    </w:p>
    <w:p w:rsidR="00EE1CCE" w:rsidRPr="008F3D8D" w:rsidRDefault="00EE1CCE" w:rsidP="00EE1CCE">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EE1CCE" w:rsidP="00EE1CCE">
      <w:pPr>
        <w:jc w:val="center"/>
      </w:pPr>
      <w:r w:rsidRPr="008F3D8D">
        <w:rPr>
          <w:noProof/>
          <w:lang w:val="en-US" w:eastAsia="en-US"/>
        </w:rPr>
        <w:drawing>
          <wp:inline distT="0" distB="0" distL="0" distR="0" wp14:anchorId="2E71426F" wp14:editId="4A0E6228">
            <wp:extent cx="4509593" cy="234225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4518504" cy="2346878"/>
                    </a:xfrm>
                    <a:prstGeom prst="rect">
                      <a:avLst/>
                    </a:prstGeom>
                    <a:noFill/>
                    <a:ln>
                      <a:noFill/>
                    </a:ln>
                  </pic:spPr>
                </pic:pic>
              </a:graphicData>
            </a:graphic>
          </wp:inline>
        </w:drawing>
      </w:r>
    </w:p>
    <w:tbl>
      <w:tblPr>
        <w:tblW w:w="9212" w:type="dxa"/>
        <w:tblInd w:w="108" w:type="dxa"/>
        <w:tblLayout w:type="fixed"/>
        <w:tblLook w:val="0000" w:firstRow="0" w:lastRow="0" w:firstColumn="0" w:lastColumn="0" w:noHBand="0" w:noVBand="0"/>
      </w:tblPr>
      <w:tblGrid>
        <w:gridCol w:w="2720"/>
        <w:gridCol w:w="3855"/>
        <w:gridCol w:w="1589"/>
        <w:gridCol w:w="1048"/>
      </w:tblGrid>
      <w:tr w:rsidR="00EE1CCE" w:rsidRPr="008F3D8D" w:rsidTr="00A34E19">
        <w:trPr>
          <w:cantSplit/>
          <w:trHeight w:val="334"/>
          <w:tblHeader/>
        </w:trPr>
        <w:tc>
          <w:tcPr>
            <w:tcW w:w="1476" w:type="pct"/>
            <w:shd w:val="clear" w:color="auto" w:fill="B8CCE4" w:themeFill="accent1" w:themeFillTint="66"/>
            <w:tcMar>
              <w:top w:w="85" w:type="dxa"/>
              <w:bottom w:w="85" w:type="dxa"/>
            </w:tcMar>
            <w:vAlign w:val="center"/>
          </w:tcPr>
          <w:p w:rsidR="00EE1CCE" w:rsidRPr="008F3D8D" w:rsidRDefault="00EE1CCE" w:rsidP="00A34E19">
            <w:pPr>
              <w:spacing w:after="120"/>
              <w:rPr>
                <w:b/>
                <w:bCs/>
                <w:sz w:val="18"/>
                <w:szCs w:val="18"/>
              </w:rPr>
            </w:pPr>
            <w:r w:rsidRPr="008F3D8D">
              <w:rPr>
                <w:b/>
                <w:bCs/>
                <w:sz w:val="18"/>
                <w:szCs w:val="18"/>
                <w:lang w:val="es-ES_tradnl"/>
              </w:rPr>
              <w:t>Resultado previsto:</w:t>
            </w:r>
          </w:p>
        </w:tc>
        <w:tc>
          <w:tcPr>
            <w:tcW w:w="2092" w:type="pct"/>
            <w:shd w:val="clear" w:color="auto" w:fill="B8CCE4" w:themeFill="accent1" w:themeFillTint="66"/>
            <w:tcMar>
              <w:top w:w="85" w:type="dxa"/>
              <w:bottom w:w="85" w:type="dxa"/>
            </w:tcMar>
            <w:vAlign w:val="center"/>
          </w:tcPr>
          <w:p w:rsidR="00EE1CCE" w:rsidRPr="008F3D8D" w:rsidRDefault="00EE1CCE" w:rsidP="00A34E19">
            <w:pPr>
              <w:spacing w:after="120"/>
              <w:rPr>
                <w:b/>
                <w:sz w:val="18"/>
                <w:szCs w:val="18"/>
              </w:rPr>
            </w:pPr>
            <w:r w:rsidRPr="008F3D8D">
              <w:rPr>
                <w:b/>
                <w:sz w:val="18"/>
                <w:szCs w:val="18"/>
                <w:lang w:val="es-ES_tradnl"/>
              </w:rPr>
              <w:t>Indicadores de rendimiento</w:t>
            </w:r>
          </w:p>
        </w:tc>
        <w:tc>
          <w:tcPr>
            <w:tcW w:w="862" w:type="pct"/>
            <w:shd w:val="clear" w:color="auto" w:fill="B8CCE4" w:themeFill="accent1" w:themeFillTint="66"/>
            <w:tcMar>
              <w:top w:w="85" w:type="dxa"/>
              <w:bottom w:w="85" w:type="dxa"/>
            </w:tcMar>
            <w:vAlign w:val="center"/>
          </w:tcPr>
          <w:p w:rsidR="00EE1CCE" w:rsidRPr="008F3D8D" w:rsidRDefault="00EE1CCE" w:rsidP="00A34E19">
            <w:pPr>
              <w:spacing w:after="120"/>
              <w:ind w:left="-110" w:right="-417"/>
              <w:jc w:val="center"/>
              <w:rPr>
                <w:sz w:val="18"/>
                <w:szCs w:val="18"/>
              </w:rPr>
            </w:pPr>
            <w:r w:rsidRPr="008F3D8D">
              <w:rPr>
                <w:b/>
                <w:bCs/>
                <w:sz w:val="18"/>
                <w:szCs w:val="18"/>
                <w:lang w:val="es-ES_tradnl"/>
              </w:rPr>
              <w:t>Programas responsables</w:t>
            </w:r>
          </w:p>
        </w:tc>
        <w:tc>
          <w:tcPr>
            <w:tcW w:w="569" w:type="pct"/>
            <w:shd w:val="clear" w:color="auto" w:fill="B8CCE4" w:themeFill="accent1" w:themeFillTint="66"/>
          </w:tcPr>
          <w:p w:rsidR="00EE1CCE" w:rsidRPr="008F3D8D" w:rsidRDefault="00EE1CCE" w:rsidP="00A34E19">
            <w:pPr>
              <w:spacing w:after="120"/>
              <w:jc w:val="center"/>
              <w:rPr>
                <w:b/>
                <w:bCs/>
                <w:sz w:val="18"/>
                <w:szCs w:val="18"/>
              </w:rPr>
            </w:pPr>
            <w:r w:rsidRPr="008F3D8D">
              <w:rPr>
                <w:b/>
                <w:bCs/>
                <w:sz w:val="18"/>
                <w:szCs w:val="18"/>
                <w:lang w:val="es-ES_tradnl"/>
              </w:rPr>
              <w:t>Clave de colores</w:t>
            </w:r>
          </w:p>
        </w:tc>
      </w:tr>
      <w:tr w:rsidR="00EE1CCE" w:rsidRPr="008F3D8D" w:rsidTr="00A34E19">
        <w:trPr>
          <w:cantSplit/>
          <w:trHeight w:val="363"/>
        </w:trPr>
        <w:tc>
          <w:tcPr>
            <w:tcW w:w="1476" w:type="pct"/>
            <w:vMerge w:val="restar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IV.1  Sistema actualizado y aceptado mundialmente de clasificaciones internacionales y normas técnicas de la OMPI para facilitar el acceso, el uso y la difusión de información de P.I. entre las partes interesadas de todo el mundo</w:t>
            </w:r>
          </w:p>
        </w:tc>
        <w:tc>
          <w:tcPr>
            <w:tcW w:w="2092" w:type="pct"/>
            <w:shd w:val="clear" w:color="auto" w:fill="auto"/>
            <w:tcMar>
              <w:top w:w="85" w:type="dxa"/>
              <w:bottom w:w="85" w:type="dxa"/>
            </w:tcMar>
          </w:tcPr>
          <w:p w:rsidR="00EE1CCE" w:rsidRPr="008F3D8D" w:rsidRDefault="00EE1CCE" w:rsidP="00A34E19">
            <w:pPr>
              <w:rPr>
                <w:sz w:val="16"/>
                <w:szCs w:val="16"/>
                <w:lang w:val="es-ES_tradnl"/>
              </w:rPr>
            </w:pPr>
            <w:r w:rsidRPr="008F3D8D">
              <w:rPr>
                <w:sz w:val="16"/>
                <w:szCs w:val="16"/>
                <w:lang w:val="es-ES_tradnl"/>
              </w:rPr>
              <w:t>N.º de modificaciones y ficheros de información introducidos en la Clasificación de Niza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12</w:t>
            </w:r>
          </w:p>
        </w:tc>
        <w:tc>
          <w:tcPr>
            <w:tcW w:w="569" w:type="pct"/>
            <w:shd w:val="clear" w:color="auto" w:fill="FFFFFF"/>
          </w:tcPr>
          <w:p w:rsidR="00EE1CCE" w:rsidRPr="008F3D8D" w:rsidRDefault="00EE1CCE" w:rsidP="00A34E19">
            <w:pPr>
              <w:ind w:left="167"/>
              <w:jc w:val="center"/>
              <w:rPr>
                <w:color w:val="00800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399"/>
        </w:trPr>
        <w:tc>
          <w:tcPr>
            <w:tcW w:w="1476" w:type="pct"/>
            <w:vMerge/>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nuevas subdivisiones introducidas anualmente en la CIP</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12</w:t>
            </w:r>
          </w:p>
        </w:tc>
        <w:tc>
          <w:tcPr>
            <w:tcW w:w="569" w:type="pct"/>
            <w:shd w:val="clear" w:color="auto" w:fill="FFFFFF"/>
          </w:tcPr>
          <w:p w:rsidR="00EE1CCE" w:rsidRPr="008F3D8D" w:rsidRDefault="00EE1CCE" w:rsidP="00A34E19">
            <w:pPr>
              <w:ind w:left="167"/>
              <w:jc w:val="center"/>
              <w:rPr>
                <w:color w:val="FF0000"/>
                <w:szCs w:val="22"/>
              </w:rPr>
            </w:pPr>
            <w:r w:rsidRPr="008F3D8D">
              <w:rPr>
                <w:color w:val="00B050"/>
                <w:szCs w:val="22"/>
              </w:rPr>
              <w:sym w:font="Wingdings" w:char="F06C"/>
            </w:r>
          </w:p>
        </w:tc>
      </w:tr>
      <w:tr w:rsidR="00EE1CCE" w:rsidRPr="008F3D8D" w:rsidTr="00A34E19">
        <w:trPr>
          <w:cantSplit/>
          <w:trHeight w:val="20"/>
        </w:trPr>
        <w:tc>
          <w:tcPr>
            <w:tcW w:w="1476" w:type="pct"/>
            <w:vMerge/>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normas técnicas modificadas y nuevas normas técnicas adoptadas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12</w:t>
            </w:r>
          </w:p>
        </w:tc>
        <w:tc>
          <w:tcPr>
            <w:tcW w:w="569" w:type="pct"/>
            <w:shd w:val="clear" w:color="auto" w:fill="FFFFFF"/>
          </w:tcPr>
          <w:p w:rsidR="00EE1CCE" w:rsidRPr="008F3D8D" w:rsidRDefault="00EE1CCE" w:rsidP="00A34E19">
            <w:pPr>
              <w:ind w:left="167"/>
              <w:jc w:val="center"/>
              <w:rPr>
                <w:color w:val="FF0000"/>
                <w:szCs w:val="22"/>
              </w:rPr>
            </w:pPr>
            <w:r w:rsidRPr="008F3D8D">
              <w:rPr>
                <w:color w:val="00B050"/>
                <w:szCs w:val="22"/>
              </w:rPr>
              <w:sym w:font="Wingdings" w:char="F06C"/>
            </w:r>
          </w:p>
        </w:tc>
      </w:tr>
      <w:tr w:rsidR="00EE1CCE" w:rsidRPr="008F3D8D" w:rsidTr="00A34E19">
        <w:trPr>
          <w:cantSplit/>
          <w:trHeight w:val="299"/>
        </w:trPr>
        <w:tc>
          <w:tcPr>
            <w:tcW w:w="1476" w:type="pct"/>
            <w:vMerge/>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usuarios que tienen acceso en Internet a las publicaciones de clasificaciones internacionales y normas técnicas, especialmente de países en desarrollo</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12</w:t>
            </w:r>
          </w:p>
        </w:tc>
        <w:tc>
          <w:tcPr>
            <w:tcW w:w="569" w:type="pct"/>
            <w:shd w:val="clear" w:color="auto" w:fill="FFFFFF"/>
          </w:tcPr>
          <w:p w:rsidR="00EE1CCE" w:rsidRPr="008F3D8D" w:rsidRDefault="00EE1CCE" w:rsidP="00A34E19">
            <w:pPr>
              <w:ind w:left="167"/>
              <w:jc w:val="center"/>
              <w:rPr>
                <w:color w:val="00B050"/>
                <w:szCs w:val="22"/>
              </w:rPr>
            </w:pPr>
            <w:r w:rsidRPr="008F3D8D">
              <w:rPr>
                <w:color w:val="FF0000"/>
                <w:szCs w:val="22"/>
              </w:rPr>
              <w:sym w:font="Wingdings" w:char="F06C"/>
            </w:r>
            <w:r w:rsidRPr="008F3D8D">
              <w:rPr>
                <w:color w:val="FF0000"/>
                <w:szCs w:val="22"/>
              </w:rPr>
              <w:sym w:font="Wingdings" w:char="F06C"/>
            </w:r>
            <w:r w:rsidRPr="008F3D8D">
              <w:rPr>
                <w:color w:val="FF0000"/>
                <w:szCs w:val="22"/>
              </w:rPr>
              <w:sym w:font="Wingdings" w:char="F06C"/>
            </w:r>
            <w:r w:rsidRPr="008F3D8D">
              <w:rPr>
                <w:color w:val="00B050"/>
                <w:szCs w:val="22"/>
              </w:rPr>
              <w:sym w:font="Wingdings" w:char="F06C"/>
            </w:r>
          </w:p>
          <w:p w:rsidR="00EE1CCE" w:rsidRPr="008F3D8D" w:rsidRDefault="00EE1CCE" w:rsidP="00A34E19">
            <w:pPr>
              <w:ind w:left="167"/>
              <w:jc w:val="center"/>
              <w:rPr>
                <w:color w:val="FF0000"/>
                <w:szCs w:val="22"/>
              </w:rPr>
            </w:pPr>
            <w:r w:rsidRPr="008F3D8D">
              <w:rPr>
                <w:color w:val="FF0000"/>
                <w:szCs w:val="22"/>
              </w:rPr>
              <w:sym w:font="Wingdings" w:char="F06C"/>
            </w:r>
            <w:r w:rsidRPr="008F3D8D">
              <w:rPr>
                <w:color w:val="00B050"/>
                <w:szCs w:val="22"/>
              </w:rPr>
              <w:sym w:font="Wingdings" w:char="F06C"/>
            </w:r>
            <w:r w:rsidRPr="008F3D8D">
              <w:rPr>
                <w:color w:val="FF0000"/>
                <w:szCs w:val="22"/>
              </w:rPr>
              <w:sym w:font="Wingdings" w:char="F06C"/>
            </w:r>
          </w:p>
        </w:tc>
      </w:tr>
      <w:tr w:rsidR="00EE1CCE" w:rsidRPr="008F3D8D" w:rsidTr="00A34E19">
        <w:trPr>
          <w:cantSplit/>
          <w:trHeight w:val="118"/>
        </w:trPr>
        <w:tc>
          <w:tcPr>
            <w:tcW w:w="1476" w:type="pct"/>
            <w:vMerge w:val="restar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IV.2  Mejora del acceso y uso de información de P.I. por parte de instituciones de P.I. y el público para fomentar la innovación y la creatividad</w:t>
            </w: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miembros constitutivos del Consorcio de Libros Accesibles (ABC)</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Pr>
          <w:p w:rsidR="00EE1CCE" w:rsidRPr="008F3D8D" w:rsidRDefault="00EE1CCE" w:rsidP="00A34E19">
            <w:pPr>
              <w:ind w:left="167"/>
              <w:jc w:val="center"/>
              <w:rPr>
                <w:color w:val="FF0000"/>
                <w:szCs w:val="22"/>
              </w:rPr>
            </w:pPr>
            <w:r w:rsidRPr="008F3D8D">
              <w:rPr>
                <w:color w:val="00B050"/>
                <w:szCs w:val="22"/>
              </w:rPr>
              <w:sym w:font="Wingdings" w:char="F06C"/>
            </w:r>
          </w:p>
        </w:tc>
      </w:tr>
      <w:tr w:rsidR="00EE1CCE" w:rsidRPr="008F3D8D" w:rsidTr="00A34E19">
        <w:trPr>
          <w:cantSplit/>
          <w:trHeight w:val="20"/>
        </w:trPr>
        <w:tc>
          <w:tcPr>
            <w:tcW w:w="1476" w:type="pct"/>
            <w:vMerge/>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donantes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Pr>
          <w:p w:rsidR="00EE1CCE" w:rsidRPr="008F3D8D" w:rsidRDefault="00EE1CCE" w:rsidP="00A34E19">
            <w:pPr>
              <w:ind w:left="167"/>
              <w:jc w:val="center"/>
              <w:rPr>
                <w:color w:val="FF0000"/>
                <w:szCs w:val="22"/>
              </w:rPr>
            </w:pPr>
            <w:r w:rsidRPr="008F3D8D">
              <w:rPr>
                <w:color w:val="00B050"/>
                <w:szCs w:val="22"/>
              </w:rPr>
              <w:sym w:font="Wingdings" w:char="F06C"/>
            </w:r>
          </w:p>
        </w:tc>
      </w:tr>
      <w:tr w:rsidR="00EE1CCE" w:rsidRPr="008F3D8D" w:rsidTr="00A34E19">
        <w:trPr>
          <w:cantSplit/>
          <w:trHeight w:val="620"/>
        </w:trPr>
        <w:tc>
          <w:tcPr>
            <w:tcW w:w="1476" w:type="pct"/>
            <w:vMerge/>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instrumentos jurídicos, directrices y declaraciones de principios, aparte de los instrumentos vinculantes, con la participación de las partes interesadas en cuestión, en ámbitos como los nuevos tratados de derecho de autor y el derecho de autor en el entorno digital</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w:t>
            </w:r>
          </w:p>
        </w:tc>
        <w:tc>
          <w:tcPr>
            <w:tcW w:w="569" w:type="pct"/>
            <w:shd w:val="clear" w:color="auto" w:fill="FFFFFF"/>
          </w:tcPr>
          <w:p w:rsidR="00EE1CCE" w:rsidRPr="008F3D8D" w:rsidRDefault="00EE1CCE" w:rsidP="00A34E19">
            <w:pPr>
              <w:ind w:left="167"/>
              <w:jc w:val="center"/>
              <w:rPr>
                <w:color w:val="FF0000"/>
                <w:szCs w:val="22"/>
              </w:rPr>
            </w:pPr>
            <w:r w:rsidRPr="008F3D8D">
              <w:rPr>
                <w:color w:val="00B050"/>
                <w:szCs w:val="22"/>
              </w:rPr>
              <w:sym w:font="Wingdings" w:char="F06C"/>
            </w:r>
          </w:p>
        </w:tc>
      </w:tr>
      <w:tr w:rsidR="00EE1CCE" w:rsidRPr="008F3D8D" w:rsidTr="00A34E19">
        <w:trPr>
          <w:cantSplit/>
          <w:trHeight w:val="492"/>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redes nacionales de CATI sostenibles (cifras totales)</w:t>
            </w:r>
            <w:r w:rsidRPr="008F3D8D">
              <w:rPr>
                <w:rStyle w:val="FootnoteReference"/>
                <w:sz w:val="16"/>
                <w:szCs w:val="16"/>
              </w:rPr>
              <w:footnoteReference w:id="59"/>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p w:rsidR="00EE1CCE" w:rsidRPr="008F3D8D" w:rsidRDefault="00EE1CCE" w:rsidP="00A34E19">
            <w:pPr>
              <w:spacing w:before="40"/>
              <w:jc w:val="center"/>
              <w:rPr>
                <w:sz w:val="16"/>
                <w:szCs w:val="16"/>
                <w:lang w:bidi="th-TH"/>
              </w:rPr>
            </w:pPr>
            <w:r w:rsidRPr="008F3D8D">
              <w:rPr>
                <w:sz w:val="16"/>
                <w:szCs w:val="16"/>
                <w:lang w:val="es-ES_tradnl" w:bidi="th-TH"/>
              </w:rPr>
              <w:t>Programa 14</w:t>
            </w:r>
          </w:p>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9" w:type="pct"/>
            <w:shd w:val="clear" w:color="auto" w:fill="FFFFFF"/>
          </w:tcPr>
          <w:p w:rsidR="00EE1CCE" w:rsidRPr="008F3D8D" w:rsidRDefault="00EE1CCE" w:rsidP="00A34E19">
            <w:pPr>
              <w:jc w:val="center"/>
              <w:rPr>
                <w:color w:val="00B050"/>
                <w:szCs w:val="22"/>
              </w:rPr>
            </w:pPr>
            <w:r w:rsidRPr="008F3D8D">
              <w:rPr>
                <w:color w:val="00B050"/>
                <w:szCs w:val="22"/>
              </w:rPr>
              <w:sym w:font="Wingdings" w:char="F06C"/>
            </w:r>
          </w:p>
          <w:p w:rsidR="00EE1CCE" w:rsidRPr="008F3D8D" w:rsidRDefault="00EE1CCE" w:rsidP="00A34E19">
            <w:pPr>
              <w:jc w:val="center"/>
              <w:rPr>
                <w:color w:val="00B050"/>
                <w:szCs w:val="22"/>
              </w:rPr>
            </w:pPr>
            <w:r w:rsidRPr="008F3D8D">
              <w:rPr>
                <w:color w:val="00B050"/>
                <w:szCs w:val="22"/>
              </w:rPr>
              <w:sym w:font="Wingdings" w:char="F06C"/>
            </w:r>
          </w:p>
          <w:p w:rsidR="00EE1CCE" w:rsidRPr="008F3D8D" w:rsidRDefault="00EE1CCE" w:rsidP="00A34E19">
            <w:pPr>
              <w:jc w:val="center"/>
              <w:rPr>
                <w:color w:val="00B050"/>
                <w:szCs w:val="22"/>
              </w:rPr>
            </w:pPr>
            <w:r w:rsidRPr="008F3D8D">
              <w:rPr>
                <w:color w:val="00B050"/>
                <w:szCs w:val="22"/>
              </w:rPr>
              <w:sym w:font="Wingdings" w:char="F06C"/>
            </w:r>
          </w:p>
        </w:tc>
      </w:tr>
      <w:tr w:rsidR="00EE1CCE" w:rsidRPr="008F3D8D" w:rsidTr="00A34E19">
        <w:trPr>
          <w:cantSplit/>
          <w:trHeight w:val="762"/>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organizaciones, comunidades y personas que aplicaron y usaron tecnologías apropiadas como solución para los desafíos de desarrollo identificados en los PMA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762"/>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Uso de tecnologías apropiadas en pro del desarrollo mediante informes y búsquedas de patentes,  análisis de las tecnologías, planes operacionales (número de expertos, grupos de expertos nacionales en los PMA)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167"/>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Determinación de tecnologías apropiadas comercializadas en los PMA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62"/>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Proyectos reproducidos en otros ámbitos en los PMA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Pr>
          <w:p w:rsidR="00EE1CCE" w:rsidRPr="008F3D8D" w:rsidRDefault="00EE1CCE" w:rsidP="00A34E19">
            <w:pPr>
              <w:jc w:val="center"/>
              <w:rPr>
                <w:color w:val="FF0000"/>
                <w:szCs w:val="22"/>
              </w:rPr>
            </w:pPr>
            <w:r w:rsidRPr="008F3D8D">
              <w:rPr>
                <w:color w:val="FF0000"/>
                <w:szCs w:val="22"/>
              </w:rPr>
              <w:sym w:font="Wingdings" w:char="F06C"/>
            </w:r>
          </w:p>
        </w:tc>
      </w:tr>
      <w:tr w:rsidR="00EE1CCE" w:rsidRPr="008F3D8D" w:rsidTr="00A34E19">
        <w:trPr>
          <w:cantSplit/>
          <w:trHeight w:val="338"/>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Establecimiento de instituciones que sigan trabajando sobre la tecnología apropiada en los PMA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388"/>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Continuación y ampliación de los programas nacionales de fortalecimiento de capacidad tecnológica sobre las tecnologías apropiadas en los PMA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511"/>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Utilización de tecnología apropiada para el desarrollo económico incluida en las políticas y estrategias nacionales de innovación y P.I. en los PMA</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tc>
        <w:tc>
          <w:tcPr>
            <w:tcW w:w="569" w:type="pct"/>
            <w:shd w:val="clear" w:color="auto" w:fill="FFFFFF"/>
          </w:tcPr>
          <w:p w:rsidR="00EE1CCE" w:rsidRPr="008F3D8D" w:rsidRDefault="00EE1CCE" w:rsidP="00A34E19">
            <w:pPr>
              <w:jc w:val="center"/>
              <w:rPr>
                <w:color w:val="FF0000"/>
                <w:szCs w:val="22"/>
              </w:rPr>
            </w:pPr>
            <w:r w:rsidRPr="008F3D8D">
              <w:rPr>
                <w:color w:val="FF0000"/>
                <w:szCs w:val="22"/>
              </w:rPr>
              <w:sym w:font="Wingdings" w:char="F06C"/>
            </w:r>
          </w:p>
        </w:tc>
      </w:tr>
      <w:tr w:rsidR="00EE1CCE" w:rsidRPr="008F3D8D" w:rsidTr="00A34E19">
        <w:trPr>
          <w:cantSplit/>
          <w:trHeight w:val="368"/>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usuarios por trimestre en todos los sistemas de bases de datos mundiales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399"/>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idiomas en los que se pueden efectuar búsquedas plurilingües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384"/>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pares de idiomas disponibles para la traducción de descripciones y reivindicaciones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120"/>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registros contenidos en PATENTSCOPE</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389"/>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Puntualidad en la introducción de datos (retraso promedio en el número de días transcurridos entre la fecha de publicación de las inscripciones en el registro oficial y su disponibilidad en bases de datos mundiales respecto de un conjunto representativo de colecciones nacionales)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170"/>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usuarios anuales en promedio atendidos por los CATI</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14</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397"/>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Estados miembros en sus respectivas regiones que colaboran con las bases de datos mundiales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14</w:t>
            </w:r>
          </w:p>
        </w:tc>
        <w:tc>
          <w:tcPr>
            <w:tcW w:w="569" w:type="pct"/>
            <w:shd w:val="clear" w:color="auto" w:fill="FFFFFF"/>
          </w:tcPr>
          <w:p w:rsidR="00EE1CCE" w:rsidRPr="008F3D8D" w:rsidRDefault="00EE1CCE" w:rsidP="00A34E19">
            <w:pPr>
              <w:jc w:val="center"/>
              <w:rPr>
                <w:color w:val="FF0000"/>
                <w:szCs w:val="22"/>
              </w:rPr>
            </w:pPr>
            <w:r w:rsidRPr="008F3D8D">
              <w:rPr>
                <w:color w:val="FF0000"/>
                <w:szCs w:val="22"/>
              </w:rPr>
              <w:sym w:font="Wingdings" w:char="F06C"/>
            </w:r>
          </w:p>
        </w:tc>
      </w:tr>
      <w:tr w:rsidR="00EE1CCE" w:rsidRPr="008F3D8D" w:rsidTr="00A34E19">
        <w:trPr>
          <w:cantSplit/>
          <w:trHeight w:val="163"/>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usuarios inscritos en ARDI y ASPI que utilizan dichos instrumentos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14</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163"/>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solicitudes cursadas a los CATI</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14</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196"/>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CATI que ofrecen servicios de análisis de patentes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14</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357"/>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usuarios de las bases de datos mundiales de la OMPI:  PATENTSCOPE, Base Mundial de Datos sobre Marcas, Base Mundial de Datos sobre Dibujos y Modelos Industriales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9" w:type="pct"/>
            <w:shd w:val="clear" w:color="auto" w:fill="FFFFFF"/>
          </w:tcPr>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238"/>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Aumento del número de usuarios de WIPO Lex</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346"/>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OTT que se han establecido o reforzado en universidades o instituciones de I+D en el marco del programa Iniciativa Universitaria de la OMPI</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p w:rsidR="00EE1CCE" w:rsidRPr="008F3D8D" w:rsidRDefault="00EE1CCE" w:rsidP="00A34E19">
            <w:pPr>
              <w:spacing w:before="40"/>
              <w:jc w:val="center"/>
              <w:rPr>
                <w:sz w:val="16"/>
                <w:szCs w:val="16"/>
                <w:lang w:bidi="th-TH"/>
              </w:rPr>
            </w:pPr>
          </w:p>
        </w:tc>
        <w:tc>
          <w:tcPr>
            <w:tcW w:w="569" w:type="pct"/>
            <w:shd w:val="clear" w:color="auto" w:fill="FFFFFF"/>
          </w:tcPr>
          <w:p w:rsidR="00EE1CCE" w:rsidRPr="008F3D8D" w:rsidRDefault="00EE1CCE" w:rsidP="00A34E19">
            <w:pPr>
              <w:jc w:val="center"/>
              <w:rPr>
                <w:color w:val="FF0000"/>
                <w:szCs w:val="22"/>
              </w:rPr>
            </w:pPr>
            <w:r w:rsidRPr="008F3D8D">
              <w:rPr>
                <w:color w:val="FF0000"/>
                <w:szCs w:val="22"/>
              </w:rPr>
              <w:sym w:font="Wingdings" w:char="F06C"/>
            </w:r>
          </w:p>
        </w:tc>
      </w:tr>
      <w:tr w:rsidR="00EE1CCE" w:rsidRPr="008F3D8D" w:rsidTr="00A34E19">
        <w:trPr>
          <w:cantSplit/>
          <w:trHeight w:val="346"/>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universidades o instituciones de investigación que han desarrollado o mejorado sus políticas de P.I.</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30</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851"/>
        </w:trPr>
        <w:tc>
          <w:tcPr>
            <w:tcW w:w="1476"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IV.3  Amplia cobertura geográfica en cuanto al contenido y al uso de las bases mundiales de datos de la OMPI en materia de P.I.</w:t>
            </w: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registros que figuran en la Base Mundial de Datos sobre Marcas</w:t>
            </w:r>
          </w:p>
          <w:p w:rsidR="00EE1CCE" w:rsidRPr="008F3D8D" w:rsidRDefault="00EE1CCE" w:rsidP="00A34E19">
            <w:pPr>
              <w:rPr>
                <w:sz w:val="16"/>
                <w:szCs w:val="16"/>
              </w:rPr>
            </w:pPr>
          </w:p>
          <w:p w:rsidR="00EE1CCE" w:rsidRPr="008F3D8D" w:rsidRDefault="00EE1CCE" w:rsidP="00A34E19">
            <w:pPr>
              <w:rPr>
                <w:sz w:val="16"/>
                <w:szCs w:val="16"/>
              </w:rPr>
            </w:pPr>
            <w:r w:rsidRPr="008F3D8D">
              <w:rPr>
                <w:sz w:val="16"/>
                <w:szCs w:val="16"/>
                <w:lang w:val="es-ES_tradnl"/>
              </w:rPr>
              <w:t>N.º de registros que figuran en la Base Mundial de Datos sobre Dibujos y Modelos Industriales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p w:rsidR="00EE1CCE" w:rsidRPr="008F3D8D" w:rsidRDefault="00EE1CCE" w:rsidP="00A34E19">
            <w:pPr>
              <w:spacing w:before="40"/>
              <w:jc w:val="center"/>
              <w:rPr>
                <w:sz w:val="16"/>
                <w:szCs w:val="16"/>
                <w:lang w:bidi="th-TH"/>
              </w:rPr>
            </w:pPr>
          </w:p>
          <w:p w:rsidR="00EE1CCE" w:rsidRPr="008F3D8D" w:rsidRDefault="00EE1CCE" w:rsidP="00A34E19">
            <w:pPr>
              <w:spacing w:before="40"/>
              <w:jc w:val="center"/>
              <w:rPr>
                <w:sz w:val="16"/>
                <w:szCs w:val="16"/>
                <w:lang w:bidi="th-TH"/>
              </w:rPr>
            </w:pPr>
          </w:p>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00B050"/>
                <w:szCs w:val="22"/>
              </w:rPr>
            </w:pPr>
            <w:r w:rsidRPr="008F3D8D">
              <w:rPr>
                <w:color w:val="00B050"/>
                <w:szCs w:val="22"/>
              </w:rPr>
              <w:sym w:font="Wingdings" w:char="F06C"/>
            </w:r>
          </w:p>
          <w:p w:rsidR="00EE1CCE" w:rsidRPr="008F3D8D" w:rsidRDefault="00EE1CCE" w:rsidP="00A34E19">
            <w:pPr>
              <w:jc w:val="center"/>
              <w:rPr>
                <w:color w:val="00B050"/>
                <w:szCs w:val="22"/>
              </w:rPr>
            </w:pPr>
          </w:p>
          <w:p w:rsidR="00EE1CCE" w:rsidRPr="008F3D8D" w:rsidRDefault="00EE1CCE" w:rsidP="00A34E19">
            <w:pPr>
              <w:jc w:val="center"/>
              <w:rPr>
                <w:color w:val="00B050"/>
                <w:szCs w:val="22"/>
              </w:rPr>
            </w:pPr>
            <w:r w:rsidRPr="008F3D8D">
              <w:rPr>
                <w:color w:val="00B050"/>
                <w:szCs w:val="22"/>
              </w:rPr>
              <w:sym w:font="Wingdings" w:char="F06C"/>
            </w:r>
          </w:p>
        </w:tc>
      </w:tr>
      <w:tr w:rsidR="00EE1CCE" w:rsidRPr="008F3D8D" w:rsidTr="00A34E19">
        <w:trPr>
          <w:cantSplit/>
          <w:trHeight w:val="199"/>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colecciones nacionales en PATENTSCOPE.</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445"/>
        </w:trPr>
        <w:tc>
          <w:tcPr>
            <w:tcW w:w="1476" w:type="pct"/>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colecciones nacionales en la Base Mundial de Datos sobre Marcas</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13</w:t>
            </w:r>
          </w:p>
        </w:tc>
        <w:tc>
          <w:tcPr>
            <w:tcW w:w="569" w:type="pct"/>
            <w:shd w:val="clear" w:color="auto" w:fill="FFFFFF"/>
          </w:tcPr>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195"/>
        </w:trPr>
        <w:tc>
          <w:tcPr>
            <w:tcW w:w="1476" w:type="pct"/>
            <w:vMerge w:val="restar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oficinas que utilizan las plataformas de infraestructura de la OMPI</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15</w:t>
            </w:r>
          </w:p>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9" w:type="pct"/>
            <w:shd w:val="clear" w:color="auto" w:fill="FFFFFF"/>
          </w:tcPr>
          <w:p w:rsidR="00EE1CCE" w:rsidRPr="008F3D8D" w:rsidRDefault="00EE1CCE" w:rsidP="00A34E19">
            <w:pPr>
              <w:jc w:val="center"/>
              <w:rPr>
                <w:color w:val="00B050"/>
                <w:szCs w:val="22"/>
              </w:rPr>
            </w:pPr>
            <w:r w:rsidRPr="008F3D8D">
              <w:rPr>
                <w:color w:val="00B050"/>
                <w:szCs w:val="22"/>
              </w:rPr>
              <w:sym w:font="Wingdings" w:char="F06C"/>
            </w:r>
          </w:p>
          <w:p w:rsidR="00EE1CCE" w:rsidRPr="008F3D8D" w:rsidRDefault="00EE1CCE" w:rsidP="00A34E19">
            <w:pPr>
              <w:jc w:val="center"/>
              <w:rPr>
                <w:color w:val="00B050"/>
                <w:szCs w:val="22"/>
              </w:rPr>
            </w:pPr>
            <w:r w:rsidRPr="008F3D8D">
              <w:rPr>
                <w:color w:val="00B050"/>
                <w:szCs w:val="22"/>
              </w:rPr>
              <w:sym w:font="Wingdings" w:char="F06C"/>
            </w:r>
          </w:p>
        </w:tc>
      </w:tr>
      <w:tr w:rsidR="00EE1CCE" w:rsidRPr="008F3D8D" w:rsidTr="00A34E19">
        <w:trPr>
          <w:cantSplit/>
          <w:trHeight w:val="247"/>
        </w:trPr>
        <w:tc>
          <w:tcPr>
            <w:tcW w:w="1476" w:type="pct"/>
            <w:vMerge/>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Media del nivel de los servicios prestados por las Oficinas de P.I. que reciben asistencia (en una escala del 1 al 5)</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9</w:t>
            </w:r>
          </w:p>
          <w:p w:rsidR="00EE1CCE" w:rsidRPr="008F3D8D" w:rsidRDefault="00EE1CCE" w:rsidP="00A34E19">
            <w:pPr>
              <w:spacing w:before="40"/>
              <w:jc w:val="center"/>
              <w:rPr>
                <w:sz w:val="16"/>
                <w:szCs w:val="16"/>
                <w:lang w:bidi="th-TH"/>
              </w:rPr>
            </w:pPr>
            <w:r w:rsidRPr="008F3D8D">
              <w:rPr>
                <w:sz w:val="16"/>
                <w:szCs w:val="16"/>
                <w:lang w:val="es-ES_tradnl" w:bidi="th-TH"/>
              </w:rPr>
              <w:t>Programa 15</w:t>
            </w:r>
          </w:p>
        </w:tc>
        <w:tc>
          <w:tcPr>
            <w:tcW w:w="569" w:type="pct"/>
            <w:shd w:val="clear" w:color="auto" w:fill="FFFFFF"/>
          </w:tcPr>
          <w:p w:rsidR="00EE1CCE" w:rsidRPr="008F3D8D" w:rsidRDefault="00EE1CCE" w:rsidP="00A34E19">
            <w:pPr>
              <w:jc w:val="center"/>
              <w:rPr>
                <w:color w:val="FF0000"/>
                <w:szCs w:val="22"/>
              </w:rPr>
            </w:pPr>
            <w:r w:rsidRPr="008F3D8D">
              <w:rPr>
                <w:color w:val="FF0000"/>
                <w:szCs w:val="22"/>
              </w:rPr>
              <w:sym w:font="Wingdings" w:char="F06C"/>
            </w:r>
          </w:p>
          <w:p w:rsidR="00EE1CCE" w:rsidRPr="008F3D8D" w:rsidRDefault="00EE1CCE" w:rsidP="00A34E19">
            <w:pPr>
              <w:jc w:val="center"/>
              <w:rPr>
                <w:color w:val="FF0000"/>
                <w:szCs w:val="22"/>
              </w:rPr>
            </w:pPr>
            <w:r w:rsidRPr="008F3D8D">
              <w:rPr>
                <w:color w:val="00B050"/>
                <w:szCs w:val="22"/>
              </w:rPr>
              <w:sym w:font="Wingdings" w:char="F06C"/>
            </w:r>
          </w:p>
        </w:tc>
      </w:tr>
      <w:tr w:rsidR="00EE1CCE" w:rsidRPr="008F3D8D" w:rsidTr="00A34E19">
        <w:trPr>
          <w:cantSplit/>
          <w:trHeight w:val="404"/>
        </w:trPr>
        <w:tc>
          <w:tcPr>
            <w:tcW w:w="1476" w:type="pct"/>
            <w:vMerge/>
            <w:shd w:val="clear" w:color="auto" w:fill="auto"/>
            <w:tcMar>
              <w:top w:w="85" w:type="dxa"/>
              <w:bottom w:w="85" w:type="dxa"/>
            </w:tcMar>
          </w:tcPr>
          <w:p w:rsidR="00EE1CCE" w:rsidRPr="008F3D8D" w:rsidRDefault="00EE1CCE" w:rsidP="00A34E19">
            <w:pPr>
              <w:rPr>
                <w:sz w:val="16"/>
                <w:szCs w:val="16"/>
              </w:rPr>
            </w:pPr>
          </w:p>
        </w:tc>
        <w:tc>
          <w:tcPr>
            <w:tcW w:w="2092" w:type="pct"/>
            <w:shd w:val="clear" w:color="auto" w:fill="auto"/>
            <w:tcMar>
              <w:top w:w="85" w:type="dxa"/>
              <w:bottom w:w="85" w:type="dxa"/>
            </w:tcMar>
          </w:tcPr>
          <w:p w:rsidR="00EE1CCE" w:rsidRPr="008F3D8D" w:rsidRDefault="00EE1CCE" w:rsidP="00A34E19">
            <w:pPr>
              <w:rPr>
                <w:sz w:val="16"/>
                <w:szCs w:val="16"/>
              </w:rPr>
            </w:pPr>
            <w:r w:rsidRPr="008F3D8D">
              <w:rPr>
                <w:sz w:val="16"/>
                <w:szCs w:val="16"/>
                <w:lang w:val="es-ES_tradnl"/>
              </w:rPr>
              <w:t>N.º de organismos de gestión colectiva de países en desarrollo y PMA que participan en las redes regionales y mundiales facilitadas por la OMPI</w:t>
            </w:r>
          </w:p>
        </w:tc>
        <w:tc>
          <w:tcPr>
            <w:tcW w:w="862" w:type="pct"/>
            <w:shd w:val="clear" w:color="auto" w:fill="FFFFFF"/>
            <w:tcMar>
              <w:top w:w="85"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15</w:t>
            </w:r>
          </w:p>
        </w:tc>
        <w:tc>
          <w:tcPr>
            <w:tcW w:w="569" w:type="pct"/>
            <w:shd w:val="clear" w:color="auto" w:fill="FFFFFF"/>
          </w:tcPr>
          <w:p w:rsidR="00EE1CCE" w:rsidRPr="008F3D8D" w:rsidRDefault="00EE1CCE" w:rsidP="00A34E19">
            <w:pPr>
              <w:jc w:val="center"/>
              <w:rPr>
                <w:color w:val="FF0000"/>
                <w:szCs w:val="22"/>
              </w:rPr>
            </w:pPr>
            <w:r w:rsidRPr="008F3D8D">
              <w:rPr>
                <w:color w:val="FF0000"/>
                <w:szCs w:val="22"/>
              </w:rPr>
              <w:sym w:font="Wingdings" w:char="F06C"/>
            </w:r>
          </w:p>
        </w:tc>
      </w:tr>
    </w:tbl>
    <w:p w:rsidR="00EE1CCE" w:rsidRPr="008F3D8D" w:rsidRDefault="00EE1CCE" w:rsidP="00EE1CCE">
      <w:pPr>
        <w:jc w:val="both"/>
        <w:rPr>
          <w:lang w:val="en-GB"/>
        </w:rPr>
      </w:pPr>
    </w:p>
    <w:bookmarkEnd w:id="49"/>
    <w:p w:rsidR="00EA2CF6" w:rsidRDefault="00EA2CF6">
      <w:pPr>
        <w:rPr>
          <w:rFonts w:eastAsia="Times New Roman"/>
          <w:sz w:val="20"/>
          <w:lang w:val="en-US" w:eastAsia="en-US"/>
        </w:rPr>
      </w:pPr>
      <w:r>
        <w:br w:type="page"/>
      </w:r>
    </w:p>
    <w:p w:rsidR="00502550" w:rsidRPr="009B216D" w:rsidRDefault="00502550" w:rsidP="0060248E">
      <w:pPr>
        <w:keepNext/>
        <w:tabs>
          <w:tab w:val="left" w:pos="0"/>
          <w:tab w:val="left" w:pos="2410"/>
          <w:tab w:val="right" w:pos="9072"/>
        </w:tabs>
        <w:jc w:val="both"/>
        <w:outlineLvl w:val="1"/>
        <w:rPr>
          <w:b/>
          <w:bCs/>
          <w:iCs/>
          <w:szCs w:val="28"/>
        </w:rPr>
      </w:pPr>
      <w:bookmarkStart w:id="50" w:name="_Toc482711259"/>
      <w:r w:rsidRPr="009B216D">
        <w:rPr>
          <w:b/>
          <w:bCs/>
          <w:iCs/>
          <w:szCs w:val="28"/>
        </w:rPr>
        <w:lastRenderedPageBreak/>
        <w:t>PROGRAMA 12</w:t>
      </w:r>
      <w:r w:rsidRPr="009B216D">
        <w:rPr>
          <w:bCs/>
          <w:iCs/>
          <w:szCs w:val="28"/>
        </w:rPr>
        <w:tab/>
      </w:r>
      <w:r w:rsidRPr="009B216D">
        <w:rPr>
          <w:b/>
          <w:bCs/>
          <w:iCs/>
          <w:szCs w:val="28"/>
        </w:rPr>
        <w:t>CLASIFICACIONES INTERNACIONALES Y NORMAS TÉCNICAS</w:t>
      </w:r>
      <w:bookmarkEnd w:id="50"/>
    </w:p>
    <w:p w:rsidR="00502550" w:rsidRPr="009B216D" w:rsidRDefault="00502550" w:rsidP="00230FAA">
      <w:pPr>
        <w:jc w:val="both"/>
        <w:rPr>
          <w:rFonts w:cs="Times New Roman"/>
          <w:sz w:val="20"/>
        </w:rPr>
      </w:pPr>
    </w:p>
    <w:p w:rsidR="00502550" w:rsidRPr="009B216D" w:rsidRDefault="00502550" w:rsidP="0060248E">
      <w:pPr>
        <w:tabs>
          <w:tab w:val="left" w:pos="2410"/>
        </w:tabs>
        <w:jc w:val="both"/>
        <w:rPr>
          <w:rFonts w:cs="Times New Roman"/>
          <w:b/>
          <w:sz w:val="20"/>
          <w:szCs w:val="22"/>
        </w:rPr>
      </w:pPr>
      <w:r w:rsidRPr="009B216D">
        <w:rPr>
          <w:rFonts w:cs="Times New Roman"/>
          <w:b/>
          <w:sz w:val="20"/>
          <w:szCs w:val="22"/>
        </w:rPr>
        <w:t>Director de programa</w:t>
      </w:r>
      <w:r w:rsidRPr="009B216D">
        <w:rPr>
          <w:rFonts w:cs="Times New Roman"/>
          <w:sz w:val="20"/>
          <w:szCs w:val="22"/>
        </w:rPr>
        <w:tab/>
      </w:r>
      <w:r w:rsidRPr="009B216D">
        <w:rPr>
          <w:rFonts w:cs="Times New Roman"/>
          <w:b/>
          <w:sz w:val="20"/>
          <w:szCs w:val="22"/>
        </w:rPr>
        <w:t>Sr. Y. Takagi</w:t>
      </w:r>
    </w:p>
    <w:p w:rsidR="00502550" w:rsidRPr="009B216D" w:rsidRDefault="00502550" w:rsidP="00230FAA">
      <w:pPr>
        <w:jc w:val="center"/>
        <w:rPr>
          <w:szCs w:val="22"/>
        </w:rPr>
      </w:pPr>
      <w:r w:rsidRPr="009B216D">
        <w:rPr>
          <w:noProof/>
          <w:lang w:val="en-US" w:eastAsia="en-US"/>
        </w:rPr>
        <w:drawing>
          <wp:inline distT="0" distB="0" distL="0" distR="0" wp14:anchorId="24D87D76" wp14:editId="2051E50C">
            <wp:extent cx="5059063" cy="2232837"/>
            <wp:effectExtent l="0" t="0" r="825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5" cstate="print">
                      <a:extLst>
                        <a:ext uri="{28A0092B-C50C-407E-A947-70E740481C1C}">
                          <a14:useLocalDpi xmlns:a14="http://schemas.microsoft.com/office/drawing/2010/main" val="0"/>
                        </a:ext>
                      </a:extLst>
                    </a:blip>
                    <a:srcRect t="4803" b="3494"/>
                    <a:stretch/>
                  </pic:blipFill>
                  <pic:spPr bwMode="auto">
                    <a:xfrm>
                      <a:off x="0" y="0"/>
                      <a:ext cx="5061222" cy="2233790"/>
                    </a:xfrm>
                    <a:prstGeom prst="rect">
                      <a:avLst/>
                    </a:prstGeom>
                    <a:noFill/>
                    <a:ln>
                      <a:noFill/>
                    </a:ln>
                    <a:extLst>
                      <a:ext uri="{53640926-AAD7-44D8-BBD7-CCE9431645EC}">
                        <a14:shadowObscured xmlns:a14="http://schemas.microsoft.com/office/drawing/2010/main"/>
                      </a:ext>
                    </a:extLst>
                  </pic:spPr>
                </pic:pic>
              </a:graphicData>
            </a:graphic>
          </wp:inline>
        </w:drawing>
      </w:r>
      <w:r w:rsidRPr="009B216D">
        <w:t xml:space="preserve"> </w:t>
      </w:r>
    </w:p>
    <w:tbl>
      <w:tblPr>
        <w:tblW w:w="4937" w:type="pct"/>
        <w:tblInd w:w="58" w:type="dxa"/>
        <w:tblLayout w:type="fixed"/>
        <w:tblCellMar>
          <w:left w:w="115" w:type="dxa"/>
          <w:right w:w="115" w:type="dxa"/>
        </w:tblCellMar>
        <w:tblLook w:val="0000" w:firstRow="0" w:lastRow="0" w:firstColumn="0" w:lastColumn="0" w:noHBand="0" w:noVBand="0"/>
      </w:tblPr>
      <w:tblGrid>
        <w:gridCol w:w="1963"/>
        <w:gridCol w:w="2250"/>
        <w:gridCol w:w="1225"/>
        <w:gridCol w:w="2719"/>
        <w:gridCol w:w="914"/>
      </w:tblGrid>
      <w:tr w:rsidR="00502550" w:rsidRPr="009B216D" w:rsidTr="00230FAA">
        <w:trPr>
          <w:trHeight w:val="565"/>
          <w:tblHeader/>
        </w:trPr>
        <w:tc>
          <w:tcPr>
            <w:tcW w:w="5000" w:type="pct"/>
            <w:gridSpan w:val="5"/>
            <w:shd w:val="clear" w:color="auto" w:fill="C6D9F1" w:themeFill="text2" w:themeFillTint="33"/>
            <w:tcMar>
              <w:left w:w="58" w:type="dxa"/>
              <w:right w:w="58" w:type="dxa"/>
            </w:tcMar>
            <w:vAlign w:val="center"/>
          </w:tcPr>
          <w:p w:rsidR="00502550" w:rsidRPr="009B216D" w:rsidRDefault="00502550" w:rsidP="00230FAA">
            <w:pPr>
              <w:keepNext/>
              <w:keepLines/>
              <w:tabs>
                <w:tab w:val="left" w:pos="1452"/>
              </w:tabs>
              <w:ind w:left="1701" w:hanging="1701"/>
              <w:rPr>
                <w:bCs/>
                <w:sz w:val="16"/>
                <w:szCs w:val="16"/>
              </w:rPr>
            </w:pPr>
            <w:r w:rsidRPr="009B216D">
              <w:rPr>
                <w:b/>
                <w:bCs/>
                <w:sz w:val="16"/>
                <w:szCs w:val="16"/>
              </w:rPr>
              <w:t>Resultado previsto:</w:t>
            </w:r>
            <w:r w:rsidRPr="009B216D">
              <w:rPr>
                <w:b/>
                <w:bCs/>
                <w:sz w:val="16"/>
                <w:szCs w:val="16"/>
              </w:rPr>
              <w:tab/>
            </w:r>
            <w:r w:rsidRPr="009B216D">
              <w:rPr>
                <w:bCs/>
                <w:sz w:val="16"/>
                <w:szCs w:val="16"/>
              </w:rPr>
              <w:t>IV.1  Sistema actualizado y aceptado mundialmente de clasificaciones internacionales y normas técnicas de la OMPI para facilitar el acceso, el uso y la difusión de información de P.I. entre las partes interesadas de todo el mundo</w:t>
            </w:r>
          </w:p>
        </w:tc>
      </w:tr>
      <w:tr w:rsidR="00502550" w:rsidRPr="009B216D" w:rsidTr="00230FAA">
        <w:tc>
          <w:tcPr>
            <w:tcW w:w="1082" w:type="pct"/>
            <w:shd w:val="clear" w:color="auto" w:fill="auto"/>
            <w:tcMar>
              <w:left w:w="58" w:type="dxa"/>
              <w:right w:w="58" w:type="dxa"/>
            </w:tcMar>
            <w:vAlign w:val="center"/>
          </w:tcPr>
          <w:p w:rsidR="00502550" w:rsidRPr="009B216D" w:rsidRDefault="00502550" w:rsidP="00230FAA">
            <w:pPr>
              <w:ind w:right="-57"/>
              <w:rPr>
                <w:b/>
                <w:bCs/>
                <w:sz w:val="16"/>
                <w:szCs w:val="16"/>
              </w:rPr>
            </w:pPr>
            <w:r w:rsidRPr="009B216D">
              <w:rPr>
                <w:b/>
                <w:bCs/>
                <w:sz w:val="16"/>
                <w:szCs w:val="16"/>
              </w:rPr>
              <w:t>Indicadores de rendimiento</w:t>
            </w:r>
          </w:p>
        </w:tc>
        <w:tc>
          <w:tcPr>
            <w:tcW w:w="1240" w:type="pct"/>
            <w:shd w:val="clear" w:color="auto" w:fill="auto"/>
            <w:tcMar>
              <w:left w:w="58" w:type="dxa"/>
              <w:right w:w="58" w:type="dxa"/>
            </w:tcMar>
            <w:vAlign w:val="center"/>
          </w:tcPr>
          <w:p w:rsidR="00502550" w:rsidRPr="009B216D" w:rsidRDefault="00502550" w:rsidP="00230FAA">
            <w:pPr>
              <w:ind w:right="-58"/>
              <w:rPr>
                <w:b/>
                <w:bCs/>
                <w:sz w:val="16"/>
                <w:szCs w:val="16"/>
              </w:rPr>
            </w:pPr>
            <w:r w:rsidRPr="009B216D">
              <w:rPr>
                <w:b/>
                <w:bCs/>
                <w:sz w:val="16"/>
                <w:szCs w:val="16"/>
              </w:rPr>
              <w:t>Referencias de base</w:t>
            </w:r>
          </w:p>
        </w:tc>
        <w:tc>
          <w:tcPr>
            <w:tcW w:w="675" w:type="pct"/>
            <w:shd w:val="clear" w:color="auto" w:fill="auto"/>
            <w:tcMar>
              <w:top w:w="110" w:type="dxa"/>
              <w:left w:w="58" w:type="dxa"/>
              <w:right w:w="58" w:type="dxa"/>
            </w:tcMar>
            <w:vAlign w:val="center"/>
          </w:tcPr>
          <w:p w:rsidR="00502550" w:rsidRPr="009B216D" w:rsidRDefault="00502550" w:rsidP="00230FAA">
            <w:pPr>
              <w:tabs>
                <w:tab w:val="left" w:pos="290"/>
              </w:tabs>
              <w:rPr>
                <w:b/>
                <w:bCs/>
                <w:sz w:val="16"/>
                <w:szCs w:val="16"/>
              </w:rPr>
            </w:pPr>
            <w:r w:rsidRPr="009B216D">
              <w:rPr>
                <w:b/>
                <w:bCs/>
                <w:sz w:val="16"/>
                <w:szCs w:val="16"/>
              </w:rPr>
              <w:t>Objetivos</w:t>
            </w:r>
          </w:p>
        </w:tc>
        <w:tc>
          <w:tcPr>
            <w:tcW w:w="1499" w:type="pct"/>
            <w:shd w:val="clear" w:color="auto" w:fill="FFFFFF"/>
            <w:tcMar>
              <w:top w:w="110" w:type="dxa"/>
              <w:left w:w="58" w:type="dxa"/>
              <w:right w:w="58" w:type="dxa"/>
            </w:tcMar>
            <w:vAlign w:val="center"/>
          </w:tcPr>
          <w:p w:rsidR="00502550" w:rsidRPr="009B216D" w:rsidRDefault="00502550" w:rsidP="00230FAA">
            <w:pPr>
              <w:ind w:right="30"/>
              <w:rPr>
                <w:b/>
                <w:bCs/>
                <w:sz w:val="16"/>
                <w:szCs w:val="16"/>
              </w:rPr>
            </w:pPr>
            <w:r w:rsidRPr="009B216D">
              <w:rPr>
                <w:b/>
                <w:bCs/>
                <w:sz w:val="16"/>
                <w:szCs w:val="16"/>
              </w:rPr>
              <w:t>Datos sobre el rendimiento</w:t>
            </w:r>
          </w:p>
        </w:tc>
        <w:tc>
          <w:tcPr>
            <w:tcW w:w="504" w:type="pct"/>
            <w:shd w:val="clear" w:color="auto" w:fill="auto"/>
            <w:tcMar>
              <w:top w:w="110" w:type="dxa"/>
              <w:left w:w="58" w:type="dxa"/>
              <w:right w:w="58" w:type="dxa"/>
            </w:tcMar>
            <w:vAlign w:val="center"/>
          </w:tcPr>
          <w:p w:rsidR="00502550" w:rsidRPr="009B216D" w:rsidRDefault="00502550" w:rsidP="00230FAA">
            <w:pPr>
              <w:keepNext/>
              <w:keepLines/>
              <w:ind w:right="1"/>
              <w:jc w:val="center"/>
              <w:rPr>
                <w:b/>
                <w:bCs/>
                <w:sz w:val="16"/>
                <w:szCs w:val="16"/>
              </w:rPr>
            </w:pPr>
            <w:r w:rsidRPr="009B216D">
              <w:rPr>
                <w:b/>
                <w:bCs/>
                <w:sz w:val="16"/>
                <w:szCs w:val="16"/>
              </w:rPr>
              <w:t>Clave de colores</w:t>
            </w:r>
          </w:p>
        </w:tc>
      </w:tr>
      <w:tr w:rsidR="00502550" w:rsidRPr="009B216D" w:rsidTr="00230FAA">
        <w:trPr>
          <w:trHeight w:val="4684"/>
        </w:trPr>
        <w:tc>
          <w:tcPr>
            <w:tcW w:w="1082" w:type="pct"/>
            <w:shd w:val="clear" w:color="auto" w:fill="auto"/>
            <w:tcMar>
              <w:left w:w="58" w:type="dxa"/>
              <w:right w:w="58" w:type="dxa"/>
            </w:tcMar>
          </w:tcPr>
          <w:p w:rsidR="00502550" w:rsidRPr="009B216D" w:rsidRDefault="00502550" w:rsidP="00230FAA">
            <w:pPr>
              <w:keepLines/>
              <w:ind w:right="-57"/>
              <w:rPr>
                <w:sz w:val="16"/>
                <w:szCs w:val="16"/>
              </w:rPr>
            </w:pPr>
            <w:r w:rsidRPr="009B216D">
              <w:rPr>
                <w:sz w:val="16"/>
                <w:szCs w:val="16"/>
              </w:rPr>
              <w:t>N.º de modificaciones y ficheros de información introducidos en la Clasificación de Niza</w:t>
            </w:r>
          </w:p>
        </w:tc>
        <w:tc>
          <w:tcPr>
            <w:tcW w:w="1240" w:type="pct"/>
            <w:shd w:val="clear" w:color="auto" w:fill="auto"/>
            <w:tcMar>
              <w:left w:w="58" w:type="dxa"/>
              <w:right w:w="58" w:type="dxa"/>
            </w:tcMar>
          </w:tcPr>
          <w:p w:rsidR="00502550" w:rsidRPr="00BC28E8" w:rsidRDefault="00502550" w:rsidP="00230FAA">
            <w:pPr>
              <w:ind w:right="-58"/>
              <w:rPr>
                <w:i/>
                <w:color w:val="002060"/>
                <w:sz w:val="16"/>
                <w:szCs w:val="16"/>
              </w:rPr>
            </w:pPr>
            <w:r w:rsidRPr="00BC28E8">
              <w:rPr>
                <w:i/>
                <w:color w:val="002060"/>
                <w:sz w:val="16"/>
                <w:szCs w:val="16"/>
              </w:rPr>
              <w:t>Referencia actualizada a fines de 2015:</w:t>
            </w:r>
          </w:p>
          <w:p w:rsidR="00502550" w:rsidRPr="00BC28E8" w:rsidRDefault="00502550" w:rsidP="00230FAA">
            <w:pPr>
              <w:pStyle w:val="Default"/>
              <w:keepNext/>
              <w:keepLines/>
              <w:ind w:right="-58"/>
              <w:rPr>
                <w:color w:val="002060"/>
                <w:sz w:val="16"/>
                <w:szCs w:val="16"/>
                <w:lang w:val="es-ES"/>
              </w:rPr>
            </w:pPr>
            <w:r w:rsidRPr="00BC28E8">
              <w:rPr>
                <w:color w:val="002060"/>
                <w:sz w:val="16"/>
                <w:szCs w:val="16"/>
                <w:lang w:val="es-ES"/>
              </w:rPr>
              <w:t xml:space="preserve">1.480 modificaciones en el bienio:  </w:t>
            </w:r>
          </w:p>
          <w:p w:rsidR="00502550" w:rsidRPr="00BC28E8" w:rsidRDefault="00502550" w:rsidP="00230FAA">
            <w:pPr>
              <w:pStyle w:val="Default"/>
              <w:keepNext/>
              <w:keepLines/>
              <w:ind w:right="-58"/>
              <w:rPr>
                <w:color w:val="002060"/>
                <w:sz w:val="16"/>
                <w:szCs w:val="16"/>
                <w:lang w:val="es-ES"/>
              </w:rPr>
            </w:pPr>
            <w:r w:rsidRPr="00BC28E8">
              <w:rPr>
                <w:color w:val="002060"/>
                <w:sz w:val="16"/>
                <w:szCs w:val="16"/>
                <w:lang w:val="es-ES"/>
              </w:rPr>
              <w:t>560 modificaciones en 2014</w:t>
            </w:r>
            <w:r w:rsidRPr="00BC28E8">
              <w:rPr>
                <w:rStyle w:val="FootnoteReference"/>
                <w:color w:val="002060"/>
                <w:lang w:val="es-ES"/>
              </w:rPr>
              <w:footnoteReference w:id="60"/>
            </w:r>
          </w:p>
          <w:p w:rsidR="00502550" w:rsidRPr="00BC28E8" w:rsidRDefault="00502550" w:rsidP="00502550">
            <w:pPr>
              <w:pStyle w:val="Default"/>
              <w:keepNext/>
              <w:keepLines/>
              <w:numPr>
                <w:ilvl w:val="0"/>
                <w:numId w:val="62"/>
              </w:numPr>
              <w:ind w:right="-58"/>
              <w:rPr>
                <w:color w:val="002060"/>
                <w:sz w:val="16"/>
                <w:szCs w:val="16"/>
                <w:lang w:val="es-ES"/>
              </w:rPr>
            </w:pPr>
            <w:r w:rsidRPr="00BC28E8">
              <w:rPr>
                <w:color w:val="002060"/>
                <w:sz w:val="16"/>
                <w:szCs w:val="16"/>
                <w:lang w:val="es-ES"/>
              </w:rPr>
              <w:t>274 en inglés</w:t>
            </w:r>
          </w:p>
          <w:p w:rsidR="00502550" w:rsidRPr="00BC28E8" w:rsidRDefault="00502550" w:rsidP="00502550">
            <w:pPr>
              <w:pStyle w:val="Default"/>
              <w:keepNext/>
              <w:keepLines/>
              <w:numPr>
                <w:ilvl w:val="0"/>
                <w:numId w:val="62"/>
              </w:numPr>
              <w:ind w:right="-58"/>
              <w:rPr>
                <w:color w:val="002060"/>
                <w:sz w:val="16"/>
                <w:szCs w:val="16"/>
                <w:lang w:val="es-ES"/>
              </w:rPr>
            </w:pPr>
            <w:r w:rsidRPr="00BC28E8">
              <w:rPr>
                <w:color w:val="002060"/>
                <w:sz w:val="16"/>
                <w:szCs w:val="16"/>
                <w:lang w:val="es-ES"/>
              </w:rPr>
              <w:t>286 en francés</w:t>
            </w:r>
          </w:p>
          <w:p w:rsidR="00502550" w:rsidRPr="00BC28E8" w:rsidRDefault="00502550" w:rsidP="00230FAA">
            <w:pPr>
              <w:pStyle w:val="Default"/>
              <w:keepNext/>
              <w:keepLines/>
              <w:ind w:right="-58"/>
              <w:rPr>
                <w:color w:val="002060"/>
                <w:sz w:val="16"/>
                <w:szCs w:val="16"/>
                <w:lang w:val="es-ES"/>
              </w:rPr>
            </w:pPr>
            <w:r w:rsidRPr="00BC28E8">
              <w:rPr>
                <w:color w:val="002060"/>
                <w:sz w:val="16"/>
                <w:szCs w:val="16"/>
                <w:lang w:val="es-ES"/>
              </w:rPr>
              <w:t>920 modificaciones en 2015</w:t>
            </w:r>
          </w:p>
          <w:p w:rsidR="00502550" w:rsidRPr="00BC28E8" w:rsidRDefault="00502550" w:rsidP="00502550">
            <w:pPr>
              <w:pStyle w:val="Default"/>
              <w:keepNext/>
              <w:keepLines/>
              <w:numPr>
                <w:ilvl w:val="0"/>
                <w:numId w:val="62"/>
              </w:numPr>
              <w:ind w:right="-58"/>
              <w:rPr>
                <w:color w:val="002060"/>
                <w:sz w:val="16"/>
                <w:szCs w:val="16"/>
                <w:lang w:val="es-ES"/>
              </w:rPr>
            </w:pPr>
            <w:r w:rsidRPr="00BC28E8">
              <w:rPr>
                <w:color w:val="002060"/>
                <w:sz w:val="16"/>
                <w:szCs w:val="16"/>
                <w:lang w:val="es-ES"/>
              </w:rPr>
              <w:t>496 en inglés</w:t>
            </w:r>
          </w:p>
          <w:p w:rsidR="00502550" w:rsidRPr="00BC28E8" w:rsidRDefault="00502550" w:rsidP="00502550">
            <w:pPr>
              <w:pStyle w:val="Default"/>
              <w:keepNext/>
              <w:keepLines/>
              <w:numPr>
                <w:ilvl w:val="0"/>
                <w:numId w:val="62"/>
              </w:numPr>
              <w:ind w:right="-58"/>
              <w:rPr>
                <w:color w:val="002060"/>
                <w:sz w:val="16"/>
                <w:szCs w:val="16"/>
                <w:lang w:val="es-ES"/>
              </w:rPr>
            </w:pPr>
            <w:r w:rsidRPr="00BC28E8">
              <w:rPr>
                <w:color w:val="002060"/>
                <w:sz w:val="16"/>
                <w:szCs w:val="16"/>
                <w:lang w:val="es-ES"/>
              </w:rPr>
              <w:t>424 en francés</w:t>
            </w:r>
          </w:p>
          <w:p w:rsidR="00502550" w:rsidRPr="00BC28E8" w:rsidRDefault="00502550" w:rsidP="00230FAA">
            <w:pPr>
              <w:ind w:right="-58"/>
              <w:rPr>
                <w:color w:val="002060"/>
                <w:sz w:val="16"/>
                <w:szCs w:val="16"/>
              </w:rPr>
            </w:pPr>
          </w:p>
          <w:p w:rsidR="00502550" w:rsidRPr="00BC28E8" w:rsidRDefault="00502550" w:rsidP="00230FAA">
            <w:pPr>
              <w:keepNext/>
              <w:keepLines/>
              <w:ind w:right="-58"/>
              <w:rPr>
                <w:color w:val="002060"/>
                <w:sz w:val="16"/>
                <w:szCs w:val="16"/>
              </w:rPr>
            </w:pPr>
            <w:r w:rsidRPr="00BC28E8">
              <w:rPr>
                <w:color w:val="002060"/>
                <w:sz w:val="16"/>
                <w:szCs w:val="16"/>
              </w:rPr>
              <w:t xml:space="preserve">43 ficheros de información revisados </w:t>
            </w:r>
          </w:p>
          <w:p w:rsidR="00502550" w:rsidRPr="00BC28E8" w:rsidRDefault="00502550" w:rsidP="00502550">
            <w:pPr>
              <w:pStyle w:val="Default"/>
              <w:keepNext/>
              <w:keepLines/>
              <w:numPr>
                <w:ilvl w:val="0"/>
                <w:numId w:val="64"/>
              </w:numPr>
              <w:ind w:right="-58"/>
              <w:rPr>
                <w:color w:val="002060"/>
                <w:sz w:val="16"/>
                <w:szCs w:val="16"/>
                <w:lang w:val="es-ES"/>
              </w:rPr>
            </w:pPr>
            <w:r w:rsidRPr="00BC28E8">
              <w:rPr>
                <w:color w:val="002060"/>
                <w:sz w:val="16"/>
                <w:szCs w:val="16"/>
                <w:lang w:val="es-ES"/>
              </w:rPr>
              <w:t>39 (2014)</w:t>
            </w:r>
          </w:p>
          <w:p w:rsidR="00502550" w:rsidRPr="00BC28E8" w:rsidRDefault="00502550" w:rsidP="00502550">
            <w:pPr>
              <w:pStyle w:val="Default"/>
              <w:keepNext/>
              <w:keepLines/>
              <w:numPr>
                <w:ilvl w:val="0"/>
                <w:numId w:val="64"/>
              </w:numPr>
              <w:ind w:right="-58"/>
              <w:rPr>
                <w:color w:val="002060"/>
                <w:sz w:val="16"/>
                <w:szCs w:val="16"/>
                <w:lang w:val="es-ES"/>
              </w:rPr>
            </w:pPr>
            <w:r w:rsidRPr="00BC28E8">
              <w:rPr>
                <w:color w:val="002060"/>
                <w:sz w:val="16"/>
                <w:szCs w:val="16"/>
                <w:lang w:val="es-ES"/>
              </w:rPr>
              <w:t>4 (2015)</w:t>
            </w:r>
          </w:p>
          <w:p w:rsidR="00502550" w:rsidRPr="00BC28E8" w:rsidRDefault="00502550" w:rsidP="00230FAA">
            <w:pPr>
              <w:pStyle w:val="Default"/>
              <w:keepNext/>
              <w:keepLines/>
              <w:ind w:right="-58"/>
              <w:rPr>
                <w:color w:val="002060"/>
                <w:sz w:val="16"/>
                <w:szCs w:val="16"/>
                <w:lang w:val="es-ES"/>
              </w:rPr>
            </w:pPr>
          </w:p>
          <w:p w:rsidR="00502550" w:rsidRPr="00BC28E8" w:rsidRDefault="00502550" w:rsidP="00230FAA">
            <w:pPr>
              <w:pStyle w:val="Default"/>
              <w:keepNext/>
              <w:keepLines/>
              <w:ind w:right="-58"/>
              <w:rPr>
                <w:color w:val="002060"/>
                <w:sz w:val="16"/>
                <w:szCs w:val="16"/>
                <w:lang w:val="es-ES"/>
              </w:rPr>
            </w:pPr>
            <w:r w:rsidRPr="00BC28E8">
              <w:rPr>
                <w:color w:val="002060"/>
                <w:sz w:val="16"/>
                <w:szCs w:val="16"/>
                <w:lang w:val="es-ES"/>
              </w:rPr>
              <w:t>25 nuevos ficheros de información introducidos</w:t>
            </w:r>
          </w:p>
          <w:p w:rsidR="00502550" w:rsidRPr="00BC28E8" w:rsidRDefault="00502550" w:rsidP="00502550">
            <w:pPr>
              <w:pStyle w:val="Default"/>
              <w:keepNext/>
              <w:keepLines/>
              <w:numPr>
                <w:ilvl w:val="0"/>
                <w:numId w:val="63"/>
              </w:numPr>
              <w:ind w:right="-58"/>
              <w:rPr>
                <w:color w:val="002060"/>
                <w:sz w:val="16"/>
                <w:szCs w:val="16"/>
                <w:lang w:val="es-ES"/>
              </w:rPr>
            </w:pPr>
            <w:r w:rsidRPr="00BC28E8">
              <w:rPr>
                <w:color w:val="002060"/>
                <w:sz w:val="16"/>
                <w:szCs w:val="16"/>
                <w:lang w:val="es-ES"/>
              </w:rPr>
              <w:t>20 (2014)</w:t>
            </w:r>
          </w:p>
          <w:p w:rsidR="00502550" w:rsidRPr="00BC28E8" w:rsidRDefault="00502550" w:rsidP="00502550">
            <w:pPr>
              <w:pStyle w:val="Default"/>
              <w:keepNext/>
              <w:keepLines/>
              <w:numPr>
                <w:ilvl w:val="0"/>
                <w:numId w:val="63"/>
              </w:numPr>
              <w:ind w:right="-58"/>
              <w:rPr>
                <w:color w:val="002060"/>
                <w:sz w:val="16"/>
                <w:szCs w:val="16"/>
                <w:lang w:val="es-ES"/>
              </w:rPr>
            </w:pPr>
            <w:r w:rsidRPr="00BC28E8">
              <w:rPr>
                <w:color w:val="002060"/>
                <w:sz w:val="16"/>
                <w:szCs w:val="16"/>
                <w:lang w:val="es-ES"/>
              </w:rPr>
              <w:t>5 (2015)</w:t>
            </w:r>
          </w:p>
          <w:p w:rsidR="00502550" w:rsidRPr="009B216D" w:rsidRDefault="00502550" w:rsidP="00230FAA">
            <w:pPr>
              <w:ind w:right="-58"/>
              <w:rPr>
                <w:sz w:val="16"/>
                <w:szCs w:val="16"/>
              </w:rPr>
            </w:pPr>
          </w:p>
          <w:p w:rsidR="00502550" w:rsidRPr="009B216D" w:rsidRDefault="00502550" w:rsidP="00230FAA">
            <w:pPr>
              <w:ind w:right="-58"/>
              <w:rPr>
                <w:i/>
                <w:sz w:val="16"/>
                <w:szCs w:val="16"/>
                <w:lang w:bidi="th-TH"/>
              </w:rPr>
            </w:pPr>
            <w:r w:rsidRPr="009B216D">
              <w:rPr>
                <w:i/>
                <w:sz w:val="16"/>
                <w:szCs w:val="16"/>
                <w:lang w:bidi="th-TH"/>
              </w:rPr>
              <w:t xml:space="preserve">Referencia original en el presupuesto de 2016/17:  </w:t>
            </w:r>
          </w:p>
          <w:p w:rsidR="00502550" w:rsidRPr="009B216D" w:rsidRDefault="00502550" w:rsidP="00230FAA">
            <w:pPr>
              <w:keepNext/>
              <w:keepLines/>
              <w:ind w:right="-57"/>
              <w:rPr>
                <w:sz w:val="16"/>
                <w:szCs w:val="16"/>
              </w:rPr>
            </w:pPr>
            <w:r w:rsidRPr="009B216D">
              <w:rPr>
                <w:sz w:val="16"/>
                <w:szCs w:val="16"/>
              </w:rPr>
              <w:t>570 modificaciones en inglés y francés,  50 ficheros de información nuevos o modificados (2014)</w:t>
            </w:r>
          </w:p>
        </w:tc>
        <w:tc>
          <w:tcPr>
            <w:tcW w:w="675" w:type="pct"/>
            <w:shd w:val="clear" w:color="auto" w:fill="auto"/>
            <w:tcMar>
              <w:top w:w="110" w:type="dxa"/>
              <w:left w:w="58" w:type="dxa"/>
              <w:right w:w="58" w:type="dxa"/>
            </w:tcMar>
          </w:tcPr>
          <w:p w:rsidR="00502550" w:rsidRPr="009B216D" w:rsidRDefault="00502550" w:rsidP="00230FAA">
            <w:pPr>
              <w:keepNext/>
              <w:keepLines/>
              <w:rPr>
                <w:sz w:val="16"/>
                <w:szCs w:val="16"/>
              </w:rPr>
            </w:pPr>
            <w:r w:rsidRPr="009B216D">
              <w:rPr>
                <w:sz w:val="16"/>
                <w:szCs w:val="16"/>
              </w:rPr>
              <w:t>Aumento en comparación con la referencia</w:t>
            </w:r>
          </w:p>
        </w:tc>
        <w:tc>
          <w:tcPr>
            <w:tcW w:w="1499" w:type="pct"/>
            <w:shd w:val="clear" w:color="auto" w:fill="FFFFFF"/>
            <w:tcMar>
              <w:top w:w="110" w:type="dxa"/>
              <w:left w:w="58" w:type="dxa"/>
              <w:right w:w="58" w:type="dxa"/>
            </w:tcMar>
          </w:tcPr>
          <w:p w:rsidR="00502550" w:rsidRPr="009B216D" w:rsidRDefault="00502550" w:rsidP="00230FAA">
            <w:pPr>
              <w:ind w:right="30"/>
              <w:rPr>
                <w:sz w:val="16"/>
                <w:szCs w:val="16"/>
              </w:rPr>
            </w:pPr>
            <w:r w:rsidRPr="009B216D">
              <w:rPr>
                <w:sz w:val="16"/>
                <w:szCs w:val="16"/>
              </w:rPr>
              <w:t>1.213 modificaciones</w:t>
            </w:r>
          </w:p>
          <w:p w:rsidR="00502550" w:rsidRPr="009B216D" w:rsidRDefault="00502550" w:rsidP="00502550">
            <w:pPr>
              <w:pStyle w:val="ListParagraph"/>
              <w:numPr>
                <w:ilvl w:val="0"/>
                <w:numId w:val="62"/>
              </w:numPr>
              <w:ind w:left="213" w:right="30" w:hanging="147"/>
              <w:contextualSpacing/>
              <w:rPr>
                <w:sz w:val="16"/>
                <w:szCs w:val="16"/>
                <w:lang w:val="es-ES"/>
              </w:rPr>
            </w:pPr>
            <w:r w:rsidRPr="009B216D">
              <w:rPr>
                <w:sz w:val="16"/>
                <w:szCs w:val="16"/>
                <w:lang w:val="es-ES"/>
              </w:rPr>
              <w:t>651 en inglés</w:t>
            </w:r>
          </w:p>
          <w:p w:rsidR="00502550" w:rsidRPr="009B216D" w:rsidRDefault="00502550" w:rsidP="00502550">
            <w:pPr>
              <w:pStyle w:val="ListParagraph"/>
              <w:numPr>
                <w:ilvl w:val="0"/>
                <w:numId w:val="62"/>
              </w:numPr>
              <w:ind w:left="213" w:right="30" w:hanging="147"/>
              <w:contextualSpacing/>
              <w:rPr>
                <w:sz w:val="16"/>
                <w:szCs w:val="16"/>
                <w:lang w:val="es-ES"/>
              </w:rPr>
            </w:pPr>
            <w:r w:rsidRPr="009B216D">
              <w:rPr>
                <w:sz w:val="16"/>
                <w:szCs w:val="16"/>
                <w:lang w:val="es-ES"/>
              </w:rPr>
              <w:t>562 en francés</w:t>
            </w:r>
          </w:p>
          <w:p w:rsidR="00502550" w:rsidRPr="009B216D" w:rsidRDefault="00502550" w:rsidP="00230FAA">
            <w:pPr>
              <w:pStyle w:val="ListParagraph"/>
              <w:ind w:left="360" w:right="30"/>
              <w:rPr>
                <w:sz w:val="16"/>
                <w:szCs w:val="16"/>
                <w:lang w:val="es-ES"/>
              </w:rPr>
            </w:pP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r w:rsidRPr="009B216D">
              <w:rPr>
                <w:sz w:val="16"/>
                <w:szCs w:val="16"/>
              </w:rPr>
              <w:t>148 ficheros de información revisados</w:t>
            </w: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p>
          <w:p w:rsidR="00502550" w:rsidRPr="009B216D" w:rsidRDefault="00502550" w:rsidP="00230FAA">
            <w:pPr>
              <w:ind w:right="30"/>
              <w:rPr>
                <w:sz w:val="16"/>
                <w:szCs w:val="16"/>
              </w:rPr>
            </w:pPr>
            <w:r w:rsidRPr="009B216D">
              <w:rPr>
                <w:sz w:val="16"/>
                <w:szCs w:val="16"/>
              </w:rPr>
              <w:t>30 nuevos ficheros de información introducidos</w:t>
            </w:r>
          </w:p>
        </w:tc>
        <w:tc>
          <w:tcPr>
            <w:tcW w:w="504" w:type="pct"/>
            <w:shd w:val="clear" w:color="auto" w:fill="auto"/>
            <w:tcMar>
              <w:top w:w="110" w:type="dxa"/>
              <w:left w:w="58" w:type="dxa"/>
              <w:right w:w="58" w:type="dxa"/>
            </w:tcMar>
          </w:tcPr>
          <w:p w:rsidR="00502550" w:rsidRPr="009B216D" w:rsidRDefault="00502550" w:rsidP="00230FAA">
            <w:pPr>
              <w:keepNext/>
              <w:keepLines/>
              <w:ind w:right="1"/>
              <w:jc w:val="center"/>
              <w:rPr>
                <w:b/>
                <w:sz w:val="16"/>
                <w:szCs w:val="16"/>
              </w:rPr>
            </w:pPr>
            <w:r w:rsidRPr="009B216D">
              <w:rPr>
                <w:b/>
                <w:color w:val="00B050"/>
                <w:sz w:val="16"/>
                <w:szCs w:val="16"/>
              </w:rPr>
              <w:t>Avanza</w:t>
            </w: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rPr>
                <w:sz w:val="16"/>
                <w:szCs w:val="16"/>
              </w:rPr>
            </w:pP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00B050"/>
                <w:sz w:val="16"/>
                <w:szCs w:val="16"/>
              </w:rPr>
              <w:t>Avanza</w:t>
            </w:r>
          </w:p>
          <w:p w:rsidR="00502550" w:rsidRPr="009B216D" w:rsidRDefault="00502550" w:rsidP="00230FAA">
            <w:pPr>
              <w:keepNext/>
              <w:keepLines/>
              <w:ind w:right="1"/>
              <w:jc w:val="center"/>
              <w:rPr>
                <w:sz w:val="16"/>
                <w:szCs w:val="16"/>
              </w:rPr>
            </w:pPr>
          </w:p>
          <w:p w:rsidR="00502550" w:rsidRPr="009B216D" w:rsidRDefault="00502550" w:rsidP="00230FAA">
            <w:pPr>
              <w:keepNext/>
              <w:keepLines/>
              <w:ind w:right="1"/>
              <w:rPr>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00B050"/>
                <w:sz w:val="16"/>
                <w:szCs w:val="16"/>
              </w:rPr>
              <w:t>Avanza</w:t>
            </w:r>
          </w:p>
          <w:p w:rsidR="00502550" w:rsidRPr="009B216D" w:rsidRDefault="00502550" w:rsidP="00230FAA">
            <w:pPr>
              <w:keepNext/>
              <w:keepLines/>
              <w:ind w:right="1"/>
              <w:jc w:val="center"/>
              <w:rPr>
                <w:sz w:val="16"/>
                <w:szCs w:val="16"/>
              </w:rPr>
            </w:pPr>
          </w:p>
        </w:tc>
      </w:tr>
      <w:tr w:rsidR="00502550" w:rsidRPr="009B216D" w:rsidTr="007D78DE">
        <w:trPr>
          <w:trHeight w:val="435"/>
        </w:trPr>
        <w:tc>
          <w:tcPr>
            <w:tcW w:w="1082" w:type="pct"/>
            <w:shd w:val="clear" w:color="auto" w:fill="auto"/>
            <w:tcMar>
              <w:left w:w="58" w:type="dxa"/>
              <w:right w:w="58" w:type="dxa"/>
            </w:tcMar>
          </w:tcPr>
          <w:p w:rsidR="00502550" w:rsidRPr="009B216D" w:rsidRDefault="00502550" w:rsidP="00230FAA">
            <w:pPr>
              <w:keepLines/>
              <w:ind w:right="-57"/>
              <w:rPr>
                <w:sz w:val="16"/>
                <w:szCs w:val="16"/>
              </w:rPr>
            </w:pPr>
            <w:r w:rsidRPr="009B216D">
              <w:rPr>
                <w:sz w:val="16"/>
                <w:szCs w:val="16"/>
              </w:rPr>
              <w:t>N.º de nuevas subdivisiones introducidas anualmente en la CIP</w:t>
            </w:r>
          </w:p>
        </w:tc>
        <w:tc>
          <w:tcPr>
            <w:tcW w:w="1240" w:type="pct"/>
            <w:shd w:val="clear" w:color="auto" w:fill="auto"/>
            <w:tcMar>
              <w:left w:w="58" w:type="dxa"/>
              <w:right w:w="58" w:type="dxa"/>
            </w:tcMar>
          </w:tcPr>
          <w:p w:rsidR="00502550" w:rsidRPr="00BC28E8" w:rsidRDefault="00502550" w:rsidP="00230FAA">
            <w:pPr>
              <w:ind w:right="-58"/>
              <w:rPr>
                <w:i/>
                <w:color w:val="002060"/>
                <w:sz w:val="16"/>
                <w:szCs w:val="16"/>
              </w:rPr>
            </w:pPr>
            <w:r w:rsidRPr="00BC28E8">
              <w:rPr>
                <w:i/>
                <w:color w:val="002060"/>
                <w:sz w:val="16"/>
                <w:szCs w:val="16"/>
              </w:rPr>
              <w:t xml:space="preserve">Referencia actualizada a fines de 2015:  </w:t>
            </w:r>
          </w:p>
          <w:p w:rsidR="00502550" w:rsidRPr="00BC28E8" w:rsidRDefault="00502550" w:rsidP="00230FAA">
            <w:pPr>
              <w:pStyle w:val="Default"/>
              <w:ind w:right="-58"/>
              <w:rPr>
                <w:color w:val="002060"/>
                <w:sz w:val="16"/>
                <w:szCs w:val="16"/>
                <w:lang w:val="es-ES"/>
              </w:rPr>
            </w:pPr>
            <w:r w:rsidRPr="00BC28E8">
              <w:rPr>
                <w:color w:val="002060"/>
                <w:sz w:val="16"/>
                <w:szCs w:val="16"/>
                <w:lang w:val="es-ES"/>
              </w:rPr>
              <w:t xml:space="preserve">2015:  Introducción de 1.031 nuevos grupos en la versión 2016.01 de la CIP </w:t>
            </w:r>
          </w:p>
          <w:p w:rsidR="00502550" w:rsidRPr="00BC28E8" w:rsidRDefault="00502550" w:rsidP="00230FAA">
            <w:pPr>
              <w:ind w:right="-58"/>
              <w:rPr>
                <w:color w:val="002060"/>
                <w:sz w:val="16"/>
                <w:szCs w:val="16"/>
              </w:rPr>
            </w:pPr>
            <w:r w:rsidRPr="00BC28E8">
              <w:rPr>
                <w:color w:val="002060"/>
                <w:sz w:val="16"/>
                <w:szCs w:val="16"/>
              </w:rPr>
              <w:t>2014:  Introducción de 337 nuevos grupos en la versión 2015.01 de la CIP</w:t>
            </w:r>
          </w:p>
          <w:p w:rsidR="00502550" w:rsidRPr="009B216D" w:rsidRDefault="00502550" w:rsidP="00230FAA">
            <w:pPr>
              <w:ind w:right="-58"/>
              <w:rPr>
                <w:sz w:val="16"/>
                <w:szCs w:val="16"/>
              </w:rPr>
            </w:pPr>
          </w:p>
          <w:p w:rsidR="00502550" w:rsidRPr="009B216D" w:rsidRDefault="00502550" w:rsidP="00230FAA">
            <w:pPr>
              <w:ind w:right="-58"/>
              <w:rPr>
                <w:i/>
                <w:sz w:val="16"/>
                <w:szCs w:val="16"/>
                <w:lang w:bidi="th-TH"/>
              </w:rPr>
            </w:pPr>
            <w:r w:rsidRPr="009B216D">
              <w:rPr>
                <w:i/>
                <w:sz w:val="16"/>
                <w:szCs w:val="16"/>
                <w:lang w:bidi="th-TH"/>
              </w:rPr>
              <w:t xml:space="preserve">Referencia original en el presupuesto de 2016/17:  </w:t>
            </w:r>
          </w:p>
          <w:p w:rsidR="00502550" w:rsidRPr="009B216D" w:rsidRDefault="00502550" w:rsidP="007D78DE">
            <w:pPr>
              <w:pStyle w:val="Default"/>
              <w:ind w:right="-57"/>
              <w:rPr>
                <w:color w:val="auto"/>
                <w:sz w:val="16"/>
                <w:szCs w:val="16"/>
                <w:lang w:val="es-ES"/>
              </w:rPr>
            </w:pPr>
            <w:r w:rsidRPr="009B216D">
              <w:rPr>
                <w:color w:val="auto"/>
                <w:sz w:val="16"/>
                <w:szCs w:val="16"/>
                <w:lang w:val="es-ES"/>
              </w:rPr>
              <w:t>2014:  Introducción de 337 nuevos grupos en la versión 2015.01 de la CIP</w:t>
            </w:r>
          </w:p>
        </w:tc>
        <w:tc>
          <w:tcPr>
            <w:tcW w:w="675" w:type="pct"/>
            <w:shd w:val="clear" w:color="auto" w:fill="auto"/>
            <w:tcMar>
              <w:top w:w="110" w:type="dxa"/>
              <w:left w:w="58" w:type="dxa"/>
              <w:right w:w="58" w:type="dxa"/>
            </w:tcMar>
          </w:tcPr>
          <w:p w:rsidR="00502550" w:rsidRPr="009B216D" w:rsidRDefault="00502550" w:rsidP="00230FAA">
            <w:pPr>
              <w:keepNext/>
              <w:keepLines/>
              <w:rPr>
                <w:sz w:val="16"/>
                <w:szCs w:val="16"/>
              </w:rPr>
            </w:pPr>
            <w:r w:rsidRPr="009B216D">
              <w:rPr>
                <w:sz w:val="16"/>
                <w:szCs w:val="16"/>
              </w:rPr>
              <w:t>Aumento en comparación con la referencia</w:t>
            </w:r>
          </w:p>
        </w:tc>
        <w:tc>
          <w:tcPr>
            <w:tcW w:w="1499" w:type="pct"/>
            <w:shd w:val="clear" w:color="auto" w:fill="FFFFFF"/>
            <w:tcMar>
              <w:top w:w="110" w:type="dxa"/>
              <w:left w:w="58" w:type="dxa"/>
              <w:right w:w="58" w:type="dxa"/>
            </w:tcMar>
          </w:tcPr>
          <w:p w:rsidR="00502550" w:rsidRPr="009B216D" w:rsidRDefault="00502550" w:rsidP="00230FAA">
            <w:pPr>
              <w:keepNext/>
              <w:keepLines/>
              <w:ind w:right="30"/>
              <w:rPr>
                <w:sz w:val="16"/>
                <w:szCs w:val="16"/>
              </w:rPr>
            </w:pPr>
            <w:r w:rsidRPr="009B216D">
              <w:rPr>
                <w:sz w:val="16"/>
                <w:szCs w:val="16"/>
              </w:rPr>
              <w:t>Introducción de 684 nuevos grupos en la versión 2017.01 de la CIP</w:t>
            </w:r>
          </w:p>
        </w:tc>
        <w:tc>
          <w:tcPr>
            <w:tcW w:w="504" w:type="pct"/>
            <w:shd w:val="clear" w:color="auto" w:fill="auto"/>
            <w:tcMar>
              <w:top w:w="110" w:type="dxa"/>
              <w:left w:w="58" w:type="dxa"/>
              <w:right w:w="58" w:type="dxa"/>
            </w:tcMar>
          </w:tcPr>
          <w:p w:rsidR="00502550" w:rsidRPr="009B216D" w:rsidRDefault="00502550" w:rsidP="00230FAA">
            <w:pPr>
              <w:keepNext/>
              <w:keepLines/>
              <w:ind w:right="1"/>
              <w:jc w:val="center"/>
              <w:rPr>
                <w:b/>
                <w:sz w:val="16"/>
                <w:szCs w:val="16"/>
              </w:rPr>
            </w:pPr>
            <w:r w:rsidRPr="009B216D">
              <w:rPr>
                <w:b/>
                <w:color w:val="00B050"/>
                <w:sz w:val="16"/>
                <w:szCs w:val="16"/>
              </w:rPr>
              <w:t>Avanza</w:t>
            </w:r>
          </w:p>
          <w:p w:rsidR="00502550" w:rsidRPr="009B216D" w:rsidRDefault="00502550" w:rsidP="00230FAA">
            <w:pPr>
              <w:keepNext/>
              <w:keepLines/>
              <w:ind w:right="1"/>
              <w:jc w:val="center"/>
              <w:rPr>
                <w:sz w:val="16"/>
                <w:szCs w:val="16"/>
              </w:rPr>
            </w:pPr>
          </w:p>
        </w:tc>
      </w:tr>
      <w:tr w:rsidR="00502550" w:rsidRPr="009B216D" w:rsidTr="00230FAA">
        <w:trPr>
          <w:trHeight w:val="2675"/>
        </w:trPr>
        <w:tc>
          <w:tcPr>
            <w:tcW w:w="1082" w:type="pct"/>
            <w:shd w:val="clear" w:color="auto" w:fill="auto"/>
            <w:tcMar>
              <w:left w:w="58" w:type="dxa"/>
              <w:right w:w="58" w:type="dxa"/>
            </w:tcMar>
          </w:tcPr>
          <w:p w:rsidR="00502550" w:rsidRPr="009B216D" w:rsidRDefault="00502550" w:rsidP="00230FAA">
            <w:pPr>
              <w:keepLines/>
              <w:ind w:right="-57"/>
              <w:rPr>
                <w:sz w:val="16"/>
                <w:szCs w:val="16"/>
              </w:rPr>
            </w:pPr>
            <w:r w:rsidRPr="009B216D">
              <w:rPr>
                <w:sz w:val="16"/>
                <w:szCs w:val="16"/>
              </w:rPr>
              <w:lastRenderedPageBreak/>
              <w:t>N.º de normas técnicas modificadas y nuevas normas técnicas adoptadas</w:t>
            </w:r>
          </w:p>
        </w:tc>
        <w:tc>
          <w:tcPr>
            <w:tcW w:w="1240" w:type="pct"/>
            <w:shd w:val="clear" w:color="auto" w:fill="auto"/>
            <w:tcMar>
              <w:left w:w="58" w:type="dxa"/>
              <w:right w:w="58" w:type="dxa"/>
            </w:tcMar>
          </w:tcPr>
          <w:p w:rsidR="00502550" w:rsidRPr="00BC28E8" w:rsidRDefault="00502550" w:rsidP="00230FAA">
            <w:pPr>
              <w:ind w:right="-58"/>
              <w:rPr>
                <w:i/>
                <w:color w:val="002060"/>
                <w:sz w:val="16"/>
                <w:szCs w:val="16"/>
              </w:rPr>
            </w:pPr>
            <w:r w:rsidRPr="00BC28E8">
              <w:rPr>
                <w:i/>
                <w:color w:val="002060"/>
                <w:sz w:val="16"/>
                <w:szCs w:val="16"/>
              </w:rPr>
              <w:t xml:space="preserve">Referencia actualizada a fines de 2015:  </w:t>
            </w:r>
          </w:p>
          <w:p w:rsidR="00502550" w:rsidRPr="00BC28E8" w:rsidRDefault="00502550" w:rsidP="00230FAA">
            <w:pPr>
              <w:pStyle w:val="Default"/>
              <w:ind w:right="-58"/>
              <w:rPr>
                <w:color w:val="002060"/>
                <w:sz w:val="16"/>
                <w:szCs w:val="16"/>
                <w:lang w:val="es-ES"/>
              </w:rPr>
            </w:pPr>
            <w:r w:rsidRPr="00BC28E8">
              <w:rPr>
                <w:color w:val="002060"/>
                <w:sz w:val="16"/>
                <w:szCs w:val="16"/>
                <w:lang w:val="es-ES"/>
              </w:rPr>
              <w:t>Se adoptó una nueva norma técnica de manera informal y se revisó una (2014).</w:t>
            </w:r>
          </w:p>
          <w:p w:rsidR="00502550" w:rsidRPr="00BC28E8" w:rsidRDefault="00502550" w:rsidP="00230FAA">
            <w:pPr>
              <w:pStyle w:val="Default"/>
              <w:ind w:right="-58"/>
              <w:rPr>
                <w:color w:val="002060"/>
                <w:sz w:val="16"/>
                <w:szCs w:val="16"/>
                <w:lang w:val="es-ES"/>
              </w:rPr>
            </w:pPr>
            <w:r w:rsidRPr="00BC28E8">
              <w:rPr>
                <w:color w:val="002060"/>
                <w:sz w:val="16"/>
                <w:szCs w:val="16"/>
                <w:lang w:val="es-ES"/>
              </w:rPr>
              <w:t>No se adoptó ninguna nueva norma técnica de manera formal.  Se revisaron 2 normas técnicas (2015)</w:t>
            </w:r>
          </w:p>
          <w:p w:rsidR="00502550" w:rsidRPr="009B216D" w:rsidRDefault="00502550" w:rsidP="00230FAA">
            <w:pPr>
              <w:ind w:right="-58"/>
              <w:rPr>
                <w:sz w:val="16"/>
                <w:szCs w:val="16"/>
              </w:rPr>
            </w:pPr>
          </w:p>
          <w:p w:rsidR="00502550" w:rsidRPr="009B216D" w:rsidRDefault="00502550" w:rsidP="00230FAA">
            <w:pPr>
              <w:ind w:right="-58"/>
              <w:rPr>
                <w:i/>
                <w:sz w:val="16"/>
                <w:szCs w:val="16"/>
                <w:lang w:bidi="th-TH"/>
              </w:rPr>
            </w:pPr>
            <w:r w:rsidRPr="009B216D">
              <w:rPr>
                <w:i/>
                <w:sz w:val="16"/>
                <w:szCs w:val="16"/>
                <w:lang w:bidi="th-TH"/>
              </w:rPr>
              <w:t xml:space="preserve">Referencia original en el presupuesto de 2016/17:  </w:t>
            </w:r>
          </w:p>
          <w:p w:rsidR="00502550" w:rsidRPr="009B216D" w:rsidRDefault="00502550" w:rsidP="00230FAA">
            <w:pPr>
              <w:keepLines/>
              <w:spacing w:after="240"/>
              <w:ind w:right="-58"/>
              <w:rPr>
                <w:sz w:val="16"/>
                <w:szCs w:val="16"/>
              </w:rPr>
            </w:pPr>
            <w:r w:rsidRPr="009B216D">
              <w:rPr>
                <w:sz w:val="16"/>
                <w:szCs w:val="16"/>
              </w:rPr>
              <w:t>2 nuevas normas técnicas (2014)</w:t>
            </w:r>
          </w:p>
        </w:tc>
        <w:tc>
          <w:tcPr>
            <w:tcW w:w="675" w:type="pct"/>
            <w:shd w:val="clear" w:color="auto" w:fill="auto"/>
            <w:tcMar>
              <w:top w:w="110" w:type="dxa"/>
              <w:left w:w="58" w:type="dxa"/>
              <w:right w:w="58" w:type="dxa"/>
            </w:tcMar>
          </w:tcPr>
          <w:p w:rsidR="00502550" w:rsidRPr="00BC28E8" w:rsidRDefault="00502550" w:rsidP="00230FAA">
            <w:pPr>
              <w:rPr>
                <w:i/>
                <w:color w:val="002060"/>
                <w:sz w:val="16"/>
                <w:szCs w:val="16"/>
              </w:rPr>
            </w:pPr>
            <w:r w:rsidRPr="00BC28E8">
              <w:rPr>
                <w:i/>
                <w:color w:val="002060"/>
                <w:sz w:val="16"/>
                <w:szCs w:val="16"/>
              </w:rPr>
              <w:t xml:space="preserve">Objetivo actualizado:  </w:t>
            </w:r>
          </w:p>
          <w:p w:rsidR="00502550" w:rsidRPr="00BC28E8" w:rsidRDefault="00502550" w:rsidP="00230FAA">
            <w:pPr>
              <w:rPr>
                <w:color w:val="002060"/>
                <w:sz w:val="16"/>
                <w:szCs w:val="16"/>
              </w:rPr>
            </w:pPr>
            <w:r w:rsidRPr="00BC28E8">
              <w:rPr>
                <w:color w:val="002060"/>
                <w:sz w:val="16"/>
                <w:szCs w:val="16"/>
              </w:rPr>
              <w:t>Aumento en comparación con la referencia (adopción de nuevas normas técnicas)</w:t>
            </w:r>
          </w:p>
          <w:p w:rsidR="00502550" w:rsidRPr="009B216D" w:rsidRDefault="00502550" w:rsidP="00230FAA">
            <w:pPr>
              <w:rPr>
                <w:sz w:val="16"/>
                <w:szCs w:val="16"/>
              </w:rPr>
            </w:pPr>
          </w:p>
          <w:p w:rsidR="00502550" w:rsidRPr="009B216D" w:rsidRDefault="00502550" w:rsidP="00230FAA">
            <w:pPr>
              <w:rPr>
                <w:i/>
                <w:sz w:val="16"/>
                <w:szCs w:val="16"/>
                <w:lang w:bidi="th-TH"/>
              </w:rPr>
            </w:pPr>
            <w:r w:rsidRPr="009B216D">
              <w:rPr>
                <w:i/>
                <w:sz w:val="16"/>
                <w:szCs w:val="16"/>
                <w:lang w:bidi="th-TH"/>
              </w:rPr>
              <w:t xml:space="preserve">Objetivo original en el presupuesto de 2016/17:  </w:t>
            </w:r>
            <w:r w:rsidRPr="009B216D">
              <w:rPr>
                <w:sz w:val="16"/>
                <w:szCs w:val="16"/>
              </w:rPr>
              <w:t>Aumento en comparación con la referencia</w:t>
            </w:r>
            <w:r w:rsidRPr="009B216D">
              <w:rPr>
                <w:sz w:val="16"/>
                <w:szCs w:val="16"/>
              </w:rPr>
              <w:br/>
              <w:t xml:space="preserve"> </w:t>
            </w:r>
          </w:p>
        </w:tc>
        <w:tc>
          <w:tcPr>
            <w:tcW w:w="1499" w:type="pct"/>
            <w:shd w:val="clear" w:color="auto" w:fill="FFFFFF"/>
            <w:tcMar>
              <w:top w:w="110" w:type="dxa"/>
              <w:left w:w="58" w:type="dxa"/>
              <w:right w:w="58" w:type="dxa"/>
            </w:tcMar>
          </w:tcPr>
          <w:p w:rsidR="00502550" w:rsidRPr="009B216D" w:rsidRDefault="00502550" w:rsidP="00230FAA">
            <w:pPr>
              <w:keepLines/>
              <w:ind w:right="30"/>
              <w:rPr>
                <w:sz w:val="16"/>
                <w:szCs w:val="16"/>
              </w:rPr>
            </w:pPr>
            <w:r w:rsidRPr="009B216D">
              <w:rPr>
                <w:sz w:val="16"/>
                <w:szCs w:val="16"/>
              </w:rPr>
              <w:t>2 nuevas normas técnicas adoptadas y 3 normas técnicas revisadas</w:t>
            </w:r>
          </w:p>
        </w:tc>
        <w:tc>
          <w:tcPr>
            <w:tcW w:w="504" w:type="pct"/>
            <w:shd w:val="clear" w:color="auto" w:fill="auto"/>
            <w:tcMar>
              <w:top w:w="110" w:type="dxa"/>
              <w:left w:w="58" w:type="dxa"/>
              <w:right w:w="58" w:type="dxa"/>
            </w:tcMar>
          </w:tcPr>
          <w:p w:rsidR="00502550" w:rsidRPr="009B216D" w:rsidRDefault="00502550" w:rsidP="00230FAA">
            <w:pPr>
              <w:keepNext/>
              <w:keepLines/>
              <w:ind w:right="1"/>
              <w:jc w:val="center"/>
              <w:rPr>
                <w:b/>
                <w:sz w:val="16"/>
                <w:szCs w:val="16"/>
              </w:rPr>
            </w:pPr>
            <w:r w:rsidRPr="009B216D">
              <w:rPr>
                <w:b/>
                <w:color w:val="00B050"/>
                <w:sz w:val="16"/>
                <w:szCs w:val="16"/>
              </w:rPr>
              <w:t>Avanza</w:t>
            </w:r>
          </w:p>
          <w:p w:rsidR="00502550" w:rsidRPr="009B216D" w:rsidRDefault="00502550" w:rsidP="00230FAA">
            <w:pPr>
              <w:keepLines/>
              <w:ind w:right="1"/>
              <w:jc w:val="center"/>
              <w:rPr>
                <w:sz w:val="16"/>
                <w:szCs w:val="16"/>
              </w:rPr>
            </w:pPr>
          </w:p>
        </w:tc>
      </w:tr>
      <w:tr w:rsidR="00502550" w:rsidRPr="009B216D" w:rsidTr="00230FAA">
        <w:trPr>
          <w:trHeight w:val="7229"/>
        </w:trPr>
        <w:tc>
          <w:tcPr>
            <w:tcW w:w="1082" w:type="pct"/>
            <w:shd w:val="clear" w:color="auto" w:fill="auto"/>
            <w:tcMar>
              <w:left w:w="58" w:type="dxa"/>
              <w:right w:w="58" w:type="dxa"/>
            </w:tcMar>
          </w:tcPr>
          <w:p w:rsidR="00502550" w:rsidRPr="009B216D" w:rsidRDefault="00502550" w:rsidP="00230FAA">
            <w:pPr>
              <w:keepNext/>
              <w:keepLines/>
              <w:ind w:right="-57"/>
              <w:rPr>
                <w:sz w:val="16"/>
                <w:szCs w:val="16"/>
              </w:rPr>
            </w:pPr>
            <w:r w:rsidRPr="009B216D">
              <w:rPr>
                <w:sz w:val="16"/>
                <w:szCs w:val="16"/>
              </w:rPr>
              <w:t>N.º de usuarios que tienen acceso a las publicaciones de clasificaciones internacionales y normas técnicas, especialmente de países en desarrollo</w:t>
            </w:r>
          </w:p>
        </w:tc>
        <w:tc>
          <w:tcPr>
            <w:tcW w:w="1240" w:type="pct"/>
            <w:shd w:val="clear" w:color="auto" w:fill="auto"/>
            <w:tcMar>
              <w:left w:w="58" w:type="dxa"/>
              <w:right w:w="58" w:type="dxa"/>
            </w:tcMar>
          </w:tcPr>
          <w:p w:rsidR="00502550" w:rsidRPr="00BC28E8" w:rsidRDefault="00502550" w:rsidP="00230FAA">
            <w:pPr>
              <w:ind w:right="-58"/>
              <w:rPr>
                <w:i/>
                <w:color w:val="002060"/>
                <w:sz w:val="16"/>
                <w:szCs w:val="16"/>
              </w:rPr>
            </w:pPr>
            <w:r w:rsidRPr="00BC28E8">
              <w:rPr>
                <w:i/>
                <w:color w:val="002060"/>
                <w:sz w:val="16"/>
                <w:szCs w:val="16"/>
              </w:rPr>
              <w:t xml:space="preserve">Referencia actualizada a fines de 2015:  </w:t>
            </w:r>
          </w:p>
          <w:p w:rsidR="00502550" w:rsidRPr="00BC28E8" w:rsidRDefault="00502550" w:rsidP="00230FAA">
            <w:pPr>
              <w:pStyle w:val="Default"/>
              <w:ind w:right="-58"/>
              <w:rPr>
                <w:color w:val="002060"/>
                <w:sz w:val="16"/>
                <w:szCs w:val="16"/>
                <w:lang w:val="es-ES"/>
              </w:rPr>
            </w:pPr>
            <w:r w:rsidRPr="00BC28E8">
              <w:rPr>
                <w:color w:val="002060"/>
                <w:sz w:val="16"/>
                <w:szCs w:val="16"/>
                <w:lang w:val="es-ES"/>
              </w:rPr>
              <w:t xml:space="preserve">Pág. principal de la CIP:  361.378 (48,1 % de visitas de países en desarrollo) </w:t>
            </w:r>
          </w:p>
          <w:p w:rsidR="00502550" w:rsidRPr="00BC28E8" w:rsidRDefault="00502550" w:rsidP="00230FAA">
            <w:pPr>
              <w:pStyle w:val="Default"/>
              <w:ind w:right="-58"/>
              <w:rPr>
                <w:color w:val="002060"/>
                <w:sz w:val="16"/>
                <w:szCs w:val="16"/>
                <w:lang w:val="es-ES"/>
              </w:rPr>
            </w:pPr>
          </w:p>
          <w:p w:rsidR="00502550" w:rsidRPr="00BC28E8" w:rsidRDefault="00502550" w:rsidP="00230FAA">
            <w:pPr>
              <w:pStyle w:val="Default"/>
              <w:ind w:right="-58"/>
              <w:rPr>
                <w:color w:val="002060"/>
                <w:sz w:val="16"/>
                <w:szCs w:val="16"/>
                <w:lang w:val="es-ES"/>
              </w:rPr>
            </w:pPr>
            <w:r w:rsidRPr="00BC28E8">
              <w:rPr>
                <w:color w:val="002060"/>
                <w:sz w:val="16"/>
                <w:szCs w:val="16"/>
                <w:lang w:val="es-ES"/>
              </w:rPr>
              <w:t xml:space="preserve">Edición de la CIP:  1.389.644 (36,3 % de visitas de países en desarrollo) </w:t>
            </w:r>
          </w:p>
          <w:p w:rsidR="00502550" w:rsidRPr="00BC28E8" w:rsidRDefault="00502550" w:rsidP="00230FAA">
            <w:pPr>
              <w:pStyle w:val="Default"/>
              <w:ind w:right="-58"/>
              <w:rPr>
                <w:color w:val="002060"/>
                <w:sz w:val="16"/>
                <w:szCs w:val="16"/>
                <w:lang w:val="es-ES"/>
              </w:rPr>
            </w:pPr>
          </w:p>
          <w:p w:rsidR="00502550" w:rsidRPr="00BC28E8" w:rsidRDefault="00502550" w:rsidP="00230FAA">
            <w:pPr>
              <w:pStyle w:val="Default"/>
              <w:ind w:right="-58"/>
              <w:rPr>
                <w:color w:val="002060"/>
                <w:sz w:val="16"/>
                <w:szCs w:val="16"/>
                <w:lang w:val="es-ES"/>
              </w:rPr>
            </w:pPr>
            <w:r w:rsidRPr="00BC28E8">
              <w:rPr>
                <w:color w:val="002060"/>
                <w:sz w:val="16"/>
                <w:szCs w:val="16"/>
                <w:lang w:val="es-ES"/>
              </w:rPr>
              <w:t>Pág. principal Niza:  532.493  (47,8% de visitas de países en desarrollo)</w:t>
            </w:r>
          </w:p>
          <w:p w:rsidR="00502550" w:rsidRPr="00BC28E8" w:rsidRDefault="00502550" w:rsidP="00230FAA">
            <w:pPr>
              <w:pStyle w:val="Default"/>
              <w:ind w:right="-58"/>
              <w:rPr>
                <w:color w:val="002060"/>
                <w:sz w:val="16"/>
                <w:szCs w:val="16"/>
                <w:lang w:val="es-ES"/>
              </w:rPr>
            </w:pPr>
            <w:r w:rsidRPr="00BC28E8">
              <w:rPr>
                <w:color w:val="002060"/>
                <w:sz w:val="16"/>
                <w:szCs w:val="16"/>
                <w:lang w:val="es-ES"/>
              </w:rPr>
              <w:t xml:space="preserve"> </w:t>
            </w:r>
          </w:p>
          <w:p w:rsidR="00502550" w:rsidRPr="00BC28E8" w:rsidRDefault="00502550" w:rsidP="00230FAA">
            <w:pPr>
              <w:pStyle w:val="Default"/>
              <w:ind w:right="-58"/>
              <w:rPr>
                <w:color w:val="002060"/>
                <w:sz w:val="16"/>
                <w:szCs w:val="16"/>
                <w:lang w:val="es-ES"/>
              </w:rPr>
            </w:pPr>
            <w:r w:rsidRPr="00BC28E8">
              <w:rPr>
                <w:color w:val="002060"/>
                <w:sz w:val="16"/>
                <w:szCs w:val="16"/>
                <w:lang w:val="es-ES"/>
              </w:rPr>
              <w:t xml:space="preserve">Edición de la Clasif. de Niza:  2.721.537 (49,1% de visitas de países en desarrollo) </w:t>
            </w:r>
          </w:p>
          <w:p w:rsidR="00502550" w:rsidRPr="00BC28E8" w:rsidRDefault="00502550" w:rsidP="00230FAA">
            <w:pPr>
              <w:pStyle w:val="Default"/>
              <w:ind w:right="-58"/>
              <w:rPr>
                <w:color w:val="002060"/>
                <w:sz w:val="16"/>
                <w:szCs w:val="16"/>
                <w:lang w:val="es-ES"/>
              </w:rPr>
            </w:pPr>
          </w:p>
          <w:p w:rsidR="00502550" w:rsidRPr="00BC28E8" w:rsidRDefault="00502550" w:rsidP="00230FAA">
            <w:pPr>
              <w:pStyle w:val="Default"/>
              <w:ind w:right="-58"/>
              <w:rPr>
                <w:color w:val="002060"/>
                <w:sz w:val="16"/>
                <w:szCs w:val="16"/>
                <w:lang w:val="es-ES"/>
              </w:rPr>
            </w:pPr>
            <w:r w:rsidRPr="00BC28E8">
              <w:rPr>
                <w:color w:val="002060"/>
                <w:sz w:val="16"/>
                <w:szCs w:val="16"/>
                <w:lang w:val="es-ES"/>
              </w:rPr>
              <w:t xml:space="preserve">Pág. principal Locarno:  51.075 (33,5% de visitas de países en desarrollo) </w:t>
            </w:r>
          </w:p>
          <w:p w:rsidR="00502550" w:rsidRPr="00BC28E8" w:rsidRDefault="00502550" w:rsidP="00230FAA">
            <w:pPr>
              <w:pStyle w:val="Default"/>
              <w:ind w:right="-58"/>
              <w:rPr>
                <w:color w:val="002060"/>
                <w:sz w:val="16"/>
                <w:szCs w:val="16"/>
                <w:lang w:val="es-ES"/>
              </w:rPr>
            </w:pPr>
          </w:p>
          <w:p w:rsidR="00502550" w:rsidRPr="00BC28E8" w:rsidRDefault="00502550" w:rsidP="00230FAA">
            <w:pPr>
              <w:pStyle w:val="Default"/>
              <w:ind w:right="-58"/>
              <w:rPr>
                <w:color w:val="002060"/>
                <w:sz w:val="16"/>
                <w:szCs w:val="16"/>
                <w:lang w:val="es-ES"/>
              </w:rPr>
            </w:pPr>
            <w:r w:rsidRPr="00BC28E8">
              <w:rPr>
                <w:color w:val="002060"/>
                <w:sz w:val="16"/>
                <w:szCs w:val="16"/>
                <w:lang w:val="es-ES"/>
              </w:rPr>
              <w:t xml:space="preserve">Pág. principal Viena:  34.830 (38,8% de visitas de países en desarrollo) </w:t>
            </w:r>
          </w:p>
          <w:p w:rsidR="00502550" w:rsidRPr="00BC28E8" w:rsidRDefault="00502550" w:rsidP="00230FAA">
            <w:pPr>
              <w:pStyle w:val="Default"/>
              <w:ind w:right="-58"/>
              <w:rPr>
                <w:color w:val="002060"/>
                <w:sz w:val="16"/>
                <w:szCs w:val="16"/>
                <w:lang w:val="es-ES"/>
              </w:rPr>
            </w:pPr>
          </w:p>
          <w:p w:rsidR="00502550" w:rsidRPr="00BC28E8" w:rsidRDefault="00502550" w:rsidP="00230FAA">
            <w:pPr>
              <w:ind w:right="-58"/>
              <w:rPr>
                <w:color w:val="002060"/>
                <w:sz w:val="16"/>
                <w:szCs w:val="16"/>
              </w:rPr>
            </w:pPr>
            <w:r w:rsidRPr="00BC28E8">
              <w:rPr>
                <w:color w:val="002060"/>
                <w:sz w:val="16"/>
                <w:szCs w:val="16"/>
              </w:rPr>
              <w:t>Normas técnicas de la OMPI (Manual):  69.288 (33,6% de visitas de países en desarrollo)</w:t>
            </w:r>
          </w:p>
          <w:p w:rsidR="00502550" w:rsidRPr="009B216D" w:rsidRDefault="00502550" w:rsidP="00230FAA">
            <w:pPr>
              <w:ind w:right="-58"/>
              <w:rPr>
                <w:sz w:val="16"/>
                <w:szCs w:val="16"/>
              </w:rPr>
            </w:pPr>
          </w:p>
          <w:p w:rsidR="00502550" w:rsidRPr="009B216D" w:rsidRDefault="00502550" w:rsidP="00230FAA">
            <w:pPr>
              <w:ind w:right="-58"/>
              <w:rPr>
                <w:i/>
                <w:sz w:val="16"/>
                <w:szCs w:val="16"/>
                <w:lang w:bidi="th-TH"/>
              </w:rPr>
            </w:pPr>
            <w:r w:rsidRPr="009B216D">
              <w:rPr>
                <w:i/>
                <w:sz w:val="16"/>
                <w:szCs w:val="16"/>
                <w:lang w:bidi="th-TH"/>
              </w:rPr>
              <w:t xml:space="preserve">Referencia original en el presupuesto de 2016/17:  </w:t>
            </w:r>
          </w:p>
          <w:p w:rsidR="00502550" w:rsidRPr="009B216D" w:rsidRDefault="00502550" w:rsidP="00230FAA">
            <w:pPr>
              <w:keepNext/>
              <w:keepLines/>
              <w:spacing w:after="240"/>
              <w:ind w:right="-58"/>
              <w:rPr>
                <w:sz w:val="16"/>
                <w:szCs w:val="16"/>
              </w:rPr>
            </w:pPr>
            <w:r w:rsidRPr="009B216D">
              <w:rPr>
                <w:sz w:val="16"/>
                <w:szCs w:val="16"/>
              </w:rPr>
              <w:t>Publicación de la Clasif. de Niza: 2.587.788</w:t>
            </w:r>
            <w:r w:rsidRPr="009B216D">
              <w:rPr>
                <w:sz w:val="16"/>
                <w:szCs w:val="16"/>
              </w:rPr>
              <w:br/>
              <w:t xml:space="preserve">Pág. princ. Locarno:  44.557 </w:t>
            </w:r>
            <w:r w:rsidRPr="009B216D">
              <w:rPr>
                <w:sz w:val="16"/>
                <w:szCs w:val="16"/>
              </w:rPr>
              <w:br/>
              <w:t xml:space="preserve">Pág. princ. Viena: 29.596 </w:t>
            </w:r>
            <w:r w:rsidRPr="009B216D">
              <w:rPr>
                <w:sz w:val="16"/>
                <w:szCs w:val="16"/>
              </w:rPr>
              <w:br/>
              <w:t>CIP-Publicación: 1.170.000 Normas técnicas de la OMPI (Manual):  66.399</w:t>
            </w:r>
          </w:p>
        </w:tc>
        <w:tc>
          <w:tcPr>
            <w:tcW w:w="675" w:type="pct"/>
            <w:shd w:val="clear" w:color="auto" w:fill="auto"/>
            <w:tcMar>
              <w:top w:w="110" w:type="dxa"/>
              <w:left w:w="58" w:type="dxa"/>
              <w:right w:w="58" w:type="dxa"/>
            </w:tcMar>
          </w:tcPr>
          <w:p w:rsidR="00502550" w:rsidRPr="009B216D" w:rsidRDefault="00502550" w:rsidP="00230FAA">
            <w:pPr>
              <w:keepNext/>
              <w:keepLines/>
              <w:rPr>
                <w:sz w:val="16"/>
                <w:szCs w:val="16"/>
              </w:rPr>
            </w:pPr>
            <w:r w:rsidRPr="009B216D">
              <w:rPr>
                <w:sz w:val="16"/>
                <w:szCs w:val="16"/>
              </w:rPr>
              <w:t>5% de aumento en comparación con la referencia</w:t>
            </w:r>
          </w:p>
          <w:p w:rsidR="00502550" w:rsidRPr="009B216D" w:rsidRDefault="00502550" w:rsidP="00230FAA">
            <w:pPr>
              <w:keepNext/>
              <w:keepLines/>
              <w:rPr>
                <w:sz w:val="16"/>
                <w:szCs w:val="16"/>
              </w:rPr>
            </w:pPr>
          </w:p>
        </w:tc>
        <w:tc>
          <w:tcPr>
            <w:tcW w:w="1499" w:type="pct"/>
            <w:shd w:val="clear" w:color="auto" w:fill="FFFFFF"/>
            <w:tcMar>
              <w:top w:w="110" w:type="dxa"/>
              <w:left w:w="58" w:type="dxa"/>
              <w:right w:w="58" w:type="dxa"/>
            </w:tcMar>
          </w:tcPr>
          <w:tbl>
            <w:tblPr>
              <w:tblStyle w:val="TableGrid"/>
              <w:tblW w:w="25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01"/>
            </w:tblGrid>
            <w:tr w:rsidR="00502550" w:rsidRPr="009B216D" w:rsidTr="00230FAA">
              <w:tc>
                <w:tcPr>
                  <w:tcW w:w="2501" w:type="dxa"/>
                  <w:tcMar>
                    <w:left w:w="14" w:type="dxa"/>
                    <w:right w:w="14" w:type="dxa"/>
                  </w:tcMar>
                </w:tcPr>
                <w:p w:rsidR="00502550" w:rsidRPr="009B216D" w:rsidRDefault="00502550" w:rsidP="00230FAA">
                  <w:pPr>
                    <w:keepNext/>
                    <w:keepLines/>
                    <w:ind w:right="-45"/>
                    <w:rPr>
                      <w:sz w:val="16"/>
                      <w:szCs w:val="16"/>
                    </w:rPr>
                  </w:pPr>
                  <w:r w:rsidRPr="009B216D">
                    <w:rPr>
                      <w:sz w:val="16"/>
                      <w:szCs w:val="16"/>
                    </w:rPr>
                    <w:t xml:space="preserve">Pág. principal CIP: </w:t>
                  </w:r>
                </w:p>
                <w:p w:rsidR="00502550" w:rsidRPr="009B216D" w:rsidRDefault="00502550" w:rsidP="00230FAA">
                  <w:pPr>
                    <w:keepNext/>
                    <w:keepLines/>
                    <w:ind w:right="-45"/>
                    <w:rPr>
                      <w:sz w:val="16"/>
                      <w:szCs w:val="16"/>
                    </w:rPr>
                  </w:pPr>
                  <w:r w:rsidRPr="009B216D">
                    <w:rPr>
                      <w:sz w:val="16"/>
                      <w:szCs w:val="16"/>
                    </w:rPr>
                    <w:t>324.981 visitas (</w:t>
                  </w:r>
                  <w:r w:rsidRPr="009B216D">
                    <w:rPr>
                      <w:sz w:val="16"/>
                      <w:szCs w:val="16"/>
                    </w:rPr>
                    <w:sym w:font="Symbol" w:char="F02D"/>
                  </w:r>
                  <w:r w:rsidRPr="009B216D">
                    <w:rPr>
                      <w:sz w:val="16"/>
                      <w:szCs w:val="16"/>
                    </w:rPr>
                    <w:t>10,4%), de las cuales 114.068 (</w:t>
                  </w:r>
                  <w:r w:rsidRPr="009B216D">
                    <w:rPr>
                      <w:sz w:val="16"/>
                      <w:szCs w:val="16"/>
                    </w:rPr>
                    <w:sym w:font="Symbol" w:char="F02D"/>
                  </w:r>
                  <w:r w:rsidRPr="009B216D">
                    <w:rPr>
                      <w:sz w:val="16"/>
                      <w:szCs w:val="16"/>
                    </w:rPr>
                    <w:t>34,4%) de países en desarrollo</w:t>
                  </w:r>
                </w:p>
                <w:p w:rsidR="00502550" w:rsidRPr="009B216D" w:rsidRDefault="00502550" w:rsidP="00230FAA">
                  <w:pPr>
                    <w:keepNext/>
                    <w:keepLines/>
                    <w:ind w:right="-45"/>
                    <w:rPr>
                      <w:sz w:val="16"/>
                      <w:szCs w:val="16"/>
                    </w:rPr>
                  </w:pPr>
                </w:p>
              </w:tc>
            </w:tr>
            <w:tr w:rsidR="00502550" w:rsidRPr="009B216D" w:rsidTr="00230FAA">
              <w:tc>
                <w:tcPr>
                  <w:tcW w:w="2501" w:type="dxa"/>
                  <w:tcMar>
                    <w:left w:w="14" w:type="dxa"/>
                    <w:right w:w="14" w:type="dxa"/>
                  </w:tcMar>
                </w:tcPr>
                <w:p w:rsidR="00502550" w:rsidRPr="009B216D" w:rsidRDefault="00502550" w:rsidP="00230FAA">
                  <w:pPr>
                    <w:keepNext/>
                    <w:keepLines/>
                    <w:ind w:right="-45"/>
                    <w:rPr>
                      <w:sz w:val="16"/>
                      <w:szCs w:val="16"/>
                    </w:rPr>
                  </w:pPr>
                  <w:r w:rsidRPr="009B216D">
                    <w:rPr>
                      <w:sz w:val="16"/>
                      <w:szCs w:val="16"/>
                    </w:rPr>
                    <w:t xml:space="preserve">Edición de la CIP: </w:t>
                  </w:r>
                </w:p>
                <w:p w:rsidR="00502550" w:rsidRPr="009B216D" w:rsidRDefault="00502550" w:rsidP="00230FAA">
                  <w:pPr>
                    <w:keepNext/>
                    <w:keepLines/>
                    <w:ind w:right="-45"/>
                    <w:rPr>
                      <w:sz w:val="16"/>
                      <w:szCs w:val="16"/>
                    </w:rPr>
                  </w:pPr>
                  <w:r w:rsidRPr="009B216D">
                    <w:rPr>
                      <w:sz w:val="16"/>
                      <w:szCs w:val="16"/>
                    </w:rPr>
                    <w:t>1.386.029 visitas (</w:t>
                  </w:r>
                  <w:r w:rsidRPr="009B216D">
                    <w:rPr>
                      <w:sz w:val="16"/>
                      <w:szCs w:val="16"/>
                    </w:rPr>
                    <w:sym w:font="Symbol" w:char="F02D"/>
                  </w:r>
                  <w:r w:rsidRPr="009B216D">
                    <w:rPr>
                      <w:sz w:val="16"/>
                      <w:szCs w:val="16"/>
                    </w:rPr>
                    <w:t>0,3%), de las cuales 539.165 (+6,9%) de países en desarrollo</w:t>
                  </w:r>
                </w:p>
                <w:p w:rsidR="00502550" w:rsidRPr="009B216D" w:rsidRDefault="00502550" w:rsidP="00230FAA">
                  <w:pPr>
                    <w:keepNext/>
                    <w:keepLines/>
                    <w:ind w:right="-45"/>
                    <w:rPr>
                      <w:sz w:val="16"/>
                      <w:szCs w:val="16"/>
                    </w:rPr>
                  </w:pPr>
                </w:p>
              </w:tc>
            </w:tr>
            <w:tr w:rsidR="00502550" w:rsidRPr="009B216D" w:rsidTr="00230FAA">
              <w:tc>
                <w:tcPr>
                  <w:tcW w:w="2501" w:type="dxa"/>
                  <w:tcMar>
                    <w:left w:w="14" w:type="dxa"/>
                    <w:right w:w="14" w:type="dxa"/>
                  </w:tcMar>
                </w:tcPr>
                <w:p w:rsidR="00502550" w:rsidRPr="009B216D" w:rsidRDefault="00502550" w:rsidP="00230FAA">
                  <w:pPr>
                    <w:rPr>
                      <w:sz w:val="16"/>
                      <w:szCs w:val="16"/>
                    </w:rPr>
                  </w:pPr>
                  <w:r w:rsidRPr="009B216D">
                    <w:rPr>
                      <w:sz w:val="16"/>
                      <w:szCs w:val="16"/>
                    </w:rPr>
                    <w:t xml:space="preserve">Pág. principal Niza: </w:t>
                  </w:r>
                  <w:r w:rsidRPr="009B216D">
                    <w:rPr>
                      <w:sz w:val="16"/>
                      <w:szCs w:val="16"/>
                    </w:rPr>
                    <w:br/>
                    <w:t>529.804 visitas (</w:t>
                  </w:r>
                  <w:r w:rsidRPr="009B216D">
                    <w:rPr>
                      <w:sz w:val="16"/>
                      <w:szCs w:val="16"/>
                    </w:rPr>
                    <w:sym w:font="Symbol" w:char="F02D"/>
                  </w:r>
                  <w:r w:rsidRPr="009B216D">
                    <w:rPr>
                      <w:sz w:val="16"/>
                      <w:szCs w:val="16"/>
                    </w:rPr>
                    <w:t>0,5%), de las cuales 247.418 (</w:t>
                  </w:r>
                  <w:r w:rsidRPr="009B216D">
                    <w:rPr>
                      <w:sz w:val="16"/>
                      <w:szCs w:val="16"/>
                    </w:rPr>
                    <w:sym w:font="Symbol" w:char="F02D"/>
                  </w:r>
                  <w:r w:rsidRPr="009B216D">
                    <w:rPr>
                      <w:sz w:val="16"/>
                      <w:szCs w:val="16"/>
                    </w:rPr>
                    <w:t>2,8%)  de países en desarrollo</w:t>
                  </w:r>
                </w:p>
                <w:p w:rsidR="00502550" w:rsidRPr="009B216D" w:rsidRDefault="00502550" w:rsidP="00230FAA">
                  <w:pPr>
                    <w:keepNext/>
                    <w:keepLines/>
                    <w:ind w:right="-45"/>
                    <w:rPr>
                      <w:sz w:val="16"/>
                      <w:szCs w:val="16"/>
                    </w:rPr>
                  </w:pPr>
                </w:p>
              </w:tc>
            </w:tr>
            <w:tr w:rsidR="00502550" w:rsidRPr="009B216D" w:rsidTr="00230FAA">
              <w:tc>
                <w:tcPr>
                  <w:tcW w:w="2501" w:type="dxa"/>
                  <w:tcMar>
                    <w:left w:w="14" w:type="dxa"/>
                    <w:right w:w="14" w:type="dxa"/>
                  </w:tcMar>
                </w:tcPr>
                <w:p w:rsidR="00502550" w:rsidRPr="009B216D" w:rsidRDefault="00502550" w:rsidP="00230FAA">
                  <w:pPr>
                    <w:rPr>
                      <w:sz w:val="16"/>
                      <w:szCs w:val="16"/>
                    </w:rPr>
                  </w:pPr>
                  <w:r w:rsidRPr="009B216D">
                    <w:rPr>
                      <w:sz w:val="16"/>
                      <w:szCs w:val="16"/>
                    </w:rPr>
                    <w:t xml:space="preserve">Edición de la </w:t>
                  </w:r>
                  <w:proofErr w:type="spellStart"/>
                  <w:r w:rsidRPr="009B216D">
                    <w:rPr>
                      <w:sz w:val="16"/>
                      <w:szCs w:val="16"/>
                    </w:rPr>
                    <w:t>Clasif</w:t>
                  </w:r>
                  <w:proofErr w:type="spellEnd"/>
                  <w:r w:rsidRPr="009B216D">
                    <w:rPr>
                      <w:sz w:val="16"/>
                      <w:szCs w:val="16"/>
                    </w:rPr>
                    <w:t xml:space="preserve">. de Niza: </w:t>
                  </w:r>
                  <w:r w:rsidRPr="009B216D">
                    <w:rPr>
                      <w:sz w:val="16"/>
                      <w:szCs w:val="16"/>
                    </w:rPr>
                    <w:br/>
                    <w:t>3.767.636 visitas (+38,4%), de las cuales 1.936.565 (+45%) de países en desarrollo</w:t>
                  </w:r>
                </w:p>
                <w:p w:rsidR="00502550" w:rsidRPr="009B216D" w:rsidRDefault="00502550" w:rsidP="00230FAA">
                  <w:pPr>
                    <w:keepNext/>
                    <w:keepLines/>
                    <w:ind w:right="-45"/>
                    <w:rPr>
                      <w:sz w:val="16"/>
                      <w:szCs w:val="16"/>
                    </w:rPr>
                  </w:pPr>
                </w:p>
              </w:tc>
            </w:tr>
            <w:tr w:rsidR="00502550" w:rsidRPr="009B216D" w:rsidTr="00230FAA">
              <w:tc>
                <w:tcPr>
                  <w:tcW w:w="2501" w:type="dxa"/>
                  <w:tcMar>
                    <w:left w:w="14" w:type="dxa"/>
                    <w:right w:w="14" w:type="dxa"/>
                  </w:tcMar>
                </w:tcPr>
                <w:p w:rsidR="00502550" w:rsidRPr="009B216D" w:rsidRDefault="00502550" w:rsidP="00230FAA">
                  <w:pPr>
                    <w:rPr>
                      <w:sz w:val="16"/>
                      <w:szCs w:val="16"/>
                    </w:rPr>
                  </w:pPr>
                  <w:r w:rsidRPr="009B216D">
                    <w:rPr>
                      <w:sz w:val="16"/>
                      <w:szCs w:val="16"/>
                    </w:rPr>
                    <w:t xml:space="preserve">Pág. principal Locarno: </w:t>
                  </w:r>
                  <w:r w:rsidRPr="009B216D">
                    <w:rPr>
                      <w:sz w:val="16"/>
                      <w:szCs w:val="16"/>
                    </w:rPr>
                    <w:br/>
                    <w:t>46.719 visitas (</w:t>
                  </w:r>
                  <w:r w:rsidRPr="009B216D">
                    <w:rPr>
                      <w:rFonts w:ascii="Symbol" w:hAnsi="Symbol"/>
                      <w:sz w:val="16"/>
                      <w:szCs w:val="16"/>
                    </w:rPr>
                    <w:t></w:t>
                  </w:r>
                  <w:r w:rsidRPr="009B216D">
                    <w:rPr>
                      <w:sz w:val="16"/>
                      <w:szCs w:val="16"/>
                    </w:rPr>
                    <w:t>8,5%), de las cuales 16,123 (</w:t>
                  </w:r>
                  <w:r w:rsidRPr="009B216D">
                    <w:rPr>
                      <w:sz w:val="16"/>
                      <w:szCs w:val="16"/>
                    </w:rPr>
                    <w:sym w:font="Symbol" w:char="F02D"/>
                  </w:r>
                  <w:r w:rsidRPr="009B216D">
                    <w:rPr>
                      <w:sz w:val="16"/>
                      <w:szCs w:val="16"/>
                    </w:rPr>
                    <w:t>5,8%) de países en desarrollo</w:t>
                  </w:r>
                </w:p>
                <w:p w:rsidR="00502550" w:rsidRPr="009B216D" w:rsidRDefault="00502550" w:rsidP="00230FAA">
                  <w:pPr>
                    <w:keepNext/>
                    <w:keepLines/>
                    <w:ind w:right="-45"/>
                    <w:rPr>
                      <w:sz w:val="16"/>
                      <w:szCs w:val="16"/>
                    </w:rPr>
                  </w:pPr>
                </w:p>
              </w:tc>
            </w:tr>
            <w:tr w:rsidR="00502550" w:rsidRPr="009B216D" w:rsidTr="00230FAA">
              <w:tc>
                <w:tcPr>
                  <w:tcW w:w="2501" w:type="dxa"/>
                  <w:tcMar>
                    <w:left w:w="14" w:type="dxa"/>
                    <w:right w:w="14" w:type="dxa"/>
                  </w:tcMar>
                </w:tcPr>
                <w:p w:rsidR="00502550" w:rsidRPr="009B216D" w:rsidRDefault="00502550" w:rsidP="00230FAA">
                  <w:pPr>
                    <w:rPr>
                      <w:sz w:val="16"/>
                      <w:szCs w:val="16"/>
                    </w:rPr>
                  </w:pPr>
                  <w:r w:rsidRPr="009B216D">
                    <w:rPr>
                      <w:sz w:val="16"/>
                      <w:szCs w:val="16"/>
                    </w:rPr>
                    <w:t xml:space="preserve">Pág. principal de Viena: </w:t>
                  </w:r>
                  <w:r w:rsidRPr="009B216D">
                    <w:rPr>
                      <w:sz w:val="16"/>
                      <w:szCs w:val="16"/>
                    </w:rPr>
                    <w:br/>
                    <w:t>36.902 visitas (+6,0%), de las cuales 19.078 (+41,2%) de países en desarrollo</w:t>
                  </w:r>
                </w:p>
                <w:p w:rsidR="00502550" w:rsidRPr="009B216D" w:rsidRDefault="00502550" w:rsidP="00230FAA">
                  <w:pPr>
                    <w:keepNext/>
                    <w:keepLines/>
                    <w:ind w:right="-45"/>
                    <w:rPr>
                      <w:sz w:val="16"/>
                      <w:szCs w:val="16"/>
                    </w:rPr>
                  </w:pPr>
                </w:p>
              </w:tc>
            </w:tr>
            <w:tr w:rsidR="00502550" w:rsidRPr="009B216D" w:rsidTr="00230FAA">
              <w:tc>
                <w:tcPr>
                  <w:tcW w:w="2501" w:type="dxa"/>
                  <w:tcMar>
                    <w:left w:w="14" w:type="dxa"/>
                    <w:right w:w="14" w:type="dxa"/>
                  </w:tcMar>
                </w:tcPr>
                <w:p w:rsidR="00502550" w:rsidRPr="009B216D" w:rsidRDefault="00502550" w:rsidP="00230FAA">
                  <w:pPr>
                    <w:rPr>
                      <w:sz w:val="16"/>
                      <w:szCs w:val="16"/>
                    </w:rPr>
                  </w:pPr>
                  <w:r w:rsidRPr="009B216D">
                    <w:rPr>
                      <w:sz w:val="16"/>
                      <w:szCs w:val="16"/>
                    </w:rPr>
                    <w:t xml:space="preserve">Normas técnicas de la OMPI (Manual): </w:t>
                  </w:r>
                  <w:r w:rsidRPr="009B216D">
                    <w:rPr>
                      <w:sz w:val="16"/>
                      <w:szCs w:val="16"/>
                    </w:rPr>
                    <w:br/>
                    <w:t>70.115 visitas (+1,2%), de las cuales  28.467 (+22,3%) de países en desarrollo</w:t>
                  </w:r>
                </w:p>
                <w:p w:rsidR="00502550" w:rsidRPr="009B216D" w:rsidRDefault="00502550" w:rsidP="00230FAA">
                  <w:pPr>
                    <w:keepNext/>
                    <w:keepLines/>
                    <w:ind w:right="-45"/>
                    <w:rPr>
                      <w:sz w:val="16"/>
                      <w:szCs w:val="16"/>
                    </w:rPr>
                  </w:pPr>
                </w:p>
              </w:tc>
            </w:tr>
          </w:tbl>
          <w:p w:rsidR="00502550" w:rsidRPr="009B216D" w:rsidRDefault="00502550" w:rsidP="00230FAA">
            <w:pPr>
              <w:keepNext/>
              <w:keepLines/>
              <w:ind w:right="30"/>
              <w:rPr>
                <w:sz w:val="16"/>
                <w:szCs w:val="16"/>
              </w:rPr>
            </w:pPr>
          </w:p>
        </w:tc>
        <w:tc>
          <w:tcPr>
            <w:tcW w:w="504" w:type="pct"/>
            <w:shd w:val="clear" w:color="auto" w:fill="auto"/>
            <w:tcMar>
              <w:top w:w="110" w:type="dxa"/>
              <w:left w:w="58" w:type="dxa"/>
              <w:right w:w="58" w:type="dxa"/>
            </w:tcMar>
          </w:tcPr>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FF0000"/>
                <w:sz w:val="16"/>
                <w:szCs w:val="16"/>
              </w:rPr>
              <w:t>No avanza</w:t>
            </w: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FF0000"/>
                <w:sz w:val="16"/>
                <w:szCs w:val="16"/>
              </w:rPr>
              <w:t>No avanza</w:t>
            </w:r>
          </w:p>
          <w:p w:rsidR="00502550" w:rsidRDefault="00502550" w:rsidP="00230FAA">
            <w:pPr>
              <w:keepNext/>
              <w:keepLines/>
              <w:ind w:right="1"/>
              <w:jc w:val="center"/>
              <w:rPr>
                <w:b/>
                <w:sz w:val="16"/>
                <w:szCs w:val="16"/>
              </w:rPr>
            </w:pPr>
          </w:p>
          <w:p w:rsidR="00672926" w:rsidRPr="009B216D" w:rsidRDefault="00672926"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FF0000"/>
                <w:sz w:val="16"/>
                <w:szCs w:val="16"/>
              </w:rPr>
              <w:t>No avanza</w:t>
            </w:r>
          </w:p>
          <w:p w:rsidR="00502550" w:rsidRPr="009B216D" w:rsidRDefault="00502550" w:rsidP="00230FAA">
            <w:pPr>
              <w:keepNext/>
              <w:keepLines/>
              <w:ind w:right="1"/>
              <w:jc w:val="center"/>
              <w:rPr>
                <w:b/>
                <w:sz w:val="16"/>
                <w:szCs w:val="16"/>
              </w:rPr>
            </w:pPr>
          </w:p>
          <w:p w:rsidR="00502550" w:rsidRDefault="00502550" w:rsidP="00230FAA">
            <w:pPr>
              <w:keepNext/>
              <w:keepLines/>
              <w:ind w:right="1"/>
              <w:jc w:val="center"/>
              <w:rPr>
                <w:b/>
                <w:sz w:val="16"/>
                <w:szCs w:val="16"/>
              </w:rPr>
            </w:pPr>
          </w:p>
          <w:p w:rsidR="00672926" w:rsidRPr="009B216D" w:rsidRDefault="00672926"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00B050"/>
                <w:sz w:val="16"/>
                <w:szCs w:val="16"/>
              </w:rPr>
              <w:t>Avanza</w:t>
            </w: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FF0000"/>
                <w:sz w:val="16"/>
                <w:szCs w:val="16"/>
              </w:rPr>
              <w:t>No avanza</w:t>
            </w:r>
          </w:p>
          <w:p w:rsidR="00502550" w:rsidRPr="009B216D" w:rsidRDefault="00502550" w:rsidP="00230FAA">
            <w:pPr>
              <w:keepNext/>
              <w:keepLines/>
              <w:ind w:right="1"/>
              <w:jc w:val="center"/>
              <w:rPr>
                <w:b/>
                <w:sz w:val="16"/>
                <w:szCs w:val="16"/>
              </w:rPr>
            </w:pPr>
          </w:p>
          <w:p w:rsidR="00502550" w:rsidRDefault="00502550" w:rsidP="00230FAA">
            <w:pPr>
              <w:keepNext/>
              <w:keepLines/>
              <w:ind w:right="1"/>
              <w:rPr>
                <w:b/>
                <w:sz w:val="16"/>
                <w:szCs w:val="16"/>
              </w:rPr>
            </w:pPr>
          </w:p>
          <w:p w:rsidR="00672926" w:rsidRDefault="00672926" w:rsidP="00230FAA">
            <w:pPr>
              <w:keepNext/>
              <w:keepLines/>
              <w:ind w:right="1"/>
              <w:rPr>
                <w:b/>
                <w:sz w:val="16"/>
                <w:szCs w:val="16"/>
              </w:rPr>
            </w:pPr>
          </w:p>
          <w:p w:rsidR="00672926" w:rsidRPr="009B216D" w:rsidRDefault="00672926" w:rsidP="00230FAA">
            <w:pPr>
              <w:keepNext/>
              <w:keepLines/>
              <w:ind w:right="1"/>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00B050"/>
                <w:sz w:val="16"/>
                <w:szCs w:val="16"/>
              </w:rPr>
              <w:t>Avanza</w:t>
            </w: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p>
          <w:p w:rsidR="00502550" w:rsidRPr="009B216D" w:rsidRDefault="00502550" w:rsidP="00230FAA">
            <w:pPr>
              <w:keepNext/>
              <w:keepLines/>
              <w:ind w:right="1"/>
              <w:jc w:val="center"/>
              <w:rPr>
                <w:b/>
                <w:sz w:val="16"/>
                <w:szCs w:val="16"/>
              </w:rPr>
            </w:pPr>
            <w:r w:rsidRPr="009B216D">
              <w:rPr>
                <w:b/>
                <w:color w:val="FF0000"/>
                <w:sz w:val="16"/>
                <w:szCs w:val="16"/>
              </w:rPr>
              <w:t>No avanza</w:t>
            </w:r>
          </w:p>
          <w:p w:rsidR="00502550" w:rsidRPr="009B216D" w:rsidRDefault="00502550" w:rsidP="00230FAA">
            <w:pPr>
              <w:keepNext/>
              <w:keepLines/>
              <w:ind w:right="1"/>
              <w:jc w:val="center"/>
              <w:rPr>
                <w:sz w:val="16"/>
                <w:szCs w:val="16"/>
              </w:rPr>
            </w:pPr>
          </w:p>
        </w:tc>
      </w:tr>
    </w:tbl>
    <w:p w:rsidR="00502550" w:rsidRPr="009B216D" w:rsidRDefault="00502550" w:rsidP="00230FAA">
      <w:pPr>
        <w:rPr>
          <w:sz w:val="20"/>
        </w:rPr>
      </w:pPr>
    </w:p>
    <w:p w:rsidR="00502550" w:rsidRPr="009B216D" w:rsidRDefault="00502550" w:rsidP="00230FAA">
      <w:pPr>
        <w:rPr>
          <w:sz w:val="20"/>
        </w:rPr>
      </w:pPr>
    </w:p>
    <w:tbl>
      <w:tblPr>
        <w:tblStyle w:val="TableGrid"/>
        <w:tblW w:w="907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tblGrid>
      <w:tr w:rsidR="00502550" w:rsidRPr="009B216D" w:rsidTr="00230FAA">
        <w:trPr>
          <w:trHeight w:val="423"/>
        </w:trPr>
        <w:tc>
          <w:tcPr>
            <w:tcW w:w="9072" w:type="dxa"/>
            <w:shd w:val="clear" w:color="auto" w:fill="C6D9F1" w:themeFill="text2" w:themeFillTint="33"/>
            <w:vAlign w:val="center"/>
          </w:tcPr>
          <w:p w:rsidR="00502550" w:rsidRPr="009B216D" w:rsidRDefault="00502550" w:rsidP="00230FAA">
            <w:pPr>
              <w:keepNext/>
              <w:keepLines/>
              <w:jc w:val="center"/>
              <w:rPr>
                <w:b/>
                <w:sz w:val="20"/>
              </w:rPr>
            </w:pPr>
            <w:r w:rsidRPr="009B216D">
              <w:rPr>
                <w:b/>
                <w:sz w:val="20"/>
              </w:rPr>
              <w:lastRenderedPageBreak/>
              <w:br w:type="page"/>
              <w:t>Utilización de los recursos del programa 12</w:t>
            </w:r>
          </w:p>
        </w:tc>
      </w:tr>
    </w:tbl>
    <w:p w:rsidR="00502550" w:rsidRPr="009B216D" w:rsidRDefault="00502550" w:rsidP="00230FAA">
      <w:pPr>
        <w:keepNext/>
        <w:keepLines/>
        <w:rPr>
          <w:sz w:val="20"/>
        </w:rPr>
      </w:pPr>
    </w:p>
    <w:p w:rsidR="00502550" w:rsidRPr="009B216D" w:rsidRDefault="00502550" w:rsidP="00230FAA">
      <w:pPr>
        <w:keepNext/>
        <w:keepLines/>
        <w:jc w:val="center"/>
        <w:rPr>
          <w:sz w:val="18"/>
          <w:szCs w:val="18"/>
        </w:rPr>
      </w:pPr>
      <w:r w:rsidRPr="009B216D">
        <w:rPr>
          <w:sz w:val="18"/>
          <w:szCs w:val="18"/>
        </w:rPr>
        <w:t>Presupuesto y gastos reales (por resultado)</w:t>
      </w:r>
    </w:p>
    <w:p w:rsidR="00502550" w:rsidRPr="009B216D" w:rsidRDefault="00502550" w:rsidP="00230FAA">
      <w:pPr>
        <w:keepNext/>
        <w:keepLines/>
        <w:jc w:val="center"/>
        <w:rPr>
          <w:i/>
          <w:iCs/>
          <w:sz w:val="16"/>
          <w:szCs w:val="16"/>
        </w:rPr>
      </w:pPr>
      <w:r w:rsidRPr="009B216D">
        <w:rPr>
          <w:i/>
          <w:iCs/>
          <w:sz w:val="16"/>
          <w:szCs w:val="16"/>
        </w:rPr>
        <w:t>(en miles de francos suizos)</w:t>
      </w:r>
    </w:p>
    <w:p w:rsidR="00502550" w:rsidRPr="009B216D" w:rsidRDefault="00502550" w:rsidP="00230FAA">
      <w:pPr>
        <w:keepNext/>
        <w:keepLines/>
        <w:rPr>
          <w:sz w:val="20"/>
        </w:rPr>
      </w:pPr>
    </w:p>
    <w:tbl>
      <w:tblPr>
        <w:tblW w:w="8222" w:type="dxa"/>
        <w:jc w:val="center"/>
        <w:tblLook w:val="04A0" w:firstRow="1" w:lastRow="0" w:firstColumn="1" w:lastColumn="0" w:noHBand="0" w:noVBand="1"/>
      </w:tblPr>
      <w:tblGrid>
        <w:gridCol w:w="501"/>
        <w:gridCol w:w="4234"/>
        <w:gridCol w:w="1186"/>
        <w:gridCol w:w="1310"/>
        <w:gridCol w:w="1168"/>
      </w:tblGrid>
      <w:tr w:rsidR="00502550" w:rsidRPr="009B216D" w:rsidTr="00230FAA">
        <w:trPr>
          <w:trHeight w:val="825"/>
          <w:jc w:val="center"/>
        </w:trPr>
        <w:tc>
          <w:tcPr>
            <w:tcW w:w="4733" w:type="dxa"/>
            <w:gridSpan w:val="2"/>
            <w:tcBorders>
              <w:top w:val="nil"/>
              <w:left w:val="nil"/>
              <w:bottom w:val="nil"/>
              <w:right w:val="nil"/>
            </w:tcBorders>
            <w:shd w:val="clear" w:color="000000" w:fill="C5D9F1"/>
            <w:noWrap/>
            <w:vAlign w:val="center"/>
            <w:hideMark/>
          </w:tcPr>
          <w:p w:rsidR="00502550" w:rsidRPr="009B216D" w:rsidRDefault="00502550" w:rsidP="00230FAA">
            <w:pPr>
              <w:keepNext/>
              <w:keepLines/>
              <w:jc w:val="center"/>
              <w:rPr>
                <w:b/>
                <w:bCs/>
                <w:sz w:val="16"/>
                <w:szCs w:val="16"/>
              </w:rPr>
            </w:pPr>
            <w:r w:rsidRPr="009B216D">
              <w:rPr>
                <w:b/>
                <w:bCs/>
                <w:sz w:val="16"/>
                <w:szCs w:val="16"/>
              </w:rPr>
              <w:t xml:space="preserve">Número del resultado previsto y descripción </w:t>
            </w:r>
          </w:p>
        </w:tc>
        <w:tc>
          <w:tcPr>
            <w:tcW w:w="1150" w:type="dxa"/>
            <w:tcBorders>
              <w:top w:val="nil"/>
              <w:left w:val="nil"/>
              <w:bottom w:val="nil"/>
              <w:right w:val="nil"/>
            </w:tcBorders>
            <w:shd w:val="clear" w:color="000000" w:fill="C5D9F1"/>
            <w:vAlign w:val="center"/>
            <w:hideMark/>
          </w:tcPr>
          <w:p w:rsidR="00502550" w:rsidRPr="009B216D" w:rsidRDefault="00502550" w:rsidP="00230FAA">
            <w:pPr>
              <w:keepNext/>
              <w:keepLines/>
              <w:jc w:val="center"/>
              <w:rPr>
                <w:b/>
                <w:bCs/>
                <w:sz w:val="16"/>
                <w:szCs w:val="16"/>
              </w:rPr>
            </w:pPr>
            <w:r w:rsidRPr="009B216D">
              <w:rPr>
                <w:b/>
                <w:bCs/>
                <w:sz w:val="16"/>
                <w:szCs w:val="16"/>
              </w:rPr>
              <w:t xml:space="preserve"> Presupuesto aprobado de 2016/17 </w:t>
            </w:r>
          </w:p>
        </w:tc>
        <w:tc>
          <w:tcPr>
            <w:tcW w:w="1149" w:type="dxa"/>
            <w:tcBorders>
              <w:top w:val="nil"/>
              <w:left w:val="nil"/>
              <w:bottom w:val="nil"/>
              <w:right w:val="nil"/>
            </w:tcBorders>
            <w:shd w:val="clear" w:color="000000" w:fill="C5D9F1"/>
            <w:vAlign w:val="center"/>
            <w:hideMark/>
          </w:tcPr>
          <w:p w:rsidR="00502550" w:rsidRPr="009B216D" w:rsidRDefault="00502550" w:rsidP="00230FAA">
            <w:pPr>
              <w:keepNext/>
              <w:keepLines/>
              <w:jc w:val="center"/>
              <w:rPr>
                <w:b/>
                <w:bCs/>
                <w:sz w:val="16"/>
                <w:szCs w:val="16"/>
              </w:rPr>
            </w:pPr>
            <w:r w:rsidRPr="009B216D">
              <w:rPr>
                <w:b/>
                <w:bCs/>
                <w:sz w:val="16"/>
                <w:szCs w:val="16"/>
              </w:rPr>
              <w:t xml:space="preserve"> Presupuesto de 2016/17 tras las transferencias </w:t>
            </w:r>
          </w:p>
        </w:tc>
        <w:tc>
          <w:tcPr>
            <w:tcW w:w="1168" w:type="dxa"/>
            <w:tcBorders>
              <w:top w:val="nil"/>
              <w:left w:val="nil"/>
              <w:bottom w:val="nil"/>
              <w:right w:val="nil"/>
            </w:tcBorders>
            <w:shd w:val="clear" w:color="000000" w:fill="C5D9F1"/>
            <w:vAlign w:val="center"/>
            <w:hideMark/>
          </w:tcPr>
          <w:p w:rsidR="00502550" w:rsidRPr="009B216D" w:rsidRDefault="00502550" w:rsidP="00230FAA">
            <w:pPr>
              <w:keepNext/>
              <w:keepLines/>
              <w:jc w:val="center"/>
              <w:rPr>
                <w:b/>
                <w:bCs/>
                <w:sz w:val="16"/>
                <w:szCs w:val="16"/>
              </w:rPr>
            </w:pPr>
            <w:r w:rsidRPr="009B216D">
              <w:rPr>
                <w:b/>
                <w:bCs/>
                <w:sz w:val="16"/>
                <w:szCs w:val="16"/>
              </w:rPr>
              <w:t xml:space="preserve"> Gastos en 2016* </w:t>
            </w:r>
          </w:p>
        </w:tc>
      </w:tr>
      <w:tr w:rsidR="00502550" w:rsidRPr="009B216D" w:rsidTr="00230FAA">
        <w:trPr>
          <w:trHeight w:val="1155"/>
          <w:jc w:val="center"/>
        </w:trPr>
        <w:tc>
          <w:tcPr>
            <w:tcW w:w="499" w:type="dxa"/>
            <w:tcBorders>
              <w:top w:val="nil"/>
              <w:left w:val="nil"/>
              <w:bottom w:val="nil"/>
              <w:right w:val="nil"/>
            </w:tcBorders>
            <w:shd w:val="clear" w:color="auto" w:fill="auto"/>
            <w:noWrap/>
            <w:vAlign w:val="center"/>
            <w:hideMark/>
          </w:tcPr>
          <w:p w:rsidR="00502550" w:rsidRPr="009B216D" w:rsidRDefault="00502550" w:rsidP="00230FAA">
            <w:pPr>
              <w:keepNext/>
              <w:keepLines/>
              <w:rPr>
                <w:sz w:val="16"/>
                <w:szCs w:val="16"/>
              </w:rPr>
            </w:pPr>
            <w:r w:rsidRPr="009B216D">
              <w:rPr>
                <w:sz w:val="16"/>
                <w:szCs w:val="16"/>
              </w:rPr>
              <w:t>IV.1</w:t>
            </w:r>
          </w:p>
        </w:tc>
        <w:tc>
          <w:tcPr>
            <w:tcW w:w="4234" w:type="dxa"/>
            <w:tcBorders>
              <w:top w:val="nil"/>
              <w:left w:val="nil"/>
              <w:bottom w:val="nil"/>
              <w:right w:val="nil"/>
            </w:tcBorders>
            <w:shd w:val="clear" w:color="auto" w:fill="auto"/>
            <w:vAlign w:val="center"/>
            <w:hideMark/>
          </w:tcPr>
          <w:p w:rsidR="00502550" w:rsidRPr="009B216D" w:rsidRDefault="00502550" w:rsidP="00230FAA">
            <w:pPr>
              <w:keepNext/>
              <w:keepLines/>
              <w:rPr>
                <w:sz w:val="16"/>
                <w:szCs w:val="16"/>
              </w:rPr>
            </w:pPr>
            <w:r w:rsidRPr="009B216D">
              <w:rPr>
                <w:sz w:val="16"/>
                <w:szCs w:val="16"/>
              </w:rPr>
              <w:t>Sistema actualizado y aceptado mundialmente de clasificaciones internacionales y normas técnicas de la OMPI para facilitar el acceso, el uso y la difusión de información de P.I. entre las partes interesadas de todo el mundo</w:t>
            </w:r>
          </w:p>
        </w:tc>
        <w:tc>
          <w:tcPr>
            <w:tcW w:w="1150" w:type="dxa"/>
            <w:tcBorders>
              <w:top w:val="nil"/>
              <w:left w:val="nil"/>
              <w:bottom w:val="nil"/>
              <w:right w:val="nil"/>
            </w:tcBorders>
            <w:shd w:val="clear" w:color="auto" w:fill="auto"/>
            <w:noWrap/>
            <w:vAlign w:val="center"/>
            <w:hideMark/>
          </w:tcPr>
          <w:p w:rsidR="00502550" w:rsidRPr="009B216D" w:rsidRDefault="00502550" w:rsidP="00230FAA">
            <w:pPr>
              <w:keepNext/>
              <w:keepLines/>
              <w:jc w:val="center"/>
              <w:rPr>
                <w:sz w:val="16"/>
                <w:szCs w:val="16"/>
              </w:rPr>
            </w:pPr>
            <w:r w:rsidRPr="009B216D">
              <w:rPr>
                <w:sz w:val="16"/>
                <w:szCs w:val="16"/>
              </w:rPr>
              <w:t>7.070</w:t>
            </w:r>
          </w:p>
        </w:tc>
        <w:tc>
          <w:tcPr>
            <w:tcW w:w="1149" w:type="dxa"/>
            <w:tcBorders>
              <w:top w:val="nil"/>
              <w:left w:val="nil"/>
              <w:bottom w:val="nil"/>
              <w:right w:val="nil"/>
            </w:tcBorders>
            <w:shd w:val="clear" w:color="auto" w:fill="auto"/>
            <w:noWrap/>
            <w:vAlign w:val="center"/>
            <w:hideMark/>
          </w:tcPr>
          <w:p w:rsidR="00502550" w:rsidRPr="009B216D" w:rsidRDefault="00502550" w:rsidP="00230FAA">
            <w:pPr>
              <w:keepNext/>
              <w:keepLines/>
              <w:jc w:val="center"/>
              <w:rPr>
                <w:sz w:val="16"/>
                <w:szCs w:val="16"/>
              </w:rPr>
            </w:pPr>
            <w:r w:rsidRPr="009B216D">
              <w:rPr>
                <w:sz w:val="16"/>
                <w:szCs w:val="16"/>
              </w:rPr>
              <w:t>7.250</w:t>
            </w:r>
          </w:p>
        </w:tc>
        <w:tc>
          <w:tcPr>
            <w:tcW w:w="1168" w:type="dxa"/>
            <w:tcBorders>
              <w:top w:val="nil"/>
              <w:left w:val="nil"/>
              <w:bottom w:val="nil"/>
              <w:right w:val="nil"/>
            </w:tcBorders>
            <w:shd w:val="clear" w:color="auto" w:fill="auto"/>
            <w:noWrap/>
            <w:vAlign w:val="center"/>
            <w:hideMark/>
          </w:tcPr>
          <w:p w:rsidR="00502550" w:rsidRPr="009B216D" w:rsidRDefault="00502550" w:rsidP="00230FAA">
            <w:pPr>
              <w:keepNext/>
              <w:keepLines/>
              <w:jc w:val="center"/>
              <w:rPr>
                <w:sz w:val="16"/>
                <w:szCs w:val="16"/>
              </w:rPr>
            </w:pPr>
            <w:r w:rsidRPr="009B216D">
              <w:rPr>
                <w:sz w:val="16"/>
                <w:szCs w:val="16"/>
              </w:rPr>
              <w:t>3.118</w:t>
            </w:r>
          </w:p>
        </w:tc>
      </w:tr>
      <w:tr w:rsidR="00502550" w:rsidRPr="009B216D" w:rsidTr="00230FAA">
        <w:trPr>
          <w:trHeight w:val="225"/>
          <w:jc w:val="center"/>
        </w:trPr>
        <w:tc>
          <w:tcPr>
            <w:tcW w:w="499" w:type="dxa"/>
            <w:tcBorders>
              <w:top w:val="nil"/>
              <w:left w:val="nil"/>
              <w:bottom w:val="nil"/>
              <w:right w:val="nil"/>
            </w:tcBorders>
            <w:shd w:val="clear" w:color="000000" w:fill="C5D9F1"/>
            <w:noWrap/>
            <w:vAlign w:val="bottom"/>
            <w:hideMark/>
          </w:tcPr>
          <w:p w:rsidR="00502550" w:rsidRPr="009B216D" w:rsidRDefault="00502550" w:rsidP="00230FAA">
            <w:pPr>
              <w:keepNext/>
              <w:keepLines/>
              <w:rPr>
                <w:sz w:val="16"/>
                <w:szCs w:val="16"/>
              </w:rPr>
            </w:pPr>
            <w:r w:rsidRPr="009B216D">
              <w:rPr>
                <w:sz w:val="16"/>
                <w:szCs w:val="16"/>
              </w:rPr>
              <w:t> </w:t>
            </w:r>
          </w:p>
        </w:tc>
        <w:tc>
          <w:tcPr>
            <w:tcW w:w="4234" w:type="dxa"/>
            <w:tcBorders>
              <w:top w:val="nil"/>
              <w:left w:val="nil"/>
              <w:bottom w:val="nil"/>
              <w:right w:val="nil"/>
            </w:tcBorders>
            <w:shd w:val="clear" w:color="000000" w:fill="C5D9F1"/>
            <w:noWrap/>
            <w:vAlign w:val="bottom"/>
            <w:hideMark/>
          </w:tcPr>
          <w:p w:rsidR="00502550" w:rsidRPr="009B216D" w:rsidRDefault="00502550" w:rsidP="00230FAA">
            <w:pPr>
              <w:keepNext/>
              <w:keepLines/>
              <w:jc w:val="right"/>
              <w:rPr>
                <w:b/>
                <w:bCs/>
                <w:sz w:val="16"/>
                <w:szCs w:val="16"/>
              </w:rPr>
            </w:pPr>
            <w:r w:rsidRPr="009B216D">
              <w:rPr>
                <w:b/>
                <w:bCs/>
                <w:sz w:val="16"/>
                <w:szCs w:val="16"/>
              </w:rPr>
              <w:t>Total</w:t>
            </w:r>
          </w:p>
        </w:tc>
        <w:tc>
          <w:tcPr>
            <w:tcW w:w="1150" w:type="dxa"/>
            <w:tcBorders>
              <w:top w:val="nil"/>
              <w:left w:val="nil"/>
              <w:bottom w:val="nil"/>
              <w:right w:val="nil"/>
            </w:tcBorders>
            <w:shd w:val="clear" w:color="000000" w:fill="C5D9F1"/>
            <w:noWrap/>
            <w:vAlign w:val="center"/>
            <w:hideMark/>
          </w:tcPr>
          <w:p w:rsidR="00502550" w:rsidRPr="009B216D" w:rsidRDefault="00502550" w:rsidP="00230FAA">
            <w:pPr>
              <w:keepNext/>
              <w:keepLines/>
              <w:jc w:val="center"/>
              <w:rPr>
                <w:sz w:val="16"/>
                <w:szCs w:val="16"/>
              </w:rPr>
            </w:pPr>
            <w:r w:rsidRPr="009B216D">
              <w:rPr>
                <w:sz w:val="16"/>
                <w:szCs w:val="16"/>
              </w:rPr>
              <w:t>7.070</w:t>
            </w:r>
          </w:p>
        </w:tc>
        <w:tc>
          <w:tcPr>
            <w:tcW w:w="1149" w:type="dxa"/>
            <w:tcBorders>
              <w:top w:val="nil"/>
              <w:left w:val="nil"/>
              <w:bottom w:val="nil"/>
              <w:right w:val="nil"/>
            </w:tcBorders>
            <w:shd w:val="clear" w:color="000000" w:fill="C5D9F1"/>
            <w:noWrap/>
            <w:vAlign w:val="center"/>
            <w:hideMark/>
          </w:tcPr>
          <w:p w:rsidR="00502550" w:rsidRPr="009B216D" w:rsidRDefault="00502550" w:rsidP="00230FAA">
            <w:pPr>
              <w:keepNext/>
              <w:keepLines/>
              <w:jc w:val="center"/>
              <w:rPr>
                <w:sz w:val="16"/>
                <w:szCs w:val="16"/>
              </w:rPr>
            </w:pPr>
            <w:r w:rsidRPr="009B216D">
              <w:rPr>
                <w:sz w:val="16"/>
                <w:szCs w:val="16"/>
              </w:rPr>
              <w:t>7.250</w:t>
            </w:r>
          </w:p>
        </w:tc>
        <w:tc>
          <w:tcPr>
            <w:tcW w:w="1168" w:type="dxa"/>
            <w:tcBorders>
              <w:top w:val="nil"/>
              <w:left w:val="nil"/>
              <w:bottom w:val="nil"/>
              <w:right w:val="nil"/>
            </w:tcBorders>
            <w:shd w:val="clear" w:color="000000" w:fill="C5D9F1"/>
            <w:noWrap/>
            <w:vAlign w:val="center"/>
            <w:hideMark/>
          </w:tcPr>
          <w:p w:rsidR="00502550" w:rsidRPr="009B216D" w:rsidRDefault="00502550" w:rsidP="00230FAA">
            <w:pPr>
              <w:keepNext/>
              <w:keepLines/>
              <w:jc w:val="center"/>
              <w:rPr>
                <w:sz w:val="16"/>
                <w:szCs w:val="16"/>
              </w:rPr>
            </w:pPr>
            <w:r w:rsidRPr="009B216D">
              <w:rPr>
                <w:sz w:val="16"/>
                <w:szCs w:val="16"/>
              </w:rPr>
              <w:t>3.118</w:t>
            </w:r>
          </w:p>
        </w:tc>
      </w:tr>
      <w:tr w:rsidR="00502550" w:rsidRPr="009B216D" w:rsidTr="00230FAA">
        <w:trPr>
          <w:trHeight w:val="330"/>
          <w:jc w:val="center"/>
        </w:trPr>
        <w:tc>
          <w:tcPr>
            <w:tcW w:w="7032" w:type="dxa"/>
            <w:gridSpan w:val="4"/>
            <w:tcBorders>
              <w:top w:val="nil"/>
              <w:left w:val="nil"/>
              <w:bottom w:val="nil"/>
              <w:right w:val="nil"/>
            </w:tcBorders>
            <w:shd w:val="clear" w:color="auto" w:fill="auto"/>
            <w:noWrap/>
            <w:vAlign w:val="center"/>
            <w:hideMark/>
          </w:tcPr>
          <w:p w:rsidR="00502550" w:rsidRPr="009B216D" w:rsidRDefault="00502550" w:rsidP="00230FAA">
            <w:pPr>
              <w:keepNext/>
              <w:keepLines/>
              <w:rPr>
                <w:i/>
                <w:iCs/>
                <w:sz w:val="16"/>
                <w:szCs w:val="16"/>
              </w:rPr>
            </w:pPr>
            <w:r w:rsidRPr="009B216D">
              <w:rPr>
                <w:i/>
                <w:iCs/>
                <w:sz w:val="16"/>
                <w:szCs w:val="16"/>
              </w:rPr>
              <w:t>*Las cifras de gastos en 2016 son preliminares, a reserva de verificación por el Auditor Externo.</w:t>
            </w:r>
          </w:p>
        </w:tc>
        <w:tc>
          <w:tcPr>
            <w:tcW w:w="1168" w:type="dxa"/>
            <w:tcBorders>
              <w:top w:val="nil"/>
              <w:left w:val="nil"/>
              <w:bottom w:val="nil"/>
              <w:right w:val="nil"/>
            </w:tcBorders>
            <w:shd w:val="clear" w:color="auto" w:fill="auto"/>
            <w:noWrap/>
            <w:vAlign w:val="center"/>
            <w:hideMark/>
          </w:tcPr>
          <w:p w:rsidR="00502550" w:rsidRPr="009B216D" w:rsidRDefault="00502550" w:rsidP="00230FAA">
            <w:pPr>
              <w:keepNext/>
              <w:keepLines/>
              <w:rPr>
                <w:sz w:val="16"/>
                <w:szCs w:val="16"/>
              </w:rPr>
            </w:pPr>
          </w:p>
        </w:tc>
      </w:tr>
    </w:tbl>
    <w:p w:rsidR="00502550" w:rsidRPr="009B216D" w:rsidRDefault="00502550" w:rsidP="00230FAA">
      <w:pPr>
        <w:keepNext/>
        <w:keepLines/>
        <w:jc w:val="center"/>
        <w:rPr>
          <w:sz w:val="20"/>
        </w:rPr>
      </w:pPr>
    </w:p>
    <w:p w:rsidR="00502550" w:rsidRPr="009B216D" w:rsidRDefault="00502550" w:rsidP="00230FAA">
      <w:pPr>
        <w:keepNext/>
        <w:keepLines/>
        <w:jc w:val="center"/>
        <w:rPr>
          <w:sz w:val="18"/>
          <w:szCs w:val="18"/>
        </w:rPr>
      </w:pPr>
      <w:r w:rsidRPr="009B216D">
        <w:rPr>
          <w:sz w:val="18"/>
          <w:szCs w:val="18"/>
        </w:rPr>
        <w:t xml:space="preserve">Presupuesto y gastos reales (de personal y no relativos a personal) </w:t>
      </w:r>
    </w:p>
    <w:p w:rsidR="00502550" w:rsidRPr="009B216D" w:rsidRDefault="00502550" w:rsidP="00230FAA">
      <w:pPr>
        <w:keepNext/>
        <w:keepLines/>
        <w:jc w:val="center"/>
        <w:rPr>
          <w:i/>
          <w:iCs/>
          <w:sz w:val="16"/>
          <w:szCs w:val="16"/>
        </w:rPr>
      </w:pPr>
      <w:r w:rsidRPr="009B216D">
        <w:rPr>
          <w:i/>
          <w:iCs/>
          <w:sz w:val="16"/>
          <w:szCs w:val="16"/>
        </w:rPr>
        <w:t>(en miles de francos suizos)</w:t>
      </w:r>
    </w:p>
    <w:p w:rsidR="00502550" w:rsidRPr="009B216D" w:rsidRDefault="00502550" w:rsidP="00230FAA">
      <w:pPr>
        <w:rPr>
          <w:bCs/>
          <w:sz w:val="20"/>
        </w:rPr>
      </w:pPr>
    </w:p>
    <w:tbl>
      <w:tblPr>
        <w:tblW w:w="8222" w:type="dxa"/>
        <w:jc w:val="center"/>
        <w:tblLook w:val="04A0" w:firstRow="1" w:lastRow="0" w:firstColumn="1" w:lastColumn="0" w:noHBand="0" w:noVBand="1"/>
      </w:tblPr>
      <w:tblGrid>
        <w:gridCol w:w="2470"/>
        <w:gridCol w:w="1438"/>
        <w:gridCol w:w="1438"/>
        <w:gridCol w:w="1438"/>
        <w:gridCol w:w="1438"/>
      </w:tblGrid>
      <w:tr w:rsidR="00502550" w:rsidRPr="009B216D" w:rsidTr="00230FAA">
        <w:trPr>
          <w:trHeight w:val="720"/>
          <w:jc w:val="center"/>
        </w:trPr>
        <w:tc>
          <w:tcPr>
            <w:tcW w:w="2440" w:type="dxa"/>
            <w:tcBorders>
              <w:top w:val="nil"/>
              <w:left w:val="nil"/>
              <w:bottom w:val="nil"/>
              <w:right w:val="nil"/>
            </w:tcBorders>
            <w:shd w:val="clear" w:color="000000" w:fill="C5D9F1"/>
            <w:noWrap/>
            <w:vAlign w:val="center"/>
            <w:hideMark/>
          </w:tcPr>
          <w:p w:rsidR="00502550" w:rsidRPr="009B216D" w:rsidRDefault="00502550" w:rsidP="00230FAA">
            <w:pPr>
              <w:rPr>
                <w:sz w:val="16"/>
                <w:szCs w:val="16"/>
              </w:rPr>
            </w:pPr>
            <w:r w:rsidRPr="009B216D">
              <w:rPr>
                <w:sz w:val="16"/>
                <w:szCs w:val="16"/>
              </w:rPr>
              <w:t> </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Gastos en 2016*</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Índice de utilización (%)</w:t>
            </w:r>
          </w:p>
        </w:tc>
      </w:tr>
      <w:tr w:rsidR="00502550" w:rsidRPr="009B216D"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9B216D" w:rsidRDefault="00502550" w:rsidP="00230FAA">
            <w:pPr>
              <w:rPr>
                <w:sz w:val="16"/>
                <w:szCs w:val="16"/>
              </w:rPr>
            </w:pPr>
            <w:r w:rsidRPr="009B216D">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 xml:space="preserve">5.675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 xml:space="preserve">5.823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 xml:space="preserve">2.653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46%</w:t>
            </w:r>
          </w:p>
        </w:tc>
      </w:tr>
      <w:tr w:rsidR="00502550" w:rsidRPr="009B216D"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9B216D" w:rsidRDefault="00502550" w:rsidP="00230FAA">
            <w:pPr>
              <w:rPr>
                <w:sz w:val="16"/>
                <w:szCs w:val="16"/>
              </w:rPr>
            </w:pPr>
            <w:r w:rsidRPr="009B216D">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 xml:space="preserve">1.395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 xml:space="preserve">1.427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 xml:space="preserve">466 </w:t>
            </w:r>
          </w:p>
        </w:tc>
        <w:tc>
          <w:tcPr>
            <w:tcW w:w="1420" w:type="dxa"/>
            <w:tcBorders>
              <w:top w:val="nil"/>
              <w:left w:val="nil"/>
              <w:bottom w:val="nil"/>
              <w:right w:val="nil"/>
            </w:tcBorders>
            <w:shd w:val="clear" w:color="auto" w:fill="auto"/>
            <w:vAlign w:val="center"/>
            <w:hideMark/>
          </w:tcPr>
          <w:p w:rsidR="00502550" w:rsidRPr="009B216D" w:rsidRDefault="00502550" w:rsidP="00230FAA">
            <w:pPr>
              <w:jc w:val="center"/>
              <w:rPr>
                <w:sz w:val="16"/>
                <w:szCs w:val="16"/>
              </w:rPr>
            </w:pPr>
            <w:r w:rsidRPr="009B216D">
              <w:rPr>
                <w:sz w:val="16"/>
                <w:szCs w:val="16"/>
              </w:rPr>
              <w:t>33%</w:t>
            </w:r>
          </w:p>
        </w:tc>
      </w:tr>
      <w:tr w:rsidR="00502550" w:rsidRPr="009B216D" w:rsidTr="00230FAA">
        <w:trPr>
          <w:trHeight w:val="225"/>
          <w:jc w:val="center"/>
        </w:trPr>
        <w:tc>
          <w:tcPr>
            <w:tcW w:w="2440" w:type="dxa"/>
            <w:tcBorders>
              <w:top w:val="nil"/>
              <w:left w:val="nil"/>
              <w:bottom w:val="nil"/>
              <w:right w:val="nil"/>
            </w:tcBorders>
            <w:shd w:val="clear" w:color="000000" w:fill="C5D9F1"/>
            <w:noWrap/>
            <w:vAlign w:val="center"/>
            <w:hideMark/>
          </w:tcPr>
          <w:p w:rsidR="00502550" w:rsidRPr="009B216D" w:rsidRDefault="00502550" w:rsidP="00230FAA">
            <w:pPr>
              <w:jc w:val="right"/>
              <w:rPr>
                <w:b/>
                <w:bCs/>
                <w:sz w:val="16"/>
                <w:szCs w:val="16"/>
              </w:rPr>
            </w:pPr>
            <w:r w:rsidRPr="009B216D">
              <w:rPr>
                <w:b/>
                <w:bCs/>
                <w:sz w:val="16"/>
                <w:szCs w:val="16"/>
              </w:rPr>
              <w:t xml:space="preserve"> Total </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 xml:space="preserve">7.070 </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 xml:space="preserve">7.250 </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 xml:space="preserve">3.118 </w:t>
            </w:r>
          </w:p>
        </w:tc>
        <w:tc>
          <w:tcPr>
            <w:tcW w:w="1420" w:type="dxa"/>
            <w:tcBorders>
              <w:top w:val="nil"/>
              <w:left w:val="nil"/>
              <w:bottom w:val="nil"/>
              <w:right w:val="nil"/>
            </w:tcBorders>
            <w:shd w:val="clear" w:color="000000" w:fill="C5D9F1"/>
            <w:vAlign w:val="center"/>
            <w:hideMark/>
          </w:tcPr>
          <w:p w:rsidR="00502550" w:rsidRPr="009B216D" w:rsidRDefault="00502550" w:rsidP="00230FAA">
            <w:pPr>
              <w:jc w:val="center"/>
              <w:rPr>
                <w:b/>
                <w:bCs/>
                <w:sz w:val="16"/>
                <w:szCs w:val="16"/>
              </w:rPr>
            </w:pPr>
            <w:r w:rsidRPr="009B216D">
              <w:rPr>
                <w:b/>
                <w:bCs/>
                <w:sz w:val="16"/>
                <w:szCs w:val="16"/>
              </w:rPr>
              <w:t>43%</w:t>
            </w:r>
          </w:p>
        </w:tc>
      </w:tr>
      <w:tr w:rsidR="00502550" w:rsidRPr="009B216D" w:rsidTr="00230FAA">
        <w:trPr>
          <w:trHeight w:val="300"/>
          <w:jc w:val="center"/>
        </w:trPr>
        <w:tc>
          <w:tcPr>
            <w:tcW w:w="8120" w:type="dxa"/>
            <w:gridSpan w:val="5"/>
            <w:tcBorders>
              <w:top w:val="nil"/>
              <w:left w:val="nil"/>
              <w:bottom w:val="nil"/>
              <w:right w:val="nil"/>
            </w:tcBorders>
            <w:shd w:val="clear" w:color="auto" w:fill="auto"/>
            <w:noWrap/>
            <w:vAlign w:val="center"/>
            <w:hideMark/>
          </w:tcPr>
          <w:p w:rsidR="00502550" w:rsidRPr="009B216D" w:rsidRDefault="00502550" w:rsidP="00230FAA">
            <w:pPr>
              <w:rPr>
                <w:i/>
                <w:iCs/>
                <w:sz w:val="16"/>
                <w:szCs w:val="16"/>
              </w:rPr>
            </w:pPr>
            <w:r w:rsidRPr="009B216D">
              <w:rPr>
                <w:i/>
                <w:iCs/>
                <w:sz w:val="16"/>
                <w:szCs w:val="16"/>
              </w:rPr>
              <w:t xml:space="preserve"> *Las cifras de gastos en 2016 son preliminares, a reserva de verificación por el Auditor Externo. </w:t>
            </w:r>
          </w:p>
        </w:tc>
      </w:tr>
    </w:tbl>
    <w:p w:rsidR="00502550" w:rsidRPr="009B216D" w:rsidRDefault="00502550" w:rsidP="00230FAA">
      <w:pPr>
        <w:rPr>
          <w:sz w:val="20"/>
        </w:rPr>
      </w:pPr>
    </w:p>
    <w:p w:rsidR="00502550" w:rsidRPr="009B216D" w:rsidRDefault="00502550" w:rsidP="00230FAA">
      <w:pPr>
        <w:keepNext/>
        <w:keepLines/>
        <w:ind w:left="567" w:right="282"/>
        <w:rPr>
          <w:i/>
          <w:sz w:val="16"/>
          <w:szCs w:val="16"/>
        </w:rPr>
      </w:pPr>
      <w:r w:rsidRPr="009B216D">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502550" w:rsidRPr="009B216D" w:rsidRDefault="00502550" w:rsidP="00230FAA">
      <w:pPr>
        <w:rPr>
          <w:sz w:val="20"/>
        </w:rPr>
      </w:pPr>
    </w:p>
    <w:p w:rsidR="00502550" w:rsidRPr="009B216D" w:rsidRDefault="00502550" w:rsidP="00230FAA">
      <w:pPr>
        <w:rPr>
          <w:sz w:val="20"/>
        </w:rPr>
      </w:pPr>
    </w:p>
    <w:p w:rsidR="00502550" w:rsidRPr="009B216D" w:rsidRDefault="00502550" w:rsidP="00230FAA">
      <w:pPr>
        <w:jc w:val="both"/>
        <w:rPr>
          <w:sz w:val="20"/>
          <w:u w:val="single"/>
        </w:rPr>
      </w:pPr>
      <w:r w:rsidRPr="009B216D">
        <w:rPr>
          <w:sz w:val="20"/>
        </w:rPr>
        <w:t>A.</w:t>
      </w:r>
      <w:r w:rsidRPr="009B216D">
        <w:rPr>
          <w:sz w:val="20"/>
        </w:rPr>
        <w:tab/>
      </w:r>
      <w:r w:rsidRPr="009B216D">
        <w:rPr>
          <w:sz w:val="20"/>
          <w:u w:val="single"/>
        </w:rPr>
        <w:t>Presupuesto de 2016/17 tras las transferencias</w:t>
      </w:r>
    </w:p>
    <w:p w:rsidR="00502550" w:rsidRPr="009B216D" w:rsidRDefault="00502550" w:rsidP="00230FAA">
      <w:pPr>
        <w:jc w:val="both"/>
        <w:rPr>
          <w:sz w:val="20"/>
        </w:rPr>
      </w:pPr>
    </w:p>
    <w:p w:rsidR="00502550" w:rsidRPr="009B216D" w:rsidRDefault="00502550" w:rsidP="00502550">
      <w:pPr>
        <w:pStyle w:val="ListParagraph"/>
        <w:numPr>
          <w:ilvl w:val="0"/>
          <w:numId w:val="65"/>
        </w:numPr>
        <w:tabs>
          <w:tab w:val="left" w:pos="709"/>
        </w:tabs>
        <w:ind w:left="0" w:firstLine="0"/>
        <w:contextualSpacing/>
        <w:jc w:val="both"/>
        <w:rPr>
          <w:lang w:val="es-ES"/>
        </w:rPr>
      </w:pPr>
      <w:r w:rsidRPr="009B216D">
        <w:rPr>
          <w:lang w:val="es-ES"/>
        </w:rPr>
        <w:t xml:space="preserve">El aumento en los recursos de personal con respecto al presupuesto aprobado de 2016/17 </w:t>
      </w:r>
      <w:r w:rsidR="0048069B">
        <w:rPr>
          <w:lang w:val="es-ES"/>
        </w:rPr>
        <w:t>se debió</w:t>
      </w:r>
      <w:r w:rsidRPr="009B216D">
        <w:rPr>
          <w:lang w:val="es-ES"/>
        </w:rPr>
        <w:t xml:space="preserve"> a la regularización de una función permanente y a la reclasificación de dos puestos.  La leve disminución en los recursos no relativos a personal </w:t>
      </w:r>
      <w:r w:rsidR="0048069B">
        <w:rPr>
          <w:lang w:val="es-ES"/>
        </w:rPr>
        <w:t>se debió</w:t>
      </w:r>
      <w:r w:rsidRPr="009B216D">
        <w:rPr>
          <w:lang w:val="es-ES"/>
        </w:rPr>
        <w:t xml:space="preserve"> a la transferencia de los recursos no relativos a personal destinados a pasantías al DGRRHH (programa 23), que gestiona las pasantías de manera centralizada.  </w:t>
      </w:r>
    </w:p>
    <w:p w:rsidR="00502550" w:rsidRPr="009B216D" w:rsidRDefault="00502550" w:rsidP="00230FAA">
      <w:pPr>
        <w:tabs>
          <w:tab w:val="left" w:pos="709"/>
        </w:tabs>
        <w:jc w:val="both"/>
        <w:rPr>
          <w:sz w:val="20"/>
        </w:rPr>
      </w:pPr>
    </w:p>
    <w:p w:rsidR="00502550" w:rsidRPr="009B216D" w:rsidRDefault="00502550" w:rsidP="00230FAA">
      <w:pPr>
        <w:tabs>
          <w:tab w:val="left" w:pos="709"/>
        </w:tabs>
        <w:jc w:val="both"/>
        <w:rPr>
          <w:sz w:val="20"/>
          <w:u w:val="single"/>
        </w:rPr>
      </w:pPr>
      <w:r w:rsidRPr="009B216D">
        <w:rPr>
          <w:sz w:val="20"/>
        </w:rPr>
        <w:t>B.</w:t>
      </w:r>
      <w:r w:rsidRPr="009B216D">
        <w:rPr>
          <w:sz w:val="20"/>
        </w:rPr>
        <w:tab/>
      </w:r>
      <w:r w:rsidRPr="009B216D">
        <w:rPr>
          <w:sz w:val="20"/>
          <w:u w:val="single"/>
        </w:rPr>
        <w:t>Utilización del presupuesto en 2016/17</w:t>
      </w:r>
    </w:p>
    <w:p w:rsidR="00502550" w:rsidRPr="009B216D" w:rsidRDefault="00502550" w:rsidP="00230FAA">
      <w:pPr>
        <w:tabs>
          <w:tab w:val="left" w:pos="709"/>
        </w:tabs>
        <w:jc w:val="both"/>
        <w:rPr>
          <w:sz w:val="20"/>
        </w:rPr>
      </w:pPr>
    </w:p>
    <w:p w:rsidR="00502550" w:rsidRPr="009B216D" w:rsidRDefault="00502550" w:rsidP="00502550">
      <w:pPr>
        <w:pStyle w:val="ListParagraph"/>
        <w:numPr>
          <w:ilvl w:val="0"/>
          <w:numId w:val="65"/>
        </w:numPr>
        <w:tabs>
          <w:tab w:val="left" w:pos="709"/>
        </w:tabs>
        <w:ind w:left="0" w:firstLine="0"/>
        <w:contextualSpacing/>
        <w:jc w:val="both"/>
        <w:rPr>
          <w:rFonts w:ascii="Calibri" w:hAnsi="Calibri"/>
          <w:szCs w:val="22"/>
          <w:lang w:val="es-ES"/>
        </w:rPr>
      </w:pPr>
      <w:r w:rsidRPr="009B216D">
        <w:rPr>
          <w:lang w:val="es-ES" w:eastAsia="ko-KR"/>
        </w:rPr>
        <w:t>La utilización de</w:t>
      </w:r>
      <w:r w:rsidR="00672926">
        <w:rPr>
          <w:lang w:val="es-ES" w:eastAsia="ko-KR"/>
        </w:rPr>
        <w:t>l</w:t>
      </w:r>
      <w:r w:rsidRPr="009B216D">
        <w:rPr>
          <w:lang w:val="es-ES" w:eastAsia="ko-KR"/>
        </w:rPr>
        <w:t xml:space="preserve"> 34% del presupuesto</w:t>
      </w:r>
      <w:r w:rsidR="00CB0271">
        <w:rPr>
          <w:lang w:val="es-ES" w:eastAsia="ko-KR"/>
        </w:rPr>
        <w:t xml:space="preserve"> de</w:t>
      </w:r>
      <w:r w:rsidRPr="009B216D">
        <w:rPr>
          <w:lang w:val="es-ES" w:eastAsia="ko-KR"/>
        </w:rPr>
        <w:t xml:space="preserve"> recursos no relativos a personal </w:t>
      </w:r>
      <w:r w:rsidR="0048069B">
        <w:rPr>
          <w:lang w:val="es-ES" w:eastAsia="ko-KR"/>
        </w:rPr>
        <w:t>se debió</w:t>
      </w:r>
      <w:r w:rsidRPr="009B216D">
        <w:rPr>
          <w:lang w:val="es-ES" w:eastAsia="ko-KR"/>
        </w:rPr>
        <w:t xml:space="preserve"> principalmente al aplazamiento hasta 2017 de algunas actividades, a saber:  i) un estudio de viabilidad para elaborar un curso de enseñanza a distancia sobre la CIP;  ii) la labor sobre la plataforma de la publicación de la Clasificación de Viena (dando prioridad a las plataformas de publicación de las clasificaciones de Niza y de Locarno en 2016);  y iii) la labor específica sobre infraestructura y herramientas de T.I. (migración de la Base de Datos Maestra de la Clasificación y la gestión de la revisión de las </w:t>
      </w:r>
      <w:r w:rsidR="00CB0271" w:rsidRPr="009B216D">
        <w:rPr>
          <w:lang w:val="es-ES" w:eastAsia="ko-KR"/>
        </w:rPr>
        <w:t xml:space="preserve">Clasificaciones </w:t>
      </w:r>
      <w:r w:rsidRPr="009B216D">
        <w:rPr>
          <w:lang w:val="es-ES" w:eastAsia="ko-KR"/>
        </w:rPr>
        <w:t xml:space="preserve">de Niza, Viena y Locarno).  </w:t>
      </w:r>
    </w:p>
    <w:p w:rsidR="00502550" w:rsidRPr="009B216D" w:rsidRDefault="00502550" w:rsidP="00230FAA"/>
    <w:p w:rsidR="00502550" w:rsidRPr="009B216D" w:rsidRDefault="00502550" w:rsidP="00230FAA"/>
    <w:p w:rsidR="00502550" w:rsidRPr="009B216D" w:rsidRDefault="00502550" w:rsidP="00230FAA"/>
    <w:p w:rsidR="00681341" w:rsidRDefault="00681341">
      <w:pPr>
        <w:rPr>
          <w:b/>
          <w:bCs/>
          <w:iCs/>
          <w:caps/>
          <w:szCs w:val="28"/>
        </w:rPr>
      </w:pPr>
      <w:r>
        <w:rPr>
          <w:b/>
        </w:rPr>
        <w:br w:type="page"/>
      </w:r>
    </w:p>
    <w:p w:rsidR="00502550" w:rsidRPr="007F09CE" w:rsidRDefault="00502550" w:rsidP="009823CC">
      <w:pPr>
        <w:pStyle w:val="Heading2"/>
        <w:tabs>
          <w:tab w:val="left" w:pos="2410"/>
        </w:tabs>
        <w:rPr>
          <w:b/>
        </w:rPr>
      </w:pPr>
      <w:bookmarkStart w:id="51" w:name="_Toc482711260"/>
      <w:r w:rsidRPr="007F09CE">
        <w:rPr>
          <w:b/>
        </w:rPr>
        <w:lastRenderedPageBreak/>
        <w:t>PROGRAMA 13</w:t>
      </w:r>
      <w:r w:rsidRPr="007F09CE">
        <w:tab/>
      </w:r>
      <w:r w:rsidRPr="007F09CE">
        <w:rPr>
          <w:b/>
        </w:rPr>
        <w:t>BASES MUNDIALES DE DATOS</w:t>
      </w:r>
      <w:bookmarkEnd w:id="51"/>
    </w:p>
    <w:p w:rsidR="00502550" w:rsidRPr="007F09CE" w:rsidRDefault="00502550" w:rsidP="00230FAA"/>
    <w:p w:rsidR="00502550" w:rsidRPr="009823CC" w:rsidRDefault="00502550" w:rsidP="009823CC">
      <w:pPr>
        <w:tabs>
          <w:tab w:val="left" w:pos="2410"/>
        </w:tabs>
        <w:rPr>
          <w:b/>
          <w:sz w:val="20"/>
        </w:rPr>
      </w:pPr>
      <w:r w:rsidRPr="009823CC">
        <w:rPr>
          <w:b/>
          <w:sz w:val="20"/>
        </w:rPr>
        <w:t>Director de programa</w:t>
      </w:r>
      <w:r w:rsidRPr="009823CC">
        <w:rPr>
          <w:sz w:val="20"/>
        </w:rPr>
        <w:tab/>
      </w:r>
      <w:r w:rsidRPr="009823CC">
        <w:rPr>
          <w:b/>
          <w:sz w:val="20"/>
        </w:rPr>
        <w:t>Sr. Y. Takagi</w:t>
      </w:r>
    </w:p>
    <w:p w:rsidR="00502550" w:rsidRPr="007F09CE" w:rsidRDefault="00502550" w:rsidP="00230FAA">
      <w:pPr>
        <w:jc w:val="center"/>
        <w:rPr>
          <w:szCs w:val="22"/>
        </w:rPr>
      </w:pPr>
      <w:r w:rsidRPr="007F09CE">
        <w:rPr>
          <w:noProof/>
          <w:lang w:val="en-US" w:eastAsia="en-US"/>
        </w:rPr>
        <w:drawing>
          <wp:inline distT="0" distB="0" distL="0" distR="0" wp14:anchorId="00CCB449" wp14:editId="482D0D77">
            <wp:extent cx="4981575" cy="239072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4981164" cy="2390529"/>
                    </a:xfrm>
                    <a:prstGeom prst="rect">
                      <a:avLst/>
                    </a:prstGeom>
                    <a:noFill/>
                    <a:ln>
                      <a:noFill/>
                    </a:ln>
                  </pic:spPr>
                </pic:pic>
              </a:graphicData>
            </a:graphic>
          </wp:inline>
        </w:drawing>
      </w:r>
      <w:r w:rsidRPr="007F09CE">
        <w:t xml:space="preserve"> </w:t>
      </w:r>
    </w:p>
    <w:tbl>
      <w:tblPr>
        <w:tblW w:w="5014" w:type="pct"/>
        <w:tblInd w:w="58" w:type="dxa"/>
        <w:tblLayout w:type="fixed"/>
        <w:tblCellMar>
          <w:left w:w="115" w:type="dxa"/>
          <w:right w:w="115" w:type="dxa"/>
        </w:tblCellMar>
        <w:tblLook w:val="0000" w:firstRow="0" w:lastRow="0" w:firstColumn="0" w:lastColumn="0" w:noHBand="0" w:noVBand="0"/>
      </w:tblPr>
      <w:tblGrid>
        <w:gridCol w:w="1978"/>
        <w:gridCol w:w="2071"/>
        <w:gridCol w:w="2071"/>
        <w:gridCol w:w="2172"/>
        <w:gridCol w:w="921"/>
      </w:tblGrid>
      <w:tr w:rsidR="00502550" w:rsidRPr="007F09CE" w:rsidTr="00230FAA">
        <w:trPr>
          <w:trHeight w:val="565"/>
        </w:trPr>
        <w:tc>
          <w:tcPr>
            <w:tcW w:w="5000" w:type="pct"/>
            <w:gridSpan w:val="5"/>
            <w:shd w:val="clear" w:color="auto" w:fill="C6D9F1" w:themeFill="text2" w:themeFillTint="33"/>
            <w:tcMar>
              <w:left w:w="58" w:type="dxa"/>
              <w:right w:w="58" w:type="dxa"/>
            </w:tcMar>
            <w:vAlign w:val="center"/>
          </w:tcPr>
          <w:p w:rsidR="00502550" w:rsidRPr="007F09CE" w:rsidRDefault="00502550" w:rsidP="00230FAA">
            <w:pPr>
              <w:tabs>
                <w:tab w:val="left" w:pos="1452"/>
              </w:tabs>
              <w:ind w:left="1701" w:hanging="1701"/>
              <w:rPr>
                <w:bCs/>
                <w:sz w:val="16"/>
                <w:szCs w:val="16"/>
              </w:rPr>
            </w:pPr>
            <w:r w:rsidRPr="007F09CE">
              <w:rPr>
                <w:b/>
                <w:bCs/>
                <w:sz w:val="16"/>
                <w:szCs w:val="16"/>
              </w:rPr>
              <w:t>Resultado previsto:</w:t>
            </w:r>
            <w:r w:rsidRPr="007F09CE">
              <w:rPr>
                <w:b/>
                <w:bCs/>
                <w:sz w:val="16"/>
                <w:szCs w:val="16"/>
              </w:rPr>
              <w:tab/>
            </w:r>
            <w:r w:rsidRPr="007F09CE">
              <w:rPr>
                <w:bCs/>
                <w:sz w:val="16"/>
                <w:szCs w:val="16"/>
              </w:rPr>
              <w:t>IV.2  Mejora del acceso y uso de información de P.I. por parte de instituciones de P.I. y el público para fomentar la innovación y la creatividad</w:t>
            </w:r>
          </w:p>
        </w:tc>
      </w:tr>
      <w:tr w:rsidR="00502550" w:rsidRPr="007F09CE" w:rsidTr="00230FAA">
        <w:tc>
          <w:tcPr>
            <w:tcW w:w="1073" w:type="pct"/>
            <w:shd w:val="clear" w:color="auto" w:fill="auto"/>
            <w:tcMar>
              <w:left w:w="58" w:type="dxa"/>
              <w:right w:w="58" w:type="dxa"/>
            </w:tcMar>
            <w:vAlign w:val="center"/>
          </w:tcPr>
          <w:p w:rsidR="00502550" w:rsidRPr="007F09CE" w:rsidRDefault="00502550" w:rsidP="00230FAA">
            <w:pPr>
              <w:rPr>
                <w:b/>
                <w:bCs/>
                <w:sz w:val="16"/>
                <w:szCs w:val="16"/>
              </w:rPr>
            </w:pPr>
            <w:r w:rsidRPr="007F09CE">
              <w:rPr>
                <w:b/>
                <w:bCs/>
                <w:sz w:val="16"/>
                <w:szCs w:val="16"/>
              </w:rPr>
              <w:t>Indicadores de rendimiento</w:t>
            </w:r>
          </w:p>
        </w:tc>
        <w:tc>
          <w:tcPr>
            <w:tcW w:w="1124" w:type="pct"/>
            <w:shd w:val="clear" w:color="auto" w:fill="auto"/>
            <w:tcMar>
              <w:left w:w="58" w:type="dxa"/>
              <w:right w:w="58" w:type="dxa"/>
            </w:tcMar>
            <w:vAlign w:val="center"/>
          </w:tcPr>
          <w:p w:rsidR="00502550" w:rsidRPr="007F09CE" w:rsidRDefault="00502550" w:rsidP="00230FAA">
            <w:pPr>
              <w:rPr>
                <w:b/>
                <w:bCs/>
                <w:sz w:val="16"/>
                <w:szCs w:val="16"/>
              </w:rPr>
            </w:pPr>
            <w:r w:rsidRPr="007F09CE">
              <w:rPr>
                <w:b/>
                <w:bCs/>
                <w:sz w:val="16"/>
                <w:szCs w:val="16"/>
              </w:rPr>
              <w:t>Referencias de base</w:t>
            </w:r>
          </w:p>
        </w:tc>
        <w:tc>
          <w:tcPr>
            <w:tcW w:w="1124" w:type="pct"/>
            <w:shd w:val="clear" w:color="auto" w:fill="auto"/>
            <w:tcMar>
              <w:top w:w="110" w:type="dxa"/>
              <w:left w:w="58" w:type="dxa"/>
              <w:right w:w="58" w:type="dxa"/>
            </w:tcMar>
            <w:vAlign w:val="center"/>
          </w:tcPr>
          <w:p w:rsidR="00502550" w:rsidRPr="007F09CE" w:rsidRDefault="00502550" w:rsidP="00230FAA">
            <w:pPr>
              <w:tabs>
                <w:tab w:val="left" w:pos="290"/>
              </w:tabs>
              <w:rPr>
                <w:b/>
                <w:bCs/>
                <w:sz w:val="16"/>
                <w:szCs w:val="16"/>
              </w:rPr>
            </w:pPr>
            <w:r w:rsidRPr="007F09CE">
              <w:rPr>
                <w:b/>
                <w:bCs/>
                <w:sz w:val="16"/>
                <w:szCs w:val="16"/>
              </w:rPr>
              <w:t>Objetivos</w:t>
            </w:r>
          </w:p>
        </w:tc>
        <w:tc>
          <w:tcPr>
            <w:tcW w:w="1179" w:type="pct"/>
            <w:shd w:val="clear" w:color="auto" w:fill="FFFFFF"/>
            <w:tcMar>
              <w:top w:w="110" w:type="dxa"/>
              <w:left w:w="58" w:type="dxa"/>
              <w:right w:w="58" w:type="dxa"/>
            </w:tcMar>
            <w:vAlign w:val="center"/>
          </w:tcPr>
          <w:p w:rsidR="00502550" w:rsidRPr="007F09CE" w:rsidRDefault="00502550" w:rsidP="00230FAA">
            <w:pPr>
              <w:rPr>
                <w:b/>
                <w:bCs/>
                <w:sz w:val="16"/>
                <w:szCs w:val="16"/>
              </w:rPr>
            </w:pPr>
            <w:r w:rsidRPr="007F09CE">
              <w:rPr>
                <w:b/>
                <w:bCs/>
                <w:sz w:val="16"/>
                <w:szCs w:val="16"/>
              </w:rPr>
              <w:t>Datos sobre el rendimiento</w:t>
            </w:r>
          </w:p>
        </w:tc>
        <w:tc>
          <w:tcPr>
            <w:tcW w:w="500" w:type="pct"/>
            <w:shd w:val="clear" w:color="auto" w:fill="auto"/>
            <w:tcMar>
              <w:top w:w="110" w:type="dxa"/>
              <w:left w:w="58" w:type="dxa"/>
              <w:right w:w="58" w:type="dxa"/>
            </w:tcMar>
            <w:vAlign w:val="center"/>
          </w:tcPr>
          <w:p w:rsidR="00502550" w:rsidRPr="007F09CE" w:rsidRDefault="00502550" w:rsidP="00230FAA">
            <w:pPr>
              <w:jc w:val="center"/>
              <w:rPr>
                <w:b/>
                <w:bCs/>
                <w:sz w:val="16"/>
                <w:szCs w:val="16"/>
              </w:rPr>
            </w:pPr>
            <w:r w:rsidRPr="007F09CE">
              <w:rPr>
                <w:b/>
                <w:bCs/>
                <w:sz w:val="16"/>
                <w:szCs w:val="16"/>
              </w:rPr>
              <w:t>Clave de colores</w:t>
            </w:r>
          </w:p>
        </w:tc>
      </w:tr>
      <w:tr w:rsidR="00502550" w:rsidRPr="007F09CE" w:rsidTr="00230FAA">
        <w:trPr>
          <w:trHeight w:val="2916"/>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N.º de usuarios distintos por trimestre en todos los sistemas de bases de datos mundiales</w:t>
            </w:r>
          </w:p>
        </w:tc>
        <w:tc>
          <w:tcPr>
            <w:tcW w:w="1124" w:type="pct"/>
            <w:shd w:val="clear" w:color="auto" w:fill="auto"/>
            <w:tcMar>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Referencia actualizada a fines de 2015:  </w:t>
            </w:r>
          </w:p>
          <w:p w:rsidR="00502550" w:rsidRPr="00663ECF" w:rsidRDefault="00502550" w:rsidP="00230FAA">
            <w:pPr>
              <w:rPr>
                <w:color w:val="002060"/>
                <w:sz w:val="16"/>
                <w:szCs w:val="16"/>
              </w:rPr>
            </w:pPr>
            <w:r w:rsidRPr="00663ECF">
              <w:rPr>
                <w:color w:val="002060"/>
                <w:sz w:val="16"/>
                <w:szCs w:val="16"/>
              </w:rPr>
              <w:t xml:space="preserve">PATENTSCOPE:  </w:t>
            </w:r>
          </w:p>
          <w:p w:rsidR="00502550" w:rsidRPr="00663ECF" w:rsidRDefault="00502550" w:rsidP="00230FAA">
            <w:pPr>
              <w:rPr>
                <w:color w:val="002060"/>
                <w:sz w:val="16"/>
                <w:szCs w:val="16"/>
              </w:rPr>
            </w:pPr>
            <w:r w:rsidRPr="00663ECF">
              <w:rPr>
                <w:color w:val="002060"/>
                <w:sz w:val="16"/>
                <w:szCs w:val="16"/>
              </w:rPr>
              <w:t xml:space="preserve">221.981 </w:t>
            </w:r>
          </w:p>
          <w:p w:rsidR="00502550" w:rsidRPr="00663ECF" w:rsidRDefault="00502550" w:rsidP="00230FAA">
            <w:pPr>
              <w:rPr>
                <w:color w:val="002060"/>
                <w:sz w:val="16"/>
                <w:szCs w:val="16"/>
              </w:rPr>
            </w:pPr>
            <w:r w:rsidRPr="00663ECF">
              <w:rPr>
                <w:color w:val="002060"/>
                <w:sz w:val="16"/>
                <w:szCs w:val="16"/>
              </w:rPr>
              <w:t xml:space="preserve">Base Mundial de Datos sobre Marcas (GBD):  </w:t>
            </w:r>
          </w:p>
          <w:p w:rsidR="00502550" w:rsidRPr="00663ECF" w:rsidRDefault="00502550" w:rsidP="00230FAA">
            <w:pPr>
              <w:rPr>
                <w:color w:val="002060"/>
                <w:sz w:val="16"/>
                <w:szCs w:val="16"/>
              </w:rPr>
            </w:pPr>
            <w:r w:rsidRPr="00663ECF">
              <w:rPr>
                <w:color w:val="002060"/>
                <w:sz w:val="16"/>
                <w:szCs w:val="16"/>
              </w:rPr>
              <w:t xml:space="preserve">80.490 </w:t>
            </w:r>
          </w:p>
          <w:p w:rsidR="00502550" w:rsidRPr="00663ECF" w:rsidRDefault="00502550" w:rsidP="00230FAA">
            <w:pPr>
              <w:rPr>
                <w:color w:val="002060"/>
                <w:sz w:val="16"/>
                <w:szCs w:val="16"/>
              </w:rPr>
            </w:pPr>
            <w:r w:rsidRPr="00663ECF">
              <w:rPr>
                <w:color w:val="002060"/>
                <w:sz w:val="16"/>
                <w:szCs w:val="16"/>
              </w:rPr>
              <w:t xml:space="preserve">Base Mundial de Datos sobre Dibujos y Modelos (GDD):  13.946 </w:t>
            </w:r>
          </w:p>
          <w:p w:rsidR="00502550" w:rsidRPr="007F09CE" w:rsidRDefault="00502550" w:rsidP="00230FAA">
            <w:pPr>
              <w:rPr>
                <w:sz w:val="16"/>
                <w:szCs w:val="16"/>
              </w:rPr>
            </w:pPr>
          </w:p>
          <w:p w:rsidR="00502550" w:rsidRPr="007F09CE" w:rsidRDefault="00502550" w:rsidP="00230FAA">
            <w:pPr>
              <w:ind w:right="176"/>
              <w:rPr>
                <w:i/>
                <w:sz w:val="16"/>
                <w:szCs w:val="16"/>
                <w:lang w:bidi="th-TH"/>
              </w:rPr>
            </w:pPr>
            <w:r w:rsidRPr="007F09CE">
              <w:rPr>
                <w:i/>
                <w:sz w:val="16"/>
                <w:szCs w:val="16"/>
                <w:lang w:bidi="th-TH"/>
              </w:rPr>
              <w:t xml:space="preserve">Referencia original en el presupuesto de 2016/2017:  </w:t>
            </w:r>
          </w:p>
          <w:p w:rsidR="00502550" w:rsidRPr="007F09CE" w:rsidRDefault="00502550" w:rsidP="00230FAA">
            <w:pPr>
              <w:rPr>
                <w:sz w:val="16"/>
                <w:szCs w:val="16"/>
              </w:rPr>
            </w:pPr>
            <w:r w:rsidRPr="007F09CE">
              <w:rPr>
                <w:sz w:val="16"/>
                <w:szCs w:val="16"/>
              </w:rPr>
              <w:t xml:space="preserve">Visitantes diferentes (4º trim. de 2014) PATENTSCOPE:  592.000;  </w:t>
            </w:r>
          </w:p>
          <w:p w:rsidR="00502550" w:rsidRPr="007F09CE" w:rsidRDefault="00502550" w:rsidP="00230FAA">
            <w:pPr>
              <w:rPr>
                <w:sz w:val="16"/>
                <w:szCs w:val="16"/>
              </w:rPr>
            </w:pPr>
            <w:r w:rsidRPr="007F09CE">
              <w:rPr>
                <w:sz w:val="16"/>
                <w:szCs w:val="16"/>
              </w:rPr>
              <w:t xml:space="preserve">GBD:  49.000;  </w:t>
            </w:r>
          </w:p>
          <w:p w:rsidR="00502550" w:rsidRPr="007F09CE" w:rsidRDefault="00502550" w:rsidP="00230FAA">
            <w:pPr>
              <w:rPr>
                <w:sz w:val="16"/>
                <w:szCs w:val="16"/>
              </w:rPr>
            </w:pPr>
            <w:r w:rsidRPr="007F09CE">
              <w:rPr>
                <w:sz w:val="16"/>
                <w:szCs w:val="16"/>
              </w:rPr>
              <w:t>GDD:  n.d.</w:t>
            </w:r>
          </w:p>
        </w:tc>
        <w:tc>
          <w:tcPr>
            <w:tcW w:w="1124" w:type="pct"/>
            <w:shd w:val="clear" w:color="auto" w:fill="auto"/>
            <w:tcMar>
              <w:top w:w="110" w:type="dxa"/>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Objetivo actualizado:  </w:t>
            </w:r>
          </w:p>
          <w:p w:rsidR="00502550" w:rsidRPr="00663ECF" w:rsidRDefault="00502550" w:rsidP="00230FAA">
            <w:pPr>
              <w:rPr>
                <w:color w:val="002060"/>
                <w:sz w:val="16"/>
                <w:szCs w:val="16"/>
                <w:lang w:bidi="th-TH"/>
              </w:rPr>
            </w:pPr>
            <w:r w:rsidRPr="00663ECF">
              <w:rPr>
                <w:color w:val="002060"/>
                <w:sz w:val="16"/>
                <w:szCs w:val="16"/>
                <w:lang w:bidi="th-TH"/>
              </w:rPr>
              <w:t>PATENTSCOPE:  250.000</w:t>
            </w:r>
          </w:p>
          <w:p w:rsidR="00502550" w:rsidRPr="00663ECF" w:rsidRDefault="00502550" w:rsidP="00230FAA">
            <w:pPr>
              <w:rPr>
                <w:color w:val="002060"/>
                <w:sz w:val="16"/>
                <w:szCs w:val="16"/>
                <w:lang w:bidi="th-TH"/>
              </w:rPr>
            </w:pPr>
            <w:r w:rsidRPr="00663ECF">
              <w:rPr>
                <w:color w:val="002060"/>
                <w:sz w:val="16"/>
                <w:szCs w:val="16"/>
              </w:rPr>
              <w:t>GBD:  75.000</w:t>
            </w:r>
          </w:p>
          <w:p w:rsidR="00502550" w:rsidRPr="00663ECF" w:rsidRDefault="00502550" w:rsidP="00230FAA">
            <w:pPr>
              <w:rPr>
                <w:color w:val="002060"/>
                <w:sz w:val="16"/>
                <w:szCs w:val="16"/>
                <w:lang w:bidi="th-TH"/>
              </w:rPr>
            </w:pPr>
            <w:r w:rsidRPr="00663ECF">
              <w:rPr>
                <w:color w:val="002060"/>
                <w:sz w:val="16"/>
                <w:szCs w:val="16"/>
              </w:rPr>
              <w:t>GDD:  15.000</w:t>
            </w:r>
          </w:p>
          <w:p w:rsidR="00502550" w:rsidRPr="007F09CE" w:rsidRDefault="00502550" w:rsidP="00230FAA">
            <w:pPr>
              <w:rPr>
                <w:i/>
                <w:sz w:val="16"/>
                <w:szCs w:val="16"/>
                <w:lang w:bidi="th-TH"/>
              </w:rPr>
            </w:pPr>
          </w:p>
          <w:p w:rsidR="00502550" w:rsidRPr="007F09CE" w:rsidRDefault="00502550" w:rsidP="00230FAA">
            <w:pPr>
              <w:rPr>
                <w:i/>
                <w:sz w:val="16"/>
                <w:szCs w:val="16"/>
                <w:lang w:bidi="th-TH"/>
              </w:rPr>
            </w:pPr>
            <w:r w:rsidRPr="007F09CE">
              <w:rPr>
                <w:i/>
                <w:sz w:val="16"/>
                <w:szCs w:val="16"/>
                <w:lang w:bidi="th-TH"/>
              </w:rPr>
              <w:t xml:space="preserve">Objetivo original en el presupuesto de 2016/17:  </w:t>
            </w:r>
          </w:p>
          <w:p w:rsidR="00502550" w:rsidRPr="007F09CE" w:rsidRDefault="00502550" w:rsidP="00230FAA">
            <w:pPr>
              <w:rPr>
                <w:sz w:val="16"/>
                <w:szCs w:val="16"/>
              </w:rPr>
            </w:pPr>
            <w:r w:rsidRPr="007F09CE">
              <w:rPr>
                <w:sz w:val="16"/>
                <w:szCs w:val="16"/>
              </w:rPr>
              <w:t xml:space="preserve">PATENTSCOPE:  650.000 </w:t>
            </w:r>
          </w:p>
          <w:p w:rsidR="00502550" w:rsidRPr="007F09CE" w:rsidRDefault="00502550" w:rsidP="00230FAA">
            <w:pPr>
              <w:rPr>
                <w:sz w:val="16"/>
                <w:szCs w:val="16"/>
              </w:rPr>
            </w:pPr>
            <w:r w:rsidRPr="007F09CE">
              <w:rPr>
                <w:sz w:val="16"/>
                <w:szCs w:val="16"/>
              </w:rPr>
              <w:t>GBD:  70.000</w:t>
            </w:r>
          </w:p>
          <w:p w:rsidR="00502550" w:rsidRPr="007F09CE" w:rsidRDefault="00502550" w:rsidP="00230FAA">
            <w:pPr>
              <w:rPr>
                <w:sz w:val="16"/>
                <w:szCs w:val="16"/>
              </w:rPr>
            </w:pPr>
            <w:r w:rsidRPr="007F09CE">
              <w:rPr>
                <w:sz w:val="16"/>
                <w:szCs w:val="16"/>
              </w:rPr>
              <w:t>GDD:  15.000</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PATENTSCOPE:  246.516</w:t>
            </w:r>
          </w:p>
          <w:p w:rsidR="00502550" w:rsidRPr="007F09CE" w:rsidRDefault="00502550" w:rsidP="00230FAA">
            <w:pPr>
              <w:rPr>
                <w:sz w:val="16"/>
                <w:szCs w:val="16"/>
              </w:rPr>
            </w:pPr>
            <w:r w:rsidRPr="007F09CE">
              <w:rPr>
                <w:sz w:val="16"/>
                <w:szCs w:val="16"/>
              </w:rPr>
              <w:t>GBD: 119.208</w:t>
            </w:r>
          </w:p>
          <w:p w:rsidR="00502550" w:rsidRPr="007F09CE" w:rsidRDefault="00502550" w:rsidP="00230FAA">
            <w:pPr>
              <w:rPr>
                <w:sz w:val="16"/>
                <w:szCs w:val="16"/>
              </w:rPr>
            </w:pPr>
            <w:r w:rsidRPr="007F09CE">
              <w:rPr>
                <w:sz w:val="16"/>
                <w:szCs w:val="16"/>
              </w:rPr>
              <w:t>GDD: 16.868</w:t>
            </w:r>
          </w:p>
          <w:p w:rsidR="00502550" w:rsidRPr="007F09CE" w:rsidRDefault="00502550" w:rsidP="00230FAA">
            <w:pPr>
              <w:rPr>
                <w:sz w:val="16"/>
                <w:szCs w:val="16"/>
              </w:rPr>
            </w:pPr>
            <w:r w:rsidRPr="007F09CE">
              <w:rPr>
                <w:sz w:val="16"/>
                <w:szCs w:val="16"/>
              </w:rPr>
              <w:t xml:space="preserve">(4º trim. 2016) </w:t>
            </w:r>
          </w:p>
          <w:p w:rsidR="00502550" w:rsidRPr="007F09CE" w:rsidRDefault="00502550" w:rsidP="00230FAA">
            <w:pPr>
              <w:rPr>
                <w:sz w:val="16"/>
                <w:szCs w:val="16"/>
              </w:rPr>
            </w:pPr>
          </w:p>
        </w:tc>
        <w:tc>
          <w:tcPr>
            <w:tcW w:w="500" w:type="pct"/>
            <w:shd w:val="clear" w:color="auto" w:fill="auto"/>
            <w:tcMar>
              <w:top w:w="110" w:type="dxa"/>
              <w:left w:w="58" w:type="dxa"/>
              <w:right w:w="58" w:type="dxa"/>
            </w:tcMar>
          </w:tcPr>
          <w:p w:rsidR="00502550" w:rsidRPr="007F09CE" w:rsidRDefault="00502550" w:rsidP="00230FAA">
            <w:pPr>
              <w:jc w:val="center"/>
              <w:rPr>
                <w:b/>
                <w:sz w:val="16"/>
                <w:szCs w:val="16"/>
              </w:rPr>
            </w:pPr>
            <w:r w:rsidRPr="007F09CE">
              <w:rPr>
                <w:b/>
                <w:color w:val="00B050"/>
                <w:sz w:val="16"/>
                <w:szCs w:val="16"/>
              </w:rPr>
              <w:t>Avanza</w:t>
            </w:r>
          </w:p>
        </w:tc>
      </w:tr>
      <w:tr w:rsidR="00502550" w:rsidRPr="007F09CE" w:rsidTr="00230FAA">
        <w:trPr>
          <w:trHeight w:val="691"/>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N.º de idiomas en los que se pueden efectuar búsquedas plurilingües</w:t>
            </w:r>
          </w:p>
        </w:tc>
        <w:tc>
          <w:tcPr>
            <w:tcW w:w="1124" w:type="pct"/>
            <w:shd w:val="clear" w:color="auto" w:fill="auto"/>
            <w:tcMar>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Referencia actualizada a fines de 2015:  </w:t>
            </w:r>
          </w:p>
          <w:p w:rsidR="00502550" w:rsidRPr="00663ECF" w:rsidRDefault="00502550" w:rsidP="00230FAA">
            <w:pPr>
              <w:rPr>
                <w:color w:val="002060"/>
                <w:sz w:val="16"/>
                <w:szCs w:val="16"/>
                <w:lang w:bidi="th-TH"/>
              </w:rPr>
            </w:pPr>
            <w:r w:rsidRPr="00663ECF">
              <w:rPr>
                <w:color w:val="002060"/>
                <w:sz w:val="16"/>
                <w:szCs w:val="16"/>
                <w:lang w:bidi="th-TH"/>
              </w:rPr>
              <w:t>14: chino, danés, neerlandés, inglés, francés, alemán, italiano, japonés, coreano, polaco, portugués, ruso, español, sueco</w:t>
            </w:r>
          </w:p>
          <w:p w:rsidR="00502550" w:rsidRPr="007F09CE" w:rsidRDefault="00502550" w:rsidP="00230FAA">
            <w:pPr>
              <w:rPr>
                <w:sz w:val="16"/>
                <w:szCs w:val="16"/>
              </w:rPr>
            </w:pPr>
          </w:p>
          <w:p w:rsidR="00502550" w:rsidRPr="007F09CE" w:rsidRDefault="00502550" w:rsidP="00230FAA">
            <w:pPr>
              <w:ind w:right="176"/>
              <w:rPr>
                <w:i/>
                <w:sz w:val="16"/>
                <w:szCs w:val="16"/>
                <w:lang w:bidi="th-TH"/>
              </w:rPr>
            </w:pPr>
            <w:r w:rsidRPr="007F09CE">
              <w:rPr>
                <w:i/>
                <w:sz w:val="16"/>
                <w:szCs w:val="16"/>
                <w:lang w:bidi="th-TH"/>
              </w:rPr>
              <w:t xml:space="preserve">Referencia original en el presupuesto de 2016/17:  </w:t>
            </w:r>
          </w:p>
          <w:p w:rsidR="00502550" w:rsidRPr="007F09CE" w:rsidRDefault="00502550" w:rsidP="00230FAA">
            <w:pPr>
              <w:spacing w:after="240"/>
              <w:rPr>
                <w:sz w:val="16"/>
                <w:szCs w:val="16"/>
              </w:rPr>
            </w:pPr>
            <w:r w:rsidRPr="007F09CE">
              <w:rPr>
                <w:sz w:val="16"/>
                <w:szCs w:val="16"/>
              </w:rPr>
              <w:t>12% (al final de 2014)</w:t>
            </w:r>
          </w:p>
        </w:tc>
        <w:tc>
          <w:tcPr>
            <w:tcW w:w="1124" w:type="pct"/>
            <w:shd w:val="clear" w:color="auto" w:fill="auto"/>
            <w:tcMar>
              <w:top w:w="110" w:type="dxa"/>
              <w:left w:w="58" w:type="dxa"/>
              <w:right w:w="58" w:type="dxa"/>
            </w:tcMar>
          </w:tcPr>
          <w:p w:rsidR="00502550" w:rsidRPr="007F09CE" w:rsidRDefault="00502550" w:rsidP="00230FAA">
            <w:pPr>
              <w:rPr>
                <w:sz w:val="16"/>
                <w:szCs w:val="16"/>
                <w:lang w:bidi="th-TH"/>
              </w:rPr>
            </w:pPr>
            <w:r w:rsidRPr="007F09CE">
              <w:rPr>
                <w:sz w:val="16"/>
                <w:szCs w:val="16"/>
                <w:lang w:bidi="th-TH"/>
              </w:rPr>
              <w:t>14</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En 2016 no se añadió ningún idioma adicional</w:t>
            </w:r>
          </w:p>
          <w:p w:rsidR="00502550" w:rsidRPr="007F09CE" w:rsidRDefault="00502550" w:rsidP="00230FAA">
            <w:pPr>
              <w:rPr>
                <w:sz w:val="16"/>
                <w:szCs w:val="16"/>
              </w:rPr>
            </w:pPr>
          </w:p>
          <w:p w:rsidR="00502550" w:rsidRPr="007F09CE" w:rsidRDefault="00502550" w:rsidP="00230FAA">
            <w:pPr>
              <w:rPr>
                <w:sz w:val="16"/>
                <w:szCs w:val="16"/>
              </w:rPr>
            </w:pPr>
            <w:r w:rsidRPr="007F09CE">
              <w:rPr>
                <w:sz w:val="16"/>
                <w:szCs w:val="16"/>
              </w:rPr>
              <w:t xml:space="preserve">14 idiomas en total </w:t>
            </w:r>
          </w:p>
        </w:tc>
        <w:tc>
          <w:tcPr>
            <w:tcW w:w="500" w:type="pct"/>
            <w:shd w:val="clear" w:color="auto" w:fill="auto"/>
            <w:tcMar>
              <w:top w:w="110" w:type="dxa"/>
              <w:left w:w="58" w:type="dxa"/>
              <w:right w:w="58" w:type="dxa"/>
            </w:tcMar>
          </w:tcPr>
          <w:p w:rsidR="00502550" w:rsidRPr="007F09CE" w:rsidRDefault="00502550" w:rsidP="00230FAA">
            <w:pPr>
              <w:jc w:val="center"/>
              <w:rPr>
                <w:b/>
                <w:sz w:val="16"/>
                <w:szCs w:val="16"/>
              </w:rPr>
            </w:pPr>
            <w:r w:rsidRPr="007F09CE">
              <w:rPr>
                <w:b/>
                <w:color w:val="00B050"/>
                <w:sz w:val="16"/>
                <w:szCs w:val="16"/>
              </w:rPr>
              <w:t>Avanza</w:t>
            </w:r>
          </w:p>
        </w:tc>
      </w:tr>
      <w:tr w:rsidR="00502550" w:rsidRPr="007F09CE" w:rsidTr="00230FAA">
        <w:trPr>
          <w:trHeight w:val="691"/>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N.º de pares de idiomas disponibles para la traducción de descripciones y reivindicaciones</w:t>
            </w:r>
          </w:p>
        </w:tc>
        <w:tc>
          <w:tcPr>
            <w:tcW w:w="1124" w:type="pct"/>
            <w:shd w:val="clear" w:color="auto" w:fill="auto"/>
            <w:tcMar>
              <w:left w:w="58" w:type="dxa"/>
              <w:right w:w="58" w:type="dxa"/>
            </w:tcMar>
          </w:tcPr>
          <w:p w:rsidR="00502550" w:rsidRPr="007F09CE" w:rsidRDefault="00502550" w:rsidP="00230FAA">
            <w:pPr>
              <w:rPr>
                <w:sz w:val="16"/>
                <w:szCs w:val="16"/>
              </w:rPr>
            </w:pPr>
            <w:r w:rsidRPr="007F09CE">
              <w:rPr>
                <w:sz w:val="16"/>
                <w:szCs w:val="16"/>
              </w:rPr>
              <w:t>1 (al final de 2015)</w:t>
            </w:r>
          </w:p>
          <w:p w:rsidR="00502550" w:rsidRPr="007F09CE" w:rsidRDefault="00502550" w:rsidP="00230FAA">
            <w:pPr>
              <w:rPr>
                <w:sz w:val="16"/>
                <w:szCs w:val="16"/>
              </w:rPr>
            </w:pPr>
            <w:r w:rsidRPr="007F09CE">
              <w:rPr>
                <w:sz w:val="16"/>
                <w:szCs w:val="16"/>
              </w:rPr>
              <w:t>Inglés - chino</w:t>
            </w:r>
          </w:p>
        </w:tc>
        <w:tc>
          <w:tcPr>
            <w:tcW w:w="1124" w:type="pct"/>
            <w:shd w:val="clear" w:color="auto" w:fill="auto"/>
            <w:tcMar>
              <w:top w:w="110" w:type="dxa"/>
              <w:left w:w="58" w:type="dxa"/>
              <w:right w:w="58" w:type="dxa"/>
            </w:tcMar>
          </w:tcPr>
          <w:p w:rsidR="00502550" w:rsidRPr="007F09CE" w:rsidRDefault="00502550" w:rsidP="00230FAA">
            <w:pPr>
              <w:rPr>
                <w:sz w:val="16"/>
                <w:szCs w:val="16"/>
              </w:rPr>
            </w:pPr>
            <w:r w:rsidRPr="007F09CE">
              <w:rPr>
                <w:sz w:val="16"/>
                <w:szCs w:val="16"/>
              </w:rPr>
              <w:t>4</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2 más</w:t>
            </w:r>
          </w:p>
          <w:p w:rsidR="00502550" w:rsidRPr="007F09CE" w:rsidRDefault="00502550" w:rsidP="00230FAA">
            <w:pPr>
              <w:rPr>
                <w:sz w:val="16"/>
                <w:szCs w:val="16"/>
              </w:rPr>
            </w:pPr>
            <w:r w:rsidRPr="007F09CE">
              <w:rPr>
                <w:sz w:val="16"/>
                <w:szCs w:val="16"/>
              </w:rPr>
              <w:t>Inglés – francés</w:t>
            </w:r>
          </w:p>
          <w:p w:rsidR="00502550" w:rsidRPr="007F09CE" w:rsidRDefault="00502550" w:rsidP="00230FAA">
            <w:pPr>
              <w:rPr>
                <w:sz w:val="16"/>
                <w:szCs w:val="16"/>
              </w:rPr>
            </w:pPr>
            <w:r w:rsidRPr="007F09CE">
              <w:rPr>
                <w:sz w:val="16"/>
                <w:szCs w:val="16"/>
              </w:rPr>
              <w:t>Inglés – japonés</w:t>
            </w:r>
          </w:p>
          <w:p w:rsidR="00502550" w:rsidRPr="007F09CE" w:rsidRDefault="00502550" w:rsidP="00230FAA">
            <w:pPr>
              <w:rPr>
                <w:sz w:val="16"/>
                <w:szCs w:val="16"/>
              </w:rPr>
            </w:pPr>
            <w:r w:rsidRPr="007F09CE">
              <w:rPr>
                <w:sz w:val="16"/>
                <w:szCs w:val="16"/>
              </w:rPr>
              <w:t>(3 en total, a fines de 2016)</w:t>
            </w:r>
          </w:p>
        </w:tc>
        <w:tc>
          <w:tcPr>
            <w:tcW w:w="500" w:type="pct"/>
            <w:shd w:val="clear" w:color="auto" w:fill="auto"/>
            <w:tcMar>
              <w:top w:w="110" w:type="dxa"/>
              <w:left w:w="58" w:type="dxa"/>
              <w:right w:w="58" w:type="dxa"/>
            </w:tcMar>
          </w:tcPr>
          <w:p w:rsidR="00502550" w:rsidRPr="007F09CE" w:rsidRDefault="00502550" w:rsidP="00230FAA">
            <w:pPr>
              <w:jc w:val="center"/>
              <w:rPr>
                <w:sz w:val="16"/>
                <w:szCs w:val="16"/>
              </w:rPr>
            </w:pPr>
            <w:r w:rsidRPr="007F09CE">
              <w:rPr>
                <w:b/>
                <w:color w:val="00B050"/>
                <w:sz w:val="16"/>
                <w:szCs w:val="16"/>
              </w:rPr>
              <w:t>Avanza</w:t>
            </w:r>
          </w:p>
        </w:tc>
      </w:tr>
      <w:tr w:rsidR="00502550" w:rsidRPr="007F09CE" w:rsidTr="00230FAA">
        <w:trPr>
          <w:trHeight w:val="1430"/>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lastRenderedPageBreak/>
              <w:t>N.º de registros contenidos en PATENTSCOPE</w:t>
            </w:r>
          </w:p>
        </w:tc>
        <w:tc>
          <w:tcPr>
            <w:tcW w:w="1124" w:type="pct"/>
            <w:shd w:val="clear" w:color="auto" w:fill="auto"/>
            <w:tcMar>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Referencia actualizada a fines de 2015:  </w:t>
            </w:r>
          </w:p>
          <w:p w:rsidR="00502550" w:rsidRPr="00663ECF" w:rsidRDefault="00502550" w:rsidP="00230FAA">
            <w:pPr>
              <w:rPr>
                <w:color w:val="002060"/>
                <w:sz w:val="16"/>
                <w:szCs w:val="16"/>
              </w:rPr>
            </w:pPr>
            <w:r w:rsidRPr="00663ECF">
              <w:rPr>
                <w:color w:val="002060"/>
                <w:sz w:val="16"/>
                <w:szCs w:val="16"/>
              </w:rPr>
              <w:t xml:space="preserve">50.000.000 </w:t>
            </w:r>
          </w:p>
          <w:p w:rsidR="00502550" w:rsidRPr="00663ECF" w:rsidRDefault="00502550" w:rsidP="00230FAA">
            <w:pPr>
              <w:rPr>
                <w:color w:val="002060"/>
                <w:sz w:val="16"/>
                <w:szCs w:val="16"/>
                <w:lang w:bidi="th-TH"/>
              </w:rPr>
            </w:pPr>
            <w:r w:rsidRPr="00663ECF">
              <w:rPr>
                <w:color w:val="002060"/>
                <w:sz w:val="16"/>
                <w:szCs w:val="16"/>
                <w:lang w:bidi="th-TH"/>
              </w:rPr>
              <w:t>(en total)</w:t>
            </w:r>
          </w:p>
          <w:p w:rsidR="00502550" w:rsidRPr="007F09CE" w:rsidRDefault="00502550" w:rsidP="00230FAA">
            <w:pPr>
              <w:rPr>
                <w:sz w:val="16"/>
                <w:szCs w:val="16"/>
              </w:rPr>
            </w:pPr>
          </w:p>
          <w:p w:rsidR="00502550" w:rsidRPr="007F09CE" w:rsidRDefault="00502550" w:rsidP="00230FAA">
            <w:pPr>
              <w:ind w:right="176"/>
              <w:rPr>
                <w:i/>
                <w:sz w:val="16"/>
                <w:szCs w:val="16"/>
                <w:lang w:bidi="th-TH"/>
              </w:rPr>
            </w:pPr>
            <w:r w:rsidRPr="007F09CE">
              <w:rPr>
                <w:i/>
                <w:sz w:val="16"/>
                <w:szCs w:val="16"/>
                <w:lang w:bidi="th-TH"/>
              </w:rPr>
              <w:t xml:space="preserve">Referencia original en el presupuesto de 2016/17:  </w:t>
            </w:r>
          </w:p>
          <w:p w:rsidR="00502550" w:rsidRPr="007F09CE" w:rsidRDefault="00502550" w:rsidP="00230FAA">
            <w:pPr>
              <w:spacing w:after="240"/>
              <w:rPr>
                <w:sz w:val="16"/>
                <w:szCs w:val="16"/>
              </w:rPr>
            </w:pPr>
            <w:r w:rsidRPr="007F09CE">
              <w:rPr>
                <w:sz w:val="16"/>
                <w:szCs w:val="16"/>
              </w:rPr>
              <w:t>43.000.000 (al final de 2014)</w:t>
            </w:r>
          </w:p>
        </w:tc>
        <w:tc>
          <w:tcPr>
            <w:tcW w:w="1124" w:type="pct"/>
            <w:shd w:val="clear" w:color="auto" w:fill="auto"/>
            <w:tcMar>
              <w:top w:w="110" w:type="dxa"/>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Objetivo actualizado:  </w:t>
            </w:r>
          </w:p>
          <w:p w:rsidR="00502550" w:rsidRPr="00663ECF" w:rsidRDefault="00502550" w:rsidP="00230FAA">
            <w:pPr>
              <w:rPr>
                <w:color w:val="002060"/>
                <w:sz w:val="16"/>
                <w:szCs w:val="16"/>
              </w:rPr>
            </w:pPr>
            <w:r w:rsidRPr="00663ECF">
              <w:rPr>
                <w:color w:val="002060"/>
                <w:sz w:val="16"/>
                <w:szCs w:val="16"/>
              </w:rPr>
              <w:t>55.000.000 (en total)</w:t>
            </w:r>
          </w:p>
          <w:p w:rsidR="00502550" w:rsidRPr="007F09CE" w:rsidRDefault="00502550" w:rsidP="00230FAA">
            <w:pPr>
              <w:rPr>
                <w:sz w:val="16"/>
                <w:szCs w:val="16"/>
              </w:rPr>
            </w:pPr>
            <w:r w:rsidRPr="007F09CE">
              <w:rPr>
                <w:sz w:val="16"/>
                <w:szCs w:val="16"/>
              </w:rPr>
              <w:t xml:space="preserve"> </w:t>
            </w:r>
          </w:p>
          <w:p w:rsidR="00502550" w:rsidRPr="007F09CE" w:rsidRDefault="00502550" w:rsidP="00230FAA">
            <w:pPr>
              <w:rPr>
                <w:i/>
                <w:sz w:val="16"/>
                <w:szCs w:val="16"/>
                <w:lang w:bidi="th-TH"/>
              </w:rPr>
            </w:pPr>
            <w:r w:rsidRPr="007F09CE">
              <w:rPr>
                <w:i/>
                <w:sz w:val="16"/>
                <w:szCs w:val="16"/>
                <w:lang w:bidi="th-TH"/>
              </w:rPr>
              <w:t xml:space="preserve">Objetivo original en el presupuesto de 2016/17:  </w:t>
            </w:r>
          </w:p>
          <w:p w:rsidR="00502550" w:rsidRPr="007F09CE" w:rsidRDefault="00502550" w:rsidP="00230FAA">
            <w:pPr>
              <w:rPr>
                <w:sz w:val="16"/>
                <w:szCs w:val="16"/>
              </w:rPr>
            </w:pPr>
            <w:r w:rsidRPr="007F09CE">
              <w:rPr>
                <w:sz w:val="16"/>
                <w:szCs w:val="16"/>
              </w:rPr>
              <w:t>50.000.000</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57.820.000 (en total)</w:t>
            </w:r>
          </w:p>
        </w:tc>
        <w:tc>
          <w:tcPr>
            <w:tcW w:w="500" w:type="pct"/>
            <w:shd w:val="clear" w:color="auto" w:fill="auto"/>
            <w:tcMar>
              <w:top w:w="110" w:type="dxa"/>
              <w:left w:w="58" w:type="dxa"/>
              <w:right w:w="58" w:type="dxa"/>
            </w:tcMar>
          </w:tcPr>
          <w:p w:rsidR="00502550" w:rsidRPr="007F09CE" w:rsidRDefault="00502550" w:rsidP="00230FAA">
            <w:pPr>
              <w:jc w:val="center"/>
              <w:rPr>
                <w:sz w:val="16"/>
                <w:szCs w:val="16"/>
              </w:rPr>
            </w:pPr>
            <w:r w:rsidRPr="007F09CE">
              <w:rPr>
                <w:b/>
                <w:color w:val="00B050"/>
                <w:sz w:val="16"/>
                <w:szCs w:val="16"/>
              </w:rPr>
              <w:t>Avanza</w:t>
            </w:r>
          </w:p>
        </w:tc>
      </w:tr>
      <w:tr w:rsidR="00502550" w:rsidRPr="007F09CE" w:rsidTr="00230FAA">
        <w:trPr>
          <w:trHeight w:val="1213"/>
        </w:trPr>
        <w:tc>
          <w:tcPr>
            <w:tcW w:w="1073" w:type="pct"/>
            <w:shd w:val="clear" w:color="auto" w:fill="auto"/>
            <w:tcMar>
              <w:left w:w="58" w:type="dxa"/>
              <w:right w:w="58" w:type="dxa"/>
            </w:tcMar>
          </w:tcPr>
          <w:p w:rsidR="00502550" w:rsidRPr="007F09CE" w:rsidRDefault="00502550" w:rsidP="00230FAA">
            <w:pPr>
              <w:spacing w:after="240"/>
              <w:rPr>
                <w:sz w:val="16"/>
                <w:szCs w:val="16"/>
              </w:rPr>
            </w:pPr>
            <w:r w:rsidRPr="007F09CE">
              <w:rPr>
                <w:sz w:val="16"/>
                <w:szCs w:val="16"/>
              </w:rPr>
              <w:t>Puntualidad en la introducción de datos (retraso promedio en el n.º de días transcurridos entre la fecha de publicación de las inscripciones en el registro oficial y su disponibilidad en bases mundiales de datos respecto de un conjunto representativo de colecciones nacionales)</w:t>
            </w:r>
          </w:p>
        </w:tc>
        <w:tc>
          <w:tcPr>
            <w:tcW w:w="1124"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n.d. (nuevos indicadores de rendimiento)</w:t>
            </w:r>
          </w:p>
        </w:tc>
        <w:tc>
          <w:tcPr>
            <w:tcW w:w="1124" w:type="pct"/>
            <w:shd w:val="clear" w:color="auto" w:fill="auto"/>
            <w:tcMar>
              <w:top w:w="110" w:type="dxa"/>
              <w:left w:w="58" w:type="dxa"/>
              <w:right w:w="58" w:type="dxa"/>
            </w:tcMar>
          </w:tcPr>
          <w:p w:rsidR="00502550" w:rsidRPr="007F09CE" w:rsidRDefault="00502550" w:rsidP="00230FAA">
            <w:pPr>
              <w:rPr>
                <w:sz w:val="16"/>
                <w:szCs w:val="16"/>
              </w:rPr>
            </w:pPr>
            <w:r w:rsidRPr="007F09CE">
              <w:rPr>
                <w:sz w:val="16"/>
                <w:szCs w:val="16"/>
              </w:rPr>
              <w:t>45 días</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5,6 días (2016)</w:t>
            </w:r>
          </w:p>
        </w:tc>
        <w:tc>
          <w:tcPr>
            <w:tcW w:w="500" w:type="pct"/>
            <w:shd w:val="clear" w:color="auto" w:fill="auto"/>
            <w:tcMar>
              <w:top w:w="110" w:type="dxa"/>
              <w:left w:w="58" w:type="dxa"/>
              <w:right w:w="58" w:type="dxa"/>
            </w:tcMar>
          </w:tcPr>
          <w:p w:rsidR="00502550" w:rsidRPr="007F09CE" w:rsidRDefault="00502550" w:rsidP="00230FAA">
            <w:pPr>
              <w:jc w:val="center"/>
              <w:rPr>
                <w:sz w:val="16"/>
                <w:szCs w:val="16"/>
              </w:rPr>
            </w:pPr>
            <w:r w:rsidRPr="007F09CE">
              <w:rPr>
                <w:b/>
                <w:color w:val="00B050"/>
                <w:sz w:val="16"/>
                <w:szCs w:val="16"/>
              </w:rPr>
              <w:t>Avanza</w:t>
            </w:r>
          </w:p>
        </w:tc>
      </w:tr>
      <w:tr w:rsidR="00502550" w:rsidRPr="007F09CE" w:rsidTr="00230FAA">
        <w:trPr>
          <w:trHeight w:val="565"/>
        </w:trPr>
        <w:tc>
          <w:tcPr>
            <w:tcW w:w="5000" w:type="pct"/>
            <w:gridSpan w:val="5"/>
            <w:shd w:val="clear" w:color="auto" w:fill="C6D9F1" w:themeFill="text2" w:themeFillTint="33"/>
            <w:tcMar>
              <w:left w:w="58" w:type="dxa"/>
              <w:right w:w="58" w:type="dxa"/>
            </w:tcMar>
            <w:vAlign w:val="center"/>
          </w:tcPr>
          <w:p w:rsidR="00502550" w:rsidRPr="007F09CE" w:rsidRDefault="00502550" w:rsidP="00230FAA">
            <w:pPr>
              <w:tabs>
                <w:tab w:val="left" w:pos="1452"/>
              </w:tabs>
              <w:ind w:left="1701" w:hanging="1701"/>
              <w:rPr>
                <w:bCs/>
                <w:sz w:val="16"/>
                <w:szCs w:val="16"/>
              </w:rPr>
            </w:pPr>
            <w:r w:rsidRPr="007F09CE">
              <w:rPr>
                <w:b/>
                <w:bCs/>
                <w:sz w:val="16"/>
                <w:szCs w:val="16"/>
              </w:rPr>
              <w:t>Resultado previsto:</w:t>
            </w:r>
            <w:r w:rsidRPr="007F09CE">
              <w:rPr>
                <w:b/>
                <w:bCs/>
                <w:sz w:val="16"/>
                <w:szCs w:val="16"/>
              </w:rPr>
              <w:tab/>
            </w:r>
            <w:r w:rsidRPr="007F09CE">
              <w:rPr>
                <w:bCs/>
                <w:sz w:val="16"/>
                <w:szCs w:val="16"/>
              </w:rPr>
              <w:t>IV.3  Amplia cobertura geográfica en cuanto al contenido y al uso de las bases mundiales de datos de la OMPI en materia de P.I.</w:t>
            </w:r>
          </w:p>
        </w:tc>
      </w:tr>
      <w:tr w:rsidR="00502550" w:rsidRPr="007F09CE" w:rsidTr="00230FAA">
        <w:tc>
          <w:tcPr>
            <w:tcW w:w="1073" w:type="pct"/>
            <w:shd w:val="clear" w:color="auto" w:fill="auto"/>
            <w:tcMar>
              <w:left w:w="58" w:type="dxa"/>
              <w:right w:w="58" w:type="dxa"/>
            </w:tcMar>
            <w:vAlign w:val="center"/>
          </w:tcPr>
          <w:p w:rsidR="00502550" w:rsidRPr="007F09CE" w:rsidRDefault="00502550" w:rsidP="00230FAA">
            <w:pPr>
              <w:rPr>
                <w:b/>
                <w:bCs/>
                <w:sz w:val="16"/>
                <w:szCs w:val="16"/>
              </w:rPr>
            </w:pPr>
            <w:r w:rsidRPr="007F09CE">
              <w:rPr>
                <w:b/>
                <w:bCs/>
                <w:sz w:val="16"/>
                <w:szCs w:val="16"/>
              </w:rPr>
              <w:t>Indicadores de rendimiento</w:t>
            </w:r>
          </w:p>
        </w:tc>
        <w:tc>
          <w:tcPr>
            <w:tcW w:w="1124" w:type="pct"/>
            <w:shd w:val="clear" w:color="auto" w:fill="auto"/>
            <w:tcMar>
              <w:left w:w="58" w:type="dxa"/>
              <w:right w:w="58" w:type="dxa"/>
            </w:tcMar>
            <w:vAlign w:val="center"/>
          </w:tcPr>
          <w:p w:rsidR="00502550" w:rsidRPr="007F09CE" w:rsidRDefault="00502550" w:rsidP="00230FAA">
            <w:pPr>
              <w:rPr>
                <w:b/>
                <w:bCs/>
                <w:sz w:val="16"/>
                <w:szCs w:val="16"/>
              </w:rPr>
            </w:pPr>
            <w:r w:rsidRPr="007F09CE">
              <w:rPr>
                <w:b/>
                <w:bCs/>
                <w:sz w:val="16"/>
                <w:szCs w:val="16"/>
              </w:rPr>
              <w:t>Referencias de base</w:t>
            </w:r>
          </w:p>
        </w:tc>
        <w:tc>
          <w:tcPr>
            <w:tcW w:w="1124" w:type="pct"/>
            <w:shd w:val="clear" w:color="auto" w:fill="auto"/>
            <w:tcMar>
              <w:top w:w="110" w:type="dxa"/>
              <w:left w:w="58" w:type="dxa"/>
              <w:right w:w="58" w:type="dxa"/>
            </w:tcMar>
            <w:vAlign w:val="center"/>
          </w:tcPr>
          <w:p w:rsidR="00502550" w:rsidRPr="007F09CE" w:rsidRDefault="00502550" w:rsidP="00230FAA">
            <w:pPr>
              <w:rPr>
                <w:b/>
                <w:bCs/>
                <w:sz w:val="16"/>
                <w:szCs w:val="16"/>
              </w:rPr>
            </w:pPr>
            <w:r w:rsidRPr="007F09CE">
              <w:rPr>
                <w:b/>
                <w:bCs/>
                <w:sz w:val="16"/>
                <w:szCs w:val="16"/>
              </w:rPr>
              <w:t>Objetivos</w:t>
            </w:r>
          </w:p>
        </w:tc>
        <w:tc>
          <w:tcPr>
            <w:tcW w:w="1179" w:type="pct"/>
            <w:shd w:val="clear" w:color="auto" w:fill="FFFFFF"/>
            <w:tcMar>
              <w:top w:w="110" w:type="dxa"/>
              <w:left w:w="58" w:type="dxa"/>
              <w:right w:w="58" w:type="dxa"/>
            </w:tcMar>
            <w:vAlign w:val="center"/>
          </w:tcPr>
          <w:p w:rsidR="00502550" w:rsidRPr="007F09CE" w:rsidRDefault="00502550" w:rsidP="00230FAA">
            <w:pPr>
              <w:rPr>
                <w:b/>
                <w:bCs/>
                <w:sz w:val="16"/>
                <w:szCs w:val="16"/>
              </w:rPr>
            </w:pPr>
            <w:r w:rsidRPr="007F09CE">
              <w:rPr>
                <w:b/>
                <w:bCs/>
                <w:sz w:val="16"/>
                <w:szCs w:val="16"/>
              </w:rPr>
              <w:t>Datos sobre el rendimiento</w:t>
            </w:r>
          </w:p>
        </w:tc>
        <w:tc>
          <w:tcPr>
            <w:tcW w:w="500" w:type="pct"/>
            <w:shd w:val="clear" w:color="auto" w:fill="auto"/>
            <w:tcMar>
              <w:top w:w="110" w:type="dxa"/>
              <w:left w:w="58" w:type="dxa"/>
              <w:right w:w="58" w:type="dxa"/>
            </w:tcMar>
            <w:vAlign w:val="center"/>
          </w:tcPr>
          <w:p w:rsidR="00502550" w:rsidRPr="007F09CE" w:rsidRDefault="00502550" w:rsidP="00230FAA">
            <w:pPr>
              <w:jc w:val="center"/>
              <w:rPr>
                <w:b/>
                <w:bCs/>
                <w:sz w:val="16"/>
                <w:szCs w:val="16"/>
              </w:rPr>
            </w:pPr>
            <w:r w:rsidRPr="007F09CE">
              <w:rPr>
                <w:b/>
                <w:bCs/>
                <w:sz w:val="16"/>
                <w:szCs w:val="16"/>
              </w:rPr>
              <w:t>Clave de colores</w:t>
            </w:r>
          </w:p>
        </w:tc>
      </w:tr>
      <w:tr w:rsidR="00502550" w:rsidRPr="007F09CE" w:rsidTr="00230FAA">
        <w:trPr>
          <w:trHeight w:val="430"/>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N.º de registros que figuran en la Base Mundial de Datos sobre Marcas</w:t>
            </w:r>
          </w:p>
        </w:tc>
        <w:tc>
          <w:tcPr>
            <w:tcW w:w="1124" w:type="pct"/>
            <w:shd w:val="clear" w:color="auto" w:fill="auto"/>
            <w:tcMar>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Referencia actualizada a fines de 2015:  </w:t>
            </w:r>
          </w:p>
          <w:p w:rsidR="00502550" w:rsidRPr="00663ECF" w:rsidRDefault="00502550" w:rsidP="00230FAA">
            <w:pPr>
              <w:rPr>
                <w:color w:val="002060"/>
                <w:sz w:val="16"/>
                <w:szCs w:val="16"/>
                <w:lang w:bidi="th-TH"/>
              </w:rPr>
            </w:pPr>
            <w:r w:rsidRPr="00663ECF">
              <w:rPr>
                <w:color w:val="002060"/>
                <w:sz w:val="16"/>
                <w:szCs w:val="16"/>
                <w:lang w:bidi="th-TH"/>
              </w:rPr>
              <w:t>24.500.000 (en total)</w:t>
            </w:r>
          </w:p>
          <w:p w:rsidR="00502550" w:rsidRPr="007F09CE" w:rsidRDefault="00502550" w:rsidP="00230FAA">
            <w:pPr>
              <w:rPr>
                <w:sz w:val="16"/>
                <w:szCs w:val="16"/>
              </w:rPr>
            </w:pPr>
          </w:p>
          <w:p w:rsidR="00502550" w:rsidRPr="007F09CE" w:rsidRDefault="00502550" w:rsidP="00230FAA">
            <w:pPr>
              <w:ind w:right="176"/>
              <w:rPr>
                <w:i/>
                <w:sz w:val="16"/>
                <w:szCs w:val="16"/>
                <w:lang w:bidi="th-TH"/>
              </w:rPr>
            </w:pPr>
            <w:r w:rsidRPr="007F09CE">
              <w:rPr>
                <w:i/>
                <w:sz w:val="16"/>
                <w:szCs w:val="16"/>
                <w:lang w:bidi="th-TH"/>
              </w:rPr>
              <w:t xml:space="preserve">Referencia original en el presupuesto de 2016/17:  </w:t>
            </w:r>
          </w:p>
          <w:p w:rsidR="00502550" w:rsidRPr="007F09CE" w:rsidRDefault="00502550" w:rsidP="00230FAA">
            <w:pPr>
              <w:spacing w:after="240"/>
              <w:rPr>
                <w:sz w:val="16"/>
                <w:szCs w:val="16"/>
              </w:rPr>
            </w:pPr>
            <w:r w:rsidRPr="007F09CE">
              <w:rPr>
                <w:sz w:val="16"/>
                <w:szCs w:val="16"/>
              </w:rPr>
              <w:t>15.800.000 (al final de 2014)</w:t>
            </w:r>
          </w:p>
        </w:tc>
        <w:tc>
          <w:tcPr>
            <w:tcW w:w="1124" w:type="pct"/>
            <w:shd w:val="clear" w:color="auto" w:fill="auto"/>
            <w:tcMar>
              <w:top w:w="110" w:type="dxa"/>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Objetivo actualizado:  </w:t>
            </w:r>
          </w:p>
          <w:p w:rsidR="00502550" w:rsidRPr="00663ECF" w:rsidRDefault="00502550" w:rsidP="00230FAA">
            <w:pPr>
              <w:rPr>
                <w:color w:val="002060"/>
                <w:sz w:val="16"/>
                <w:szCs w:val="16"/>
              </w:rPr>
            </w:pPr>
            <w:r w:rsidRPr="00663ECF">
              <w:rPr>
                <w:color w:val="002060"/>
                <w:sz w:val="16"/>
                <w:szCs w:val="16"/>
              </w:rPr>
              <w:t>30.000.000</w:t>
            </w:r>
          </w:p>
          <w:p w:rsidR="00502550" w:rsidRPr="007F09CE" w:rsidRDefault="00502550" w:rsidP="00230FAA">
            <w:pPr>
              <w:rPr>
                <w:sz w:val="16"/>
                <w:szCs w:val="16"/>
              </w:rPr>
            </w:pPr>
          </w:p>
          <w:p w:rsidR="00502550" w:rsidRPr="007F09CE" w:rsidRDefault="00502550" w:rsidP="00230FAA">
            <w:pPr>
              <w:rPr>
                <w:i/>
                <w:sz w:val="16"/>
                <w:szCs w:val="16"/>
                <w:lang w:bidi="th-TH"/>
              </w:rPr>
            </w:pPr>
            <w:r w:rsidRPr="007F09CE">
              <w:rPr>
                <w:i/>
                <w:sz w:val="16"/>
                <w:szCs w:val="16"/>
                <w:lang w:bidi="th-TH"/>
              </w:rPr>
              <w:t xml:space="preserve">Objetivo original en el presupuesto de 2016/17:  </w:t>
            </w:r>
          </w:p>
          <w:p w:rsidR="00502550" w:rsidRPr="007F09CE" w:rsidRDefault="00502550" w:rsidP="00230FAA">
            <w:pPr>
              <w:rPr>
                <w:sz w:val="16"/>
                <w:szCs w:val="16"/>
              </w:rPr>
            </w:pPr>
            <w:r w:rsidRPr="007F09CE">
              <w:rPr>
                <w:sz w:val="16"/>
                <w:szCs w:val="16"/>
              </w:rPr>
              <w:t>25.000.000</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27.760.000 (en total)</w:t>
            </w:r>
          </w:p>
        </w:tc>
        <w:tc>
          <w:tcPr>
            <w:tcW w:w="500" w:type="pct"/>
            <w:shd w:val="clear" w:color="auto" w:fill="auto"/>
            <w:tcMar>
              <w:top w:w="110" w:type="dxa"/>
              <w:left w:w="58" w:type="dxa"/>
              <w:right w:w="58" w:type="dxa"/>
            </w:tcMar>
          </w:tcPr>
          <w:p w:rsidR="00502550" w:rsidRPr="007F09CE" w:rsidRDefault="00502550" w:rsidP="00230FAA">
            <w:pPr>
              <w:jc w:val="center"/>
              <w:rPr>
                <w:sz w:val="16"/>
                <w:szCs w:val="16"/>
              </w:rPr>
            </w:pPr>
            <w:r w:rsidRPr="007F09CE">
              <w:rPr>
                <w:b/>
                <w:color w:val="00B050"/>
                <w:sz w:val="16"/>
                <w:szCs w:val="16"/>
              </w:rPr>
              <w:t>Avanza</w:t>
            </w:r>
          </w:p>
        </w:tc>
      </w:tr>
      <w:tr w:rsidR="00502550" w:rsidRPr="007F09CE" w:rsidTr="00230FAA">
        <w:trPr>
          <w:trHeight w:val="619"/>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N.º de registros que figuran en la Base Mundial de Datos sobre Dibujos y Modelos</w:t>
            </w:r>
          </w:p>
        </w:tc>
        <w:tc>
          <w:tcPr>
            <w:tcW w:w="1124" w:type="pct"/>
            <w:shd w:val="clear" w:color="auto" w:fill="auto"/>
            <w:tcMar>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Referencia actualizada a fines de 2015:  </w:t>
            </w:r>
          </w:p>
          <w:p w:rsidR="00502550" w:rsidRPr="00663ECF" w:rsidRDefault="00502550" w:rsidP="00230FAA">
            <w:pPr>
              <w:rPr>
                <w:color w:val="002060"/>
                <w:sz w:val="16"/>
                <w:szCs w:val="16"/>
              </w:rPr>
            </w:pPr>
            <w:r w:rsidRPr="00663ECF">
              <w:rPr>
                <w:color w:val="002060"/>
                <w:sz w:val="16"/>
                <w:szCs w:val="16"/>
              </w:rPr>
              <w:t>Total de registros:  1,53 millones</w:t>
            </w:r>
          </w:p>
          <w:p w:rsidR="00502550" w:rsidRPr="00663ECF" w:rsidRDefault="00502550" w:rsidP="00230FAA">
            <w:pPr>
              <w:rPr>
                <w:color w:val="002060"/>
                <w:sz w:val="16"/>
                <w:szCs w:val="16"/>
              </w:rPr>
            </w:pPr>
            <w:r w:rsidRPr="00663ECF">
              <w:rPr>
                <w:color w:val="002060"/>
                <w:sz w:val="16"/>
                <w:szCs w:val="16"/>
              </w:rPr>
              <w:t>Colecciones nacionales:  5</w:t>
            </w:r>
          </w:p>
          <w:p w:rsidR="00502550" w:rsidRPr="007F09CE" w:rsidRDefault="00502550" w:rsidP="00230FAA">
            <w:pPr>
              <w:rPr>
                <w:sz w:val="16"/>
                <w:szCs w:val="16"/>
              </w:rPr>
            </w:pPr>
          </w:p>
          <w:p w:rsidR="00502550" w:rsidRPr="007F09CE" w:rsidRDefault="00502550" w:rsidP="00230FAA">
            <w:pPr>
              <w:ind w:right="176"/>
              <w:rPr>
                <w:i/>
                <w:sz w:val="16"/>
                <w:szCs w:val="16"/>
                <w:lang w:bidi="th-TH"/>
              </w:rPr>
            </w:pPr>
            <w:r w:rsidRPr="007F09CE">
              <w:rPr>
                <w:i/>
                <w:sz w:val="16"/>
                <w:szCs w:val="16"/>
                <w:lang w:bidi="th-TH"/>
              </w:rPr>
              <w:t xml:space="preserve">Referencia original en el presupuesto de 2016/17:  </w:t>
            </w:r>
          </w:p>
          <w:p w:rsidR="00502550" w:rsidRPr="007F09CE" w:rsidRDefault="00502550" w:rsidP="00230FAA">
            <w:pPr>
              <w:spacing w:after="240"/>
              <w:rPr>
                <w:sz w:val="16"/>
                <w:szCs w:val="16"/>
              </w:rPr>
            </w:pPr>
            <w:r w:rsidRPr="007F09CE">
              <w:rPr>
                <w:sz w:val="16"/>
                <w:szCs w:val="16"/>
              </w:rPr>
              <w:t xml:space="preserve">n.d. </w:t>
            </w:r>
          </w:p>
        </w:tc>
        <w:tc>
          <w:tcPr>
            <w:tcW w:w="1124" w:type="pct"/>
            <w:shd w:val="clear" w:color="auto" w:fill="auto"/>
            <w:tcMar>
              <w:top w:w="110" w:type="dxa"/>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Objetivo actualizado:  </w:t>
            </w:r>
          </w:p>
          <w:p w:rsidR="00502550" w:rsidRPr="00663ECF" w:rsidRDefault="00502550" w:rsidP="00230FAA">
            <w:pPr>
              <w:rPr>
                <w:color w:val="002060"/>
                <w:sz w:val="16"/>
                <w:szCs w:val="16"/>
              </w:rPr>
            </w:pPr>
            <w:r w:rsidRPr="00663ECF">
              <w:rPr>
                <w:color w:val="002060"/>
                <w:sz w:val="16"/>
                <w:szCs w:val="16"/>
              </w:rPr>
              <w:t xml:space="preserve">2.000.000 </w:t>
            </w:r>
          </w:p>
          <w:p w:rsidR="00502550" w:rsidRPr="007F09CE" w:rsidRDefault="00502550" w:rsidP="00230FAA">
            <w:pPr>
              <w:rPr>
                <w:sz w:val="16"/>
                <w:szCs w:val="16"/>
              </w:rPr>
            </w:pPr>
          </w:p>
          <w:p w:rsidR="00502550" w:rsidRPr="007F09CE" w:rsidRDefault="00502550" w:rsidP="00230FAA">
            <w:pPr>
              <w:rPr>
                <w:i/>
                <w:sz w:val="16"/>
                <w:szCs w:val="16"/>
                <w:lang w:bidi="th-TH"/>
              </w:rPr>
            </w:pPr>
            <w:r w:rsidRPr="007F09CE">
              <w:rPr>
                <w:i/>
                <w:sz w:val="16"/>
                <w:szCs w:val="16"/>
                <w:lang w:bidi="th-TH"/>
              </w:rPr>
              <w:t xml:space="preserve">Objetivo original en el presupuesto de 2016/17:  </w:t>
            </w:r>
          </w:p>
          <w:p w:rsidR="00502550" w:rsidRPr="007F09CE" w:rsidRDefault="00502550" w:rsidP="00230FAA">
            <w:pPr>
              <w:rPr>
                <w:sz w:val="16"/>
                <w:szCs w:val="16"/>
              </w:rPr>
            </w:pPr>
            <w:r w:rsidRPr="007F09CE">
              <w:rPr>
                <w:sz w:val="16"/>
                <w:szCs w:val="16"/>
              </w:rPr>
              <w:t>1.000.000</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1.600.000 (en total)</w:t>
            </w:r>
          </w:p>
        </w:tc>
        <w:tc>
          <w:tcPr>
            <w:tcW w:w="500" w:type="pct"/>
            <w:shd w:val="clear" w:color="auto" w:fill="auto"/>
            <w:tcMar>
              <w:top w:w="110" w:type="dxa"/>
              <w:left w:w="58" w:type="dxa"/>
              <w:right w:w="58" w:type="dxa"/>
            </w:tcMar>
          </w:tcPr>
          <w:p w:rsidR="00502550" w:rsidRPr="007F09CE" w:rsidRDefault="00502550" w:rsidP="00230FAA">
            <w:pPr>
              <w:jc w:val="center"/>
              <w:rPr>
                <w:sz w:val="16"/>
                <w:szCs w:val="16"/>
              </w:rPr>
            </w:pPr>
            <w:r w:rsidRPr="007F09CE">
              <w:rPr>
                <w:b/>
                <w:color w:val="00B050"/>
                <w:sz w:val="16"/>
                <w:szCs w:val="16"/>
              </w:rPr>
              <w:t>Avanza</w:t>
            </w:r>
          </w:p>
        </w:tc>
      </w:tr>
      <w:tr w:rsidR="00502550" w:rsidRPr="007F09CE" w:rsidTr="00230FAA">
        <w:trPr>
          <w:trHeight w:val="601"/>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N.º de colecciones nacionales en PATENTSCOPE</w:t>
            </w:r>
          </w:p>
        </w:tc>
        <w:tc>
          <w:tcPr>
            <w:tcW w:w="1124" w:type="pct"/>
            <w:shd w:val="clear" w:color="auto" w:fill="auto"/>
            <w:tcMar>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Referencia actualizada a fines de 2015:  </w:t>
            </w:r>
          </w:p>
          <w:p w:rsidR="00502550" w:rsidRPr="00663ECF" w:rsidRDefault="00502550" w:rsidP="00230FAA">
            <w:pPr>
              <w:rPr>
                <w:color w:val="002060"/>
                <w:sz w:val="16"/>
                <w:szCs w:val="16"/>
              </w:rPr>
            </w:pPr>
            <w:r w:rsidRPr="00663ECF">
              <w:rPr>
                <w:color w:val="002060"/>
                <w:sz w:val="16"/>
                <w:szCs w:val="16"/>
              </w:rPr>
              <w:t>43 (en total)</w:t>
            </w:r>
          </w:p>
          <w:p w:rsidR="00502550" w:rsidRPr="007F09CE" w:rsidRDefault="00502550" w:rsidP="00230FAA">
            <w:pPr>
              <w:rPr>
                <w:sz w:val="16"/>
                <w:szCs w:val="16"/>
              </w:rPr>
            </w:pPr>
          </w:p>
          <w:p w:rsidR="00502550" w:rsidRPr="007F09CE" w:rsidRDefault="00502550" w:rsidP="00230FAA">
            <w:pPr>
              <w:ind w:right="176"/>
              <w:rPr>
                <w:i/>
                <w:sz w:val="16"/>
                <w:szCs w:val="16"/>
                <w:lang w:bidi="th-TH"/>
              </w:rPr>
            </w:pPr>
            <w:r w:rsidRPr="007F09CE">
              <w:rPr>
                <w:i/>
                <w:sz w:val="16"/>
                <w:szCs w:val="16"/>
                <w:lang w:bidi="th-TH"/>
              </w:rPr>
              <w:t xml:space="preserve">Referencia original en el presupuesto de 2016/17:  </w:t>
            </w:r>
          </w:p>
          <w:p w:rsidR="00502550" w:rsidRPr="007F09CE" w:rsidRDefault="00502550" w:rsidP="00230FAA">
            <w:pPr>
              <w:spacing w:after="240"/>
              <w:rPr>
                <w:sz w:val="16"/>
                <w:szCs w:val="16"/>
              </w:rPr>
            </w:pPr>
            <w:r w:rsidRPr="007F09CE">
              <w:rPr>
                <w:sz w:val="16"/>
                <w:szCs w:val="16"/>
              </w:rPr>
              <w:t>40 (al final de 2014)</w:t>
            </w:r>
          </w:p>
        </w:tc>
        <w:tc>
          <w:tcPr>
            <w:tcW w:w="1124" w:type="pct"/>
            <w:shd w:val="clear" w:color="auto" w:fill="auto"/>
            <w:tcMar>
              <w:top w:w="110" w:type="dxa"/>
              <w:left w:w="58" w:type="dxa"/>
              <w:right w:w="58" w:type="dxa"/>
            </w:tcMar>
          </w:tcPr>
          <w:p w:rsidR="00502550" w:rsidRPr="007F09CE" w:rsidRDefault="00502550" w:rsidP="00230FAA">
            <w:pPr>
              <w:rPr>
                <w:sz w:val="16"/>
                <w:szCs w:val="16"/>
              </w:rPr>
            </w:pPr>
            <w:r w:rsidRPr="007F09CE">
              <w:rPr>
                <w:sz w:val="16"/>
                <w:szCs w:val="16"/>
              </w:rPr>
              <w:t>50</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43 (en total)</w:t>
            </w:r>
          </w:p>
        </w:tc>
        <w:tc>
          <w:tcPr>
            <w:tcW w:w="500" w:type="pct"/>
            <w:shd w:val="clear" w:color="auto" w:fill="auto"/>
            <w:tcMar>
              <w:top w:w="110" w:type="dxa"/>
              <w:left w:w="58" w:type="dxa"/>
              <w:right w:w="58" w:type="dxa"/>
            </w:tcMar>
          </w:tcPr>
          <w:p w:rsidR="00502550" w:rsidRPr="007F09CE" w:rsidRDefault="00502550" w:rsidP="00230FAA">
            <w:pPr>
              <w:jc w:val="center"/>
              <w:rPr>
                <w:sz w:val="16"/>
                <w:szCs w:val="16"/>
              </w:rPr>
            </w:pPr>
            <w:r w:rsidRPr="007F09CE">
              <w:rPr>
                <w:b/>
                <w:color w:val="00B050"/>
                <w:sz w:val="16"/>
                <w:szCs w:val="16"/>
              </w:rPr>
              <w:t>Avanza</w:t>
            </w:r>
          </w:p>
        </w:tc>
      </w:tr>
      <w:tr w:rsidR="00502550" w:rsidRPr="007F09CE" w:rsidTr="00230FAA">
        <w:trPr>
          <w:trHeight w:val="619"/>
        </w:trPr>
        <w:tc>
          <w:tcPr>
            <w:tcW w:w="1073" w:type="pct"/>
            <w:shd w:val="clear" w:color="auto" w:fill="auto"/>
            <w:tcMar>
              <w:left w:w="58" w:type="dxa"/>
              <w:right w:w="58" w:type="dxa"/>
            </w:tcMar>
          </w:tcPr>
          <w:p w:rsidR="00502550" w:rsidRPr="007F09CE" w:rsidRDefault="00502550" w:rsidP="00230FAA">
            <w:pPr>
              <w:rPr>
                <w:sz w:val="16"/>
                <w:szCs w:val="16"/>
              </w:rPr>
            </w:pPr>
            <w:r w:rsidRPr="007F09CE">
              <w:rPr>
                <w:sz w:val="16"/>
                <w:szCs w:val="16"/>
              </w:rPr>
              <w:t>N.º de colecciones nacionales en la Base Mundial de Datos sobre Marcas</w:t>
            </w:r>
          </w:p>
        </w:tc>
        <w:tc>
          <w:tcPr>
            <w:tcW w:w="1124" w:type="pct"/>
            <w:shd w:val="clear" w:color="auto" w:fill="auto"/>
            <w:tcMar>
              <w:left w:w="58" w:type="dxa"/>
              <w:right w:w="58" w:type="dxa"/>
            </w:tcMar>
          </w:tcPr>
          <w:p w:rsidR="00502550" w:rsidRPr="00663ECF" w:rsidRDefault="00502550" w:rsidP="00230FAA">
            <w:pPr>
              <w:rPr>
                <w:i/>
                <w:color w:val="002060"/>
                <w:sz w:val="16"/>
                <w:szCs w:val="16"/>
              </w:rPr>
            </w:pPr>
            <w:r w:rsidRPr="00663ECF">
              <w:rPr>
                <w:i/>
                <w:color w:val="002060"/>
                <w:sz w:val="16"/>
                <w:szCs w:val="16"/>
              </w:rPr>
              <w:t xml:space="preserve">Referencia actualizada a fines de 2015:  </w:t>
            </w:r>
          </w:p>
          <w:p w:rsidR="00502550" w:rsidRPr="00663ECF" w:rsidRDefault="00502550" w:rsidP="00230FAA">
            <w:pPr>
              <w:rPr>
                <w:color w:val="002060"/>
                <w:sz w:val="16"/>
                <w:szCs w:val="16"/>
                <w:lang w:bidi="th-TH"/>
              </w:rPr>
            </w:pPr>
            <w:r w:rsidRPr="00663ECF">
              <w:rPr>
                <w:color w:val="002060"/>
                <w:sz w:val="16"/>
                <w:szCs w:val="16"/>
                <w:lang w:bidi="th-TH"/>
              </w:rPr>
              <w:t>26 (total)</w:t>
            </w:r>
          </w:p>
          <w:p w:rsidR="00502550" w:rsidRPr="007F09CE" w:rsidRDefault="00502550" w:rsidP="00230FAA">
            <w:pPr>
              <w:rPr>
                <w:sz w:val="16"/>
                <w:szCs w:val="16"/>
              </w:rPr>
            </w:pPr>
          </w:p>
          <w:p w:rsidR="00502550" w:rsidRPr="007F09CE" w:rsidRDefault="00502550" w:rsidP="00230FAA">
            <w:pPr>
              <w:ind w:right="176"/>
              <w:rPr>
                <w:i/>
                <w:sz w:val="16"/>
                <w:szCs w:val="16"/>
                <w:lang w:bidi="th-TH"/>
              </w:rPr>
            </w:pPr>
            <w:r w:rsidRPr="007F09CE">
              <w:rPr>
                <w:i/>
                <w:sz w:val="16"/>
                <w:szCs w:val="16"/>
                <w:lang w:bidi="th-TH"/>
              </w:rPr>
              <w:t xml:space="preserve">Referencia original en el presupuesto de 2016/17:  </w:t>
            </w:r>
          </w:p>
          <w:p w:rsidR="00502550" w:rsidRPr="007F09CE" w:rsidRDefault="00502550" w:rsidP="00230FAA">
            <w:pPr>
              <w:spacing w:after="240"/>
              <w:rPr>
                <w:sz w:val="16"/>
                <w:szCs w:val="16"/>
              </w:rPr>
            </w:pPr>
            <w:r w:rsidRPr="007F09CE">
              <w:rPr>
                <w:sz w:val="16"/>
                <w:szCs w:val="16"/>
              </w:rPr>
              <w:t>18 (al final de 2014)</w:t>
            </w:r>
          </w:p>
        </w:tc>
        <w:tc>
          <w:tcPr>
            <w:tcW w:w="1124" w:type="pct"/>
            <w:shd w:val="clear" w:color="auto" w:fill="auto"/>
            <w:tcMar>
              <w:top w:w="110" w:type="dxa"/>
              <w:left w:w="58" w:type="dxa"/>
              <w:right w:w="58" w:type="dxa"/>
            </w:tcMar>
          </w:tcPr>
          <w:p w:rsidR="00502550" w:rsidRPr="007F09CE" w:rsidRDefault="00502550" w:rsidP="00230FAA">
            <w:pPr>
              <w:rPr>
                <w:sz w:val="16"/>
                <w:szCs w:val="16"/>
              </w:rPr>
            </w:pPr>
            <w:r w:rsidRPr="007F09CE">
              <w:rPr>
                <w:sz w:val="16"/>
                <w:szCs w:val="16"/>
              </w:rPr>
              <w:t>32</w:t>
            </w:r>
          </w:p>
        </w:tc>
        <w:tc>
          <w:tcPr>
            <w:tcW w:w="1179" w:type="pct"/>
            <w:shd w:val="clear" w:color="auto" w:fill="FFFFFF"/>
            <w:tcMar>
              <w:top w:w="110" w:type="dxa"/>
              <w:left w:w="58" w:type="dxa"/>
              <w:right w:w="58" w:type="dxa"/>
            </w:tcMar>
          </w:tcPr>
          <w:p w:rsidR="00502550" w:rsidRPr="007F09CE" w:rsidRDefault="00502550" w:rsidP="00230FAA">
            <w:pPr>
              <w:rPr>
                <w:sz w:val="16"/>
                <w:szCs w:val="16"/>
              </w:rPr>
            </w:pPr>
            <w:r w:rsidRPr="007F09CE">
              <w:rPr>
                <w:sz w:val="16"/>
                <w:szCs w:val="16"/>
              </w:rPr>
              <w:t>32 (en total)</w:t>
            </w:r>
          </w:p>
        </w:tc>
        <w:tc>
          <w:tcPr>
            <w:tcW w:w="500" w:type="pct"/>
            <w:shd w:val="clear" w:color="auto" w:fill="auto"/>
            <w:tcMar>
              <w:top w:w="110" w:type="dxa"/>
              <w:left w:w="58" w:type="dxa"/>
              <w:right w:w="58" w:type="dxa"/>
            </w:tcMar>
          </w:tcPr>
          <w:p w:rsidR="00502550" w:rsidRPr="007F09CE" w:rsidRDefault="00502550" w:rsidP="00230FAA">
            <w:pPr>
              <w:jc w:val="center"/>
              <w:rPr>
                <w:sz w:val="16"/>
                <w:szCs w:val="16"/>
              </w:rPr>
            </w:pPr>
            <w:r w:rsidRPr="007F09CE">
              <w:rPr>
                <w:b/>
                <w:color w:val="00B050"/>
                <w:sz w:val="16"/>
                <w:szCs w:val="16"/>
              </w:rPr>
              <w:t>Avanza</w:t>
            </w:r>
          </w:p>
        </w:tc>
      </w:tr>
    </w:tbl>
    <w:p w:rsidR="00502550" w:rsidRPr="007F09CE" w:rsidRDefault="00502550" w:rsidP="00230FAA"/>
    <w:p w:rsidR="00502550" w:rsidRPr="007F09CE" w:rsidRDefault="00502550"/>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4"/>
      </w:tblGrid>
      <w:tr w:rsidR="00502550" w:rsidRPr="00681341" w:rsidTr="00230FAA">
        <w:trPr>
          <w:trHeight w:val="423"/>
        </w:trPr>
        <w:tc>
          <w:tcPr>
            <w:tcW w:w="9214" w:type="dxa"/>
            <w:shd w:val="clear" w:color="auto" w:fill="C6D9F1" w:themeFill="text2" w:themeFillTint="33"/>
            <w:vAlign w:val="center"/>
          </w:tcPr>
          <w:p w:rsidR="00502550" w:rsidRPr="00681341" w:rsidRDefault="00502550" w:rsidP="00230FAA">
            <w:pPr>
              <w:keepNext/>
              <w:keepLines/>
              <w:jc w:val="center"/>
              <w:rPr>
                <w:b/>
                <w:sz w:val="20"/>
              </w:rPr>
            </w:pPr>
            <w:r w:rsidRPr="00681341">
              <w:rPr>
                <w:b/>
                <w:sz w:val="20"/>
              </w:rPr>
              <w:lastRenderedPageBreak/>
              <w:br w:type="page"/>
              <w:t>Utilización de los recursos del programa 13</w:t>
            </w:r>
          </w:p>
        </w:tc>
      </w:tr>
    </w:tbl>
    <w:p w:rsidR="00502550" w:rsidRPr="007F09CE" w:rsidRDefault="00502550" w:rsidP="00230FAA">
      <w:pPr>
        <w:keepNext/>
        <w:keepLines/>
      </w:pPr>
    </w:p>
    <w:p w:rsidR="00502550" w:rsidRPr="007F09CE" w:rsidRDefault="00502550" w:rsidP="00230FAA">
      <w:pPr>
        <w:keepNext/>
        <w:keepLines/>
        <w:jc w:val="center"/>
        <w:rPr>
          <w:sz w:val="18"/>
          <w:szCs w:val="18"/>
        </w:rPr>
      </w:pPr>
      <w:r w:rsidRPr="007F09CE">
        <w:rPr>
          <w:sz w:val="18"/>
          <w:szCs w:val="18"/>
        </w:rPr>
        <w:t>Presupuesto y gastos reales (por resultado)</w:t>
      </w:r>
    </w:p>
    <w:p w:rsidR="00502550" w:rsidRPr="007F09CE" w:rsidRDefault="00502550" w:rsidP="00230FAA">
      <w:pPr>
        <w:keepNext/>
        <w:keepLines/>
        <w:jc w:val="center"/>
        <w:rPr>
          <w:i/>
          <w:iCs/>
          <w:sz w:val="16"/>
          <w:szCs w:val="16"/>
        </w:rPr>
      </w:pPr>
      <w:r w:rsidRPr="007F09CE">
        <w:rPr>
          <w:i/>
          <w:iCs/>
          <w:sz w:val="16"/>
          <w:szCs w:val="16"/>
        </w:rPr>
        <w:t>(en miles de francos suizos)</w:t>
      </w:r>
    </w:p>
    <w:p w:rsidR="00502550" w:rsidRPr="007F09CE" w:rsidRDefault="00502550" w:rsidP="00230FAA">
      <w:pPr>
        <w:keepNext/>
        <w:keepLines/>
      </w:pPr>
    </w:p>
    <w:tbl>
      <w:tblPr>
        <w:tblW w:w="8222" w:type="dxa"/>
        <w:jc w:val="center"/>
        <w:tblLook w:val="04A0" w:firstRow="1" w:lastRow="0" w:firstColumn="1" w:lastColumn="0" w:noHBand="0" w:noVBand="1"/>
      </w:tblPr>
      <w:tblGrid>
        <w:gridCol w:w="505"/>
        <w:gridCol w:w="4233"/>
        <w:gridCol w:w="1186"/>
        <w:gridCol w:w="1310"/>
        <w:gridCol w:w="1167"/>
      </w:tblGrid>
      <w:tr w:rsidR="00502550" w:rsidRPr="007F09CE" w:rsidTr="00230FAA">
        <w:trPr>
          <w:trHeight w:val="825"/>
          <w:jc w:val="center"/>
        </w:trPr>
        <w:tc>
          <w:tcPr>
            <w:tcW w:w="4738" w:type="dxa"/>
            <w:gridSpan w:val="2"/>
            <w:tcBorders>
              <w:top w:val="nil"/>
              <w:left w:val="nil"/>
              <w:bottom w:val="nil"/>
              <w:right w:val="nil"/>
            </w:tcBorders>
            <w:shd w:val="clear" w:color="000000" w:fill="C5D9F1"/>
            <w:noWrap/>
            <w:vAlign w:val="center"/>
            <w:hideMark/>
          </w:tcPr>
          <w:p w:rsidR="00502550" w:rsidRPr="007F09CE" w:rsidRDefault="00502550" w:rsidP="00230FAA">
            <w:pPr>
              <w:keepNext/>
              <w:keepLines/>
              <w:jc w:val="center"/>
              <w:rPr>
                <w:b/>
                <w:bCs/>
                <w:sz w:val="16"/>
                <w:szCs w:val="16"/>
              </w:rPr>
            </w:pPr>
            <w:r w:rsidRPr="007F09CE">
              <w:rPr>
                <w:b/>
                <w:bCs/>
                <w:sz w:val="16"/>
                <w:szCs w:val="16"/>
              </w:rPr>
              <w:t xml:space="preserve">Número del resultado previsto y descripción </w:t>
            </w:r>
          </w:p>
        </w:tc>
        <w:tc>
          <w:tcPr>
            <w:tcW w:w="1148" w:type="dxa"/>
            <w:tcBorders>
              <w:top w:val="nil"/>
              <w:left w:val="nil"/>
              <w:bottom w:val="nil"/>
              <w:right w:val="nil"/>
            </w:tcBorders>
            <w:shd w:val="clear" w:color="000000" w:fill="C5D9F1"/>
            <w:vAlign w:val="center"/>
            <w:hideMark/>
          </w:tcPr>
          <w:p w:rsidR="00502550" w:rsidRPr="007F09CE" w:rsidRDefault="00502550" w:rsidP="00230FAA">
            <w:pPr>
              <w:keepNext/>
              <w:keepLines/>
              <w:jc w:val="center"/>
              <w:rPr>
                <w:b/>
                <w:bCs/>
                <w:sz w:val="16"/>
                <w:szCs w:val="16"/>
              </w:rPr>
            </w:pPr>
            <w:r w:rsidRPr="007F09CE">
              <w:rPr>
                <w:b/>
                <w:bCs/>
                <w:sz w:val="16"/>
                <w:szCs w:val="16"/>
              </w:rPr>
              <w:t xml:space="preserve"> Presupuesto aprobado de 2016/17 </w:t>
            </w:r>
          </w:p>
        </w:tc>
        <w:tc>
          <w:tcPr>
            <w:tcW w:w="1147" w:type="dxa"/>
            <w:tcBorders>
              <w:top w:val="nil"/>
              <w:left w:val="nil"/>
              <w:bottom w:val="nil"/>
              <w:right w:val="nil"/>
            </w:tcBorders>
            <w:shd w:val="clear" w:color="000000" w:fill="C5D9F1"/>
            <w:vAlign w:val="center"/>
            <w:hideMark/>
          </w:tcPr>
          <w:p w:rsidR="00502550" w:rsidRPr="007F09CE" w:rsidRDefault="00502550" w:rsidP="00230FAA">
            <w:pPr>
              <w:keepNext/>
              <w:keepLines/>
              <w:jc w:val="center"/>
              <w:rPr>
                <w:b/>
                <w:bCs/>
                <w:sz w:val="16"/>
                <w:szCs w:val="16"/>
              </w:rPr>
            </w:pPr>
            <w:r w:rsidRPr="007F09CE">
              <w:rPr>
                <w:b/>
                <w:bCs/>
                <w:sz w:val="16"/>
                <w:szCs w:val="16"/>
              </w:rPr>
              <w:t xml:space="preserve"> Presupuesto de 2016/17 tras las transferencias </w:t>
            </w:r>
          </w:p>
        </w:tc>
        <w:tc>
          <w:tcPr>
            <w:tcW w:w="1167" w:type="dxa"/>
            <w:tcBorders>
              <w:top w:val="nil"/>
              <w:left w:val="nil"/>
              <w:bottom w:val="nil"/>
              <w:right w:val="nil"/>
            </w:tcBorders>
            <w:shd w:val="clear" w:color="000000" w:fill="C5D9F1"/>
            <w:vAlign w:val="center"/>
            <w:hideMark/>
          </w:tcPr>
          <w:p w:rsidR="00502550" w:rsidRPr="007F09CE" w:rsidRDefault="00502550" w:rsidP="00230FAA">
            <w:pPr>
              <w:keepNext/>
              <w:keepLines/>
              <w:jc w:val="center"/>
              <w:rPr>
                <w:b/>
                <w:bCs/>
                <w:sz w:val="16"/>
                <w:szCs w:val="16"/>
              </w:rPr>
            </w:pPr>
            <w:r w:rsidRPr="007F09CE">
              <w:rPr>
                <w:b/>
                <w:bCs/>
                <w:sz w:val="16"/>
                <w:szCs w:val="16"/>
              </w:rPr>
              <w:t xml:space="preserve"> Gastos en 2016* </w:t>
            </w:r>
          </w:p>
        </w:tc>
      </w:tr>
      <w:tr w:rsidR="00502550" w:rsidRPr="007F09CE" w:rsidTr="00230FAA">
        <w:trPr>
          <w:trHeight w:val="975"/>
          <w:jc w:val="center"/>
        </w:trPr>
        <w:tc>
          <w:tcPr>
            <w:tcW w:w="505" w:type="dxa"/>
            <w:tcBorders>
              <w:top w:val="nil"/>
              <w:left w:val="nil"/>
              <w:bottom w:val="nil"/>
              <w:right w:val="nil"/>
            </w:tcBorders>
            <w:shd w:val="clear" w:color="auto" w:fill="auto"/>
            <w:noWrap/>
            <w:vAlign w:val="center"/>
            <w:hideMark/>
          </w:tcPr>
          <w:p w:rsidR="00502550" w:rsidRPr="007F09CE" w:rsidRDefault="00502550" w:rsidP="00230FAA">
            <w:pPr>
              <w:keepNext/>
              <w:keepLines/>
              <w:rPr>
                <w:sz w:val="16"/>
                <w:szCs w:val="16"/>
              </w:rPr>
            </w:pPr>
            <w:r w:rsidRPr="007F09CE">
              <w:rPr>
                <w:sz w:val="16"/>
                <w:szCs w:val="16"/>
              </w:rPr>
              <w:t>IV.2</w:t>
            </w:r>
          </w:p>
        </w:tc>
        <w:tc>
          <w:tcPr>
            <w:tcW w:w="4233" w:type="dxa"/>
            <w:tcBorders>
              <w:top w:val="nil"/>
              <w:left w:val="nil"/>
              <w:bottom w:val="nil"/>
              <w:right w:val="nil"/>
            </w:tcBorders>
            <w:shd w:val="clear" w:color="auto" w:fill="auto"/>
            <w:vAlign w:val="center"/>
            <w:hideMark/>
          </w:tcPr>
          <w:p w:rsidR="00502550" w:rsidRPr="007F09CE" w:rsidRDefault="00502550" w:rsidP="00230FAA">
            <w:pPr>
              <w:keepNext/>
              <w:keepLines/>
              <w:rPr>
                <w:sz w:val="16"/>
                <w:szCs w:val="16"/>
              </w:rPr>
            </w:pPr>
            <w:r w:rsidRPr="007F09CE">
              <w:rPr>
                <w:sz w:val="16"/>
                <w:szCs w:val="16"/>
              </w:rPr>
              <w:t>Mejora del acceso y uso de información de P.I. por parte de instituciones de P.I. y el público para fomentar la innovación y la creatividad</w:t>
            </w:r>
          </w:p>
        </w:tc>
        <w:tc>
          <w:tcPr>
            <w:tcW w:w="1148" w:type="dxa"/>
            <w:tcBorders>
              <w:top w:val="nil"/>
              <w:left w:val="nil"/>
              <w:bottom w:val="nil"/>
              <w:right w:val="nil"/>
            </w:tcBorders>
            <w:shd w:val="clear" w:color="auto" w:fill="auto"/>
            <w:noWrap/>
            <w:vAlign w:val="center"/>
            <w:hideMark/>
          </w:tcPr>
          <w:p w:rsidR="00502550" w:rsidRPr="007F09CE" w:rsidRDefault="00502550" w:rsidP="00230FAA">
            <w:pPr>
              <w:keepNext/>
              <w:keepLines/>
              <w:jc w:val="center"/>
              <w:rPr>
                <w:sz w:val="16"/>
                <w:szCs w:val="16"/>
              </w:rPr>
            </w:pPr>
            <w:r w:rsidRPr="007F09CE">
              <w:rPr>
                <w:sz w:val="16"/>
                <w:szCs w:val="16"/>
              </w:rPr>
              <w:t>3.803</w:t>
            </w:r>
          </w:p>
        </w:tc>
        <w:tc>
          <w:tcPr>
            <w:tcW w:w="1147" w:type="dxa"/>
            <w:tcBorders>
              <w:top w:val="nil"/>
              <w:left w:val="nil"/>
              <w:bottom w:val="nil"/>
              <w:right w:val="nil"/>
            </w:tcBorders>
            <w:shd w:val="clear" w:color="auto" w:fill="auto"/>
            <w:noWrap/>
            <w:vAlign w:val="center"/>
            <w:hideMark/>
          </w:tcPr>
          <w:p w:rsidR="00502550" w:rsidRPr="007F09CE" w:rsidRDefault="00502550" w:rsidP="00230FAA">
            <w:pPr>
              <w:keepNext/>
              <w:keepLines/>
              <w:jc w:val="center"/>
              <w:rPr>
                <w:sz w:val="16"/>
                <w:szCs w:val="16"/>
              </w:rPr>
            </w:pPr>
            <w:r w:rsidRPr="007F09CE">
              <w:rPr>
                <w:sz w:val="16"/>
                <w:szCs w:val="16"/>
              </w:rPr>
              <w:t>5.578</w:t>
            </w:r>
          </w:p>
        </w:tc>
        <w:tc>
          <w:tcPr>
            <w:tcW w:w="1167" w:type="dxa"/>
            <w:tcBorders>
              <w:top w:val="nil"/>
              <w:left w:val="nil"/>
              <w:bottom w:val="nil"/>
              <w:right w:val="nil"/>
            </w:tcBorders>
            <w:shd w:val="clear" w:color="auto" w:fill="auto"/>
            <w:noWrap/>
            <w:vAlign w:val="center"/>
            <w:hideMark/>
          </w:tcPr>
          <w:p w:rsidR="00502550" w:rsidRPr="007F09CE" w:rsidRDefault="00502550" w:rsidP="00230FAA">
            <w:pPr>
              <w:keepNext/>
              <w:keepLines/>
              <w:jc w:val="center"/>
              <w:rPr>
                <w:sz w:val="16"/>
                <w:szCs w:val="16"/>
              </w:rPr>
            </w:pPr>
            <w:r w:rsidRPr="007F09CE">
              <w:rPr>
                <w:sz w:val="16"/>
                <w:szCs w:val="16"/>
              </w:rPr>
              <w:t>2.305</w:t>
            </w:r>
          </w:p>
        </w:tc>
      </w:tr>
      <w:tr w:rsidR="00502550" w:rsidRPr="007F09CE" w:rsidTr="00230FAA">
        <w:trPr>
          <w:trHeight w:val="585"/>
          <w:jc w:val="center"/>
        </w:trPr>
        <w:tc>
          <w:tcPr>
            <w:tcW w:w="505" w:type="dxa"/>
            <w:tcBorders>
              <w:top w:val="nil"/>
              <w:left w:val="nil"/>
              <w:bottom w:val="nil"/>
              <w:right w:val="nil"/>
            </w:tcBorders>
            <w:shd w:val="clear" w:color="auto" w:fill="auto"/>
            <w:noWrap/>
            <w:vAlign w:val="center"/>
            <w:hideMark/>
          </w:tcPr>
          <w:p w:rsidR="00502550" w:rsidRPr="007F09CE" w:rsidRDefault="00502550" w:rsidP="00230FAA">
            <w:pPr>
              <w:keepNext/>
              <w:keepLines/>
              <w:rPr>
                <w:sz w:val="16"/>
                <w:szCs w:val="16"/>
              </w:rPr>
            </w:pPr>
            <w:r w:rsidRPr="007F09CE">
              <w:rPr>
                <w:sz w:val="16"/>
                <w:szCs w:val="16"/>
              </w:rPr>
              <w:t>IV.3</w:t>
            </w:r>
          </w:p>
        </w:tc>
        <w:tc>
          <w:tcPr>
            <w:tcW w:w="4233" w:type="dxa"/>
            <w:tcBorders>
              <w:top w:val="nil"/>
              <w:left w:val="nil"/>
              <w:bottom w:val="nil"/>
              <w:right w:val="nil"/>
            </w:tcBorders>
            <w:shd w:val="clear" w:color="auto" w:fill="auto"/>
            <w:vAlign w:val="center"/>
            <w:hideMark/>
          </w:tcPr>
          <w:p w:rsidR="00502550" w:rsidRPr="007F09CE" w:rsidRDefault="00502550" w:rsidP="00230FAA">
            <w:pPr>
              <w:keepNext/>
              <w:keepLines/>
              <w:rPr>
                <w:sz w:val="16"/>
                <w:szCs w:val="16"/>
              </w:rPr>
            </w:pPr>
            <w:r w:rsidRPr="007F09CE">
              <w:rPr>
                <w:sz w:val="16"/>
                <w:szCs w:val="16"/>
              </w:rPr>
              <w:t>Amplia cobertura geográfica en cuanto al contenido y al uso de las bases mundiales de datos de la OMPI en materia de P.I.</w:t>
            </w:r>
          </w:p>
        </w:tc>
        <w:tc>
          <w:tcPr>
            <w:tcW w:w="1148" w:type="dxa"/>
            <w:tcBorders>
              <w:top w:val="nil"/>
              <w:left w:val="nil"/>
              <w:bottom w:val="nil"/>
              <w:right w:val="nil"/>
            </w:tcBorders>
            <w:shd w:val="clear" w:color="auto" w:fill="auto"/>
            <w:noWrap/>
            <w:vAlign w:val="center"/>
            <w:hideMark/>
          </w:tcPr>
          <w:p w:rsidR="00502550" w:rsidRPr="007F09CE" w:rsidRDefault="00502550" w:rsidP="00230FAA">
            <w:pPr>
              <w:keepNext/>
              <w:keepLines/>
              <w:jc w:val="center"/>
              <w:rPr>
                <w:sz w:val="16"/>
                <w:szCs w:val="16"/>
              </w:rPr>
            </w:pPr>
            <w:r w:rsidRPr="007F09CE">
              <w:rPr>
                <w:sz w:val="16"/>
                <w:szCs w:val="16"/>
              </w:rPr>
              <w:t>1.956</w:t>
            </w:r>
          </w:p>
        </w:tc>
        <w:tc>
          <w:tcPr>
            <w:tcW w:w="1147" w:type="dxa"/>
            <w:tcBorders>
              <w:top w:val="nil"/>
              <w:left w:val="nil"/>
              <w:bottom w:val="nil"/>
              <w:right w:val="nil"/>
            </w:tcBorders>
            <w:shd w:val="clear" w:color="auto" w:fill="auto"/>
            <w:noWrap/>
            <w:vAlign w:val="center"/>
            <w:hideMark/>
          </w:tcPr>
          <w:p w:rsidR="00502550" w:rsidRPr="007F09CE" w:rsidRDefault="00502550" w:rsidP="00230FAA">
            <w:pPr>
              <w:keepNext/>
              <w:keepLines/>
              <w:jc w:val="center"/>
              <w:rPr>
                <w:sz w:val="16"/>
                <w:szCs w:val="16"/>
              </w:rPr>
            </w:pPr>
            <w:r w:rsidRPr="007F09CE">
              <w:rPr>
                <w:sz w:val="16"/>
                <w:szCs w:val="16"/>
              </w:rPr>
              <w:t>2.196</w:t>
            </w:r>
          </w:p>
        </w:tc>
        <w:tc>
          <w:tcPr>
            <w:tcW w:w="1167" w:type="dxa"/>
            <w:tcBorders>
              <w:top w:val="nil"/>
              <w:left w:val="nil"/>
              <w:bottom w:val="nil"/>
              <w:right w:val="nil"/>
            </w:tcBorders>
            <w:shd w:val="clear" w:color="auto" w:fill="auto"/>
            <w:noWrap/>
            <w:vAlign w:val="center"/>
            <w:hideMark/>
          </w:tcPr>
          <w:p w:rsidR="00502550" w:rsidRPr="007F09CE" w:rsidRDefault="00502550" w:rsidP="00230FAA">
            <w:pPr>
              <w:keepNext/>
              <w:keepLines/>
              <w:jc w:val="center"/>
              <w:rPr>
                <w:sz w:val="16"/>
                <w:szCs w:val="16"/>
              </w:rPr>
            </w:pPr>
            <w:r w:rsidRPr="007F09CE">
              <w:rPr>
                <w:sz w:val="16"/>
                <w:szCs w:val="16"/>
              </w:rPr>
              <w:t>851</w:t>
            </w:r>
          </w:p>
        </w:tc>
      </w:tr>
      <w:tr w:rsidR="00502550" w:rsidRPr="007F09CE" w:rsidTr="00230FAA">
        <w:trPr>
          <w:trHeight w:val="225"/>
          <w:jc w:val="center"/>
        </w:trPr>
        <w:tc>
          <w:tcPr>
            <w:tcW w:w="505" w:type="dxa"/>
            <w:tcBorders>
              <w:top w:val="nil"/>
              <w:left w:val="nil"/>
              <w:bottom w:val="nil"/>
              <w:right w:val="nil"/>
            </w:tcBorders>
            <w:shd w:val="clear" w:color="000000" w:fill="C5D9F1"/>
            <w:noWrap/>
            <w:vAlign w:val="bottom"/>
            <w:hideMark/>
          </w:tcPr>
          <w:p w:rsidR="00502550" w:rsidRPr="007F09CE" w:rsidRDefault="00502550" w:rsidP="00230FAA">
            <w:pPr>
              <w:keepNext/>
              <w:keepLines/>
              <w:rPr>
                <w:sz w:val="16"/>
                <w:szCs w:val="16"/>
              </w:rPr>
            </w:pPr>
            <w:r w:rsidRPr="007F09CE">
              <w:rPr>
                <w:sz w:val="16"/>
                <w:szCs w:val="16"/>
              </w:rPr>
              <w:t> </w:t>
            </w:r>
          </w:p>
        </w:tc>
        <w:tc>
          <w:tcPr>
            <w:tcW w:w="4233" w:type="dxa"/>
            <w:tcBorders>
              <w:top w:val="nil"/>
              <w:left w:val="nil"/>
              <w:bottom w:val="nil"/>
              <w:right w:val="nil"/>
            </w:tcBorders>
            <w:shd w:val="clear" w:color="000000" w:fill="C5D9F1"/>
            <w:noWrap/>
            <w:vAlign w:val="bottom"/>
            <w:hideMark/>
          </w:tcPr>
          <w:p w:rsidR="00502550" w:rsidRPr="007F09CE" w:rsidRDefault="00502550" w:rsidP="00230FAA">
            <w:pPr>
              <w:keepNext/>
              <w:keepLines/>
              <w:jc w:val="right"/>
              <w:rPr>
                <w:b/>
                <w:bCs/>
                <w:sz w:val="16"/>
                <w:szCs w:val="16"/>
              </w:rPr>
            </w:pPr>
            <w:r w:rsidRPr="007F09CE">
              <w:rPr>
                <w:b/>
                <w:bCs/>
                <w:sz w:val="16"/>
                <w:szCs w:val="16"/>
              </w:rPr>
              <w:t>Total</w:t>
            </w:r>
          </w:p>
        </w:tc>
        <w:tc>
          <w:tcPr>
            <w:tcW w:w="1148" w:type="dxa"/>
            <w:tcBorders>
              <w:top w:val="nil"/>
              <w:left w:val="nil"/>
              <w:bottom w:val="nil"/>
              <w:right w:val="nil"/>
            </w:tcBorders>
            <w:shd w:val="clear" w:color="000000" w:fill="C5D9F1"/>
            <w:noWrap/>
            <w:vAlign w:val="center"/>
            <w:hideMark/>
          </w:tcPr>
          <w:p w:rsidR="00502550" w:rsidRPr="007F09CE" w:rsidRDefault="00502550" w:rsidP="00230FAA">
            <w:pPr>
              <w:keepNext/>
              <w:keepLines/>
              <w:jc w:val="center"/>
              <w:rPr>
                <w:sz w:val="16"/>
                <w:szCs w:val="16"/>
              </w:rPr>
            </w:pPr>
            <w:r w:rsidRPr="007F09CE">
              <w:rPr>
                <w:sz w:val="16"/>
                <w:szCs w:val="16"/>
              </w:rPr>
              <w:t>5.758</w:t>
            </w:r>
          </w:p>
        </w:tc>
        <w:tc>
          <w:tcPr>
            <w:tcW w:w="1147" w:type="dxa"/>
            <w:tcBorders>
              <w:top w:val="nil"/>
              <w:left w:val="nil"/>
              <w:bottom w:val="nil"/>
              <w:right w:val="nil"/>
            </w:tcBorders>
            <w:shd w:val="clear" w:color="000000" w:fill="C5D9F1"/>
            <w:noWrap/>
            <w:vAlign w:val="center"/>
            <w:hideMark/>
          </w:tcPr>
          <w:p w:rsidR="00502550" w:rsidRPr="007F09CE" w:rsidRDefault="00502550" w:rsidP="00230FAA">
            <w:pPr>
              <w:keepNext/>
              <w:keepLines/>
              <w:jc w:val="center"/>
              <w:rPr>
                <w:sz w:val="16"/>
                <w:szCs w:val="16"/>
              </w:rPr>
            </w:pPr>
            <w:r w:rsidRPr="007F09CE">
              <w:rPr>
                <w:sz w:val="16"/>
                <w:szCs w:val="16"/>
              </w:rPr>
              <w:t>7.774</w:t>
            </w:r>
          </w:p>
        </w:tc>
        <w:tc>
          <w:tcPr>
            <w:tcW w:w="1167" w:type="dxa"/>
            <w:tcBorders>
              <w:top w:val="nil"/>
              <w:left w:val="nil"/>
              <w:bottom w:val="nil"/>
              <w:right w:val="nil"/>
            </w:tcBorders>
            <w:shd w:val="clear" w:color="000000" w:fill="C5D9F1"/>
            <w:noWrap/>
            <w:vAlign w:val="center"/>
            <w:hideMark/>
          </w:tcPr>
          <w:p w:rsidR="00502550" w:rsidRPr="007F09CE" w:rsidRDefault="00502550" w:rsidP="00230FAA">
            <w:pPr>
              <w:keepNext/>
              <w:keepLines/>
              <w:jc w:val="center"/>
              <w:rPr>
                <w:sz w:val="16"/>
                <w:szCs w:val="16"/>
              </w:rPr>
            </w:pPr>
            <w:r w:rsidRPr="007F09CE">
              <w:rPr>
                <w:sz w:val="16"/>
                <w:szCs w:val="16"/>
              </w:rPr>
              <w:t>3.156</w:t>
            </w:r>
          </w:p>
        </w:tc>
      </w:tr>
      <w:tr w:rsidR="00502550" w:rsidRPr="007F09CE" w:rsidTr="00230FAA">
        <w:trPr>
          <w:trHeight w:val="330"/>
          <w:jc w:val="center"/>
        </w:trPr>
        <w:tc>
          <w:tcPr>
            <w:tcW w:w="7033" w:type="dxa"/>
            <w:gridSpan w:val="4"/>
            <w:tcBorders>
              <w:top w:val="nil"/>
              <w:left w:val="nil"/>
              <w:bottom w:val="nil"/>
              <w:right w:val="nil"/>
            </w:tcBorders>
            <w:shd w:val="clear" w:color="auto" w:fill="auto"/>
            <w:noWrap/>
            <w:vAlign w:val="center"/>
            <w:hideMark/>
          </w:tcPr>
          <w:p w:rsidR="00502550" w:rsidRPr="007F09CE" w:rsidRDefault="00502550" w:rsidP="00230FAA">
            <w:pPr>
              <w:keepNext/>
              <w:keepLines/>
              <w:rPr>
                <w:i/>
                <w:iCs/>
                <w:sz w:val="16"/>
                <w:szCs w:val="16"/>
              </w:rPr>
            </w:pPr>
            <w:r w:rsidRPr="007F09CE">
              <w:rPr>
                <w:i/>
                <w:iCs/>
                <w:sz w:val="16"/>
                <w:szCs w:val="16"/>
              </w:rPr>
              <w:t>*Las cifras de gastos en 2016 son preliminares, a reserva de verificación por el Auditor Externo.</w:t>
            </w:r>
          </w:p>
        </w:tc>
        <w:tc>
          <w:tcPr>
            <w:tcW w:w="1167" w:type="dxa"/>
            <w:tcBorders>
              <w:top w:val="nil"/>
              <w:left w:val="nil"/>
              <w:bottom w:val="nil"/>
              <w:right w:val="nil"/>
            </w:tcBorders>
            <w:shd w:val="clear" w:color="auto" w:fill="auto"/>
            <w:noWrap/>
            <w:vAlign w:val="center"/>
            <w:hideMark/>
          </w:tcPr>
          <w:p w:rsidR="00502550" w:rsidRPr="007F09CE" w:rsidRDefault="00502550" w:rsidP="00230FAA">
            <w:pPr>
              <w:keepNext/>
              <w:keepLines/>
              <w:rPr>
                <w:sz w:val="16"/>
                <w:szCs w:val="16"/>
              </w:rPr>
            </w:pPr>
          </w:p>
        </w:tc>
      </w:tr>
    </w:tbl>
    <w:p w:rsidR="00502550" w:rsidRPr="007F09CE" w:rsidRDefault="00502550" w:rsidP="00230FAA"/>
    <w:p w:rsidR="00502550" w:rsidRPr="007F09CE" w:rsidRDefault="00502550" w:rsidP="00230FAA">
      <w:pPr>
        <w:keepNext/>
        <w:keepLines/>
        <w:jc w:val="center"/>
        <w:rPr>
          <w:sz w:val="18"/>
          <w:szCs w:val="18"/>
        </w:rPr>
      </w:pPr>
      <w:r w:rsidRPr="007F09CE">
        <w:rPr>
          <w:sz w:val="18"/>
          <w:szCs w:val="18"/>
        </w:rPr>
        <w:t xml:space="preserve">Presupuesto y gastos reales (de personal y no relativos a personal) </w:t>
      </w:r>
    </w:p>
    <w:p w:rsidR="00502550" w:rsidRPr="007F09CE" w:rsidRDefault="00502550" w:rsidP="00230FAA">
      <w:pPr>
        <w:keepNext/>
        <w:keepLines/>
        <w:jc w:val="center"/>
        <w:rPr>
          <w:i/>
          <w:iCs/>
          <w:sz w:val="16"/>
          <w:szCs w:val="16"/>
        </w:rPr>
      </w:pPr>
      <w:r w:rsidRPr="007F09CE">
        <w:rPr>
          <w:i/>
          <w:iCs/>
          <w:sz w:val="16"/>
          <w:szCs w:val="16"/>
        </w:rPr>
        <w:t>(en miles de francos suizos)</w:t>
      </w:r>
    </w:p>
    <w:p w:rsidR="00502550" w:rsidRPr="007F09CE" w:rsidRDefault="00502550" w:rsidP="00230FAA">
      <w:pPr>
        <w:rPr>
          <w:bCs/>
        </w:rPr>
      </w:pPr>
    </w:p>
    <w:tbl>
      <w:tblPr>
        <w:tblW w:w="8222" w:type="dxa"/>
        <w:jc w:val="center"/>
        <w:tblLook w:val="04A0" w:firstRow="1" w:lastRow="0" w:firstColumn="1" w:lastColumn="0" w:noHBand="0" w:noVBand="1"/>
      </w:tblPr>
      <w:tblGrid>
        <w:gridCol w:w="2470"/>
        <w:gridCol w:w="1438"/>
        <w:gridCol w:w="1438"/>
        <w:gridCol w:w="1438"/>
        <w:gridCol w:w="1438"/>
      </w:tblGrid>
      <w:tr w:rsidR="00502550" w:rsidRPr="007F09CE" w:rsidTr="00230FAA">
        <w:trPr>
          <w:trHeight w:val="720"/>
          <w:jc w:val="center"/>
        </w:trPr>
        <w:tc>
          <w:tcPr>
            <w:tcW w:w="2440" w:type="dxa"/>
            <w:tcBorders>
              <w:top w:val="nil"/>
              <w:left w:val="nil"/>
              <w:bottom w:val="nil"/>
              <w:right w:val="nil"/>
            </w:tcBorders>
            <w:shd w:val="clear" w:color="000000" w:fill="C5D9F1"/>
            <w:noWrap/>
            <w:vAlign w:val="center"/>
            <w:hideMark/>
          </w:tcPr>
          <w:p w:rsidR="00502550" w:rsidRPr="007F09CE" w:rsidRDefault="00502550" w:rsidP="00230FAA">
            <w:pPr>
              <w:rPr>
                <w:sz w:val="16"/>
                <w:szCs w:val="16"/>
              </w:rPr>
            </w:pPr>
            <w:r w:rsidRPr="007F09CE">
              <w:rPr>
                <w:sz w:val="16"/>
                <w:szCs w:val="16"/>
              </w:rPr>
              <w:t> </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Gastos en 2016*</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Índice de utilización (%)</w:t>
            </w:r>
          </w:p>
        </w:tc>
      </w:tr>
      <w:tr w:rsidR="00502550" w:rsidRPr="007F09CE"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7F09CE" w:rsidRDefault="00502550" w:rsidP="00230FAA">
            <w:pPr>
              <w:rPr>
                <w:sz w:val="16"/>
                <w:szCs w:val="16"/>
              </w:rPr>
            </w:pPr>
            <w:r w:rsidRPr="007F09CE">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 xml:space="preserve">4.551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 xml:space="preserve">5.742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 xml:space="preserve">2.309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40%</w:t>
            </w:r>
          </w:p>
        </w:tc>
      </w:tr>
      <w:tr w:rsidR="00502550" w:rsidRPr="007F09CE"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7F09CE" w:rsidRDefault="00502550" w:rsidP="00230FAA">
            <w:pPr>
              <w:rPr>
                <w:sz w:val="16"/>
                <w:szCs w:val="16"/>
              </w:rPr>
            </w:pPr>
            <w:r w:rsidRPr="007F09CE">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 xml:space="preserve">1.208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 xml:space="preserve">2.032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 xml:space="preserve">847 </w:t>
            </w:r>
          </w:p>
        </w:tc>
        <w:tc>
          <w:tcPr>
            <w:tcW w:w="1420" w:type="dxa"/>
            <w:tcBorders>
              <w:top w:val="nil"/>
              <w:left w:val="nil"/>
              <w:bottom w:val="nil"/>
              <w:right w:val="nil"/>
            </w:tcBorders>
            <w:shd w:val="clear" w:color="auto" w:fill="auto"/>
            <w:vAlign w:val="center"/>
            <w:hideMark/>
          </w:tcPr>
          <w:p w:rsidR="00502550" w:rsidRPr="007F09CE" w:rsidRDefault="00502550" w:rsidP="00230FAA">
            <w:pPr>
              <w:jc w:val="center"/>
              <w:rPr>
                <w:sz w:val="16"/>
                <w:szCs w:val="16"/>
              </w:rPr>
            </w:pPr>
            <w:r w:rsidRPr="007F09CE">
              <w:rPr>
                <w:sz w:val="16"/>
                <w:szCs w:val="16"/>
              </w:rPr>
              <w:t>42%</w:t>
            </w:r>
          </w:p>
        </w:tc>
      </w:tr>
      <w:tr w:rsidR="00502550" w:rsidRPr="007F09CE" w:rsidTr="00230FAA">
        <w:trPr>
          <w:trHeight w:val="225"/>
          <w:jc w:val="center"/>
        </w:trPr>
        <w:tc>
          <w:tcPr>
            <w:tcW w:w="2440" w:type="dxa"/>
            <w:tcBorders>
              <w:top w:val="nil"/>
              <w:left w:val="nil"/>
              <w:bottom w:val="nil"/>
              <w:right w:val="nil"/>
            </w:tcBorders>
            <w:shd w:val="clear" w:color="000000" w:fill="C5D9F1"/>
            <w:noWrap/>
            <w:vAlign w:val="center"/>
            <w:hideMark/>
          </w:tcPr>
          <w:p w:rsidR="00502550" w:rsidRPr="007F09CE" w:rsidRDefault="00502550" w:rsidP="00230FAA">
            <w:pPr>
              <w:jc w:val="right"/>
              <w:rPr>
                <w:b/>
                <w:bCs/>
                <w:sz w:val="16"/>
                <w:szCs w:val="16"/>
              </w:rPr>
            </w:pPr>
            <w:r w:rsidRPr="007F09CE">
              <w:rPr>
                <w:b/>
                <w:bCs/>
                <w:sz w:val="16"/>
                <w:szCs w:val="16"/>
              </w:rPr>
              <w:t xml:space="preserve"> Total </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 xml:space="preserve">5.758 </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 xml:space="preserve">7.774 </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 xml:space="preserve">3.156 </w:t>
            </w:r>
          </w:p>
        </w:tc>
        <w:tc>
          <w:tcPr>
            <w:tcW w:w="1420" w:type="dxa"/>
            <w:tcBorders>
              <w:top w:val="nil"/>
              <w:left w:val="nil"/>
              <w:bottom w:val="nil"/>
              <w:right w:val="nil"/>
            </w:tcBorders>
            <w:shd w:val="clear" w:color="000000" w:fill="C5D9F1"/>
            <w:vAlign w:val="center"/>
            <w:hideMark/>
          </w:tcPr>
          <w:p w:rsidR="00502550" w:rsidRPr="007F09CE" w:rsidRDefault="00502550" w:rsidP="00230FAA">
            <w:pPr>
              <w:jc w:val="center"/>
              <w:rPr>
                <w:b/>
                <w:bCs/>
                <w:sz w:val="16"/>
                <w:szCs w:val="16"/>
              </w:rPr>
            </w:pPr>
            <w:r w:rsidRPr="007F09CE">
              <w:rPr>
                <w:b/>
                <w:bCs/>
                <w:sz w:val="16"/>
                <w:szCs w:val="16"/>
              </w:rPr>
              <w:t>41%</w:t>
            </w:r>
          </w:p>
        </w:tc>
      </w:tr>
      <w:tr w:rsidR="00502550" w:rsidRPr="007F09CE" w:rsidTr="00230FAA">
        <w:trPr>
          <w:trHeight w:val="300"/>
          <w:jc w:val="center"/>
        </w:trPr>
        <w:tc>
          <w:tcPr>
            <w:tcW w:w="8120" w:type="dxa"/>
            <w:gridSpan w:val="5"/>
            <w:tcBorders>
              <w:top w:val="nil"/>
              <w:left w:val="nil"/>
              <w:bottom w:val="nil"/>
              <w:right w:val="nil"/>
            </w:tcBorders>
            <w:shd w:val="clear" w:color="auto" w:fill="auto"/>
            <w:noWrap/>
            <w:vAlign w:val="center"/>
            <w:hideMark/>
          </w:tcPr>
          <w:p w:rsidR="00502550" w:rsidRPr="007F09CE" w:rsidRDefault="00502550" w:rsidP="00230FAA">
            <w:pPr>
              <w:rPr>
                <w:i/>
                <w:iCs/>
                <w:sz w:val="16"/>
                <w:szCs w:val="16"/>
              </w:rPr>
            </w:pPr>
            <w:r w:rsidRPr="007F09CE">
              <w:rPr>
                <w:i/>
                <w:iCs/>
                <w:sz w:val="16"/>
                <w:szCs w:val="16"/>
              </w:rPr>
              <w:t xml:space="preserve"> *Las cifras de gastos en 2016 son preliminares, a reserva de verificación por el Auditor Externo.</w:t>
            </w:r>
          </w:p>
        </w:tc>
      </w:tr>
    </w:tbl>
    <w:p w:rsidR="00502550" w:rsidRPr="007F09CE" w:rsidRDefault="00502550" w:rsidP="00230FAA"/>
    <w:p w:rsidR="00502550" w:rsidRPr="007F09CE" w:rsidRDefault="00502550" w:rsidP="00230FAA">
      <w:pPr>
        <w:keepNext/>
        <w:keepLines/>
        <w:ind w:left="567" w:right="282"/>
        <w:rPr>
          <w:i/>
          <w:sz w:val="16"/>
          <w:szCs w:val="16"/>
        </w:rPr>
      </w:pPr>
      <w:r w:rsidRPr="007F09CE">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502550" w:rsidRPr="007F09CE" w:rsidRDefault="00502550" w:rsidP="00230FAA"/>
    <w:p w:rsidR="00502550" w:rsidRPr="007F09CE" w:rsidRDefault="00502550" w:rsidP="00230FAA"/>
    <w:p w:rsidR="00502550" w:rsidRPr="00AB2B3B" w:rsidRDefault="00502550" w:rsidP="00230FAA">
      <w:pPr>
        <w:jc w:val="both"/>
        <w:rPr>
          <w:sz w:val="20"/>
          <w:u w:val="single"/>
        </w:rPr>
      </w:pPr>
      <w:r w:rsidRPr="00AB2B3B">
        <w:rPr>
          <w:sz w:val="20"/>
        </w:rPr>
        <w:t>A.</w:t>
      </w:r>
      <w:r w:rsidRPr="00AB2B3B">
        <w:rPr>
          <w:sz w:val="20"/>
        </w:rPr>
        <w:tab/>
      </w:r>
      <w:r w:rsidRPr="00AB2B3B">
        <w:rPr>
          <w:sz w:val="20"/>
          <w:u w:val="single"/>
        </w:rPr>
        <w:t>Presupuesto de 2016/17 tras las transferencias</w:t>
      </w:r>
    </w:p>
    <w:p w:rsidR="00502550" w:rsidRPr="00AB2B3B" w:rsidRDefault="00502550" w:rsidP="00230FAA">
      <w:pPr>
        <w:jc w:val="both"/>
        <w:rPr>
          <w:sz w:val="20"/>
        </w:rPr>
      </w:pPr>
    </w:p>
    <w:p w:rsidR="00502550" w:rsidRPr="00AB2B3B" w:rsidRDefault="00502550" w:rsidP="00502550">
      <w:pPr>
        <w:pStyle w:val="ListParagraph"/>
        <w:numPr>
          <w:ilvl w:val="0"/>
          <w:numId w:val="66"/>
        </w:numPr>
        <w:tabs>
          <w:tab w:val="left" w:pos="709"/>
        </w:tabs>
        <w:ind w:left="0" w:firstLine="0"/>
        <w:jc w:val="both"/>
        <w:rPr>
          <w:rFonts w:cs="Arial"/>
          <w:lang w:val="es-ES"/>
        </w:rPr>
      </w:pPr>
      <w:r w:rsidRPr="00AB2B3B">
        <w:rPr>
          <w:rFonts w:cs="Arial"/>
          <w:lang w:val="es-ES"/>
        </w:rPr>
        <w:t xml:space="preserve">El aumento en los recursos de personal con respecto al presupuesto aprobado de 2016/17 </w:t>
      </w:r>
      <w:r w:rsidR="0048069B">
        <w:rPr>
          <w:rFonts w:cs="Arial"/>
          <w:lang w:val="es-ES"/>
        </w:rPr>
        <w:t>se debió</w:t>
      </w:r>
      <w:r w:rsidRPr="00AB2B3B">
        <w:rPr>
          <w:rFonts w:cs="Arial"/>
          <w:lang w:val="es-ES"/>
        </w:rPr>
        <w:t xml:space="preserve"> a:  i) la transferencia al programa, desde el programa “Gestión ejecutiva” (programa 21), de WIPO Lex, lo que se refleja en el resultado previsto IV.2 (Mejora del acceso y uso de la información de P.I.);  ii) la transferencia de dos puestos para reforzar la respuesta al aumento del volumen de trabajo debido a la introducción de las colecciones nacionales en PATENTSCOPE y el funcionamiento de la base de datos de WIPO Lex;  y iii) la reclasificación de un puesto.</w:t>
      </w:r>
    </w:p>
    <w:p w:rsidR="00502550" w:rsidRPr="00AB2B3B" w:rsidRDefault="00502550" w:rsidP="00230FAA">
      <w:pPr>
        <w:pStyle w:val="ListParagraph"/>
        <w:tabs>
          <w:tab w:val="left" w:pos="709"/>
        </w:tabs>
        <w:ind w:left="0"/>
        <w:jc w:val="both"/>
        <w:rPr>
          <w:rFonts w:cs="Arial"/>
          <w:lang w:val="es-ES"/>
        </w:rPr>
      </w:pPr>
    </w:p>
    <w:p w:rsidR="00502550" w:rsidRPr="00AB2B3B" w:rsidRDefault="00502550" w:rsidP="00502550">
      <w:pPr>
        <w:pStyle w:val="ListParagraph"/>
        <w:numPr>
          <w:ilvl w:val="0"/>
          <w:numId w:val="66"/>
        </w:numPr>
        <w:tabs>
          <w:tab w:val="left" w:pos="709"/>
        </w:tabs>
        <w:ind w:left="0" w:firstLine="0"/>
        <w:jc w:val="both"/>
        <w:rPr>
          <w:rFonts w:cs="Arial"/>
          <w:lang w:val="es-ES"/>
        </w:rPr>
      </w:pPr>
      <w:r w:rsidRPr="00AB2B3B">
        <w:rPr>
          <w:rFonts w:cs="Arial"/>
          <w:lang w:val="es-ES"/>
        </w:rPr>
        <w:t>Los recursos no relativos a personal reflejan un ajuste al alza resultante principalmente de:  i) la transferencia al programa, desde el programa “Gestión ejecutiva” (programa 21), de WIPO Lex;  ii) la transferencia al programa, desde el programa “Servicios de acceso a la información y al conocimiento” (programa 14), de la responsabilidad sobre los proyectos especiales de asistencia técnica (LATIPAT y ARABPAT);  y iii) los costos adicionales relativos a la externalización de la labor de introducción de las colecciones nacionales a un proveedor externo de servicios</w:t>
      </w:r>
      <w:r w:rsidRPr="00AB2B3B">
        <w:rPr>
          <w:rFonts w:eastAsia="Batang" w:cs="Arial"/>
          <w:lang w:val="es-ES" w:eastAsia="ko-KR"/>
        </w:rPr>
        <w:t>.</w:t>
      </w:r>
    </w:p>
    <w:p w:rsidR="00502550" w:rsidRPr="00AB2B3B" w:rsidRDefault="00502550" w:rsidP="00230FAA">
      <w:pPr>
        <w:jc w:val="both"/>
        <w:rPr>
          <w:sz w:val="20"/>
        </w:rPr>
      </w:pPr>
    </w:p>
    <w:p w:rsidR="00502550" w:rsidRPr="00AB2B3B" w:rsidRDefault="00502550" w:rsidP="00230FAA">
      <w:pPr>
        <w:jc w:val="both"/>
        <w:rPr>
          <w:sz w:val="20"/>
          <w:u w:val="single"/>
        </w:rPr>
      </w:pPr>
      <w:r w:rsidRPr="00AB2B3B">
        <w:rPr>
          <w:sz w:val="20"/>
        </w:rPr>
        <w:t>B.</w:t>
      </w:r>
      <w:r w:rsidRPr="00AB2B3B">
        <w:rPr>
          <w:sz w:val="20"/>
        </w:rPr>
        <w:tab/>
      </w:r>
      <w:r w:rsidRPr="00AB2B3B">
        <w:rPr>
          <w:sz w:val="20"/>
          <w:u w:val="single"/>
        </w:rPr>
        <w:t>Utilización del presupuesto en 2016/17</w:t>
      </w:r>
    </w:p>
    <w:p w:rsidR="00502550" w:rsidRPr="00AB2B3B" w:rsidRDefault="00502550" w:rsidP="00230FAA">
      <w:pPr>
        <w:jc w:val="both"/>
        <w:rPr>
          <w:sz w:val="20"/>
        </w:rPr>
      </w:pPr>
    </w:p>
    <w:p w:rsidR="00502550" w:rsidRPr="007F09CE" w:rsidRDefault="00502550" w:rsidP="00502550">
      <w:pPr>
        <w:pStyle w:val="ListParagraph"/>
        <w:numPr>
          <w:ilvl w:val="0"/>
          <w:numId w:val="66"/>
        </w:numPr>
        <w:tabs>
          <w:tab w:val="left" w:pos="709"/>
        </w:tabs>
        <w:ind w:left="0" w:firstLine="0"/>
        <w:jc w:val="both"/>
        <w:rPr>
          <w:rFonts w:cs="Arial"/>
          <w:lang w:val="es-ES"/>
        </w:rPr>
      </w:pPr>
      <w:r w:rsidRPr="007F09CE">
        <w:rPr>
          <w:rFonts w:cs="Arial"/>
          <w:lang w:val="es-ES"/>
        </w:rPr>
        <w:t>La utilización del presupuesto se ha mantenido dentro de los límites establecidos (40-60%) durante el primer año del bienio.</w:t>
      </w:r>
    </w:p>
    <w:p w:rsidR="00502550" w:rsidRPr="007F09CE" w:rsidRDefault="00502550" w:rsidP="00230FAA">
      <w:pPr>
        <w:rPr>
          <w:szCs w:val="22"/>
        </w:rPr>
      </w:pPr>
    </w:p>
    <w:p w:rsidR="00502550" w:rsidRPr="007F09CE" w:rsidRDefault="00502550" w:rsidP="00230FAA">
      <w:pPr>
        <w:rPr>
          <w:szCs w:val="22"/>
        </w:rPr>
      </w:pPr>
    </w:p>
    <w:p w:rsidR="00AB2B3B" w:rsidRDefault="00AB2B3B">
      <w:pPr>
        <w:rPr>
          <w:b/>
          <w:bCs/>
          <w:iCs/>
          <w:szCs w:val="22"/>
          <w:lang w:val="es-ES_tradnl"/>
        </w:rPr>
      </w:pPr>
      <w:r>
        <w:rPr>
          <w:b/>
          <w:bCs/>
          <w:iCs/>
          <w:szCs w:val="22"/>
          <w:lang w:val="es-ES_tradnl"/>
        </w:rPr>
        <w:br w:type="page"/>
      </w:r>
    </w:p>
    <w:p w:rsidR="00502550" w:rsidRPr="000070E9" w:rsidRDefault="00502550" w:rsidP="00186A88">
      <w:pPr>
        <w:tabs>
          <w:tab w:val="left" w:pos="2410"/>
          <w:tab w:val="right" w:pos="9072"/>
        </w:tabs>
        <w:ind w:left="2410" w:hanging="2410"/>
        <w:jc w:val="both"/>
        <w:outlineLvl w:val="1"/>
        <w:rPr>
          <w:b/>
          <w:bCs/>
          <w:iCs/>
          <w:szCs w:val="22"/>
        </w:rPr>
      </w:pPr>
      <w:bookmarkStart w:id="52" w:name="_Toc482711261"/>
      <w:r w:rsidRPr="000070E9">
        <w:rPr>
          <w:b/>
          <w:bCs/>
          <w:iCs/>
          <w:szCs w:val="22"/>
          <w:lang w:val="es-ES_tradnl"/>
        </w:rPr>
        <w:lastRenderedPageBreak/>
        <w:t>PROGRAMA 14</w:t>
      </w:r>
      <w:r w:rsidRPr="000070E9">
        <w:rPr>
          <w:b/>
          <w:bCs/>
          <w:iCs/>
          <w:szCs w:val="22"/>
          <w:lang w:val="es-ES_tradnl"/>
        </w:rPr>
        <w:tab/>
        <w:t>SERVICIOS DE ACCESO A LA INFORMACIÓN Y A LOS CONOCIMIENTOS</w:t>
      </w:r>
      <w:bookmarkEnd w:id="52"/>
    </w:p>
    <w:p w:rsidR="00502550" w:rsidRPr="000070E9" w:rsidRDefault="00502550" w:rsidP="00230FAA">
      <w:pPr>
        <w:jc w:val="both"/>
        <w:rPr>
          <w:rFonts w:cs="Times New Roman"/>
          <w:sz w:val="20"/>
        </w:rPr>
      </w:pPr>
    </w:p>
    <w:p w:rsidR="00502550" w:rsidRPr="000070E9" w:rsidRDefault="00502550" w:rsidP="00186A88">
      <w:pPr>
        <w:tabs>
          <w:tab w:val="left" w:pos="2410"/>
        </w:tabs>
        <w:jc w:val="both"/>
        <w:rPr>
          <w:rFonts w:cs="Times New Roman"/>
          <w:b/>
          <w:sz w:val="20"/>
        </w:rPr>
      </w:pPr>
      <w:r w:rsidRPr="000070E9">
        <w:rPr>
          <w:rFonts w:cs="Times New Roman"/>
          <w:b/>
          <w:sz w:val="20"/>
          <w:lang w:val="es-ES_tradnl"/>
        </w:rPr>
        <w:t>Director de programa</w:t>
      </w:r>
      <w:r w:rsidRPr="000070E9">
        <w:rPr>
          <w:rFonts w:cs="Times New Roman"/>
          <w:sz w:val="20"/>
          <w:lang w:val="es-ES_tradnl"/>
        </w:rPr>
        <w:tab/>
      </w:r>
      <w:r w:rsidRPr="000070E9">
        <w:rPr>
          <w:rFonts w:cs="Times New Roman"/>
          <w:b/>
          <w:sz w:val="20"/>
          <w:lang w:val="es-ES_tradnl"/>
        </w:rPr>
        <w:t>Sr. Y. Takagi</w:t>
      </w:r>
    </w:p>
    <w:p w:rsidR="00502550" w:rsidRPr="000070E9" w:rsidRDefault="00502550" w:rsidP="00230FAA">
      <w:pPr>
        <w:tabs>
          <w:tab w:val="left" w:pos="1985"/>
        </w:tabs>
        <w:jc w:val="center"/>
        <w:rPr>
          <w:rFonts w:cs="Times New Roman"/>
          <w:b/>
          <w:sz w:val="20"/>
        </w:rPr>
      </w:pPr>
      <w:r w:rsidRPr="00751611">
        <w:rPr>
          <w:noProof/>
          <w:lang w:val="en-US" w:eastAsia="en-US"/>
        </w:rPr>
        <w:drawing>
          <wp:inline distT="0" distB="0" distL="0" distR="0" wp14:anchorId="036A69DF" wp14:editId="246C5493">
            <wp:extent cx="4646428" cy="2608207"/>
            <wp:effectExtent l="0" t="0" r="1905" b="190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646428" cy="2608207"/>
                    </a:xfrm>
                    <a:prstGeom prst="rect">
                      <a:avLst/>
                    </a:prstGeom>
                    <a:noFill/>
                    <a:ln>
                      <a:noFill/>
                    </a:ln>
                  </pic:spPr>
                </pic:pic>
              </a:graphicData>
            </a:graphic>
          </wp:inline>
        </w:drawing>
      </w:r>
      <w:r w:rsidRPr="000070E9">
        <w:t xml:space="preserve"> </w:t>
      </w:r>
    </w:p>
    <w:tbl>
      <w:tblPr>
        <w:tblW w:w="5000" w:type="pct"/>
        <w:tblInd w:w="58" w:type="dxa"/>
        <w:tblLayout w:type="fixed"/>
        <w:tblCellMar>
          <w:left w:w="115" w:type="dxa"/>
          <w:right w:w="115" w:type="dxa"/>
        </w:tblCellMar>
        <w:tblLook w:val="0000" w:firstRow="0" w:lastRow="0" w:firstColumn="0" w:lastColumn="0" w:noHBand="0" w:noVBand="0"/>
      </w:tblPr>
      <w:tblGrid>
        <w:gridCol w:w="2141"/>
        <w:gridCol w:w="2332"/>
        <w:gridCol w:w="1457"/>
        <w:gridCol w:w="2313"/>
        <w:gridCol w:w="944"/>
      </w:tblGrid>
      <w:tr w:rsidR="00502550" w:rsidRPr="000070E9" w:rsidTr="00230FAA">
        <w:trPr>
          <w:trHeight w:val="565"/>
        </w:trPr>
        <w:tc>
          <w:tcPr>
            <w:tcW w:w="5000" w:type="pct"/>
            <w:gridSpan w:val="5"/>
            <w:shd w:val="clear" w:color="auto" w:fill="C6D9F1" w:themeFill="text2" w:themeFillTint="33"/>
            <w:tcMar>
              <w:left w:w="58" w:type="dxa"/>
              <w:right w:w="58" w:type="dxa"/>
            </w:tcMar>
            <w:vAlign w:val="center"/>
          </w:tcPr>
          <w:p w:rsidR="00502550" w:rsidRPr="000070E9" w:rsidRDefault="00502550" w:rsidP="00230FAA">
            <w:pPr>
              <w:keepNext/>
              <w:keepLines/>
              <w:tabs>
                <w:tab w:val="left" w:pos="1452"/>
              </w:tabs>
              <w:ind w:left="1701" w:hanging="1701"/>
              <w:rPr>
                <w:bCs/>
                <w:sz w:val="16"/>
                <w:szCs w:val="16"/>
              </w:rPr>
            </w:pPr>
            <w:r w:rsidRPr="000070E9">
              <w:rPr>
                <w:b/>
                <w:bCs/>
                <w:sz w:val="16"/>
                <w:szCs w:val="16"/>
              </w:rPr>
              <w:t>Resultado previsto:</w:t>
            </w:r>
            <w:r w:rsidRPr="000070E9">
              <w:rPr>
                <w:b/>
                <w:bCs/>
                <w:sz w:val="16"/>
                <w:szCs w:val="16"/>
              </w:rPr>
              <w:tab/>
            </w:r>
            <w:r w:rsidRPr="000070E9">
              <w:rPr>
                <w:bCs/>
                <w:sz w:val="16"/>
                <w:szCs w:val="16"/>
                <w:lang w:val="es-ES_tradnl"/>
              </w:rPr>
              <w:t>IV.2  Mejora del acceso y uso de información de P.I. por parte de instituciones de P.I. y el público para fomentar la innovación y la creatividad</w:t>
            </w:r>
          </w:p>
        </w:tc>
      </w:tr>
      <w:tr w:rsidR="00502550" w:rsidRPr="000070E9" w:rsidTr="00230FAA">
        <w:tc>
          <w:tcPr>
            <w:tcW w:w="1165" w:type="pct"/>
            <w:shd w:val="clear" w:color="auto" w:fill="auto"/>
            <w:tcMar>
              <w:left w:w="58" w:type="dxa"/>
              <w:right w:w="58" w:type="dxa"/>
            </w:tcMar>
            <w:vAlign w:val="center"/>
          </w:tcPr>
          <w:p w:rsidR="00502550" w:rsidRPr="000070E9" w:rsidRDefault="00502550" w:rsidP="00230FAA">
            <w:pPr>
              <w:rPr>
                <w:b/>
                <w:bCs/>
                <w:sz w:val="16"/>
                <w:szCs w:val="16"/>
              </w:rPr>
            </w:pPr>
            <w:r w:rsidRPr="000070E9">
              <w:rPr>
                <w:b/>
                <w:bCs/>
                <w:sz w:val="16"/>
                <w:szCs w:val="16"/>
                <w:lang w:val="es-ES_tradnl"/>
              </w:rPr>
              <w:t>Indicadores de rendimiento</w:t>
            </w:r>
          </w:p>
        </w:tc>
        <w:tc>
          <w:tcPr>
            <w:tcW w:w="1269" w:type="pct"/>
            <w:shd w:val="clear" w:color="auto" w:fill="auto"/>
            <w:tcMar>
              <w:left w:w="58" w:type="dxa"/>
              <w:right w:w="58" w:type="dxa"/>
            </w:tcMar>
            <w:vAlign w:val="center"/>
          </w:tcPr>
          <w:p w:rsidR="00502550" w:rsidRPr="000070E9" w:rsidRDefault="00502550" w:rsidP="00230FAA">
            <w:pPr>
              <w:rPr>
                <w:b/>
                <w:bCs/>
                <w:sz w:val="16"/>
                <w:szCs w:val="16"/>
              </w:rPr>
            </w:pPr>
            <w:r w:rsidRPr="000070E9">
              <w:rPr>
                <w:b/>
                <w:bCs/>
                <w:sz w:val="16"/>
                <w:szCs w:val="16"/>
                <w:lang w:val="es-ES_tradnl"/>
              </w:rPr>
              <w:t>Referencias de base</w:t>
            </w:r>
          </w:p>
        </w:tc>
        <w:tc>
          <w:tcPr>
            <w:tcW w:w="793" w:type="pct"/>
            <w:shd w:val="clear" w:color="auto" w:fill="auto"/>
            <w:tcMar>
              <w:top w:w="110" w:type="dxa"/>
              <w:left w:w="58" w:type="dxa"/>
              <w:right w:w="58" w:type="dxa"/>
            </w:tcMar>
            <w:vAlign w:val="center"/>
          </w:tcPr>
          <w:p w:rsidR="00502550" w:rsidRPr="000070E9" w:rsidRDefault="00502550" w:rsidP="00230FAA">
            <w:pPr>
              <w:tabs>
                <w:tab w:val="left" w:pos="290"/>
              </w:tabs>
              <w:rPr>
                <w:b/>
                <w:bCs/>
                <w:sz w:val="16"/>
                <w:szCs w:val="16"/>
              </w:rPr>
            </w:pPr>
            <w:r w:rsidRPr="000070E9">
              <w:rPr>
                <w:b/>
                <w:bCs/>
                <w:sz w:val="16"/>
                <w:szCs w:val="16"/>
                <w:lang w:val="es-ES_tradnl"/>
              </w:rPr>
              <w:t>Objetivos</w:t>
            </w:r>
          </w:p>
        </w:tc>
        <w:tc>
          <w:tcPr>
            <w:tcW w:w="1259" w:type="pct"/>
            <w:shd w:val="clear" w:color="auto" w:fill="FFFFFF"/>
            <w:tcMar>
              <w:top w:w="110" w:type="dxa"/>
              <w:left w:w="58" w:type="dxa"/>
              <w:right w:w="58" w:type="dxa"/>
            </w:tcMar>
            <w:vAlign w:val="center"/>
          </w:tcPr>
          <w:p w:rsidR="00502550" w:rsidRPr="000070E9" w:rsidRDefault="00502550" w:rsidP="00230FAA">
            <w:pPr>
              <w:rPr>
                <w:b/>
                <w:bCs/>
                <w:sz w:val="16"/>
                <w:szCs w:val="16"/>
              </w:rPr>
            </w:pPr>
            <w:r w:rsidRPr="000070E9">
              <w:rPr>
                <w:b/>
                <w:bCs/>
                <w:sz w:val="16"/>
                <w:szCs w:val="16"/>
                <w:lang w:val="es-ES_tradnl"/>
              </w:rPr>
              <w:t>Datos sobre el rendimiento</w:t>
            </w:r>
          </w:p>
        </w:tc>
        <w:tc>
          <w:tcPr>
            <w:tcW w:w="514" w:type="pct"/>
            <w:shd w:val="clear" w:color="auto" w:fill="auto"/>
            <w:tcMar>
              <w:top w:w="110" w:type="dxa"/>
              <w:left w:w="58" w:type="dxa"/>
              <w:right w:w="58" w:type="dxa"/>
            </w:tcMar>
            <w:vAlign w:val="center"/>
          </w:tcPr>
          <w:p w:rsidR="00502550" w:rsidRPr="000070E9" w:rsidRDefault="00502550" w:rsidP="00230FAA">
            <w:pPr>
              <w:keepNext/>
              <w:keepLines/>
              <w:jc w:val="center"/>
              <w:rPr>
                <w:b/>
                <w:bCs/>
                <w:sz w:val="16"/>
                <w:szCs w:val="16"/>
              </w:rPr>
            </w:pPr>
            <w:r w:rsidRPr="000070E9">
              <w:rPr>
                <w:b/>
                <w:bCs/>
                <w:sz w:val="16"/>
                <w:szCs w:val="16"/>
                <w:lang w:val="es-ES_tradnl"/>
              </w:rPr>
              <w:t>Clave de colores</w:t>
            </w:r>
          </w:p>
        </w:tc>
      </w:tr>
      <w:tr w:rsidR="00502550" w:rsidRPr="000070E9" w:rsidTr="00230FAA">
        <w:trPr>
          <w:trHeight w:val="1534"/>
        </w:trPr>
        <w:tc>
          <w:tcPr>
            <w:tcW w:w="1165" w:type="pct"/>
            <w:shd w:val="clear" w:color="auto" w:fill="auto"/>
            <w:tcMar>
              <w:left w:w="58" w:type="dxa"/>
              <w:right w:w="58" w:type="dxa"/>
            </w:tcMar>
          </w:tcPr>
          <w:p w:rsidR="00502550" w:rsidRPr="000070E9" w:rsidRDefault="00502550" w:rsidP="00230FAA">
            <w:pPr>
              <w:rPr>
                <w:sz w:val="16"/>
                <w:szCs w:val="16"/>
              </w:rPr>
            </w:pPr>
            <w:r w:rsidRPr="000070E9">
              <w:rPr>
                <w:sz w:val="16"/>
                <w:szCs w:val="16"/>
                <w:lang w:val="es-ES_tradnl"/>
              </w:rPr>
              <w:t>N.º de redes nacionales sostenibles de CATI.</w:t>
            </w:r>
            <w:r w:rsidRPr="000070E9">
              <w:rPr>
                <w:rStyle w:val="FootnoteReference"/>
              </w:rPr>
              <w:footnoteReference w:id="61"/>
            </w:r>
            <w:r w:rsidRPr="000070E9">
              <w:rPr>
                <w:sz w:val="16"/>
                <w:szCs w:val="16"/>
              </w:rPr>
              <w:t xml:space="preserve"> </w:t>
            </w:r>
          </w:p>
          <w:p w:rsidR="00502550" w:rsidRPr="000070E9" w:rsidRDefault="00502550" w:rsidP="00230FAA">
            <w:pPr>
              <w:rPr>
                <w:sz w:val="16"/>
                <w:szCs w:val="16"/>
              </w:rPr>
            </w:pPr>
            <w:r w:rsidRPr="000070E9">
              <w:rPr>
                <w:sz w:val="16"/>
                <w:szCs w:val="16"/>
              </w:rPr>
              <w:t>(cifras en total acumulado)</w:t>
            </w:r>
          </w:p>
        </w:tc>
        <w:tc>
          <w:tcPr>
            <w:tcW w:w="1269" w:type="pct"/>
            <w:shd w:val="clear" w:color="auto" w:fill="auto"/>
            <w:tcMar>
              <w:left w:w="58" w:type="dxa"/>
              <w:right w:w="58" w:type="dxa"/>
            </w:tcMar>
          </w:tcPr>
          <w:p w:rsidR="00502550" w:rsidRPr="00FE0F0B" w:rsidRDefault="00502550" w:rsidP="00230FAA">
            <w:pPr>
              <w:rPr>
                <w:i/>
                <w:color w:val="002060"/>
                <w:sz w:val="16"/>
                <w:szCs w:val="16"/>
              </w:rPr>
            </w:pPr>
            <w:r w:rsidRPr="00FE0F0B">
              <w:rPr>
                <w:i/>
                <w:color w:val="002060"/>
                <w:sz w:val="16"/>
                <w:szCs w:val="16"/>
                <w:lang w:val="es-ES_tradnl"/>
              </w:rPr>
              <w:t>Referencia actualizada a fines de 2015:</w:t>
            </w:r>
            <w:r w:rsidRPr="00FE0F0B">
              <w:rPr>
                <w:i/>
                <w:color w:val="002060"/>
                <w:sz w:val="16"/>
                <w:szCs w:val="16"/>
              </w:rPr>
              <w:t xml:space="preserve">  </w:t>
            </w:r>
          </w:p>
          <w:p w:rsidR="00502550" w:rsidRPr="00FE0F0B" w:rsidRDefault="00502550" w:rsidP="00156844">
            <w:pPr>
              <w:spacing w:after="120"/>
              <w:rPr>
                <w:color w:val="002060"/>
                <w:sz w:val="16"/>
                <w:szCs w:val="16"/>
              </w:rPr>
            </w:pPr>
            <w:r w:rsidRPr="00FE0F0B">
              <w:rPr>
                <w:color w:val="002060"/>
                <w:sz w:val="16"/>
                <w:szCs w:val="16"/>
                <w:lang w:val="es-ES_tradnl"/>
              </w:rPr>
              <w:t>24 redes nacionales sostenibles de 50 creadas oficialmente:</w:t>
            </w:r>
            <w:r w:rsidR="00156844">
              <w:rPr>
                <w:color w:val="002060"/>
                <w:sz w:val="16"/>
                <w:szCs w:val="16"/>
              </w:rPr>
              <w:t xml:space="preserve"> </w:t>
            </w:r>
          </w:p>
          <w:p w:rsidR="00502550" w:rsidRPr="00FE0F0B" w:rsidRDefault="00502550" w:rsidP="00230FAA">
            <w:pPr>
              <w:rPr>
                <w:color w:val="002060"/>
                <w:sz w:val="16"/>
                <w:szCs w:val="16"/>
              </w:rPr>
            </w:pPr>
            <w:r w:rsidRPr="00FE0F0B">
              <w:rPr>
                <w:color w:val="002060"/>
                <w:sz w:val="16"/>
                <w:szCs w:val="16"/>
                <w:lang w:val="es-ES_tradnl"/>
              </w:rPr>
              <w:t>Nivel de desarrollo 1:</w:t>
            </w:r>
          </w:p>
          <w:p w:rsidR="00502550" w:rsidRPr="00FE0F0B" w:rsidRDefault="00502550" w:rsidP="00230FAA">
            <w:pPr>
              <w:rPr>
                <w:color w:val="002060"/>
                <w:sz w:val="16"/>
                <w:szCs w:val="16"/>
              </w:rPr>
            </w:pPr>
            <w:r w:rsidRPr="00FE0F0B">
              <w:rPr>
                <w:color w:val="002060"/>
                <w:sz w:val="16"/>
                <w:szCs w:val="16"/>
              </w:rPr>
              <w:t>África: 8 (de las cuales 7en  PMA)</w:t>
            </w:r>
          </w:p>
          <w:p w:rsidR="00502550" w:rsidRPr="00FE0F0B" w:rsidRDefault="00502550" w:rsidP="00230FAA">
            <w:pPr>
              <w:rPr>
                <w:color w:val="002060"/>
                <w:sz w:val="16"/>
                <w:szCs w:val="16"/>
              </w:rPr>
            </w:pPr>
            <w:r w:rsidRPr="00FE0F0B">
              <w:rPr>
                <w:color w:val="002060"/>
                <w:sz w:val="16"/>
                <w:szCs w:val="16"/>
                <w:lang w:val="es-ES_tradnl"/>
              </w:rPr>
              <w:t>Países árabes:  1</w:t>
            </w:r>
          </w:p>
          <w:p w:rsidR="00502550" w:rsidRPr="00FE0F0B" w:rsidRDefault="00502550" w:rsidP="00230FAA">
            <w:pPr>
              <w:rPr>
                <w:color w:val="002060"/>
                <w:sz w:val="16"/>
                <w:szCs w:val="16"/>
              </w:rPr>
            </w:pPr>
            <w:r w:rsidRPr="00FE0F0B">
              <w:rPr>
                <w:color w:val="002060"/>
                <w:sz w:val="16"/>
                <w:szCs w:val="16"/>
                <w:lang w:val="es-ES_tradnl"/>
              </w:rPr>
              <w:t>Asia y el Pacífico: 3</w:t>
            </w:r>
          </w:p>
          <w:p w:rsidR="00502550" w:rsidRPr="00FE0F0B" w:rsidRDefault="00502550" w:rsidP="00230FAA">
            <w:pPr>
              <w:rPr>
                <w:color w:val="002060"/>
                <w:sz w:val="16"/>
                <w:szCs w:val="16"/>
              </w:rPr>
            </w:pPr>
            <w:r w:rsidRPr="00FE0F0B">
              <w:rPr>
                <w:color w:val="002060"/>
                <w:sz w:val="16"/>
                <w:szCs w:val="16"/>
                <w:lang w:val="es-ES_tradnl"/>
              </w:rPr>
              <w:t>América Latina y el Caribe: 5</w:t>
            </w:r>
          </w:p>
          <w:p w:rsidR="00502550" w:rsidRPr="00FE0F0B" w:rsidRDefault="00156844" w:rsidP="00156844">
            <w:pPr>
              <w:spacing w:after="120"/>
              <w:rPr>
                <w:color w:val="002060"/>
                <w:sz w:val="16"/>
                <w:szCs w:val="16"/>
              </w:rPr>
            </w:pPr>
            <w:r>
              <w:rPr>
                <w:color w:val="002060"/>
                <w:sz w:val="16"/>
                <w:szCs w:val="16"/>
              </w:rPr>
              <w:t>(17 en total)</w:t>
            </w:r>
          </w:p>
          <w:p w:rsidR="00502550" w:rsidRPr="00FE0F0B" w:rsidRDefault="00502550" w:rsidP="00230FAA">
            <w:pPr>
              <w:rPr>
                <w:color w:val="002060"/>
                <w:sz w:val="16"/>
                <w:szCs w:val="16"/>
              </w:rPr>
            </w:pPr>
            <w:r w:rsidRPr="00FE0F0B">
              <w:rPr>
                <w:color w:val="002060"/>
                <w:sz w:val="16"/>
                <w:szCs w:val="16"/>
                <w:lang w:val="es-ES_tradnl"/>
              </w:rPr>
              <w:t>Nivel de desarrollo 2:</w:t>
            </w:r>
          </w:p>
          <w:p w:rsidR="00502550" w:rsidRPr="00FE0F0B" w:rsidRDefault="00502550" w:rsidP="00230FAA">
            <w:pPr>
              <w:rPr>
                <w:color w:val="002060"/>
                <w:sz w:val="16"/>
                <w:szCs w:val="16"/>
              </w:rPr>
            </w:pPr>
            <w:r w:rsidRPr="00FE0F0B">
              <w:rPr>
                <w:color w:val="002060"/>
                <w:sz w:val="16"/>
                <w:szCs w:val="16"/>
              </w:rPr>
              <w:t>África: 2 (de las cuales 1 en PMA)</w:t>
            </w:r>
          </w:p>
          <w:p w:rsidR="00502550" w:rsidRPr="00FE0F0B" w:rsidRDefault="00502550" w:rsidP="00230FAA">
            <w:pPr>
              <w:rPr>
                <w:color w:val="002060"/>
                <w:sz w:val="16"/>
                <w:szCs w:val="16"/>
              </w:rPr>
            </w:pPr>
            <w:r w:rsidRPr="00FE0F0B">
              <w:rPr>
                <w:color w:val="002060"/>
                <w:sz w:val="16"/>
                <w:szCs w:val="16"/>
                <w:lang w:val="es-ES_tradnl"/>
              </w:rPr>
              <w:t>América Latina y el Caribe:  2</w:t>
            </w:r>
          </w:p>
          <w:p w:rsidR="00156844" w:rsidRPr="00FE0F0B" w:rsidRDefault="00156844" w:rsidP="00156844">
            <w:pPr>
              <w:spacing w:after="120"/>
              <w:rPr>
                <w:color w:val="002060"/>
                <w:sz w:val="16"/>
                <w:szCs w:val="16"/>
              </w:rPr>
            </w:pPr>
            <w:r>
              <w:rPr>
                <w:color w:val="002060"/>
                <w:sz w:val="16"/>
                <w:szCs w:val="16"/>
              </w:rPr>
              <w:t>(4 en total)</w:t>
            </w:r>
          </w:p>
          <w:p w:rsidR="00502550" w:rsidRPr="00FE0F0B" w:rsidRDefault="00502550" w:rsidP="00230FAA">
            <w:pPr>
              <w:rPr>
                <w:color w:val="002060"/>
                <w:sz w:val="16"/>
                <w:szCs w:val="16"/>
              </w:rPr>
            </w:pPr>
            <w:r w:rsidRPr="00FE0F0B">
              <w:rPr>
                <w:color w:val="002060"/>
                <w:sz w:val="16"/>
                <w:szCs w:val="16"/>
              </w:rPr>
              <w:t>Nivel de desarrollo 3, incluida la prestación de servicios con valor añadido:</w:t>
            </w:r>
            <w:r w:rsidRPr="00FE0F0B">
              <w:rPr>
                <w:rStyle w:val="FootnoteReference"/>
                <w:color w:val="002060"/>
              </w:rPr>
              <w:footnoteReference w:id="62"/>
            </w:r>
          </w:p>
          <w:p w:rsidR="00502550" w:rsidRPr="00FE0F0B" w:rsidRDefault="00502550" w:rsidP="00230FAA">
            <w:pPr>
              <w:rPr>
                <w:color w:val="002060"/>
                <w:sz w:val="16"/>
                <w:szCs w:val="16"/>
              </w:rPr>
            </w:pPr>
            <w:r w:rsidRPr="00FE0F0B">
              <w:rPr>
                <w:color w:val="002060"/>
                <w:sz w:val="16"/>
                <w:szCs w:val="16"/>
                <w:lang w:val="es-ES_tradnl"/>
              </w:rPr>
              <w:t>Países árabes:  1</w:t>
            </w:r>
          </w:p>
          <w:p w:rsidR="00502550" w:rsidRPr="00FE0F0B" w:rsidRDefault="00502550" w:rsidP="00230FAA">
            <w:pPr>
              <w:rPr>
                <w:color w:val="002060"/>
                <w:sz w:val="16"/>
                <w:szCs w:val="16"/>
              </w:rPr>
            </w:pPr>
            <w:r w:rsidRPr="00FE0F0B">
              <w:rPr>
                <w:color w:val="002060"/>
                <w:sz w:val="16"/>
                <w:szCs w:val="16"/>
                <w:lang w:val="es-ES_tradnl"/>
              </w:rPr>
              <w:t>Asia y el Pacífico: 1</w:t>
            </w:r>
          </w:p>
          <w:p w:rsidR="00502550" w:rsidRPr="00FE0F0B" w:rsidRDefault="00502550" w:rsidP="00230FAA">
            <w:pPr>
              <w:rPr>
                <w:color w:val="002060"/>
                <w:sz w:val="16"/>
                <w:szCs w:val="16"/>
              </w:rPr>
            </w:pPr>
            <w:r w:rsidRPr="00FE0F0B">
              <w:rPr>
                <w:color w:val="002060"/>
                <w:sz w:val="16"/>
                <w:szCs w:val="16"/>
              </w:rPr>
              <w:t>Países en transición: 1</w:t>
            </w:r>
          </w:p>
          <w:p w:rsidR="00502550" w:rsidRPr="00FE0F0B" w:rsidRDefault="00502550" w:rsidP="00230FAA">
            <w:pPr>
              <w:rPr>
                <w:color w:val="002060"/>
                <w:sz w:val="16"/>
                <w:szCs w:val="16"/>
              </w:rPr>
            </w:pPr>
            <w:r w:rsidRPr="00FE0F0B">
              <w:rPr>
                <w:color w:val="002060"/>
                <w:sz w:val="16"/>
                <w:szCs w:val="16"/>
              </w:rPr>
              <w:t>(3 en total)</w:t>
            </w:r>
          </w:p>
          <w:p w:rsidR="00502550" w:rsidRPr="000070E9" w:rsidRDefault="00502550" w:rsidP="00230FAA">
            <w:pPr>
              <w:ind w:right="176"/>
              <w:rPr>
                <w:i/>
                <w:sz w:val="16"/>
                <w:szCs w:val="16"/>
                <w:lang w:bidi="th-TH"/>
              </w:rPr>
            </w:pPr>
            <w:r w:rsidRPr="000070E9">
              <w:rPr>
                <w:i/>
                <w:sz w:val="16"/>
                <w:szCs w:val="16"/>
                <w:lang w:val="es-ES_tradnl" w:bidi="th-TH"/>
              </w:rPr>
              <w:lastRenderedPageBreak/>
              <w:t>Referencia original en el presupuesto de 2016/17:</w:t>
            </w:r>
            <w:r w:rsidRPr="000070E9">
              <w:rPr>
                <w:i/>
                <w:sz w:val="16"/>
                <w:szCs w:val="16"/>
                <w:lang w:bidi="th-TH"/>
              </w:rPr>
              <w:t xml:space="preserve">  </w:t>
            </w:r>
          </w:p>
          <w:p w:rsidR="00502550" w:rsidRPr="000070E9" w:rsidRDefault="00502550" w:rsidP="00230FAA">
            <w:pPr>
              <w:spacing w:after="240"/>
              <w:rPr>
                <w:sz w:val="16"/>
                <w:szCs w:val="16"/>
              </w:rPr>
            </w:pPr>
            <w:r w:rsidRPr="000070E9">
              <w:rPr>
                <w:sz w:val="16"/>
                <w:szCs w:val="16"/>
                <w:lang w:val="es-ES_tradnl"/>
              </w:rPr>
              <w:t>20 redes nacionales sostenibles de CATI de las 45 establecidas (en total):  África (9 de las que 6 en PMA);  Países Árabes (2);  Asia y el Pacífico (2 de las que 1 en PMA);  América Latina y el Caribe (5);  determinados países de Europa y Asia (1).</w:t>
            </w:r>
          </w:p>
        </w:tc>
        <w:tc>
          <w:tcPr>
            <w:tcW w:w="793" w:type="pct"/>
            <w:shd w:val="clear" w:color="auto" w:fill="auto"/>
            <w:tcMar>
              <w:top w:w="110" w:type="dxa"/>
              <w:left w:w="58" w:type="dxa"/>
              <w:right w:w="58" w:type="dxa"/>
            </w:tcMar>
          </w:tcPr>
          <w:p w:rsidR="00502550" w:rsidRPr="00FE0F0B" w:rsidRDefault="00502550" w:rsidP="00230FAA">
            <w:pPr>
              <w:rPr>
                <w:i/>
                <w:color w:val="002060"/>
                <w:sz w:val="16"/>
                <w:szCs w:val="16"/>
              </w:rPr>
            </w:pPr>
            <w:r w:rsidRPr="00FE0F0B">
              <w:rPr>
                <w:i/>
                <w:color w:val="002060"/>
                <w:sz w:val="16"/>
                <w:szCs w:val="16"/>
              </w:rPr>
              <w:lastRenderedPageBreak/>
              <w:t xml:space="preserve">Objetivo actualizado:  </w:t>
            </w:r>
          </w:p>
          <w:p w:rsidR="00502550" w:rsidRPr="00FE0F0B" w:rsidRDefault="00502550" w:rsidP="00230FAA">
            <w:pPr>
              <w:rPr>
                <w:color w:val="002060"/>
                <w:sz w:val="16"/>
                <w:szCs w:val="16"/>
              </w:rPr>
            </w:pPr>
          </w:p>
          <w:p w:rsidR="00502550" w:rsidRPr="00FE0F0B" w:rsidRDefault="00502550" w:rsidP="00230FAA">
            <w:pPr>
              <w:rPr>
                <w:color w:val="002060"/>
                <w:sz w:val="16"/>
                <w:szCs w:val="16"/>
              </w:rPr>
            </w:pPr>
            <w:r w:rsidRPr="00FE0F0B">
              <w:rPr>
                <w:color w:val="002060"/>
                <w:sz w:val="16"/>
                <w:szCs w:val="16"/>
                <w:lang w:val="es-ES_tradnl"/>
              </w:rPr>
              <w:t>30 redes nacionales de CATI (en total):</w:t>
            </w:r>
            <w:r w:rsidRPr="00FE0F0B">
              <w:rPr>
                <w:color w:val="002060"/>
                <w:sz w:val="16"/>
                <w:szCs w:val="16"/>
              </w:rPr>
              <w:t xml:space="preserve">  </w:t>
            </w:r>
          </w:p>
          <w:p w:rsidR="00502550" w:rsidRPr="00FE0F0B" w:rsidRDefault="00502550" w:rsidP="00230FAA">
            <w:pPr>
              <w:rPr>
                <w:color w:val="002060"/>
                <w:sz w:val="16"/>
                <w:szCs w:val="16"/>
              </w:rPr>
            </w:pPr>
          </w:p>
          <w:p w:rsidR="00502550" w:rsidRPr="00FE0F0B" w:rsidRDefault="00502550" w:rsidP="00230FAA">
            <w:pPr>
              <w:rPr>
                <w:color w:val="002060"/>
                <w:sz w:val="16"/>
                <w:szCs w:val="16"/>
              </w:rPr>
            </w:pPr>
            <w:r w:rsidRPr="00FE0F0B">
              <w:rPr>
                <w:color w:val="002060"/>
                <w:sz w:val="16"/>
                <w:szCs w:val="16"/>
                <w:lang w:val="es-ES_tradnl"/>
              </w:rPr>
              <w:t>África: 13 (de las cuales 9 en PMA);</w:t>
            </w:r>
            <w:r w:rsidRPr="00FE0F0B">
              <w:rPr>
                <w:color w:val="002060"/>
                <w:sz w:val="16"/>
                <w:szCs w:val="16"/>
              </w:rPr>
              <w:t xml:space="preserve">  </w:t>
            </w:r>
          </w:p>
          <w:p w:rsidR="00502550" w:rsidRPr="00FE0F0B" w:rsidRDefault="00502550" w:rsidP="00230FAA">
            <w:pPr>
              <w:rPr>
                <w:color w:val="002060"/>
                <w:sz w:val="16"/>
                <w:szCs w:val="16"/>
              </w:rPr>
            </w:pPr>
          </w:p>
          <w:p w:rsidR="00502550" w:rsidRPr="00FE0F0B" w:rsidRDefault="00502550" w:rsidP="00230FAA">
            <w:pPr>
              <w:rPr>
                <w:color w:val="002060"/>
                <w:sz w:val="16"/>
                <w:szCs w:val="16"/>
              </w:rPr>
            </w:pPr>
            <w:r w:rsidRPr="00FE0F0B">
              <w:rPr>
                <w:color w:val="002060"/>
                <w:sz w:val="16"/>
                <w:szCs w:val="16"/>
                <w:lang w:val="es-ES_tradnl"/>
              </w:rPr>
              <w:t>Países árabes:  2;</w:t>
            </w:r>
            <w:r w:rsidRPr="00FE0F0B">
              <w:rPr>
                <w:color w:val="002060"/>
                <w:sz w:val="16"/>
                <w:szCs w:val="16"/>
              </w:rPr>
              <w:t xml:space="preserve">  </w:t>
            </w:r>
          </w:p>
          <w:p w:rsidR="00502550" w:rsidRPr="00FE0F0B" w:rsidRDefault="00502550" w:rsidP="00230FAA">
            <w:pPr>
              <w:rPr>
                <w:color w:val="002060"/>
                <w:sz w:val="16"/>
                <w:szCs w:val="16"/>
              </w:rPr>
            </w:pPr>
          </w:p>
          <w:p w:rsidR="00502550" w:rsidRPr="00FE0F0B" w:rsidRDefault="00502550" w:rsidP="00230FAA">
            <w:pPr>
              <w:rPr>
                <w:color w:val="002060"/>
                <w:sz w:val="16"/>
                <w:szCs w:val="16"/>
              </w:rPr>
            </w:pPr>
            <w:r w:rsidRPr="00FE0F0B">
              <w:rPr>
                <w:color w:val="002060"/>
                <w:sz w:val="16"/>
                <w:szCs w:val="16"/>
                <w:lang w:val="es-ES_tradnl"/>
              </w:rPr>
              <w:t>Asia y el Pacífico: 5 (de las que 2 en PMA);</w:t>
            </w:r>
            <w:r w:rsidRPr="00FE0F0B">
              <w:rPr>
                <w:color w:val="002060"/>
                <w:sz w:val="16"/>
                <w:szCs w:val="16"/>
              </w:rPr>
              <w:t xml:space="preserve">  </w:t>
            </w:r>
          </w:p>
          <w:p w:rsidR="00502550" w:rsidRPr="00FE0F0B" w:rsidRDefault="00502550" w:rsidP="00230FAA">
            <w:pPr>
              <w:rPr>
                <w:color w:val="002060"/>
                <w:sz w:val="16"/>
                <w:szCs w:val="16"/>
              </w:rPr>
            </w:pPr>
          </w:p>
          <w:p w:rsidR="00502550" w:rsidRPr="00FE0F0B" w:rsidRDefault="00502550" w:rsidP="00230FAA">
            <w:pPr>
              <w:rPr>
                <w:color w:val="002060"/>
                <w:sz w:val="16"/>
                <w:szCs w:val="16"/>
              </w:rPr>
            </w:pPr>
            <w:r w:rsidRPr="00FE0F0B">
              <w:rPr>
                <w:color w:val="002060"/>
                <w:sz w:val="16"/>
                <w:szCs w:val="16"/>
                <w:lang w:val="es-ES_tradnl"/>
              </w:rPr>
              <w:t>América Latina y el Caribe:  9;</w:t>
            </w:r>
          </w:p>
          <w:p w:rsidR="00502550" w:rsidRPr="00FE0F0B" w:rsidRDefault="00502550" w:rsidP="00230FAA">
            <w:pPr>
              <w:rPr>
                <w:color w:val="002060"/>
                <w:sz w:val="16"/>
                <w:szCs w:val="16"/>
              </w:rPr>
            </w:pPr>
          </w:p>
          <w:p w:rsidR="00502550" w:rsidRPr="00FE0F0B" w:rsidRDefault="00502550" w:rsidP="00230FAA">
            <w:pPr>
              <w:rPr>
                <w:color w:val="002060"/>
                <w:sz w:val="16"/>
                <w:szCs w:val="16"/>
              </w:rPr>
            </w:pPr>
            <w:r w:rsidRPr="00FE0F0B">
              <w:rPr>
                <w:color w:val="002060"/>
                <w:sz w:val="16"/>
                <w:szCs w:val="16"/>
              </w:rPr>
              <w:t>Países en transición:  1</w:t>
            </w:r>
          </w:p>
          <w:p w:rsidR="00502550" w:rsidRPr="000070E9" w:rsidRDefault="00502550" w:rsidP="00230FAA">
            <w:pPr>
              <w:rPr>
                <w:i/>
                <w:sz w:val="16"/>
                <w:szCs w:val="16"/>
                <w:lang w:bidi="th-TH"/>
              </w:rPr>
            </w:pPr>
          </w:p>
          <w:p w:rsidR="00502550" w:rsidRPr="000070E9" w:rsidRDefault="00502550" w:rsidP="00230FAA">
            <w:pPr>
              <w:rPr>
                <w:i/>
                <w:sz w:val="16"/>
                <w:szCs w:val="16"/>
                <w:lang w:bidi="th-TH"/>
              </w:rPr>
            </w:pPr>
          </w:p>
          <w:p w:rsidR="00156844" w:rsidRDefault="00156844" w:rsidP="00230FAA">
            <w:pPr>
              <w:rPr>
                <w:i/>
                <w:sz w:val="16"/>
                <w:szCs w:val="16"/>
                <w:lang w:val="es-ES_tradnl" w:bidi="th-TH"/>
              </w:rPr>
            </w:pPr>
          </w:p>
          <w:p w:rsidR="00156844" w:rsidRDefault="00156844" w:rsidP="00230FAA">
            <w:pPr>
              <w:rPr>
                <w:i/>
                <w:sz w:val="16"/>
                <w:szCs w:val="16"/>
                <w:lang w:val="es-ES_tradnl" w:bidi="th-TH"/>
              </w:rPr>
            </w:pPr>
          </w:p>
          <w:p w:rsidR="00156844" w:rsidRDefault="00156844" w:rsidP="00230FAA">
            <w:pPr>
              <w:rPr>
                <w:i/>
                <w:sz w:val="16"/>
                <w:szCs w:val="16"/>
                <w:lang w:val="es-ES_tradnl" w:bidi="th-TH"/>
              </w:rPr>
            </w:pPr>
          </w:p>
          <w:p w:rsidR="00502550" w:rsidRPr="000070E9" w:rsidRDefault="00502550" w:rsidP="00230FAA">
            <w:pPr>
              <w:rPr>
                <w:i/>
                <w:sz w:val="16"/>
                <w:szCs w:val="16"/>
                <w:lang w:bidi="th-TH"/>
              </w:rPr>
            </w:pPr>
            <w:r w:rsidRPr="000070E9">
              <w:rPr>
                <w:i/>
                <w:sz w:val="16"/>
                <w:szCs w:val="16"/>
                <w:lang w:val="es-ES_tradnl" w:bidi="th-TH"/>
              </w:rPr>
              <w:lastRenderedPageBreak/>
              <w:t>Objetivo original en el presupuesto de 2016/17:</w:t>
            </w:r>
            <w:r w:rsidRPr="000070E9">
              <w:rPr>
                <w:i/>
                <w:sz w:val="16"/>
                <w:szCs w:val="16"/>
                <w:lang w:bidi="th-TH"/>
              </w:rPr>
              <w:t xml:space="preserve">  </w:t>
            </w:r>
          </w:p>
          <w:p w:rsidR="00502550" w:rsidRPr="000070E9" w:rsidRDefault="00502550" w:rsidP="00230FAA">
            <w:pPr>
              <w:rPr>
                <w:sz w:val="16"/>
                <w:szCs w:val="16"/>
              </w:rPr>
            </w:pPr>
            <w:r w:rsidRPr="000070E9">
              <w:rPr>
                <w:sz w:val="16"/>
                <w:szCs w:val="16"/>
                <w:lang w:val="es-ES_tradnl"/>
              </w:rPr>
              <w:t>30 redes nacionales de CATI (en total): África: 11 (de las que 8 en PMA);</w:t>
            </w:r>
            <w:r w:rsidRPr="000070E9">
              <w:rPr>
                <w:sz w:val="16"/>
                <w:szCs w:val="16"/>
              </w:rPr>
              <w:t xml:space="preserve">  </w:t>
            </w:r>
          </w:p>
          <w:p w:rsidR="00502550" w:rsidRPr="000070E9" w:rsidRDefault="00502550" w:rsidP="00230FAA">
            <w:pPr>
              <w:rPr>
                <w:sz w:val="16"/>
                <w:szCs w:val="16"/>
              </w:rPr>
            </w:pPr>
            <w:r w:rsidRPr="000070E9">
              <w:rPr>
                <w:sz w:val="16"/>
                <w:szCs w:val="16"/>
                <w:lang w:val="es-ES_tradnl"/>
              </w:rPr>
              <w:t>Países árabes: 4; Asia y el Pacífico: 5 (de las que 2 en PMA);</w:t>
            </w:r>
            <w:r w:rsidRPr="000070E9">
              <w:rPr>
                <w:sz w:val="16"/>
                <w:szCs w:val="16"/>
              </w:rPr>
              <w:t xml:space="preserve">  </w:t>
            </w:r>
            <w:r w:rsidRPr="000070E9">
              <w:rPr>
                <w:sz w:val="16"/>
                <w:szCs w:val="16"/>
                <w:lang w:val="es-ES_tradnl"/>
              </w:rPr>
              <w:t>América Latina y el Caribe:  7;</w:t>
            </w:r>
            <w:r w:rsidRPr="000070E9">
              <w:rPr>
                <w:sz w:val="16"/>
                <w:szCs w:val="16"/>
              </w:rPr>
              <w:t xml:space="preserve">  </w:t>
            </w:r>
            <w:r w:rsidRPr="000070E9">
              <w:rPr>
                <w:sz w:val="16"/>
                <w:szCs w:val="16"/>
                <w:lang w:val="es-ES_tradnl"/>
              </w:rPr>
              <w:t>determinados países de Europa y Asia:  3</w:t>
            </w:r>
          </w:p>
        </w:tc>
        <w:tc>
          <w:tcPr>
            <w:tcW w:w="1259" w:type="pct"/>
            <w:shd w:val="clear" w:color="auto" w:fill="FFFFFF"/>
            <w:tcMar>
              <w:top w:w="110" w:type="dxa"/>
              <w:left w:w="58" w:type="dxa"/>
              <w:right w:w="58" w:type="dxa"/>
            </w:tcMar>
          </w:tcPr>
          <w:p w:rsidR="00502550" w:rsidRPr="000070E9" w:rsidRDefault="00502550" w:rsidP="00230FAA">
            <w:pPr>
              <w:rPr>
                <w:sz w:val="16"/>
                <w:szCs w:val="16"/>
              </w:rPr>
            </w:pPr>
            <w:r w:rsidRPr="000070E9">
              <w:rPr>
                <w:sz w:val="16"/>
                <w:szCs w:val="16"/>
              </w:rPr>
              <w:lastRenderedPageBreak/>
              <w:t>28 redes nacionales sostenibles (en total, a fines de 2016)</w:t>
            </w:r>
          </w:p>
          <w:p w:rsidR="00502550" w:rsidRPr="000070E9" w:rsidRDefault="00502550" w:rsidP="00230FAA">
            <w:pPr>
              <w:rPr>
                <w:sz w:val="16"/>
                <w:szCs w:val="16"/>
              </w:rPr>
            </w:pPr>
          </w:p>
          <w:p w:rsidR="00502550" w:rsidRPr="000070E9" w:rsidRDefault="00502550" w:rsidP="00230FAA">
            <w:pPr>
              <w:rPr>
                <w:sz w:val="16"/>
                <w:szCs w:val="16"/>
              </w:rPr>
            </w:pPr>
            <w:r w:rsidRPr="000070E9">
              <w:rPr>
                <w:sz w:val="16"/>
                <w:szCs w:val="16"/>
                <w:lang w:val="es-ES_tradnl"/>
              </w:rPr>
              <w:t>Nivel de desarrollo 1:</w:t>
            </w:r>
          </w:p>
          <w:p w:rsidR="00502550" w:rsidRPr="000070E9" w:rsidRDefault="00502550" w:rsidP="00230FAA">
            <w:pPr>
              <w:rPr>
                <w:sz w:val="16"/>
                <w:szCs w:val="16"/>
              </w:rPr>
            </w:pPr>
            <w:r w:rsidRPr="000070E9">
              <w:rPr>
                <w:sz w:val="16"/>
                <w:szCs w:val="16"/>
              </w:rPr>
              <w:t>África (3 de las que 1 en PMA)</w:t>
            </w:r>
          </w:p>
          <w:p w:rsidR="00502550" w:rsidRPr="000070E9" w:rsidRDefault="00502550" w:rsidP="00230FAA">
            <w:pPr>
              <w:rPr>
                <w:sz w:val="16"/>
                <w:szCs w:val="16"/>
              </w:rPr>
            </w:pPr>
            <w:r w:rsidRPr="000070E9">
              <w:rPr>
                <w:sz w:val="16"/>
                <w:szCs w:val="16"/>
                <w:lang w:val="es-ES_tradnl"/>
              </w:rPr>
              <w:t>Asia y el Pacífico (2)</w:t>
            </w:r>
          </w:p>
          <w:p w:rsidR="00502550" w:rsidRPr="000070E9" w:rsidRDefault="00502550" w:rsidP="00230FAA">
            <w:pPr>
              <w:rPr>
                <w:sz w:val="16"/>
                <w:szCs w:val="16"/>
              </w:rPr>
            </w:pPr>
            <w:r w:rsidRPr="000070E9">
              <w:rPr>
                <w:sz w:val="16"/>
                <w:szCs w:val="16"/>
                <w:lang w:val="es-ES_tradnl"/>
              </w:rPr>
              <w:t>América Latina y el Caribe (2)</w:t>
            </w:r>
          </w:p>
          <w:p w:rsidR="00502550" w:rsidRPr="000070E9" w:rsidRDefault="00502550" w:rsidP="00230FAA">
            <w:pPr>
              <w:rPr>
                <w:sz w:val="16"/>
                <w:szCs w:val="16"/>
              </w:rPr>
            </w:pPr>
            <w:r w:rsidRPr="000070E9">
              <w:rPr>
                <w:sz w:val="16"/>
                <w:szCs w:val="16"/>
              </w:rPr>
              <w:t>(7 en total)</w:t>
            </w:r>
          </w:p>
          <w:p w:rsidR="00502550" w:rsidRPr="000070E9" w:rsidRDefault="00502550" w:rsidP="00230FAA">
            <w:pPr>
              <w:rPr>
                <w:sz w:val="16"/>
                <w:szCs w:val="16"/>
              </w:rPr>
            </w:pPr>
          </w:p>
          <w:p w:rsidR="00502550" w:rsidRPr="000070E9" w:rsidRDefault="00502550" w:rsidP="00230FAA">
            <w:pPr>
              <w:rPr>
                <w:sz w:val="16"/>
                <w:szCs w:val="16"/>
              </w:rPr>
            </w:pPr>
            <w:r w:rsidRPr="000070E9">
              <w:rPr>
                <w:sz w:val="16"/>
                <w:szCs w:val="16"/>
                <w:lang w:val="es-ES_tradnl"/>
              </w:rPr>
              <w:t>Nivel de desarrollo 2:</w:t>
            </w:r>
          </w:p>
          <w:p w:rsidR="00502550" w:rsidRPr="000070E9" w:rsidRDefault="00502550" w:rsidP="00230FAA">
            <w:pPr>
              <w:rPr>
                <w:sz w:val="16"/>
                <w:szCs w:val="16"/>
              </w:rPr>
            </w:pPr>
            <w:r w:rsidRPr="000070E9">
              <w:rPr>
                <w:sz w:val="16"/>
                <w:szCs w:val="16"/>
                <w:lang w:val="es-ES_tradnl"/>
              </w:rPr>
              <w:t>África (8 de las que 6 en PMA)</w:t>
            </w:r>
          </w:p>
          <w:p w:rsidR="00502550" w:rsidRPr="000070E9" w:rsidRDefault="00502550" w:rsidP="00230FAA">
            <w:pPr>
              <w:rPr>
                <w:sz w:val="16"/>
                <w:szCs w:val="16"/>
              </w:rPr>
            </w:pPr>
            <w:r w:rsidRPr="000070E9">
              <w:rPr>
                <w:sz w:val="16"/>
                <w:szCs w:val="16"/>
              </w:rPr>
              <w:t>Países</w:t>
            </w:r>
            <w:r w:rsidRPr="000070E9">
              <w:rPr>
                <w:sz w:val="16"/>
                <w:szCs w:val="16"/>
                <w:lang w:val="es-ES_tradnl"/>
              </w:rPr>
              <w:t xml:space="preserve"> árabes (1)</w:t>
            </w:r>
          </w:p>
          <w:p w:rsidR="00502550" w:rsidRPr="000070E9" w:rsidRDefault="00502550" w:rsidP="00230FAA">
            <w:pPr>
              <w:rPr>
                <w:sz w:val="16"/>
                <w:szCs w:val="16"/>
              </w:rPr>
            </w:pPr>
            <w:r w:rsidRPr="000070E9">
              <w:rPr>
                <w:sz w:val="16"/>
                <w:szCs w:val="16"/>
                <w:lang w:val="es-ES_tradnl"/>
              </w:rPr>
              <w:t>Asia y el Pacífico (2)</w:t>
            </w:r>
          </w:p>
          <w:p w:rsidR="00502550" w:rsidRPr="000070E9" w:rsidRDefault="00502550" w:rsidP="00230FAA">
            <w:pPr>
              <w:rPr>
                <w:sz w:val="16"/>
                <w:szCs w:val="16"/>
              </w:rPr>
            </w:pPr>
            <w:r w:rsidRPr="000070E9">
              <w:rPr>
                <w:sz w:val="16"/>
                <w:szCs w:val="16"/>
                <w:lang w:val="es-ES_tradnl"/>
              </w:rPr>
              <w:t>América Latina y el Caribe (4)</w:t>
            </w:r>
          </w:p>
          <w:p w:rsidR="00502550" w:rsidRPr="000070E9" w:rsidRDefault="00502550" w:rsidP="00230FAA">
            <w:pPr>
              <w:rPr>
                <w:sz w:val="16"/>
                <w:szCs w:val="16"/>
              </w:rPr>
            </w:pPr>
            <w:r w:rsidRPr="000070E9">
              <w:rPr>
                <w:sz w:val="16"/>
                <w:szCs w:val="16"/>
              </w:rPr>
              <w:t>(15 en total)</w:t>
            </w:r>
          </w:p>
          <w:p w:rsidR="00502550" w:rsidRPr="000070E9" w:rsidRDefault="00502550" w:rsidP="00230FAA">
            <w:pPr>
              <w:rPr>
                <w:sz w:val="16"/>
                <w:szCs w:val="16"/>
              </w:rPr>
            </w:pPr>
          </w:p>
          <w:p w:rsidR="00502550" w:rsidRPr="000070E9" w:rsidRDefault="00502550" w:rsidP="00230FAA">
            <w:pPr>
              <w:rPr>
                <w:sz w:val="16"/>
                <w:szCs w:val="16"/>
              </w:rPr>
            </w:pPr>
            <w:r w:rsidRPr="000070E9">
              <w:rPr>
                <w:sz w:val="16"/>
                <w:szCs w:val="16"/>
              </w:rPr>
              <w:t>Nivel de desarrollo 3, incluida la prestación de servicios con valor añadido:</w:t>
            </w:r>
            <w:r w:rsidRPr="000070E9">
              <w:rPr>
                <w:rStyle w:val="FootnoteReference"/>
              </w:rPr>
              <w:footnoteReference w:id="63"/>
            </w:r>
          </w:p>
          <w:p w:rsidR="00502550" w:rsidRPr="000070E9" w:rsidRDefault="00502550" w:rsidP="00230FAA">
            <w:pPr>
              <w:rPr>
                <w:sz w:val="16"/>
                <w:szCs w:val="16"/>
              </w:rPr>
            </w:pPr>
            <w:r w:rsidRPr="000070E9">
              <w:rPr>
                <w:sz w:val="16"/>
                <w:szCs w:val="16"/>
                <w:lang w:val="es-ES_tradnl"/>
              </w:rPr>
              <w:t>África (1)</w:t>
            </w:r>
            <w:r w:rsidRPr="000070E9">
              <w:rPr>
                <w:sz w:val="16"/>
                <w:szCs w:val="16"/>
                <w:lang w:val="es-ES_tradnl"/>
              </w:rPr>
              <w:br/>
              <w:t>Países árabes (1)</w:t>
            </w:r>
          </w:p>
          <w:p w:rsidR="00502550" w:rsidRPr="000070E9" w:rsidRDefault="00502550" w:rsidP="00230FAA">
            <w:pPr>
              <w:rPr>
                <w:sz w:val="16"/>
                <w:szCs w:val="16"/>
              </w:rPr>
            </w:pPr>
            <w:r w:rsidRPr="000070E9">
              <w:rPr>
                <w:sz w:val="16"/>
                <w:szCs w:val="16"/>
                <w:lang w:val="es-ES_tradnl"/>
              </w:rPr>
              <w:t>Asia y el Pacífico (1)</w:t>
            </w:r>
          </w:p>
          <w:p w:rsidR="00502550" w:rsidRPr="000070E9" w:rsidRDefault="00502550" w:rsidP="00230FAA">
            <w:pPr>
              <w:rPr>
                <w:sz w:val="16"/>
                <w:szCs w:val="16"/>
              </w:rPr>
            </w:pPr>
            <w:r w:rsidRPr="000070E9">
              <w:rPr>
                <w:sz w:val="16"/>
                <w:szCs w:val="16"/>
                <w:lang w:val="es-ES_tradnl"/>
              </w:rPr>
              <w:t>América Latina y el Caribe (2)</w:t>
            </w:r>
          </w:p>
          <w:p w:rsidR="00502550" w:rsidRPr="000070E9" w:rsidRDefault="00502550" w:rsidP="00230FAA">
            <w:pPr>
              <w:rPr>
                <w:sz w:val="16"/>
                <w:szCs w:val="16"/>
              </w:rPr>
            </w:pPr>
            <w:r w:rsidRPr="000070E9">
              <w:rPr>
                <w:sz w:val="16"/>
                <w:szCs w:val="16"/>
                <w:lang w:val="es-ES_tradnl"/>
              </w:rPr>
              <w:t>Países en transición (1)</w:t>
            </w:r>
            <w:r w:rsidRPr="000070E9">
              <w:rPr>
                <w:sz w:val="16"/>
                <w:szCs w:val="16"/>
              </w:rPr>
              <w:t xml:space="preserve"> </w:t>
            </w:r>
          </w:p>
          <w:p w:rsidR="00502550" w:rsidRPr="000070E9" w:rsidRDefault="00502550" w:rsidP="00230FAA">
            <w:r w:rsidRPr="000070E9">
              <w:rPr>
                <w:sz w:val="16"/>
                <w:szCs w:val="16"/>
              </w:rPr>
              <w:t>(6 en total)</w:t>
            </w:r>
          </w:p>
        </w:tc>
        <w:tc>
          <w:tcPr>
            <w:tcW w:w="514" w:type="pct"/>
            <w:shd w:val="clear" w:color="auto" w:fill="auto"/>
            <w:tcMar>
              <w:top w:w="110" w:type="dxa"/>
              <w:left w:w="58" w:type="dxa"/>
              <w:right w:w="58" w:type="dxa"/>
            </w:tcMar>
          </w:tcPr>
          <w:p w:rsidR="00502550" w:rsidRPr="000070E9" w:rsidRDefault="00502550" w:rsidP="00230FAA">
            <w:pPr>
              <w:keepNext/>
              <w:keepLines/>
              <w:jc w:val="center"/>
              <w:rPr>
                <w:b/>
                <w:sz w:val="16"/>
                <w:szCs w:val="16"/>
              </w:rPr>
            </w:pPr>
            <w:r w:rsidRPr="000070E9">
              <w:rPr>
                <w:b/>
                <w:color w:val="00B050"/>
                <w:sz w:val="16"/>
                <w:szCs w:val="16"/>
                <w:lang w:val="es-ES_tradnl"/>
              </w:rPr>
              <w:t>Avanza</w:t>
            </w:r>
          </w:p>
        </w:tc>
      </w:tr>
      <w:tr w:rsidR="00502550" w:rsidRPr="000070E9" w:rsidTr="00230FAA">
        <w:trPr>
          <w:trHeight w:val="1315"/>
        </w:trPr>
        <w:tc>
          <w:tcPr>
            <w:tcW w:w="1165" w:type="pct"/>
            <w:shd w:val="clear" w:color="auto" w:fill="auto"/>
            <w:tcMar>
              <w:left w:w="58" w:type="dxa"/>
              <w:right w:w="58" w:type="dxa"/>
            </w:tcMar>
          </w:tcPr>
          <w:p w:rsidR="00502550" w:rsidRPr="000070E9" w:rsidRDefault="00502550" w:rsidP="00230FAA">
            <w:pPr>
              <w:rPr>
                <w:sz w:val="16"/>
                <w:szCs w:val="16"/>
              </w:rPr>
            </w:pPr>
            <w:r w:rsidRPr="000070E9">
              <w:rPr>
                <w:sz w:val="16"/>
                <w:szCs w:val="16"/>
                <w:lang w:val="es-ES_tradnl"/>
              </w:rPr>
              <w:lastRenderedPageBreak/>
              <w:t>N.º de usuarios anuales en promedio atendidos por los CATI</w:t>
            </w:r>
          </w:p>
        </w:tc>
        <w:tc>
          <w:tcPr>
            <w:tcW w:w="1269" w:type="pct"/>
            <w:shd w:val="clear" w:color="auto" w:fill="auto"/>
            <w:tcMar>
              <w:left w:w="58" w:type="dxa"/>
              <w:right w:w="58" w:type="dxa"/>
            </w:tcMar>
          </w:tcPr>
          <w:p w:rsidR="00502550" w:rsidRPr="00FE0F0B" w:rsidRDefault="00502550" w:rsidP="00230FAA">
            <w:pPr>
              <w:rPr>
                <w:i/>
                <w:color w:val="002060"/>
                <w:sz w:val="16"/>
                <w:szCs w:val="16"/>
              </w:rPr>
            </w:pPr>
            <w:r w:rsidRPr="00FE0F0B">
              <w:rPr>
                <w:i/>
                <w:color w:val="002060"/>
                <w:sz w:val="16"/>
                <w:szCs w:val="16"/>
                <w:lang w:val="es-ES_tradnl"/>
              </w:rPr>
              <w:t>Referencia actualizada a fines de 2015:</w:t>
            </w:r>
            <w:r w:rsidRPr="00FE0F0B">
              <w:rPr>
                <w:i/>
                <w:color w:val="002060"/>
                <w:sz w:val="16"/>
                <w:szCs w:val="16"/>
              </w:rPr>
              <w:t xml:space="preserve">  </w:t>
            </w:r>
          </w:p>
          <w:p w:rsidR="00502550" w:rsidRPr="00FE0F0B" w:rsidRDefault="00502550" w:rsidP="00230FAA">
            <w:pPr>
              <w:rPr>
                <w:color w:val="002060"/>
                <w:sz w:val="16"/>
                <w:szCs w:val="16"/>
              </w:rPr>
            </w:pPr>
            <w:r w:rsidRPr="00FE0F0B">
              <w:rPr>
                <w:color w:val="002060"/>
                <w:sz w:val="16"/>
                <w:szCs w:val="16"/>
                <w:lang w:val="es-ES_tradnl"/>
              </w:rPr>
              <w:t>874 (mín.) - 2.631 (máx.)</w:t>
            </w:r>
            <w:r w:rsidRPr="00FE0F0B">
              <w:rPr>
                <w:color w:val="002060"/>
                <w:sz w:val="16"/>
                <w:szCs w:val="16"/>
              </w:rPr>
              <w:t xml:space="preserve"> = 1.730 en promedio</w:t>
            </w:r>
          </w:p>
          <w:p w:rsidR="00502550" w:rsidRPr="000070E9" w:rsidRDefault="00502550" w:rsidP="00230FAA">
            <w:pPr>
              <w:rPr>
                <w:sz w:val="16"/>
                <w:szCs w:val="16"/>
              </w:rPr>
            </w:pPr>
          </w:p>
          <w:p w:rsidR="00502550" w:rsidRPr="000070E9" w:rsidRDefault="00502550" w:rsidP="00230FAA">
            <w:pPr>
              <w:ind w:right="176"/>
              <w:rPr>
                <w:i/>
                <w:sz w:val="16"/>
                <w:szCs w:val="16"/>
                <w:lang w:bidi="th-TH"/>
              </w:rPr>
            </w:pPr>
            <w:r w:rsidRPr="000070E9">
              <w:rPr>
                <w:i/>
                <w:sz w:val="16"/>
                <w:szCs w:val="16"/>
                <w:lang w:val="es-ES_tradnl" w:bidi="th-TH"/>
              </w:rPr>
              <w:t>Referencia original en el presupuesto de 2016/17:</w:t>
            </w:r>
            <w:r w:rsidRPr="000070E9">
              <w:rPr>
                <w:i/>
                <w:sz w:val="16"/>
                <w:szCs w:val="16"/>
                <w:lang w:bidi="th-TH"/>
              </w:rPr>
              <w:t xml:space="preserve">  </w:t>
            </w:r>
          </w:p>
          <w:p w:rsidR="00502550" w:rsidRPr="000070E9" w:rsidRDefault="00502550" w:rsidP="00230FAA">
            <w:pPr>
              <w:spacing w:after="240"/>
              <w:ind w:left="5" w:firstLineChars="19" w:firstLine="30"/>
              <w:rPr>
                <w:sz w:val="16"/>
                <w:szCs w:val="16"/>
              </w:rPr>
            </w:pPr>
            <w:r w:rsidRPr="000070E9">
              <w:rPr>
                <w:sz w:val="16"/>
                <w:szCs w:val="16"/>
                <w:lang w:val="es-ES_tradnl"/>
              </w:rPr>
              <w:t>548 (mín.) a 1.625 (máx.)</w:t>
            </w:r>
          </w:p>
        </w:tc>
        <w:tc>
          <w:tcPr>
            <w:tcW w:w="793" w:type="pct"/>
            <w:shd w:val="clear" w:color="auto" w:fill="auto"/>
            <w:tcMar>
              <w:top w:w="110" w:type="dxa"/>
              <w:left w:w="58" w:type="dxa"/>
              <w:right w:w="58" w:type="dxa"/>
            </w:tcMar>
          </w:tcPr>
          <w:p w:rsidR="00502550" w:rsidRPr="00FE0F0B" w:rsidRDefault="00502550" w:rsidP="00230FAA">
            <w:pPr>
              <w:ind w:left="-3" w:firstLineChars="25" w:firstLine="40"/>
              <w:rPr>
                <w:i/>
                <w:color w:val="002060"/>
                <w:sz w:val="16"/>
                <w:szCs w:val="16"/>
              </w:rPr>
            </w:pPr>
            <w:r w:rsidRPr="00FE0F0B">
              <w:rPr>
                <w:i/>
                <w:color w:val="002060"/>
                <w:sz w:val="16"/>
                <w:szCs w:val="16"/>
              </w:rPr>
              <w:t xml:space="preserve">Objetivo actualizado: </w:t>
            </w:r>
          </w:p>
          <w:p w:rsidR="00502550" w:rsidRPr="00FE0F0B" w:rsidRDefault="00502550" w:rsidP="00230FAA">
            <w:pPr>
              <w:rPr>
                <w:color w:val="002060"/>
                <w:sz w:val="16"/>
                <w:szCs w:val="16"/>
              </w:rPr>
            </w:pPr>
            <w:r w:rsidRPr="00FE0F0B">
              <w:rPr>
                <w:color w:val="002060"/>
                <w:sz w:val="16"/>
                <w:szCs w:val="16"/>
              </w:rPr>
              <w:t>3.500</w:t>
            </w:r>
          </w:p>
          <w:p w:rsidR="00502550" w:rsidRPr="000070E9" w:rsidRDefault="00502550" w:rsidP="00230FAA">
            <w:pPr>
              <w:ind w:left="-3" w:firstLineChars="25" w:firstLine="40"/>
              <w:rPr>
                <w:sz w:val="16"/>
                <w:szCs w:val="16"/>
              </w:rPr>
            </w:pPr>
          </w:p>
          <w:p w:rsidR="00502550" w:rsidRPr="000070E9" w:rsidRDefault="00502550" w:rsidP="00230FAA">
            <w:pPr>
              <w:ind w:left="-3" w:firstLineChars="25" w:firstLine="40"/>
              <w:rPr>
                <w:i/>
                <w:sz w:val="16"/>
                <w:szCs w:val="16"/>
              </w:rPr>
            </w:pPr>
            <w:r w:rsidRPr="000070E9">
              <w:rPr>
                <w:i/>
                <w:sz w:val="16"/>
                <w:szCs w:val="16"/>
              </w:rPr>
              <w:t>Objetivo original:</w:t>
            </w:r>
          </w:p>
          <w:p w:rsidR="00502550" w:rsidRPr="000070E9" w:rsidRDefault="00502550" w:rsidP="00230FAA">
            <w:pPr>
              <w:ind w:left="-3" w:firstLineChars="25" w:firstLine="40"/>
              <w:rPr>
                <w:sz w:val="16"/>
                <w:szCs w:val="16"/>
              </w:rPr>
            </w:pPr>
            <w:r w:rsidRPr="000070E9">
              <w:rPr>
                <w:sz w:val="16"/>
                <w:szCs w:val="16"/>
              </w:rPr>
              <w:t>1.100</w:t>
            </w:r>
          </w:p>
        </w:tc>
        <w:tc>
          <w:tcPr>
            <w:tcW w:w="1259" w:type="pct"/>
            <w:shd w:val="clear" w:color="auto" w:fill="FFFFFF"/>
            <w:tcMar>
              <w:top w:w="110" w:type="dxa"/>
              <w:left w:w="58" w:type="dxa"/>
              <w:right w:w="58" w:type="dxa"/>
            </w:tcMar>
          </w:tcPr>
          <w:p w:rsidR="00502550" w:rsidRPr="000070E9" w:rsidRDefault="00502550" w:rsidP="00230FAA">
            <w:pPr>
              <w:keepNext/>
              <w:keepLines/>
              <w:rPr>
                <w:sz w:val="16"/>
                <w:szCs w:val="16"/>
              </w:rPr>
            </w:pPr>
            <w:r w:rsidRPr="000070E9">
              <w:rPr>
                <w:sz w:val="16"/>
                <w:szCs w:val="16"/>
              </w:rPr>
              <w:t>1.750 usuarios atendidos por los CATI en 2016</w:t>
            </w:r>
          </w:p>
        </w:tc>
        <w:tc>
          <w:tcPr>
            <w:tcW w:w="514" w:type="pct"/>
            <w:shd w:val="clear" w:color="auto" w:fill="auto"/>
            <w:tcMar>
              <w:top w:w="110" w:type="dxa"/>
              <w:left w:w="58" w:type="dxa"/>
              <w:right w:w="58" w:type="dxa"/>
            </w:tcMar>
          </w:tcPr>
          <w:p w:rsidR="00502550" w:rsidRPr="000070E9" w:rsidRDefault="00502550" w:rsidP="00230FAA">
            <w:pPr>
              <w:keepNext/>
              <w:keepLines/>
              <w:jc w:val="center"/>
              <w:rPr>
                <w:sz w:val="16"/>
                <w:szCs w:val="16"/>
              </w:rPr>
            </w:pPr>
            <w:r w:rsidRPr="000070E9">
              <w:rPr>
                <w:b/>
                <w:color w:val="00B050"/>
                <w:sz w:val="16"/>
                <w:szCs w:val="16"/>
                <w:lang w:val="es-ES_tradnl"/>
              </w:rPr>
              <w:t>Avanza</w:t>
            </w:r>
          </w:p>
        </w:tc>
      </w:tr>
      <w:tr w:rsidR="00C40DAA" w:rsidRPr="000070E9" w:rsidTr="00230FAA">
        <w:trPr>
          <w:trHeight w:val="1855"/>
        </w:trPr>
        <w:tc>
          <w:tcPr>
            <w:tcW w:w="1165" w:type="pct"/>
            <w:shd w:val="clear" w:color="auto" w:fill="auto"/>
            <w:tcMar>
              <w:left w:w="58" w:type="dxa"/>
              <w:right w:w="58" w:type="dxa"/>
            </w:tcMar>
          </w:tcPr>
          <w:p w:rsidR="00C40DAA" w:rsidRPr="000070E9" w:rsidRDefault="00C40DAA" w:rsidP="00230FAA">
            <w:pPr>
              <w:rPr>
                <w:sz w:val="16"/>
                <w:szCs w:val="16"/>
                <w:lang w:val="es-ES_tradnl"/>
              </w:rPr>
            </w:pPr>
            <w:r>
              <w:rPr>
                <w:sz w:val="16"/>
                <w:szCs w:val="16"/>
                <w:lang w:val="es-ES_tradnl"/>
              </w:rPr>
              <w:t>N.º de Estados miembros en las regiones respectivas  que colaboran con las bases mundiales de datos</w:t>
            </w:r>
          </w:p>
        </w:tc>
        <w:tc>
          <w:tcPr>
            <w:tcW w:w="1269" w:type="pct"/>
            <w:shd w:val="clear" w:color="auto" w:fill="auto"/>
            <w:tcMar>
              <w:left w:w="58" w:type="dxa"/>
              <w:right w:w="58" w:type="dxa"/>
            </w:tcMar>
          </w:tcPr>
          <w:p w:rsidR="00C40DAA" w:rsidRPr="00C40DAA" w:rsidRDefault="00C40DAA" w:rsidP="00230FAA">
            <w:pPr>
              <w:rPr>
                <w:color w:val="002060"/>
                <w:sz w:val="16"/>
                <w:szCs w:val="16"/>
                <w:lang w:val="es-ES_tradnl"/>
              </w:rPr>
            </w:pPr>
            <w:r>
              <w:rPr>
                <w:i/>
                <w:color w:val="002060"/>
                <w:sz w:val="16"/>
                <w:szCs w:val="16"/>
                <w:lang w:val="es-ES_tradnl"/>
              </w:rPr>
              <w:t>Referencia actualizada a fines de 2015:</w:t>
            </w:r>
            <w:r>
              <w:rPr>
                <w:color w:val="002060"/>
                <w:sz w:val="16"/>
                <w:szCs w:val="16"/>
                <w:lang w:val="es-ES_tradnl"/>
              </w:rPr>
              <w:br/>
              <w:t>PATENTSCOPE (19):</w:t>
            </w:r>
            <w:r>
              <w:rPr>
                <w:color w:val="002060"/>
                <w:sz w:val="16"/>
                <w:szCs w:val="16"/>
                <w:lang w:val="es-ES_tradnl"/>
              </w:rPr>
              <w:br/>
              <w:t>- ARABPAT (4)</w:t>
            </w:r>
            <w:r>
              <w:rPr>
                <w:color w:val="002060"/>
                <w:sz w:val="16"/>
                <w:szCs w:val="16"/>
                <w:lang w:val="es-ES_tradnl"/>
              </w:rPr>
              <w:br/>
              <w:t>- LATIPAT (15)</w:t>
            </w:r>
            <w:r>
              <w:rPr>
                <w:color w:val="002060"/>
                <w:sz w:val="16"/>
                <w:szCs w:val="16"/>
                <w:lang w:val="es-ES_tradnl"/>
              </w:rPr>
              <w:br/>
            </w:r>
            <w:r>
              <w:rPr>
                <w:color w:val="002060"/>
                <w:sz w:val="16"/>
                <w:szCs w:val="16"/>
                <w:lang w:val="es-ES_tradnl"/>
              </w:rPr>
              <w:br/>
              <w:t>GBD (4):</w:t>
            </w:r>
            <w:r>
              <w:rPr>
                <w:color w:val="002060"/>
                <w:sz w:val="16"/>
                <w:szCs w:val="16"/>
                <w:lang w:val="es-ES_tradnl"/>
              </w:rPr>
              <w:br/>
              <w:t>- ARABPAT (3)</w:t>
            </w:r>
            <w:r>
              <w:rPr>
                <w:color w:val="002060"/>
                <w:sz w:val="16"/>
                <w:szCs w:val="16"/>
                <w:lang w:val="es-ES_tradnl"/>
              </w:rPr>
              <w:br/>
              <w:t>- LATIPAT (1)</w:t>
            </w:r>
            <w:r>
              <w:rPr>
                <w:color w:val="002060"/>
                <w:sz w:val="16"/>
                <w:szCs w:val="16"/>
                <w:lang w:val="es-ES_tradnl"/>
              </w:rPr>
              <w:br/>
            </w:r>
            <w:r>
              <w:rPr>
                <w:color w:val="002060"/>
                <w:sz w:val="16"/>
                <w:szCs w:val="16"/>
                <w:lang w:val="es-ES_tradnl"/>
              </w:rPr>
              <w:br/>
              <w:t>GDD (0):</w:t>
            </w:r>
            <w:r>
              <w:rPr>
                <w:color w:val="002060"/>
                <w:sz w:val="16"/>
                <w:szCs w:val="16"/>
                <w:lang w:val="es-ES_tradnl"/>
              </w:rPr>
              <w:br/>
              <w:t>- ARABPAT (3)</w:t>
            </w:r>
            <w:r>
              <w:rPr>
                <w:color w:val="002060"/>
                <w:sz w:val="16"/>
                <w:szCs w:val="16"/>
                <w:lang w:val="es-ES_tradnl"/>
              </w:rPr>
              <w:br/>
              <w:t>- LATIPAT (1)</w:t>
            </w:r>
            <w:r>
              <w:rPr>
                <w:color w:val="002060"/>
                <w:sz w:val="16"/>
                <w:szCs w:val="16"/>
                <w:lang w:val="es-ES_tradnl"/>
              </w:rPr>
              <w:br/>
            </w:r>
            <w:r w:rsidRPr="00C40DAA">
              <w:rPr>
                <w:sz w:val="16"/>
                <w:szCs w:val="16"/>
                <w:lang w:val="es-ES_tradnl"/>
              </w:rPr>
              <w:br/>
            </w:r>
            <w:r w:rsidRPr="00C40DAA">
              <w:rPr>
                <w:i/>
                <w:sz w:val="16"/>
                <w:szCs w:val="16"/>
                <w:lang w:val="es-ES_tradnl"/>
              </w:rPr>
              <w:t>Referencia original en el presupuesto de 2016/17:</w:t>
            </w:r>
            <w:r w:rsidRPr="00C40DAA">
              <w:rPr>
                <w:sz w:val="16"/>
                <w:szCs w:val="16"/>
                <w:lang w:val="es-ES_tradnl"/>
              </w:rPr>
              <w:br/>
              <w:t>15 PATENTSCOPE, 1 GBD, 0 GDD LATIPAT</w:t>
            </w:r>
            <w:r w:rsidRPr="00C40DAA">
              <w:rPr>
                <w:sz w:val="16"/>
                <w:szCs w:val="16"/>
                <w:lang w:val="es-ES_tradnl"/>
              </w:rPr>
              <w:br/>
            </w:r>
            <w:r w:rsidRPr="00C40DAA">
              <w:rPr>
                <w:sz w:val="16"/>
                <w:szCs w:val="16"/>
                <w:lang w:val="es-ES_tradnl"/>
              </w:rPr>
              <w:br/>
              <w:t>3 PATENTSCOPE, 1 GBD, 0 GDD ARABPAT (feb. de 2015)</w:t>
            </w:r>
          </w:p>
        </w:tc>
        <w:tc>
          <w:tcPr>
            <w:tcW w:w="793" w:type="pct"/>
            <w:shd w:val="clear" w:color="auto" w:fill="auto"/>
            <w:tcMar>
              <w:top w:w="110" w:type="dxa"/>
              <w:left w:w="58" w:type="dxa"/>
              <w:right w:w="58" w:type="dxa"/>
            </w:tcMar>
          </w:tcPr>
          <w:p w:rsidR="00C40DAA" w:rsidRPr="00C40DAA" w:rsidRDefault="00C40DAA" w:rsidP="00230FAA">
            <w:pPr>
              <w:rPr>
                <w:color w:val="002060"/>
                <w:sz w:val="16"/>
                <w:szCs w:val="16"/>
                <w:lang w:val="es-ES_tradnl"/>
              </w:rPr>
            </w:pPr>
            <w:r w:rsidRPr="00D874E5">
              <w:rPr>
                <w:sz w:val="16"/>
                <w:szCs w:val="16"/>
                <w:lang w:val="es-ES_tradnl"/>
              </w:rPr>
              <w:t>PATENTSCOPE (+2)</w:t>
            </w:r>
            <w:r w:rsidRPr="00D874E5">
              <w:rPr>
                <w:sz w:val="16"/>
                <w:szCs w:val="16"/>
                <w:lang w:val="es-ES_tradnl"/>
              </w:rPr>
              <w:br/>
              <w:t>GBD (+4)</w:t>
            </w:r>
            <w:r w:rsidRPr="00D874E5">
              <w:rPr>
                <w:sz w:val="16"/>
                <w:szCs w:val="16"/>
                <w:lang w:val="es-ES_tradnl"/>
              </w:rPr>
              <w:br/>
              <w:t>GDD (+2) globalmente</w:t>
            </w:r>
          </w:p>
        </w:tc>
        <w:tc>
          <w:tcPr>
            <w:tcW w:w="1259" w:type="pct"/>
            <w:shd w:val="clear" w:color="auto" w:fill="FFFFFF"/>
            <w:tcMar>
              <w:top w:w="110" w:type="dxa"/>
              <w:left w:w="58" w:type="dxa"/>
              <w:right w:w="58" w:type="dxa"/>
            </w:tcMar>
          </w:tcPr>
          <w:p w:rsidR="00C40DAA" w:rsidRPr="000070E9" w:rsidRDefault="00C40DAA" w:rsidP="00230FAA">
            <w:pPr>
              <w:rPr>
                <w:sz w:val="16"/>
                <w:szCs w:val="16"/>
                <w:lang w:val="es-ES_tradnl"/>
              </w:rPr>
            </w:pPr>
            <w:r>
              <w:rPr>
                <w:sz w:val="16"/>
                <w:szCs w:val="16"/>
                <w:lang w:val="es-ES_tradnl"/>
              </w:rPr>
              <w:t xml:space="preserve">PATENTSCOPE:  </w:t>
            </w:r>
            <w:r>
              <w:rPr>
                <w:sz w:val="16"/>
                <w:szCs w:val="16"/>
                <w:lang w:val="es-ES_tradnl"/>
              </w:rPr>
              <w:br/>
              <w:t>Ningún Estado miembro adicional</w:t>
            </w:r>
            <w:r>
              <w:rPr>
                <w:sz w:val="16"/>
                <w:szCs w:val="16"/>
                <w:lang w:val="es-ES_tradnl"/>
              </w:rPr>
              <w:br/>
            </w:r>
            <w:r>
              <w:rPr>
                <w:sz w:val="16"/>
                <w:szCs w:val="16"/>
                <w:lang w:val="es-ES_tradnl"/>
              </w:rPr>
              <w:br/>
              <w:t>GBD:</w:t>
            </w:r>
            <w:r>
              <w:rPr>
                <w:sz w:val="16"/>
                <w:szCs w:val="16"/>
                <w:lang w:val="es-ES_tradnl"/>
              </w:rPr>
              <w:br/>
              <w:t>Ningún Estado miembro adicional</w:t>
            </w:r>
            <w:r>
              <w:rPr>
                <w:sz w:val="16"/>
                <w:szCs w:val="16"/>
                <w:lang w:val="es-ES_tradnl"/>
              </w:rPr>
              <w:br/>
            </w:r>
            <w:r>
              <w:rPr>
                <w:sz w:val="16"/>
                <w:szCs w:val="16"/>
                <w:lang w:val="es-ES_tradnl"/>
              </w:rPr>
              <w:br/>
              <w:t>GDD:</w:t>
            </w:r>
            <w:r>
              <w:rPr>
                <w:sz w:val="16"/>
                <w:szCs w:val="16"/>
                <w:lang w:val="es-ES_tradnl"/>
              </w:rPr>
              <w:br/>
              <w:t>Ningún Estado miembro adicional</w:t>
            </w:r>
          </w:p>
        </w:tc>
        <w:tc>
          <w:tcPr>
            <w:tcW w:w="514" w:type="pct"/>
            <w:shd w:val="clear" w:color="auto" w:fill="auto"/>
            <w:tcMar>
              <w:top w:w="110" w:type="dxa"/>
              <w:left w:w="58" w:type="dxa"/>
              <w:right w:w="58" w:type="dxa"/>
            </w:tcMar>
          </w:tcPr>
          <w:p w:rsidR="00C40DAA" w:rsidRPr="000070E9" w:rsidRDefault="00C40DAA" w:rsidP="00230FAA">
            <w:pPr>
              <w:keepNext/>
              <w:keepLines/>
              <w:jc w:val="center"/>
              <w:rPr>
                <w:b/>
                <w:color w:val="00B050"/>
                <w:sz w:val="16"/>
                <w:szCs w:val="16"/>
                <w:lang w:val="es-ES_tradnl"/>
              </w:rPr>
            </w:pPr>
            <w:r w:rsidRPr="00C40DAA">
              <w:rPr>
                <w:b/>
                <w:color w:val="FF0000"/>
                <w:sz w:val="16"/>
                <w:szCs w:val="16"/>
                <w:lang w:val="es-ES_tradnl"/>
              </w:rPr>
              <w:t>No avanza</w:t>
            </w:r>
          </w:p>
        </w:tc>
      </w:tr>
      <w:tr w:rsidR="00502550" w:rsidRPr="000070E9" w:rsidTr="00230FAA">
        <w:trPr>
          <w:trHeight w:val="1855"/>
        </w:trPr>
        <w:tc>
          <w:tcPr>
            <w:tcW w:w="1165" w:type="pct"/>
            <w:shd w:val="clear" w:color="auto" w:fill="auto"/>
            <w:tcMar>
              <w:left w:w="58" w:type="dxa"/>
              <w:right w:w="58" w:type="dxa"/>
            </w:tcMar>
          </w:tcPr>
          <w:p w:rsidR="00502550" w:rsidRPr="000070E9" w:rsidRDefault="00502550" w:rsidP="00230FAA">
            <w:pPr>
              <w:rPr>
                <w:sz w:val="16"/>
                <w:szCs w:val="16"/>
              </w:rPr>
            </w:pPr>
            <w:r w:rsidRPr="000070E9">
              <w:rPr>
                <w:sz w:val="16"/>
                <w:szCs w:val="16"/>
                <w:lang w:val="es-ES_tradnl"/>
              </w:rPr>
              <w:t>N.º de usuarios inscritos en ARDI y ASPI que utilizan dichos instrumentos</w:t>
            </w:r>
          </w:p>
        </w:tc>
        <w:tc>
          <w:tcPr>
            <w:tcW w:w="1269" w:type="pct"/>
            <w:shd w:val="clear" w:color="auto" w:fill="auto"/>
            <w:tcMar>
              <w:left w:w="58" w:type="dxa"/>
              <w:right w:w="58" w:type="dxa"/>
            </w:tcMar>
          </w:tcPr>
          <w:p w:rsidR="00502550" w:rsidRPr="00FE0F0B" w:rsidRDefault="00502550" w:rsidP="00230FAA">
            <w:pPr>
              <w:rPr>
                <w:i/>
                <w:color w:val="002060"/>
                <w:sz w:val="16"/>
                <w:szCs w:val="16"/>
              </w:rPr>
            </w:pPr>
            <w:r w:rsidRPr="00FE0F0B">
              <w:rPr>
                <w:i/>
                <w:color w:val="002060"/>
                <w:sz w:val="16"/>
                <w:szCs w:val="16"/>
                <w:lang w:val="es-ES_tradnl"/>
              </w:rPr>
              <w:t>Referencia actualizada a fines de 2015:</w:t>
            </w:r>
            <w:r w:rsidRPr="00FE0F0B">
              <w:rPr>
                <w:i/>
                <w:color w:val="002060"/>
                <w:sz w:val="16"/>
                <w:szCs w:val="16"/>
              </w:rPr>
              <w:t xml:space="preserve">  </w:t>
            </w:r>
          </w:p>
          <w:p w:rsidR="00502550" w:rsidRPr="00FE0F0B" w:rsidRDefault="00502550" w:rsidP="00230FAA">
            <w:pPr>
              <w:rPr>
                <w:color w:val="002060"/>
                <w:sz w:val="16"/>
                <w:szCs w:val="16"/>
              </w:rPr>
            </w:pPr>
            <w:r w:rsidRPr="00FE0F0B">
              <w:rPr>
                <w:color w:val="002060"/>
                <w:sz w:val="16"/>
                <w:szCs w:val="16"/>
                <w:lang w:val="es-ES_tradnl"/>
              </w:rPr>
              <w:t>ARDI:  623</w:t>
            </w:r>
          </w:p>
          <w:p w:rsidR="00502550" w:rsidRPr="00FE0F0B" w:rsidRDefault="00502550" w:rsidP="00230FAA">
            <w:pPr>
              <w:rPr>
                <w:color w:val="002060"/>
                <w:sz w:val="16"/>
                <w:szCs w:val="16"/>
              </w:rPr>
            </w:pPr>
            <w:r w:rsidRPr="00FE0F0B">
              <w:rPr>
                <w:color w:val="002060"/>
                <w:sz w:val="16"/>
                <w:szCs w:val="16"/>
                <w:lang w:val="es-ES_tradnl"/>
              </w:rPr>
              <w:t>ASPI:  42</w:t>
            </w:r>
          </w:p>
          <w:p w:rsidR="00502550" w:rsidRPr="000070E9" w:rsidRDefault="00502550" w:rsidP="00230FAA">
            <w:pPr>
              <w:rPr>
                <w:sz w:val="16"/>
                <w:szCs w:val="16"/>
              </w:rPr>
            </w:pPr>
          </w:p>
          <w:p w:rsidR="00502550" w:rsidRPr="000070E9" w:rsidRDefault="00502550" w:rsidP="00230FAA">
            <w:pPr>
              <w:ind w:right="176"/>
              <w:rPr>
                <w:i/>
                <w:sz w:val="16"/>
                <w:szCs w:val="16"/>
                <w:lang w:bidi="th-TH"/>
              </w:rPr>
            </w:pPr>
            <w:r w:rsidRPr="000070E9">
              <w:rPr>
                <w:i/>
                <w:sz w:val="16"/>
                <w:szCs w:val="16"/>
                <w:lang w:val="es-ES_tradnl" w:bidi="th-TH"/>
              </w:rPr>
              <w:t>Referencia original en el presupuesto de 2016/17:</w:t>
            </w:r>
            <w:r w:rsidRPr="000070E9">
              <w:rPr>
                <w:i/>
                <w:sz w:val="16"/>
                <w:szCs w:val="16"/>
                <w:lang w:bidi="th-TH"/>
              </w:rPr>
              <w:t xml:space="preserve">  </w:t>
            </w:r>
          </w:p>
          <w:p w:rsidR="00502550" w:rsidRPr="000070E9" w:rsidRDefault="00502550" w:rsidP="00230FAA">
            <w:pPr>
              <w:ind w:left="5"/>
              <w:rPr>
                <w:sz w:val="16"/>
                <w:szCs w:val="16"/>
              </w:rPr>
            </w:pPr>
            <w:r w:rsidRPr="000070E9">
              <w:rPr>
                <w:sz w:val="16"/>
                <w:szCs w:val="16"/>
                <w:lang w:val="es-ES_tradnl"/>
              </w:rPr>
              <w:t>ARDI (411 usuarios activos)</w:t>
            </w:r>
            <w:r w:rsidRPr="000070E9">
              <w:rPr>
                <w:sz w:val="16"/>
                <w:szCs w:val="16"/>
              </w:rPr>
              <w:t xml:space="preserve"> </w:t>
            </w:r>
          </w:p>
          <w:p w:rsidR="00502550" w:rsidRPr="000070E9" w:rsidRDefault="00502550" w:rsidP="00230FAA">
            <w:pPr>
              <w:ind w:left="5"/>
              <w:rPr>
                <w:sz w:val="16"/>
                <w:szCs w:val="16"/>
              </w:rPr>
            </w:pPr>
            <w:r w:rsidRPr="000070E9">
              <w:rPr>
                <w:sz w:val="16"/>
                <w:szCs w:val="16"/>
                <w:lang w:val="es-ES_tradnl"/>
              </w:rPr>
              <w:t>ASPI (35 usuarios activos)</w:t>
            </w:r>
            <w:r w:rsidRPr="000070E9">
              <w:rPr>
                <w:sz w:val="16"/>
                <w:szCs w:val="16"/>
              </w:rPr>
              <w:t xml:space="preserve"> </w:t>
            </w:r>
          </w:p>
          <w:p w:rsidR="00502550" w:rsidRPr="000070E9" w:rsidRDefault="00502550" w:rsidP="00230FAA">
            <w:pPr>
              <w:tabs>
                <w:tab w:val="left" w:pos="1453"/>
              </w:tabs>
              <w:spacing w:after="240"/>
              <w:ind w:left="5"/>
              <w:rPr>
                <w:sz w:val="16"/>
                <w:szCs w:val="16"/>
              </w:rPr>
            </w:pPr>
            <w:r w:rsidRPr="000070E9">
              <w:rPr>
                <w:sz w:val="16"/>
                <w:szCs w:val="16"/>
                <w:lang w:val="es-ES_tradnl"/>
              </w:rPr>
              <w:t>(fines de 2014)</w:t>
            </w:r>
          </w:p>
        </w:tc>
        <w:tc>
          <w:tcPr>
            <w:tcW w:w="793" w:type="pct"/>
            <w:shd w:val="clear" w:color="auto" w:fill="auto"/>
            <w:tcMar>
              <w:top w:w="110" w:type="dxa"/>
              <w:left w:w="58" w:type="dxa"/>
              <w:right w:w="58" w:type="dxa"/>
            </w:tcMar>
          </w:tcPr>
          <w:p w:rsidR="00502550" w:rsidRPr="00FE0F0B" w:rsidRDefault="00502550" w:rsidP="00230FAA">
            <w:pPr>
              <w:rPr>
                <w:i/>
                <w:color w:val="002060"/>
                <w:sz w:val="16"/>
                <w:szCs w:val="16"/>
              </w:rPr>
            </w:pPr>
            <w:r w:rsidRPr="00FE0F0B">
              <w:rPr>
                <w:i/>
                <w:color w:val="002060"/>
                <w:sz w:val="16"/>
                <w:szCs w:val="16"/>
              </w:rPr>
              <w:t xml:space="preserve">Objetivo actualizado:  </w:t>
            </w:r>
          </w:p>
          <w:p w:rsidR="00502550" w:rsidRPr="00FE0F0B" w:rsidRDefault="00502550" w:rsidP="00230FAA">
            <w:pPr>
              <w:rPr>
                <w:color w:val="002060"/>
                <w:sz w:val="16"/>
                <w:szCs w:val="16"/>
              </w:rPr>
            </w:pPr>
          </w:p>
          <w:p w:rsidR="00502550" w:rsidRPr="00FE0F0B" w:rsidRDefault="00502550" w:rsidP="00230FAA">
            <w:pPr>
              <w:rPr>
                <w:color w:val="002060"/>
                <w:sz w:val="16"/>
                <w:szCs w:val="16"/>
              </w:rPr>
            </w:pPr>
            <w:r w:rsidRPr="00FE0F0B">
              <w:rPr>
                <w:color w:val="002060"/>
                <w:sz w:val="16"/>
                <w:szCs w:val="16"/>
                <w:lang w:val="es-ES_tradnl"/>
              </w:rPr>
              <w:t>ARDI - 900</w:t>
            </w:r>
            <w:r w:rsidRPr="00FE0F0B">
              <w:rPr>
                <w:color w:val="002060"/>
                <w:sz w:val="16"/>
                <w:szCs w:val="16"/>
                <w:lang w:val="es-ES_tradnl"/>
              </w:rPr>
              <w:br/>
              <w:t>ASPI - 55</w:t>
            </w:r>
          </w:p>
          <w:p w:rsidR="00502550" w:rsidRPr="000070E9" w:rsidRDefault="00502550" w:rsidP="00230FAA">
            <w:pPr>
              <w:rPr>
                <w:sz w:val="16"/>
                <w:szCs w:val="16"/>
                <w:lang w:bidi="th-TH"/>
              </w:rPr>
            </w:pPr>
          </w:p>
          <w:p w:rsidR="00502550" w:rsidRPr="000070E9" w:rsidRDefault="00502550" w:rsidP="00230FAA">
            <w:pPr>
              <w:rPr>
                <w:i/>
                <w:sz w:val="16"/>
                <w:szCs w:val="16"/>
                <w:lang w:bidi="th-TH"/>
              </w:rPr>
            </w:pPr>
          </w:p>
          <w:p w:rsidR="00502550" w:rsidRPr="000070E9" w:rsidRDefault="00502550" w:rsidP="00230FAA">
            <w:pPr>
              <w:rPr>
                <w:i/>
                <w:sz w:val="16"/>
                <w:szCs w:val="16"/>
                <w:lang w:bidi="th-TH"/>
              </w:rPr>
            </w:pPr>
            <w:r w:rsidRPr="000070E9">
              <w:rPr>
                <w:i/>
                <w:sz w:val="16"/>
                <w:szCs w:val="16"/>
                <w:lang w:val="es-ES_tradnl" w:bidi="th-TH"/>
              </w:rPr>
              <w:t>Objetivo original en el presupuesto de 2016/17:</w:t>
            </w:r>
            <w:r w:rsidRPr="000070E9">
              <w:rPr>
                <w:i/>
                <w:sz w:val="16"/>
                <w:szCs w:val="16"/>
                <w:lang w:bidi="th-TH"/>
              </w:rPr>
              <w:t xml:space="preserve">  </w:t>
            </w:r>
          </w:p>
          <w:p w:rsidR="00502550" w:rsidRPr="000070E9" w:rsidRDefault="00502550" w:rsidP="00230FAA">
            <w:pPr>
              <w:ind w:left="-3"/>
              <w:rPr>
                <w:sz w:val="16"/>
                <w:szCs w:val="16"/>
              </w:rPr>
            </w:pPr>
            <w:r w:rsidRPr="000070E9">
              <w:rPr>
                <w:sz w:val="16"/>
                <w:szCs w:val="16"/>
                <w:lang w:val="es-ES_tradnl"/>
              </w:rPr>
              <w:t>ARDI - 600</w:t>
            </w:r>
            <w:r w:rsidRPr="000070E9">
              <w:rPr>
                <w:sz w:val="16"/>
                <w:szCs w:val="16"/>
                <w:lang w:val="es-ES_tradnl"/>
              </w:rPr>
              <w:br/>
              <w:t>ASPI - 60</w:t>
            </w:r>
          </w:p>
        </w:tc>
        <w:tc>
          <w:tcPr>
            <w:tcW w:w="1259" w:type="pct"/>
            <w:shd w:val="clear" w:color="auto" w:fill="FFFFFF"/>
            <w:tcMar>
              <w:top w:w="110" w:type="dxa"/>
              <w:left w:w="58" w:type="dxa"/>
              <w:right w:w="58" w:type="dxa"/>
            </w:tcMar>
          </w:tcPr>
          <w:p w:rsidR="00502550" w:rsidRPr="000070E9" w:rsidRDefault="00502550" w:rsidP="00230FAA">
            <w:pPr>
              <w:rPr>
                <w:sz w:val="16"/>
                <w:szCs w:val="16"/>
              </w:rPr>
            </w:pPr>
            <w:r w:rsidRPr="000070E9">
              <w:rPr>
                <w:sz w:val="16"/>
                <w:szCs w:val="16"/>
                <w:lang w:val="es-ES_tradnl"/>
              </w:rPr>
              <w:t>ARDI - 800</w:t>
            </w:r>
            <w:r w:rsidRPr="000070E9">
              <w:rPr>
                <w:sz w:val="16"/>
                <w:szCs w:val="16"/>
                <w:lang w:val="es-ES_tradnl"/>
              </w:rPr>
              <w:br/>
              <w:t>ASPI - 55</w:t>
            </w:r>
          </w:p>
        </w:tc>
        <w:tc>
          <w:tcPr>
            <w:tcW w:w="514" w:type="pct"/>
            <w:shd w:val="clear" w:color="auto" w:fill="auto"/>
            <w:tcMar>
              <w:top w:w="110" w:type="dxa"/>
              <w:left w:w="58" w:type="dxa"/>
              <w:right w:w="58" w:type="dxa"/>
            </w:tcMar>
          </w:tcPr>
          <w:p w:rsidR="00502550" w:rsidRPr="000070E9" w:rsidRDefault="00502550" w:rsidP="00230FAA">
            <w:pPr>
              <w:keepNext/>
              <w:keepLines/>
              <w:jc w:val="center"/>
              <w:rPr>
                <w:sz w:val="16"/>
                <w:szCs w:val="16"/>
              </w:rPr>
            </w:pPr>
            <w:r w:rsidRPr="000070E9">
              <w:rPr>
                <w:b/>
                <w:color w:val="00B050"/>
                <w:sz w:val="16"/>
                <w:szCs w:val="16"/>
                <w:lang w:val="es-ES_tradnl"/>
              </w:rPr>
              <w:t>Avanza</w:t>
            </w:r>
          </w:p>
        </w:tc>
      </w:tr>
      <w:tr w:rsidR="00502550" w:rsidRPr="000070E9" w:rsidTr="00230FAA">
        <w:trPr>
          <w:trHeight w:val="1504"/>
        </w:trPr>
        <w:tc>
          <w:tcPr>
            <w:tcW w:w="1165" w:type="pct"/>
            <w:shd w:val="clear" w:color="auto" w:fill="auto"/>
            <w:tcMar>
              <w:left w:w="58" w:type="dxa"/>
              <w:right w:w="58" w:type="dxa"/>
            </w:tcMar>
          </w:tcPr>
          <w:p w:rsidR="00502550" w:rsidRPr="000070E9" w:rsidRDefault="00502550" w:rsidP="00230FAA">
            <w:pPr>
              <w:rPr>
                <w:sz w:val="16"/>
                <w:szCs w:val="16"/>
              </w:rPr>
            </w:pPr>
            <w:r w:rsidRPr="000070E9">
              <w:rPr>
                <w:sz w:val="16"/>
                <w:szCs w:val="16"/>
                <w:lang w:val="es-ES_tradnl"/>
              </w:rPr>
              <w:t>N.º de solicitudes cursadas a los centros de asesoramiento de los CATI</w:t>
            </w:r>
          </w:p>
        </w:tc>
        <w:tc>
          <w:tcPr>
            <w:tcW w:w="1269" w:type="pct"/>
            <w:shd w:val="clear" w:color="auto" w:fill="auto"/>
            <w:tcMar>
              <w:left w:w="58" w:type="dxa"/>
              <w:right w:w="58" w:type="dxa"/>
            </w:tcMar>
          </w:tcPr>
          <w:p w:rsidR="00502550" w:rsidRPr="00FE0F0B" w:rsidRDefault="00502550" w:rsidP="00230FAA">
            <w:pPr>
              <w:rPr>
                <w:i/>
                <w:color w:val="002060"/>
                <w:sz w:val="16"/>
                <w:szCs w:val="16"/>
              </w:rPr>
            </w:pPr>
            <w:r w:rsidRPr="00FE0F0B">
              <w:rPr>
                <w:i/>
                <w:color w:val="002060"/>
                <w:sz w:val="16"/>
                <w:szCs w:val="16"/>
                <w:lang w:val="es-ES_tradnl"/>
              </w:rPr>
              <w:t>Referencia actualizada a fines de 2015:</w:t>
            </w:r>
            <w:r w:rsidRPr="00FE0F0B">
              <w:rPr>
                <w:i/>
                <w:color w:val="002060"/>
                <w:sz w:val="16"/>
                <w:szCs w:val="16"/>
              </w:rPr>
              <w:t xml:space="preserve">  </w:t>
            </w:r>
          </w:p>
          <w:p w:rsidR="00502550" w:rsidRPr="00FE0F0B" w:rsidRDefault="00502550" w:rsidP="00230FAA">
            <w:pPr>
              <w:rPr>
                <w:color w:val="002060"/>
                <w:sz w:val="16"/>
                <w:szCs w:val="16"/>
              </w:rPr>
            </w:pPr>
            <w:r w:rsidRPr="00FE0F0B">
              <w:rPr>
                <w:color w:val="002060"/>
                <w:sz w:val="16"/>
                <w:szCs w:val="16"/>
              </w:rPr>
              <w:t>0 (cero):  No se establece ningún “Centro de asesoramiento de los CATI” antes de 2016</w:t>
            </w:r>
          </w:p>
          <w:p w:rsidR="00502550" w:rsidRPr="000070E9" w:rsidRDefault="00502550" w:rsidP="00230FAA">
            <w:pPr>
              <w:rPr>
                <w:sz w:val="16"/>
                <w:szCs w:val="16"/>
              </w:rPr>
            </w:pPr>
          </w:p>
          <w:p w:rsidR="00502550" w:rsidRPr="000070E9" w:rsidRDefault="00502550" w:rsidP="00230FAA">
            <w:pPr>
              <w:ind w:right="176"/>
              <w:rPr>
                <w:i/>
                <w:sz w:val="16"/>
                <w:szCs w:val="16"/>
                <w:lang w:bidi="th-TH"/>
              </w:rPr>
            </w:pPr>
            <w:r w:rsidRPr="000070E9">
              <w:rPr>
                <w:i/>
                <w:sz w:val="16"/>
                <w:szCs w:val="16"/>
                <w:lang w:val="es-ES_tradnl" w:bidi="th-TH"/>
              </w:rPr>
              <w:t>Referencia original en el presupuesto de 2016/17:</w:t>
            </w:r>
            <w:r w:rsidRPr="000070E9">
              <w:rPr>
                <w:i/>
                <w:sz w:val="16"/>
                <w:szCs w:val="16"/>
                <w:lang w:bidi="th-TH"/>
              </w:rPr>
              <w:t xml:space="preserve">  </w:t>
            </w:r>
          </w:p>
          <w:p w:rsidR="00502550" w:rsidRPr="000070E9" w:rsidRDefault="00502550" w:rsidP="00230FAA">
            <w:pPr>
              <w:spacing w:after="240"/>
              <w:rPr>
                <w:sz w:val="16"/>
                <w:szCs w:val="16"/>
              </w:rPr>
            </w:pPr>
            <w:r w:rsidRPr="000070E9">
              <w:rPr>
                <w:sz w:val="16"/>
                <w:szCs w:val="16"/>
                <w:lang w:val="es-ES_tradnl"/>
              </w:rPr>
              <w:t>n.d. (nuevo)</w:t>
            </w:r>
          </w:p>
        </w:tc>
        <w:tc>
          <w:tcPr>
            <w:tcW w:w="793" w:type="pct"/>
            <w:shd w:val="clear" w:color="auto" w:fill="auto"/>
            <w:tcMar>
              <w:top w:w="110" w:type="dxa"/>
              <w:left w:w="58" w:type="dxa"/>
              <w:right w:w="58" w:type="dxa"/>
            </w:tcMar>
          </w:tcPr>
          <w:p w:rsidR="00502550" w:rsidRPr="00FE0F0B" w:rsidRDefault="00502550" w:rsidP="00230FAA">
            <w:pPr>
              <w:rPr>
                <w:color w:val="002060"/>
                <w:sz w:val="16"/>
                <w:szCs w:val="16"/>
              </w:rPr>
            </w:pPr>
            <w:r w:rsidRPr="00FE0F0B">
              <w:rPr>
                <w:i/>
                <w:color w:val="002060"/>
                <w:sz w:val="16"/>
                <w:szCs w:val="16"/>
              </w:rPr>
              <w:t xml:space="preserve">Objetivo actualizado: </w:t>
            </w:r>
            <w:r w:rsidRPr="00FE0F0B">
              <w:rPr>
                <w:color w:val="002060"/>
                <w:sz w:val="16"/>
                <w:szCs w:val="16"/>
              </w:rPr>
              <w:t>40</w:t>
            </w:r>
          </w:p>
          <w:p w:rsidR="00502550" w:rsidRPr="000070E9" w:rsidRDefault="00502550" w:rsidP="00230FAA">
            <w:pPr>
              <w:rPr>
                <w:sz w:val="16"/>
                <w:szCs w:val="16"/>
              </w:rPr>
            </w:pPr>
          </w:p>
          <w:p w:rsidR="00502550" w:rsidRPr="000070E9" w:rsidRDefault="00502550" w:rsidP="00230FAA">
            <w:pPr>
              <w:rPr>
                <w:i/>
                <w:sz w:val="16"/>
                <w:szCs w:val="16"/>
              </w:rPr>
            </w:pPr>
          </w:p>
          <w:p w:rsidR="00502550" w:rsidRPr="000070E9" w:rsidRDefault="00502550" w:rsidP="00230FAA">
            <w:pPr>
              <w:rPr>
                <w:sz w:val="16"/>
                <w:szCs w:val="16"/>
              </w:rPr>
            </w:pPr>
            <w:r w:rsidRPr="000070E9">
              <w:rPr>
                <w:i/>
                <w:sz w:val="16"/>
                <w:szCs w:val="16"/>
                <w:lang w:val="es-ES_tradnl" w:bidi="th-TH"/>
              </w:rPr>
              <w:t>Objetivo original en el presupuesto de 2016/17:</w:t>
            </w:r>
            <w:r w:rsidRPr="000070E9">
              <w:rPr>
                <w:i/>
                <w:sz w:val="16"/>
                <w:szCs w:val="16"/>
                <w:lang w:bidi="th-TH"/>
              </w:rPr>
              <w:t xml:space="preserve">  </w:t>
            </w:r>
            <w:r w:rsidRPr="000070E9">
              <w:rPr>
                <w:sz w:val="16"/>
                <w:szCs w:val="16"/>
              </w:rPr>
              <w:t>10</w:t>
            </w:r>
          </w:p>
        </w:tc>
        <w:tc>
          <w:tcPr>
            <w:tcW w:w="1259" w:type="pct"/>
            <w:shd w:val="clear" w:color="auto" w:fill="FFFFFF"/>
            <w:tcMar>
              <w:top w:w="110" w:type="dxa"/>
              <w:left w:w="58" w:type="dxa"/>
              <w:right w:w="58" w:type="dxa"/>
            </w:tcMar>
          </w:tcPr>
          <w:p w:rsidR="00502550" w:rsidRPr="000070E9" w:rsidRDefault="00502550" w:rsidP="00230FAA">
            <w:pPr>
              <w:keepNext/>
              <w:keepLines/>
              <w:rPr>
                <w:sz w:val="16"/>
                <w:szCs w:val="16"/>
              </w:rPr>
            </w:pPr>
            <w:r w:rsidRPr="000070E9">
              <w:rPr>
                <w:sz w:val="16"/>
                <w:szCs w:val="16"/>
              </w:rPr>
              <w:t>35 peticiones presentadas en 2016</w:t>
            </w:r>
          </w:p>
        </w:tc>
        <w:tc>
          <w:tcPr>
            <w:tcW w:w="514" w:type="pct"/>
            <w:shd w:val="clear" w:color="auto" w:fill="auto"/>
            <w:tcMar>
              <w:top w:w="110" w:type="dxa"/>
              <w:left w:w="58" w:type="dxa"/>
              <w:right w:w="58" w:type="dxa"/>
            </w:tcMar>
          </w:tcPr>
          <w:p w:rsidR="00502550" w:rsidRPr="000070E9" w:rsidRDefault="00502550" w:rsidP="00230FAA">
            <w:pPr>
              <w:keepNext/>
              <w:keepLines/>
              <w:jc w:val="center"/>
              <w:rPr>
                <w:sz w:val="16"/>
                <w:szCs w:val="16"/>
              </w:rPr>
            </w:pPr>
            <w:r w:rsidRPr="000070E9">
              <w:rPr>
                <w:b/>
                <w:color w:val="00B050"/>
                <w:sz w:val="16"/>
                <w:szCs w:val="16"/>
                <w:lang w:val="es-ES_tradnl"/>
              </w:rPr>
              <w:t>Avanza</w:t>
            </w:r>
          </w:p>
        </w:tc>
      </w:tr>
      <w:tr w:rsidR="00502550" w:rsidRPr="000070E9" w:rsidTr="00230FAA">
        <w:trPr>
          <w:trHeight w:val="1374"/>
        </w:trPr>
        <w:tc>
          <w:tcPr>
            <w:tcW w:w="1165" w:type="pct"/>
            <w:shd w:val="clear" w:color="auto" w:fill="auto"/>
            <w:tcMar>
              <w:left w:w="58" w:type="dxa"/>
              <w:right w:w="58" w:type="dxa"/>
            </w:tcMar>
          </w:tcPr>
          <w:p w:rsidR="00502550" w:rsidRPr="000070E9" w:rsidRDefault="00502550" w:rsidP="00230FAA">
            <w:pPr>
              <w:rPr>
                <w:sz w:val="16"/>
                <w:szCs w:val="16"/>
              </w:rPr>
            </w:pPr>
            <w:r w:rsidRPr="000070E9">
              <w:rPr>
                <w:sz w:val="16"/>
                <w:szCs w:val="16"/>
                <w:lang w:val="es-ES_tradnl"/>
              </w:rPr>
              <w:lastRenderedPageBreak/>
              <w:t>N.º de CATI que ofrecen servicios de análisis de patentes</w:t>
            </w:r>
          </w:p>
        </w:tc>
        <w:tc>
          <w:tcPr>
            <w:tcW w:w="1269" w:type="pct"/>
            <w:shd w:val="clear" w:color="auto" w:fill="auto"/>
            <w:tcMar>
              <w:left w:w="58" w:type="dxa"/>
              <w:right w:w="58" w:type="dxa"/>
            </w:tcMar>
          </w:tcPr>
          <w:p w:rsidR="00502550" w:rsidRPr="00FE0F0B" w:rsidRDefault="00502550" w:rsidP="00230FAA">
            <w:pPr>
              <w:rPr>
                <w:i/>
                <w:color w:val="002060"/>
                <w:sz w:val="16"/>
                <w:szCs w:val="16"/>
              </w:rPr>
            </w:pPr>
            <w:r w:rsidRPr="00FE0F0B">
              <w:rPr>
                <w:i/>
                <w:color w:val="002060"/>
                <w:sz w:val="16"/>
                <w:szCs w:val="16"/>
                <w:lang w:val="es-ES_tradnl"/>
              </w:rPr>
              <w:t>Referencia actualizada a fines de 2015:</w:t>
            </w:r>
            <w:r w:rsidRPr="00FE0F0B">
              <w:rPr>
                <w:i/>
                <w:color w:val="002060"/>
                <w:sz w:val="16"/>
                <w:szCs w:val="16"/>
              </w:rPr>
              <w:t xml:space="preserve">  </w:t>
            </w:r>
          </w:p>
          <w:p w:rsidR="00502550" w:rsidRPr="00FE0F0B" w:rsidRDefault="00502550" w:rsidP="00230FAA">
            <w:pPr>
              <w:rPr>
                <w:color w:val="002060"/>
                <w:sz w:val="16"/>
                <w:szCs w:val="16"/>
              </w:rPr>
            </w:pPr>
            <w:r w:rsidRPr="00FE0F0B">
              <w:rPr>
                <w:color w:val="002060"/>
                <w:sz w:val="16"/>
                <w:szCs w:val="16"/>
              </w:rPr>
              <w:t>0 (cero):  Ningún CATI ofreció servicios de análisis de patentes antes de 2016</w:t>
            </w:r>
          </w:p>
          <w:p w:rsidR="00502550" w:rsidRPr="000070E9" w:rsidRDefault="00502550" w:rsidP="00230FAA">
            <w:pPr>
              <w:rPr>
                <w:sz w:val="16"/>
                <w:szCs w:val="16"/>
              </w:rPr>
            </w:pPr>
          </w:p>
          <w:p w:rsidR="00502550" w:rsidRPr="000070E9" w:rsidRDefault="00502550" w:rsidP="00230FAA">
            <w:pPr>
              <w:ind w:right="176"/>
              <w:rPr>
                <w:i/>
                <w:sz w:val="16"/>
                <w:szCs w:val="16"/>
                <w:lang w:bidi="th-TH"/>
              </w:rPr>
            </w:pPr>
            <w:r w:rsidRPr="000070E9">
              <w:rPr>
                <w:i/>
                <w:sz w:val="16"/>
                <w:szCs w:val="16"/>
                <w:lang w:val="es-ES_tradnl" w:bidi="th-TH"/>
              </w:rPr>
              <w:t>Referencia original en el presupuesto de 2016/17:</w:t>
            </w:r>
            <w:r w:rsidRPr="000070E9">
              <w:rPr>
                <w:i/>
                <w:sz w:val="16"/>
                <w:szCs w:val="16"/>
                <w:lang w:bidi="th-TH"/>
              </w:rPr>
              <w:t xml:space="preserve">  </w:t>
            </w:r>
          </w:p>
          <w:p w:rsidR="00502550" w:rsidRPr="000070E9" w:rsidRDefault="00502550" w:rsidP="00230FAA">
            <w:pPr>
              <w:spacing w:after="240"/>
              <w:rPr>
                <w:sz w:val="16"/>
                <w:szCs w:val="16"/>
              </w:rPr>
            </w:pPr>
            <w:r w:rsidRPr="000070E9">
              <w:rPr>
                <w:sz w:val="16"/>
                <w:szCs w:val="16"/>
                <w:lang w:val="es-ES_tradnl"/>
              </w:rPr>
              <w:t>n.d. (nuevo)</w:t>
            </w:r>
          </w:p>
        </w:tc>
        <w:tc>
          <w:tcPr>
            <w:tcW w:w="793" w:type="pct"/>
            <w:shd w:val="clear" w:color="auto" w:fill="auto"/>
            <w:tcMar>
              <w:top w:w="110" w:type="dxa"/>
              <w:left w:w="58" w:type="dxa"/>
              <w:right w:w="58" w:type="dxa"/>
            </w:tcMar>
          </w:tcPr>
          <w:p w:rsidR="00502550" w:rsidRPr="00FE0F0B" w:rsidRDefault="00502550" w:rsidP="00230FAA">
            <w:pPr>
              <w:rPr>
                <w:i/>
                <w:color w:val="002060"/>
                <w:sz w:val="16"/>
                <w:szCs w:val="16"/>
              </w:rPr>
            </w:pPr>
            <w:r w:rsidRPr="00FE0F0B">
              <w:rPr>
                <w:i/>
                <w:color w:val="002060"/>
                <w:sz w:val="16"/>
                <w:szCs w:val="16"/>
              </w:rPr>
              <w:t>Objetivo actualizado:  7</w:t>
            </w:r>
          </w:p>
          <w:p w:rsidR="00502550" w:rsidRPr="000070E9" w:rsidRDefault="00502550" w:rsidP="00230FAA">
            <w:pPr>
              <w:rPr>
                <w:sz w:val="16"/>
                <w:szCs w:val="16"/>
              </w:rPr>
            </w:pPr>
          </w:p>
          <w:p w:rsidR="00502550" w:rsidRPr="000070E9" w:rsidRDefault="00502550" w:rsidP="00230FAA">
            <w:pPr>
              <w:rPr>
                <w:i/>
                <w:sz w:val="16"/>
                <w:szCs w:val="16"/>
              </w:rPr>
            </w:pPr>
          </w:p>
          <w:p w:rsidR="00502550" w:rsidRPr="000070E9" w:rsidRDefault="00502550" w:rsidP="00230FAA">
            <w:pPr>
              <w:rPr>
                <w:i/>
                <w:sz w:val="16"/>
                <w:szCs w:val="16"/>
              </w:rPr>
            </w:pPr>
            <w:r w:rsidRPr="000070E9">
              <w:rPr>
                <w:i/>
                <w:sz w:val="16"/>
                <w:szCs w:val="16"/>
                <w:lang w:val="es-ES_tradnl" w:bidi="th-TH"/>
              </w:rPr>
              <w:t>Objetivo original</w:t>
            </w:r>
            <w:r w:rsidRPr="000070E9">
              <w:rPr>
                <w:i/>
                <w:sz w:val="16"/>
                <w:szCs w:val="16"/>
              </w:rPr>
              <w:t>:  5</w:t>
            </w:r>
          </w:p>
        </w:tc>
        <w:tc>
          <w:tcPr>
            <w:tcW w:w="1259" w:type="pct"/>
            <w:shd w:val="clear" w:color="auto" w:fill="FFFFFF"/>
            <w:tcMar>
              <w:top w:w="110" w:type="dxa"/>
              <w:left w:w="58" w:type="dxa"/>
              <w:right w:w="58" w:type="dxa"/>
            </w:tcMar>
          </w:tcPr>
          <w:p w:rsidR="00502550" w:rsidRPr="000070E9" w:rsidRDefault="00502550" w:rsidP="00230FAA">
            <w:pPr>
              <w:keepNext/>
              <w:keepLines/>
              <w:rPr>
                <w:sz w:val="16"/>
                <w:szCs w:val="16"/>
              </w:rPr>
            </w:pPr>
            <w:r w:rsidRPr="000070E9">
              <w:rPr>
                <w:sz w:val="16"/>
                <w:szCs w:val="16"/>
              </w:rPr>
              <w:t>6 (véase el nivel de desarrollo 3, más arriba)</w:t>
            </w:r>
          </w:p>
        </w:tc>
        <w:tc>
          <w:tcPr>
            <w:tcW w:w="514" w:type="pct"/>
            <w:shd w:val="clear" w:color="auto" w:fill="auto"/>
            <w:tcMar>
              <w:top w:w="110" w:type="dxa"/>
              <w:left w:w="58" w:type="dxa"/>
              <w:right w:w="58" w:type="dxa"/>
            </w:tcMar>
          </w:tcPr>
          <w:p w:rsidR="00502550" w:rsidRPr="000070E9" w:rsidRDefault="00502550" w:rsidP="00230FAA">
            <w:pPr>
              <w:keepNext/>
              <w:keepLines/>
              <w:jc w:val="center"/>
              <w:rPr>
                <w:sz w:val="16"/>
                <w:szCs w:val="16"/>
              </w:rPr>
            </w:pPr>
            <w:r w:rsidRPr="000070E9">
              <w:rPr>
                <w:b/>
                <w:color w:val="00B050"/>
                <w:sz w:val="16"/>
                <w:szCs w:val="16"/>
                <w:lang w:val="es-ES_tradnl"/>
              </w:rPr>
              <w:t>Avanza</w:t>
            </w:r>
          </w:p>
        </w:tc>
      </w:tr>
    </w:tbl>
    <w:p w:rsidR="00502550" w:rsidRPr="000070E9" w:rsidRDefault="00502550" w:rsidP="00230FAA">
      <w:pPr>
        <w:rPr>
          <w:sz w:val="20"/>
        </w:rPr>
      </w:pPr>
    </w:p>
    <w:p w:rsidR="00502550" w:rsidRPr="000070E9" w:rsidRDefault="00502550" w:rsidP="00230FAA">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502550" w:rsidRPr="000070E9" w:rsidTr="00230FAA">
        <w:trPr>
          <w:trHeight w:val="423"/>
          <w:jc w:val="center"/>
        </w:trPr>
        <w:tc>
          <w:tcPr>
            <w:tcW w:w="9571" w:type="dxa"/>
            <w:shd w:val="clear" w:color="auto" w:fill="C6D9F1" w:themeFill="text2" w:themeFillTint="33"/>
            <w:vAlign w:val="center"/>
          </w:tcPr>
          <w:p w:rsidR="00502550" w:rsidRPr="000070E9" w:rsidRDefault="00502550" w:rsidP="00230FAA">
            <w:pPr>
              <w:keepNext/>
              <w:keepLines/>
              <w:jc w:val="center"/>
              <w:rPr>
                <w:b/>
                <w:sz w:val="20"/>
              </w:rPr>
            </w:pPr>
            <w:r w:rsidRPr="000070E9">
              <w:rPr>
                <w:b/>
                <w:sz w:val="20"/>
              </w:rPr>
              <w:br w:type="page"/>
            </w:r>
            <w:r w:rsidRPr="000070E9">
              <w:rPr>
                <w:b/>
                <w:sz w:val="20"/>
                <w:lang w:val="es-ES_tradnl"/>
              </w:rPr>
              <w:t>Utilización de los recursos del programa 14</w:t>
            </w:r>
          </w:p>
        </w:tc>
      </w:tr>
    </w:tbl>
    <w:p w:rsidR="00502550" w:rsidRPr="000070E9" w:rsidRDefault="00502550" w:rsidP="00230FAA">
      <w:pPr>
        <w:keepNext/>
        <w:rPr>
          <w:sz w:val="20"/>
        </w:rPr>
      </w:pPr>
    </w:p>
    <w:p w:rsidR="00502550" w:rsidRPr="000070E9" w:rsidRDefault="00502550" w:rsidP="00230FAA">
      <w:pPr>
        <w:pStyle w:val="NormalWeb"/>
        <w:keepNext/>
        <w:keepLines/>
        <w:spacing w:before="0" w:beforeAutospacing="0" w:after="0" w:afterAutospacing="0"/>
        <w:jc w:val="center"/>
        <w:rPr>
          <w:lang w:val="es-ES"/>
        </w:rPr>
      </w:pPr>
      <w:r w:rsidRPr="000070E9">
        <w:rPr>
          <w:lang w:val="es-ES_tradnl"/>
        </w:rPr>
        <w:t>Presupuesto y gastos reales (por resultado)</w:t>
      </w:r>
    </w:p>
    <w:p w:rsidR="00502550" w:rsidRPr="000070E9" w:rsidRDefault="00502550" w:rsidP="00230FAA">
      <w:pPr>
        <w:pStyle w:val="NormalWeb"/>
        <w:keepNext/>
        <w:keepLines/>
        <w:spacing w:before="0" w:beforeAutospacing="0" w:after="0" w:afterAutospacing="0"/>
        <w:jc w:val="center"/>
        <w:rPr>
          <w:i/>
          <w:iCs/>
          <w:sz w:val="16"/>
          <w:szCs w:val="16"/>
          <w:lang w:val="es-ES"/>
        </w:rPr>
      </w:pPr>
      <w:r w:rsidRPr="000070E9">
        <w:rPr>
          <w:i/>
          <w:iCs/>
          <w:sz w:val="16"/>
          <w:szCs w:val="16"/>
          <w:lang w:val="es-ES_tradnl"/>
        </w:rPr>
        <w:t>(en miles de francos suizos)</w:t>
      </w:r>
    </w:p>
    <w:p w:rsidR="00502550" w:rsidRPr="000070E9" w:rsidRDefault="00502550" w:rsidP="00230FAA">
      <w:pPr>
        <w:keepNext/>
        <w:rPr>
          <w:sz w:val="20"/>
        </w:rPr>
      </w:pPr>
    </w:p>
    <w:tbl>
      <w:tblPr>
        <w:tblW w:w="8222" w:type="dxa"/>
        <w:jc w:val="center"/>
        <w:tblLook w:val="04A0" w:firstRow="1" w:lastRow="0" w:firstColumn="1" w:lastColumn="0" w:noHBand="0" w:noVBand="1"/>
      </w:tblPr>
      <w:tblGrid>
        <w:gridCol w:w="516"/>
        <w:gridCol w:w="4231"/>
        <w:gridCol w:w="1186"/>
        <w:gridCol w:w="1310"/>
        <w:gridCol w:w="1166"/>
      </w:tblGrid>
      <w:tr w:rsidR="00502550" w:rsidRPr="000070E9" w:rsidTr="00230FAA">
        <w:trPr>
          <w:trHeight w:val="825"/>
          <w:jc w:val="center"/>
        </w:trPr>
        <w:tc>
          <w:tcPr>
            <w:tcW w:w="4747" w:type="dxa"/>
            <w:gridSpan w:val="2"/>
            <w:tcBorders>
              <w:top w:val="nil"/>
              <w:left w:val="nil"/>
              <w:bottom w:val="nil"/>
              <w:right w:val="nil"/>
            </w:tcBorders>
            <w:shd w:val="clear" w:color="000000" w:fill="C5D9F1"/>
            <w:noWrap/>
            <w:vAlign w:val="center"/>
            <w:hideMark/>
          </w:tcPr>
          <w:p w:rsidR="00502550" w:rsidRPr="000070E9" w:rsidRDefault="00502550" w:rsidP="00230FAA">
            <w:pPr>
              <w:keepNext/>
              <w:jc w:val="center"/>
              <w:rPr>
                <w:b/>
                <w:bCs/>
                <w:sz w:val="16"/>
                <w:szCs w:val="16"/>
              </w:rPr>
            </w:pPr>
            <w:r w:rsidRPr="000070E9">
              <w:rPr>
                <w:b/>
                <w:bCs/>
                <w:sz w:val="16"/>
                <w:szCs w:val="16"/>
                <w:lang w:val="es-ES_tradnl"/>
              </w:rPr>
              <w:t>Número del resultado previsto y descripción</w:t>
            </w:r>
            <w:r w:rsidRPr="000070E9">
              <w:rPr>
                <w:b/>
                <w:bCs/>
                <w:sz w:val="16"/>
                <w:szCs w:val="16"/>
              </w:rPr>
              <w:t xml:space="preserve"> </w:t>
            </w:r>
          </w:p>
        </w:tc>
        <w:tc>
          <w:tcPr>
            <w:tcW w:w="1144" w:type="dxa"/>
            <w:tcBorders>
              <w:top w:val="nil"/>
              <w:left w:val="nil"/>
              <w:bottom w:val="nil"/>
              <w:right w:val="nil"/>
            </w:tcBorders>
            <w:shd w:val="clear" w:color="000000" w:fill="C5D9F1"/>
            <w:vAlign w:val="center"/>
            <w:hideMark/>
          </w:tcPr>
          <w:p w:rsidR="00502550" w:rsidRPr="000070E9" w:rsidRDefault="00502550" w:rsidP="00230FAA">
            <w:pPr>
              <w:keepNext/>
              <w:jc w:val="center"/>
              <w:rPr>
                <w:b/>
                <w:bCs/>
                <w:sz w:val="16"/>
                <w:szCs w:val="16"/>
              </w:rPr>
            </w:pPr>
            <w:r w:rsidRPr="000070E9">
              <w:rPr>
                <w:b/>
                <w:bCs/>
                <w:sz w:val="16"/>
                <w:szCs w:val="16"/>
              </w:rPr>
              <w:t xml:space="preserve"> </w:t>
            </w:r>
            <w:r w:rsidRPr="000070E9">
              <w:rPr>
                <w:b/>
                <w:bCs/>
                <w:sz w:val="16"/>
                <w:szCs w:val="16"/>
                <w:lang w:val="es-ES_tradnl"/>
              </w:rPr>
              <w:t>Presupuesto aprobado de 2016/17</w:t>
            </w:r>
            <w:r w:rsidRPr="000070E9">
              <w:rPr>
                <w:b/>
                <w:bCs/>
                <w:sz w:val="16"/>
                <w:szCs w:val="16"/>
              </w:rPr>
              <w:t xml:space="preserve"> </w:t>
            </w:r>
          </w:p>
        </w:tc>
        <w:tc>
          <w:tcPr>
            <w:tcW w:w="1143" w:type="dxa"/>
            <w:tcBorders>
              <w:top w:val="nil"/>
              <w:left w:val="nil"/>
              <w:bottom w:val="nil"/>
              <w:right w:val="nil"/>
            </w:tcBorders>
            <w:shd w:val="clear" w:color="000000" w:fill="C5D9F1"/>
            <w:vAlign w:val="center"/>
            <w:hideMark/>
          </w:tcPr>
          <w:p w:rsidR="00502550" w:rsidRPr="000070E9" w:rsidRDefault="00502550" w:rsidP="00230FAA">
            <w:pPr>
              <w:keepNext/>
              <w:jc w:val="center"/>
              <w:rPr>
                <w:b/>
                <w:bCs/>
                <w:sz w:val="16"/>
                <w:szCs w:val="16"/>
              </w:rPr>
            </w:pPr>
            <w:r w:rsidRPr="000070E9">
              <w:rPr>
                <w:b/>
                <w:bCs/>
                <w:sz w:val="16"/>
                <w:szCs w:val="16"/>
              </w:rPr>
              <w:t xml:space="preserve"> </w:t>
            </w:r>
            <w:r w:rsidRPr="000070E9">
              <w:rPr>
                <w:b/>
                <w:bCs/>
                <w:sz w:val="16"/>
                <w:szCs w:val="16"/>
                <w:lang w:val="es-ES_tradnl"/>
              </w:rPr>
              <w:t>Presupuesto de 2016/17 tras las transferencias</w:t>
            </w:r>
            <w:r w:rsidRPr="000070E9">
              <w:rPr>
                <w:b/>
                <w:bCs/>
                <w:sz w:val="16"/>
                <w:szCs w:val="16"/>
              </w:rPr>
              <w:t xml:space="preserve"> </w:t>
            </w:r>
          </w:p>
        </w:tc>
        <w:tc>
          <w:tcPr>
            <w:tcW w:w="1166" w:type="dxa"/>
            <w:tcBorders>
              <w:top w:val="nil"/>
              <w:left w:val="nil"/>
              <w:bottom w:val="nil"/>
              <w:right w:val="nil"/>
            </w:tcBorders>
            <w:shd w:val="clear" w:color="000000" w:fill="C5D9F1"/>
            <w:vAlign w:val="center"/>
            <w:hideMark/>
          </w:tcPr>
          <w:p w:rsidR="00502550" w:rsidRPr="000070E9" w:rsidRDefault="00502550" w:rsidP="00230FAA">
            <w:pPr>
              <w:keepNext/>
              <w:jc w:val="center"/>
              <w:rPr>
                <w:b/>
                <w:bCs/>
                <w:sz w:val="16"/>
                <w:szCs w:val="16"/>
              </w:rPr>
            </w:pPr>
            <w:r w:rsidRPr="000070E9">
              <w:rPr>
                <w:b/>
                <w:bCs/>
                <w:sz w:val="16"/>
                <w:szCs w:val="16"/>
              </w:rPr>
              <w:t xml:space="preserve"> </w:t>
            </w:r>
            <w:r w:rsidRPr="000070E9">
              <w:rPr>
                <w:b/>
                <w:bCs/>
                <w:sz w:val="16"/>
                <w:szCs w:val="16"/>
                <w:lang w:val="es-ES_tradnl"/>
              </w:rPr>
              <w:t>Gastos en 2016*</w:t>
            </w:r>
            <w:r w:rsidRPr="000070E9">
              <w:rPr>
                <w:b/>
                <w:bCs/>
                <w:sz w:val="16"/>
                <w:szCs w:val="16"/>
              </w:rPr>
              <w:t xml:space="preserve"> </w:t>
            </w:r>
          </w:p>
        </w:tc>
      </w:tr>
      <w:tr w:rsidR="00502550" w:rsidRPr="000070E9" w:rsidTr="00230FAA">
        <w:trPr>
          <w:trHeight w:val="1005"/>
          <w:jc w:val="center"/>
        </w:trPr>
        <w:tc>
          <w:tcPr>
            <w:tcW w:w="516" w:type="dxa"/>
            <w:tcBorders>
              <w:top w:val="nil"/>
              <w:left w:val="nil"/>
              <w:bottom w:val="nil"/>
              <w:right w:val="nil"/>
            </w:tcBorders>
            <w:shd w:val="clear" w:color="auto" w:fill="auto"/>
            <w:noWrap/>
            <w:vAlign w:val="center"/>
            <w:hideMark/>
          </w:tcPr>
          <w:p w:rsidR="00502550" w:rsidRPr="000070E9" w:rsidRDefault="00502550" w:rsidP="00230FAA">
            <w:pPr>
              <w:keepNext/>
              <w:rPr>
                <w:sz w:val="16"/>
                <w:szCs w:val="16"/>
              </w:rPr>
            </w:pPr>
            <w:r w:rsidRPr="000070E9">
              <w:rPr>
                <w:sz w:val="16"/>
                <w:szCs w:val="16"/>
              </w:rPr>
              <w:t>IV.2</w:t>
            </w:r>
          </w:p>
        </w:tc>
        <w:tc>
          <w:tcPr>
            <w:tcW w:w="4231" w:type="dxa"/>
            <w:tcBorders>
              <w:top w:val="nil"/>
              <w:left w:val="nil"/>
              <w:bottom w:val="nil"/>
              <w:right w:val="nil"/>
            </w:tcBorders>
            <w:shd w:val="clear" w:color="auto" w:fill="auto"/>
            <w:vAlign w:val="center"/>
            <w:hideMark/>
          </w:tcPr>
          <w:p w:rsidR="00502550" w:rsidRPr="000070E9" w:rsidRDefault="00502550" w:rsidP="00230FAA">
            <w:pPr>
              <w:keepNext/>
              <w:rPr>
                <w:sz w:val="16"/>
                <w:szCs w:val="16"/>
              </w:rPr>
            </w:pPr>
            <w:r w:rsidRPr="000070E9">
              <w:rPr>
                <w:sz w:val="16"/>
                <w:szCs w:val="16"/>
                <w:lang w:val="es-ES_tradnl"/>
              </w:rPr>
              <w:t>Mejora del acceso y uso de información de P.I. por parte de instituciones de P.I. y el público para fomentar la innovación y la creatividad</w:t>
            </w:r>
          </w:p>
        </w:tc>
        <w:tc>
          <w:tcPr>
            <w:tcW w:w="1144" w:type="dxa"/>
            <w:tcBorders>
              <w:top w:val="nil"/>
              <w:left w:val="nil"/>
              <w:bottom w:val="nil"/>
              <w:right w:val="nil"/>
            </w:tcBorders>
            <w:shd w:val="clear" w:color="auto" w:fill="auto"/>
            <w:noWrap/>
            <w:vAlign w:val="center"/>
            <w:hideMark/>
          </w:tcPr>
          <w:p w:rsidR="00502550" w:rsidRPr="000070E9" w:rsidRDefault="00502550" w:rsidP="00230FAA">
            <w:pPr>
              <w:keepNext/>
              <w:jc w:val="center"/>
              <w:rPr>
                <w:sz w:val="16"/>
                <w:szCs w:val="16"/>
              </w:rPr>
            </w:pPr>
            <w:r w:rsidRPr="000070E9">
              <w:rPr>
                <w:sz w:val="16"/>
                <w:szCs w:val="16"/>
              </w:rPr>
              <w:t>6.990</w:t>
            </w:r>
          </w:p>
        </w:tc>
        <w:tc>
          <w:tcPr>
            <w:tcW w:w="1143" w:type="dxa"/>
            <w:tcBorders>
              <w:top w:val="nil"/>
              <w:left w:val="nil"/>
              <w:bottom w:val="nil"/>
              <w:right w:val="nil"/>
            </w:tcBorders>
            <w:shd w:val="clear" w:color="auto" w:fill="auto"/>
            <w:noWrap/>
            <w:vAlign w:val="center"/>
            <w:hideMark/>
          </w:tcPr>
          <w:p w:rsidR="00502550" w:rsidRPr="000070E9" w:rsidRDefault="00502550" w:rsidP="00230FAA">
            <w:pPr>
              <w:keepNext/>
              <w:jc w:val="center"/>
              <w:rPr>
                <w:sz w:val="16"/>
                <w:szCs w:val="16"/>
              </w:rPr>
            </w:pPr>
            <w:r w:rsidRPr="000070E9">
              <w:rPr>
                <w:sz w:val="16"/>
                <w:szCs w:val="16"/>
              </w:rPr>
              <w:t>7.235</w:t>
            </w:r>
          </w:p>
        </w:tc>
        <w:tc>
          <w:tcPr>
            <w:tcW w:w="1166" w:type="dxa"/>
            <w:tcBorders>
              <w:top w:val="nil"/>
              <w:left w:val="nil"/>
              <w:bottom w:val="nil"/>
              <w:right w:val="nil"/>
            </w:tcBorders>
            <w:shd w:val="clear" w:color="auto" w:fill="auto"/>
            <w:noWrap/>
            <w:vAlign w:val="center"/>
            <w:hideMark/>
          </w:tcPr>
          <w:p w:rsidR="00502550" w:rsidRPr="000070E9" w:rsidRDefault="00502550" w:rsidP="00230FAA">
            <w:pPr>
              <w:keepNext/>
              <w:jc w:val="center"/>
              <w:rPr>
                <w:sz w:val="16"/>
                <w:szCs w:val="16"/>
              </w:rPr>
            </w:pPr>
            <w:r w:rsidRPr="000070E9">
              <w:rPr>
                <w:sz w:val="16"/>
                <w:szCs w:val="16"/>
              </w:rPr>
              <w:t>3.169</w:t>
            </w:r>
          </w:p>
        </w:tc>
      </w:tr>
      <w:tr w:rsidR="00502550" w:rsidRPr="000070E9" w:rsidTr="00230FAA">
        <w:trPr>
          <w:trHeight w:val="225"/>
          <w:jc w:val="center"/>
        </w:trPr>
        <w:tc>
          <w:tcPr>
            <w:tcW w:w="516" w:type="dxa"/>
            <w:tcBorders>
              <w:top w:val="nil"/>
              <w:left w:val="nil"/>
              <w:bottom w:val="nil"/>
              <w:right w:val="nil"/>
            </w:tcBorders>
            <w:shd w:val="clear" w:color="000000" w:fill="C5D9F1"/>
            <w:noWrap/>
            <w:vAlign w:val="bottom"/>
            <w:hideMark/>
          </w:tcPr>
          <w:p w:rsidR="00502550" w:rsidRPr="000070E9" w:rsidRDefault="00502550" w:rsidP="00230FAA">
            <w:pPr>
              <w:keepNext/>
              <w:rPr>
                <w:sz w:val="16"/>
                <w:szCs w:val="16"/>
              </w:rPr>
            </w:pPr>
            <w:r w:rsidRPr="000070E9">
              <w:rPr>
                <w:sz w:val="16"/>
                <w:szCs w:val="16"/>
              </w:rPr>
              <w:t> </w:t>
            </w:r>
          </w:p>
        </w:tc>
        <w:tc>
          <w:tcPr>
            <w:tcW w:w="4231" w:type="dxa"/>
            <w:tcBorders>
              <w:top w:val="nil"/>
              <w:left w:val="nil"/>
              <w:bottom w:val="nil"/>
              <w:right w:val="nil"/>
            </w:tcBorders>
            <w:shd w:val="clear" w:color="000000" w:fill="C5D9F1"/>
            <w:noWrap/>
            <w:vAlign w:val="bottom"/>
            <w:hideMark/>
          </w:tcPr>
          <w:p w:rsidR="00502550" w:rsidRPr="000070E9" w:rsidRDefault="00502550" w:rsidP="00230FAA">
            <w:pPr>
              <w:keepNext/>
              <w:jc w:val="right"/>
              <w:rPr>
                <w:b/>
                <w:bCs/>
                <w:sz w:val="16"/>
                <w:szCs w:val="16"/>
              </w:rPr>
            </w:pPr>
            <w:r w:rsidRPr="000070E9">
              <w:rPr>
                <w:b/>
                <w:bCs/>
                <w:sz w:val="16"/>
                <w:szCs w:val="16"/>
                <w:lang w:val="es-ES_tradnl"/>
              </w:rPr>
              <w:t>Total</w:t>
            </w:r>
          </w:p>
        </w:tc>
        <w:tc>
          <w:tcPr>
            <w:tcW w:w="1144" w:type="dxa"/>
            <w:tcBorders>
              <w:top w:val="nil"/>
              <w:left w:val="nil"/>
              <w:bottom w:val="nil"/>
              <w:right w:val="nil"/>
            </w:tcBorders>
            <w:shd w:val="clear" w:color="000000" w:fill="C5D9F1"/>
            <w:noWrap/>
            <w:vAlign w:val="center"/>
            <w:hideMark/>
          </w:tcPr>
          <w:p w:rsidR="00502550" w:rsidRPr="000070E9" w:rsidRDefault="00502550" w:rsidP="00230FAA">
            <w:pPr>
              <w:keepNext/>
              <w:jc w:val="center"/>
              <w:rPr>
                <w:sz w:val="16"/>
                <w:szCs w:val="16"/>
              </w:rPr>
            </w:pPr>
            <w:r w:rsidRPr="000070E9">
              <w:rPr>
                <w:sz w:val="16"/>
                <w:szCs w:val="16"/>
              </w:rPr>
              <w:t>6.990</w:t>
            </w:r>
          </w:p>
        </w:tc>
        <w:tc>
          <w:tcPr>
            <w:tcW w:w="1143" w:type="dxa"/>
            <w:tcBorders>
              <w:top w:val="nil"/>
              <w:left w:val="nil"/>
              <w:bottom w:val="nil"/>
              <w:right w:val="nil"/>
            </w:tcBorders>
            <w:shd w:val="clear" w:color="000000" w:fill="C5D9F1"/>
            <w:noWrap/>
            <w:vAlign w:val="center"/>
            <w:hideMark/>
          </w:tcPr>
          <w:p w:rsidR="00502550" w:rsidRPr="000070E9" w:rsidRDefault="00502550" w:rsidP="00230FAA">
            <w:pPr>
              <w:keepNext/>
              <w:jc w:val="center"/>
              <w:rPr>
                <w:sz w:val="16"/>
                <w:szCs w:val="16"/>
              </w:rPr>
            </w:pPr>
            <w:r w:rsidRPr="000070E9">
              <w:rPr>
                <w:sz w:val="16"/>
                <w:szCs w:val="16"/>
              </w:rPr>
              <w:t>7.235</w:t>
            </w:r>
          </w:p>
        </w:tc>
        <w:tc>
          <w:tcPr>
            <w:tcW w:w="1166" w:type="dxa"/>
            <w:tcBorders>
              <w:top w:val="nil"/>
              <w:left w:val="nil"/>
              <w:bottom w:val="nil"/>
              <w:right w:val="nil"/>
            </w:tcBorders>
            <w:shd w:val="clear" w:color="000000" w:fill="C5D9F1"/>
            <w:noWrap/>
            <w:vAlign w:val="center"/>
            <w:hideMark/>
          </w:tcPr>
          <w:p w:rsidR="00502550" w:rsidRPr="000070E9" w:rsidRDefault="00502550" w:rsidP="00230FAA">
            <w:pPr>
              <w:keepNext/>
              <w:jc w:val="center"/>
              <w:rPr>
                <w:sz w:val="16"/>
                <w:szCs w:val="16"/>
              </w:rPr>
            </w:pPr>
            <w:r w:rsidRPr="000070E9">
              <w:rPr>
                <w:sz w:val="16"/>
                <w:szCs w:val="16"/>
              </w:rPr>
              <w:t>3.169</w:t>
            </w:r>
          </w:p>
        </w:tc>
      </w:tr>
      <w:tr w:rsidR="00502550" w:rsidRPr="000070E9" w:rsidTr="00230FAA">
        <w:trPr>
          <w:trHeight w:val="330"/>
          <w:jc w:val="center"/>
        </w:trPr>
        <w:tc>
          <w:tcPr>
            <w:tcW w:w="7034" w:type="dxa"/>
            <w:gridSpan w:val="4"/>
            <w:tcBorders>
              <w:top w:val="nil"/>
              <w:left w:val="nil"/>
              <w:bottom w:val="nil"/>
              <w:right w:val="nil"/>
            </w:tcBorders>
            <w:shd w:val="clear" w:color="auto" w:fill="auto"/>
            <w:noWrap/>
            <w:vAlign w:val="center"/>
            <w:hideMark/>
          </w:tcPr>
          <w:p w:rsidR="00502550" w:rsidRPr="000070E9" w:rsidRDefault="00502550" w:rsidP="00230FAA">
            <w:pPr>
              <w:rPr>
                <w:i/>
                <w:iCs/>
                <w:sz w:val="16"/>
                <w:szCs w:val="16"/>
              </w:rPr>
            </w:pPr>
            <w:r w:rsidRPr="000070E9">
              <w:rPr>
                <w:i/>
                <w:iCs/>
                <w:sz w:val="16"/>
                <w:szCs w:val="16"/>
                <w:lang w:val="es-ES_tradnl"/>
              </w:rPr>
              <w:t>*Las cifras de gastos en 2016 son preliminares, a reserva de verificación por el Auditor Externo.</w:t>
            </w:r>
          </w:p>
        </w:tc>
        <w:tc>
          <w:tcPr>
            <w:tcW w:w="1166" w:type="dxa"/>
            <w:tcBorders>
              <w:top w:val="nil"/>
              <w:left w:val="nil"/>
              <w:bottom w:val="nil"/>
              <w:right w:val="nil"/>
            </w:tcBorders>
            <w:shd w:val="clear" w:color="auto" w:fill="auto"/>
            <w:noWrap/>
            <w:vAlign w:val="center"/>
            <w:hideMark/>
          </w:tcPr>
          <w:p w:rsidR="00502550" w:rsidRPr="000070E9" w:rsidRDefault="00502550" w:rsidP="00230FAA">
            <w:pPr>
              <w:rPr>
                <w:sz w:val="16"/>
                <w:szCs w:val="16"/>
              </w:rPr>
            </w:pPr>
          </w:p>
        </w:tc>
      </w:tr>
    </w:tbl>
    <w:p w:rsidR="00502550" w:rsidRPr="000070E9" w:rsidRDefault="00502550" w:rsidP="00230FAA">
      <w:pPr>
        <w:rPr>
          <w:sz w:val="20"/>
        </w:rPr>
      </w:pPr>
    </w:p>
    <w:p w:rsidR="00502550" w:rsidRPr="000070E9" w:rsidRDefault="00502550" w:rsidP="00230FAA">
      <w:pPr>
        <w:pStyle w:val="NormalWeb"/>
        <w:keepNext/>
        <w:keepLines/>
        <w:spacing w:before="0" w:beforeAutospacing="0" w:after="0" w:afterAutospacing="0"/>
        <w:jc w:val="center"/>
        <w:rPr>
          <w:lang w:val="es-ES"/>
        </w:rPr>
      </w:pPr>
      <w:r w:rsidRPr="000070E9">
        <w:rPr>
          <w:lang w:val="es-ES_tradnl"/>
        </w:rPr>
        <w:t>Presupuesto y gastos reales (de personal y no relativos a personal)</w:t>
      </w:r>
      <w:r w:rsidRPr="000070E9">
        <w:rPr>
          <w:lang w:val="es-ES"/>
        </w:rPr>
        <w:t xml:space="preserve"> </w:t>
      </w:r>
    </w:p>
    <w:p w:rsidR="00502550" w:rsidRPr="000070E9" w:rsidRDefault="00502550" w:rsidP="00230FAA">
      <w:pPr>
        <w:pStyle w:val="NormalWeb"/>
        <w:keepNext/>
        <w:keepLines/>
        <w:spacing w:before="0" w:beforeAutospacing="0" w:after="0" w:afterAutospacing="0"/>
        <w:jc w:val="center"/>
        <w:rPr>
          <w:i/>
          <w:iCs/>
          <w:sz w:val="16"/>
          <w:szCs w:val="16"/>
          <w:lang w:val="es-ES"/>
        </w:rPr>
      </w:pPr>
      <w:r w:rsidRPr="000070E9">
        <w:rPr>
          <w:i/>
          <w:iCs/>
          <w:sz w:val="16"/>
          <w:szCs w:val="16"/>
          <w:lang w:val="es-ES_tradnl"/>
        </w:rPr>
        <w:t>(en miles de francos suizos)</w:t>
      </w:r>
    </w:p>
    <w:p w:rsidR="00502550" w:rsidRPr="000070E9" w:rsidRDefault="00502550" w:rsidP="00230FAA">
      <w:pPr>
        <w:rPr>
          <w:b/>
          <w:sz w:val="20"/>
          <w:szCs w:val="18"/>
        </w:rPr>
      </w:pPr>
    </w:p>
    <w:tbl>
      <w:tblPr>
        <w:tblW w:w="8222" w:type="dxa"/>
        <w:jc w:val="center"/>
        <w:tblLook w:val="04A0" w:firstRow="1" w:lastRow="0" w:firstColumn="1" w:lastColumn="0" w:noHBand="0" w:noVBand="1"/>
      </w:tblPr>
      <w:tblGrid>
        <w:gridCol w:w="2470"/>
        <w:gridCol w:w="1438"/>
        <w:gridCol w:w="1438"/>
        <w:gridCol w:w="1438"/>
        <w:gridCol w:w="1438"/>
      </w:tblGrid>
      <w:tr w:rsidR="00502550" w:rsidRPr="000070E9" w:rsidTr="00230FAA">
        <w:trPr>
          <w:trHeight w:val="720"/>
          <w:jc w:val="center"/>
        </w:trPr>
        <w:tc>
          <w:tcPr>
            <w:tcW w:w="2440" w:type="dxa"/>
            <w:tcBorders>
              <w:top w:val="nil"/>
              <w:left w:val="nil"/>
              <w:bottom w:val="nil"/>
              <w:right w:val="nil"/>
            </w:tcBorders>
            <w:shd w:val="clear" w:color="000000" w:fill="C5D9F1"/>
            <w:noWrap/>
            <w:vAlign w:val="center"/>
            <w:hideMark/>
          </w:tcPr>
          <w:p w:rsidR="00502550" w:rsidRPr="000070E9" w:rsidRDefault="00502550" w:rsidP="00230FAA">
            <w:pPr>
              <w:rPr>
                <w:sz w:val="16"/>
                <w:szCs w:val="16"/>
              </w:rPr>
            </w:pPr>
            <w:r w:rsidRPr="000070E9">
              <w:rPr>
                <w:sz w:val="16"/>
                <w:szCs w:val="16"/>
              </w:rPr>
              <w:t> </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lang w:val="es-ES_tradnl"/>
              </w:rPr>
              <w:t>Índice de utilización (%)</w:t>
            </w:r>
          </w:p>
        </w:tc>
      </w:tr>
      <w:tr w:rsidR="00502550" w:rsidRPr="000070E9"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0070E9" w:rsidRDefault="00502550" w:rsidP="00230FAA">
            <w:pPr>
              <w:rPr>
                <w:sz w:val="16"/>
                <w:szCs w:val="16"/>
              </w:rPr>
            </w:pPr>
            <w:r w:rsidRPr="000070E9">
              <w:rPr>
                <w:sz w:val="16"/>
                <w:szCs w:val="16"/>
                <w:lang w:val="es-ES_tradnl"/>
              </w:rPr>
              <w:t>Recursos de personal</w:t>
            </w:r>
            <w:r w:rsidRPr="000070E9">
              <w:rPr>
                <w:sz w:val="16"/>
                <w:szCs w:val="16"/>
              </w:rPr>
              <w:t xml:space="preserve">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 xml:space="preserve">5.764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 xml:space="preserve">6.060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 xml:space="preserve">2.862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47%</w:t>
            </w:r>
          </w:p>
        </w:tc>
      </w:tr>
      <w:tr w:rsidR="00502550" w:rsidRPr="000070E9"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0070E9" w:rsidRDefault="00502550" w:rsidP="00230FAA">
            <w:pPr>
              <w:rPr>
                <w:sz w:val="16"/>
                <w:szCs w:val="16"/>
              </w:rPr>
            </w:pPr>
            <w:r w:rsidRPr="000070E9">
              <w:rPr>
                <w:sz w:val="16"/>
                <w:szCs w:val="16"/>
                <w:lang w:val="es-ES_tradnl"/>
              </w:rPr>
              <w:t>Recursos no relativos a personal</w:t>
            </w:r>
            <w:r w:rsidRPr="000070E9">
              <w:rPr>
                <w:sz w:val="16"/>
                <w:szCs w:val="16"/>
              </w:rPr>
              <w:t xml:space="preserve">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 xml:space="preserve">1.225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 xml:space="preserve">1.174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 xml:space="preserve">307 </w:t>
            </w:r>
          </w:p>
        </w:tc>
        <w:tc>
          <w:tcPr>
            <w:tcW w:w="1420" w:type="dxa"/>
            <w:tcBorders>
              <w:top w:val="nil"/>
              <w:left w:val="nil"/>
              <w:bottom w:val="nil"/>
              <w:right w:val="nil"/>
            </w:tcBorders>
            <w:shd w:val="clear" w:color="auto" w:fill="auto"/>
            <w:vAlign w:val="center"/>
            <w:hideMark/>
          </w:tcPr>
          <w:p w:rsidR="00502550" w:rsidRPr="000070E9" w:rsidRDefault="00502550" w:rsidP="00230FAA">
            <w:pPr>
              <w:jc w:val="center"/>
              <w:rPr>
                <w:sz w:val="16"/>
                <w:szCs w:val="16"/>
              </w:rPr>
            </w:pPr>
            <w:r w:rsidRPr="000070E9">
              <w:rPr>
                <w:sz w:val="16"/>
                <w:szCs w:val="16"/>
              </w:rPr>
              <w:t>26%</w:t>
            </w:r>
          </w:p>
        </w:tc>
      </w:tr>
      <w:tr w:rsidR="00502550" w:rsidRPr="000070E9" w:rsidTr="00230FAA">
        <w:trPr>
          <w:trHeight w:val="225"/>
          <w:jc w:val="center"/>
        </w:trPr>
        <w:tc>
          <w:tcPr>
            <w:tcW w:w="2440" w:type="dxa"/>
            <w:tcBorders>
              <w:top w:val="nil"/>
              <w:left w:val="nil"/>
              <w:bottom w:val="nil"/>
              <w:right w:val="nil"/>
            </w:tcBorders>
            <w:shd w:val="clear" w:color="000000" w:fill="C5D9F1"/>
            <w:noWrap/>
            <w:vAlign w:val="center"/>
            <w:hideMark/>
          </w:tcPr>
          <w:p w:rsidR="00502550" w:rsidRPr="000070E9" w:rsidRDefault="00502550" w:rsidP="00230FAA">
            <w:pPr>
              <w:jc w:val="right"/>
              <w:rPr>
                <w:b/>
                <w:bCs/>
                <w:sz w:val="16"/>
                <w:szCs w:val="16"/>
              </w:rPr>
            </w:pPr>
            <w:r w:rsidRPr="000070E9">
              <w:rPr>
                <w:b/>
                <w:bCs/>
                <w:sz w:val="16"/>
                <w:szCs w:val="16"/>
              </w:rPr>
              <w:t xml:space="preserve"> </w:t>
            </w:r>
            <w:r w:rsidRPr="000070E9">
              <w:rPr>
                <w:b/>
                <w:bCs/>
                <w:sz w:val="16"/>
                <w:szCs w:val="16"/>
                <w:lang w:val="es-ES_tradnl"/>
              </w:rPr>
              <w:t>Total</w:t>
            </w:r>
            <w:r w:rsidRPr="000070E9">
              <w:rPr>
                <w:b/>
                <w:bCs/>
                <w:sz w:val="16"/>
                <w:szCs w:val="16"/>
              </w:rPr>
              <w:t xml:space="preserve"> </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rPr>
              <w:t xml:space="preserve">6.990 </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rPr>
              <w:t xml:space="preserve">7.235 </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rPr>
              <w:t xml:space="preserve">3.169 </w:t>
            </w:r>
          </w:p>
        </w:tc>
        <w:tc>
          <w:tcPr>
            <w:tcW w:w="1420" w:type="dxa"/>
            <w:tcBorders>
              <w:top w:val="nil"/>
              <w:left w:val="nil"/>
              <w:bottom w:val="nil"/>
              <w:right w:val="nil"/>
            </w:tcBorders>
            <w:shd w:val="clear" w:color="000000" w:fill="C5D9F1"/>
            <w:vAlign w:val="center"/>
            <w:hideMark/>
          </w:tcPr>
          <w:p w:rsidR="00502550" w:rsidRPr="000070E9" w:rsidRDefault="00502550" w:rsidP="00230FAA">
            <w:pPr>
              <w:jc w:val="center"/>
              <w:rPr>
                <w:b/>
                <w:bCs/>
                <w:sz w:val="16"/>
                <w:szCs w:val="16"/>
              </w:rPr>
            </w:pPr>
            <w:r w:rsidRPr="000070E9">
              <w:rPr>
                <w:b/>
                <w:bCs/>
                <w:sz w:val="16"/>
                <w:szCs w:val="16"/>
              </w:rPr>
              <w:t>44%</w:t>
            </w:r>
          </w:p>
        </w:tc>
      </w:tr>
      <w:tr w:rsidR="00502550" w:rsidRPr="000070E9" w:rsidTr="00230FAA">
        <w:trPr>
          <w:trHeight w:val="300"/>
          <w:jc w:val="center"/>
        </w:trPr>
        <w:tc>
          <w:tcPr>
            <w:tcW w:w="8120" w:type="dxa"/>
            <w:gridSpan w:val="5"/>
            <w:tcBorders>
              <w:top w:val="nil"/>
              <w:left w:val="nil"/>
              <w:bottom w:val="nil"/>
              <w:right w:val="nil"/>
            </w:tcBorders>
            <w:shd w:val="clear" w:color="auto" w:fill="auto"/>
            <w:noWrap/>
            <w:vAlign w:val="center"/>
            <w:hideMark/>
          </w:tcPr>
          <w:p w:rsidR="00502550" w:rsidRPr="000070E9" w:rsidRDefault="00502550" w:rsidP="00230FAA">
            <w:pPr>
              <w:rPr>
                <w:i/>
                <w:iCs/>
                <w:sz w:val="16"/>
                <w:szCs w:val="16"/>
              </w:rPr>
            </w:pPr>
            <w:r w:rsidRPr="000070E9">
              <w:rPr>
                <w:i/>
                <w:iCs/>
                <w:sz w:val="16"/>
                <w:szCs w:val="16"/>
              </w:rPr>
              <w:t xml:space="preserve"> </w:t>
            </w:r>
            <w:r w:rsidRPr="000070E9">
              <w:rPr>
                <w:i/>
                <w:iCs/>
                <w:sz w:val="16"/>
                <w:szCs w:val="16"/>
                <w:lang w:val="es-ES_tradnl"/>
              </w:rPr>
              <w:t>*Las cifras de gastos en 2016 son preliminares, a reserva de verificación por el Auditor Externo</w:t>
            </w:r>
            <w:r w:rsidRPr="000070E9">
              <w:rPr>
                <w:i/>
                <w:iCs/>
                <w:sz w:val="16"/>
                <w:szCs w:val="16"/>
              </w:rPr>
              <w:t>.</w:t>
            </w:r>
          </w:p>
        </w:tc>
      </w:tr>
    </w:tbl>
    <w:p w:rsidR="00502550" w:rsidRPr="000070E9" w:rsidRDefault="00502550" w:rsidP="00230FAA">
      <w:pPr>
        <w:jc w:val="center"/>
        <w:rPr>
          <w:sz w:val="20"/>
          <w:szCs w:val="18"/>
        </w:rPr>
      </w:pPr>
    </w:p>
    <w:p w:rsidR="00502550" w:rsidRPr="000070E9" w:rsidRDefault="00502550" w:rsidP="00230FAA">
      <w:pPr>
        <w:keepNext/>
        <w:keepLines/>
        <w:ind w:left="567" w:right="282"/>
        <w:rPr>
          <w:i/>
          <w:sz w:val="16"/>
          <w:szCs w:val="16"/>
        </w:rPr>
      </w:pPr>
      <w:r w:rsidRPr="000070E9">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502550" w:rsidRPr="000070E9" w:rsidRDefault="00502550" w:rsidP="00230FAA">
      <w:pPr>
        <w:rPr>
          <w:sz w:val="20"/>
          <w:szCs w:val="18"/>
        </w:rPr>
      </w:pPr>
    </w:p>
    <w:p w:rsidR="00502550" w:rsidRPr="000070E9" w:rsidRDefault="00502550" w:rsidP="00230FAA">
      <w:pPr>
        <w:rPr>
          <w:sz w:val="20"/>
          <w:szCs w:val="18"/>
        </w:rPr>
      </w:pPr>
    </w:p>
    <w:p w:rsidR="00502550" w:rsidRPr="000070E9" w:rsidRDefault="00502550" w:rsidP="00230FAA">
      <w:pPr>
        <w:jc w:val="both"/>
        <w:rPr>
          <w:sz w:val="20"/>
          <w:u w:val="single"/>
        </w:rPr>
      </w:pPr>
      <w:r w:rsidRPr="000070E9">
        <w:rPr>
          <w:sz w:val="20"/>
          <w:lang w:val="es-ES_tradnl"/>
        </w:rPr>
        <w:t>A.</w:t>
      </w:r>
      <w:r w:rsidRPr="000070E9">
        <w:rPr>
          <w:sz w:val="20"/>
          <w:lang w:val="es-ES_tradnl"/>
        </w:rPr>
        <w:tab/>
      </w:r>
      <w:r w:rsidRPr="000070E9">
        <w:rPr>
          <w:sz w:val="20"/>
          <w:u w:val="single"/>
          <w:lang w:val="es-ES_tradnl"/>
        </w:rPr>
        <w:t>Presupuesto de 2016/17 tras las transferencias</w:t>
      </w:r>
    </w:p>
    <w:p w:rsidR="00502550" w:rsidRPr="000070E9" w:rsidRDefault="00502550" w:rsidP="00230FAA">
      <w:pPr>
        <w:jc w:val="both"/>
        <w:rPr>
          <w:sz w:val="20"/>
        </w:rPr>
      </w:pPr>
    </w:p>
    <w:p w:rsidR="00502550" w:rsidRPr="000070E9" w:rsidRDefault="00502550" w:rsidP="00502550">
      <w:pPr>
        <w:pStyle w:val="ListParagraph"/>
        <w:numPr>
          <w:ilvl w:val="0"/>
          <w:numId w:val="67"/>
        </w:numPr>
        <w:tabs>
          <w:tab w:val="left" w:pos="0"/>
          <w:tab w:val="left" w:pos="709"/>
        </w:tabs>
        <w:ind w:left="0" w:firstLine="0"/>
        <w:jc w:val="both"/>
        <w:rPr>
          <w:lang w:val="es-ES"/>
        </w:rPr>
      </w:pPr>
      <w:r w:rsidRPr="000070E9">
        <w:rPr>
          <w:lang w:val="es-ES"/>
        </w:rPr>
        <w:t xml:space="preserve">El aumento en los recursos de personal con respecto al presupuesto aprobado de 2016/17 </w:t>
      </w:r>
      <w:r w:rsidR="0048069B">
        <w:rPr>
          <w:lang w:val="es-ES"/>
        </w:rPr>
        <w:t>se debió</w:t>
      </w:r>
      <w:r w:rsidRPr="000070E9">
        <w:rPr>
          <w:lang w:val="es-ES"/>
        </w:rPr>
        <w:t xml:space="preserve"> principalmente a la regularización de funciones permanentes</w:t>
      </w:r>
      <w:r w:rsidRPr="000070E9">
        <w:rPr>
          <w:lang w:val="es-ES" w:eastAsia="ko-KR"/>
        </w:rPr>
        <w:t>.</w:t>
      </w:r>
    </w:p>
    <w:p w:rsidR="00502550" w:rsidRPr="000070E9" w:rsidRDefault="00502550" w:rsidP="00230FAA">
      <w:pPr>
        <w:pStyle w:val="ListParagraph"/>
        <w:tabs>
          <w:tab w:val="left" w:pos="709"/>
        </w:tabs>
        <w:ind w:left="0"/>
        <w:jc w:val="both"/>
        <w:rPr>
          <w:lang w:val="es-ES"/>
        </w:rPr>
      </w:pPr>
    </w:p>
    <w:p w:rsidR="00502550" w:rsidRPr="000070E9" w:rsidRDefault="00502550" w:rsidP="00502550">
      <w:pPr>
        <w:pStyle w:val="ListParagraph"/>
        <w:numPr>
          <w:ilvl w:val="0"/>
          <w:numId w:val="67"/>
        </w:numPr>
        <w:tabs>
          <w:tab w:val="left" w:pos="0"/>
          <w:tab w:val="left" w:pos="709"/>
        </w:tabs>
        <w:ind w:left="0" w:firstLine="0"/>
        <w:jc w:val="both"/>
        <w:rPr>
          <w:bCs/>
          <w:lang w:val="es-ES"/>
        </w:rPr>
      </w:pPr>
      <w:r w:rsidRPr="000070E9">
        <w:rPr>
          <w:bCs/>
          <w:lang w:val="es-ES"/>
        </w:rPr>
        <w:t xml:space="preserve">La leve disminución en los recursos no relativos a personal </w:t>
      </w:r>
      <w:r w:rsidR="0048069B">
        <w:rPr>
          <w:bCs/>
          <w:lang w:val="es-ES"/>
        </w:rPr>
        <w:t>se debió</w:t>
      </w:r>
      <w:r w:rsidRPr="000070E9">
        <w:rPr>
          <w:bCs/>
          <w:lang w:val="es-ES"/>
        </w:rPr>
        <w:t xml:space="preserve"> principalmente a la transferencia de la responsabilidad de los proyectos especiales de asistencia técnica (LATIPAT y ARABPAT) desde el programa al programa “Bases de datos mundiales” (programa 13) y la transferencia de los recursos no relativos a personal destinados a pasantías al DGRRHH (programa 23), que gestiona las pasantías de manera centralizada.</w:t>
      </w:r>
    </w:p>
    <w:p w:rsidR="00502550" w:rsidRPr="000070E9" w:rsidRDefault="00502550" w:rsidP="00230FAA">
      <w:pPr>
        <w:pStyle w:val="ListParagraph"/>
        <w:tabs>
          <w:tab w:val="left" w:pos="709"/>
        </w:tabs>
        <w:ind w:left="0"/>
        <w:jc w:val="both"/>
        <w:rPr>
          <w:lang w:val="es-ES"/>
        </w:rPr>
      </w:pPr>
    </w:p>
    <w:p w:rsidR="00502550" w:rsidRPr="000070E9" w:rsidRDefault="00502550" w:rsidP="00230FAA">
      <w:pPr>
        <w:jc w:val="both"/>
        <w:rPr>
          <w:sz w:val="20"/>
          <w:u w:val="single"/>
        </w:rPr>
      </w:pPr>
      <w:r w:rsidRPr="000070E9">
        <w:rPr>
          <w:sz w:val="20"/>
          <w:lang w:val="es-ES_tradnl"/>
        </w:rPr>
        <w:t>B.</w:t>
      </w:r>
      <w:r w:rsidRPr="000070E9">
        <w:rPr>
          <w:sz w:val="20"/>
          <w:lang w:val="es-ES_tradnl"/>
        </w:rPr>
        <w:tab/>
      </w:r>
      <w:r w:rsidRPr="000070E9">
        <w:rPr>
          <w:sz w:val="20"/>
          <w:u w:val="single"/>
          <w:lang w:val="es-ES_tradnl"/>
        </w:rPr>
        <w:t>Utilización del presupuesto en 2016/17</w:t>
      </w:r>
    </w:p>
    <w:p w:rsidR="00502550" w:rsidRPr="000070E9" w:rsidRDefault="00502550" w:rsidP="00230FAA">
      <w:pPr>
        <w:tabs>
          <w:tab w:val="left" w:pos="709"/>
        </w:tabs>
        <w:jc w:val="both"/>
        <w:rPr>
          <w:sz w:val="20"/>
          <w:u w:val="single"/>
          <w:lang w:eastAsia="ko-KR"/>
        </w:rPr>
      </w:pPr>
    </w:p>
    <w:p w:rsidR="00502550" w:rsidRPr="000070E9" w:rsidRDefault="00502550" w:rsidP="00502550">
      <w:pPr>
        <w:pStyle w:val="ListParagraph"/>
        <w:numPr>
          <w:ilvl w:val="0"/>
          <w:numId w:val="67"/>
        </w:numPr>
        <w:tabs>
          <w:tab w:val="left" w:pos="0"/>
          <w:tab w:val="left" w:pos="709"/>
        </w:tabs>
        <w:ind w:left="0" w:firstLine="0"/>
        <w:jc w:val="both"/>
        <w:rPr>
          <w:bCs/>
          <w:lang w:val="es-ES"/>
        </w:rPr>
      </w:pPr>
      <w:r w:rsidRPr="000070E9">
        <w:rPr>
          <w:bCs/>
          <w:lang w:val="es-ES"/>
        </w:rPr>
        <w:t>La utilización de</w:t>
      </w:r>
      <w:r w:rsidR="00D874E5">
        <w:rPr>
          <w:bCs/>
          <w:lang w:val="es-ES"/>
        </w:rPr>
        <w:t>l</w:t>
      </w:r>
      <w:r w:rsidRPr="000070E9">
        <w:rPr>
          <w:bCs/>
          <w:lang w:val="es-ES"/>
        </w:rPr>
        <w:t xml:space="preserve"> 26% del presupuesto </w:t>
      </w:r>
      <w:r w:rsidR="00D874E5">
        <w:rPr>
          <w:bCs/>
          <w:lang w:val="es-ES"/>
        </w:rPr>
        <w:t>de</w:t>
      </w:r>
      <w:r w:rsidRPr="000070E9">
        <w:rPr>
          <w:bCs/>
          <w:lang w:val="es-ES"/>
        </w:rPr>
        <w:t xml:space="preserve"> recursos no relativos a personal </w:t>
      </w:r>
      <w:r w:rsidR="0048069B">
        <w:rPr>
          <w:bCs/>
          <w:lang w:val="es-ES"/>
        </w:rPr>
        <w:t>se debió</w:t>
      </w:r>
      <w:r w:rsidRPr="000070E9">
        <w:rPr>
          <w:bCs/>
          <w:lang w:val="es-ES"/>
        </w:rPr>
        <w:t xml:space="preserve"> principalmente a un gasto menor del previsto en misiones de</w:t>
      </w:r>
      <w:r w:rsidR="00D874E5">
        <w:rPr>
          <w:bCs/>
          <w:lang w:val="es-ES"/>
        </w:rPr>
        <w:t>l</w:t>
      </w:r>
      <w:r w:rsidRPr="000070E9">
        <w:rPr>
          <w:bCs/>
          <w:lang w:val="es-ES"/>
        </w:rPr>
        <w:t xml:space="preserve"> personal.</w:t>
      </w:r>
    </w:p>
    <w:p w:rsidR="00502550" w:rsidRPr="000070E9" w:rsidRDefault="00502550" w:rsidP="00230FAA">
      <w:pPr>
        <w:pStyle w:val="ListParagraph"/>
        <w:tabs>
          <w:tab w:val="left" w:pos="0"/>
          <w:tab w:val="left" w:pos="709"/>
        </w:tabs>
        <w:ind w:left="0"/>
        <w:jc w:val="both"/>
        <w:rPr>
          <w:lang w:val="es-ES"/>
        </w:rPr>
      </w:pPr>
    </w:p>
    <w:p w:rsidR="00AB2B3B" w:rsidRDefault="00AB2B3B">
      <w:pPr>
        <w:rPr>
          <w:b/>
          <w:bCs/>
          <w:iCs/>
          <w:lang w:val="es-ES_tradnl"/>
        </w:rPr>
      </w:pPr>
      <w:r>
        <w:rPr>
          <w:b/>
          <w:bCs/>
          <w:iCs/>
          <w:lang w:val="es-ES_tradnl"/>
        </w:rPr>
        <w:br w:type="page"/>
      </w:r>
    </w:p>
    <w:p w:rsidR="00502550" w:rsidRPr="008E5EBD" w:rsidRDefault="00502550" w:rsidP="00D874E5">
      <w:pPr>
        <w:tabs>
          <w:tab w:val="left" w:pos="2410"/>
          <w:tab w:val="right" w:pos="9072"/>
        </w:tabs>
        <w:jc w:val="both"/>
        <w:outlineLvl w:val="1"/>
        <w:rPr>
          <w:b/>
          <w:bCs/>
          <w:iCs/>
        </w:rPr>
      </w:pPr>
      <w:bookmarkStart w:id="53" w:name="_Toc482711262"/>
      <w:r w:rsidRPr="008E5EBD">
        <w:rPr>
          <w:b/>
          <w:bCs/>
          <w:iCs/>
          <w:lang w:val="es-ES_tradnl"/>
        </w:rPr>
        <w:lastRenderedPageBreak/>
        <w:t>PROGRAMA 15</w:t>
      </w:r>
      <w:r w:rsidRPr="008E5EBD">
        <w:rPr>
          <w:bCs/>
          <w:iCs/>
          <w:lang w:val="es-ES_tradnl"/>
        </w:rPr>
        <w:tab/>
      </w:r>
      <w:r w:rsidRPr="008E5EBD">
        <w:rPr>
          <w:b/>
          <w:bCs/>
          <w:iCs/>
          <w:lang w:val="es-ES_tradnl"/>
        </w:rPr>
        <w:t>SOLUCIONES OPERATIVAS PARA LAS OFICINAS DE P.I.</w:t>
      </w:r>
      <w:bookmarkEnd w:id="53"/>
    </w:p>
    <w:p w:rsidR="00502550" w:rsidRPr="000A09A0" w:rsidRDefault="00502550" w:rsidP="000A09A0">
      <w:pPr>
        <w:rPr>
          <w:sz w:val="20"/>
        </w:rPr>
      </w:pPr>
    </w:p>
    <w:p w:rsidR="00502550" w:rsidRPr="000A09A0" w:rsidRDefault="00502550" w:rsidP="00D874E5">
      <w:pPr>
        <w:tabs>
          <w:tab w:val="left" w:pos="2410"/>
        </w:tabs>
        <w:jc w:val="both"/>
        <w:rPr>
          <w:rFonts w:cs="Times New Roman"/>
          <w:b/>
          <w:sz w:val="20"/>
          <w:lang w:val="es-ES_tradnl"/>
        </w:rPr>
      </w:pPr>
      <w:r w:rsidRPr="000A09A0">
        <w:rPr>
          <w:rFonts w:cs="Times New Roman"/>
          <w:b/>
          <w:sz w:val="20"/>
          <w:lang w:val="es-ES_tradnl"/>
        </w:rPr>
        <w:t>Director de programa</w:t>
      </w:r>
      <w:r w:rsidRPr="000A09A0">
        <w:rPr>
          <w:rFonts w:cs="Times New Roman"/>
          <w:b/>
          <w:sz w:val="20"/>
          <w:lang w:val="es-ES_tradnl"/>
        </w:rPr>
        <w:tab/>
        <w:t>Sr. Y. Takagi</w:t>
      </w:r>
    </w:p>
    <w:p w:rsidR="00502550" w:rsidRPr="008E5EBD" w:rsidRDefault="00502550" w:rsidP="00AB2B3B">
      <w:pPr>
        <w:pStyle w:val="ListParagraph"/>
        <w:ind w:left="0"/>
        <w:jc w:val="center"/>
        <w:rPr>
          <w:sz w:val="22"/>
          <w:szCs w:val="22"/>
        </w:rPr>
      </w:pPr>
      <w:r w:rsidRPr="008E5EBD">
        <w:rPr>
          <w:noProof/>
        </w:rPr>
        <w:drawing>
          <wp:inline distT="0" distB="0" distL="0" distR="0" wp14:anchorId="6AF54698" wp14:editId="5EA22217">
            <wp:extent cx="4690949" cy="2628491"/>
            <wp:effectExtent l="0" t="0" r="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4695790" cy="2631203"/>
                    </a:xfrm>
                    <a:prstGeom prst="rect">
                      <a:avLst/>
                    </a:prstGeom>
                    <a:noFill/>
                    <a:ln>
                      <a:noFill/>
                    </a:ln>
                  </pic:spPr>
                </pic:pic>
              </a:graphicData>
            </a:graphic>
          </wp:inline>
        </w:drawing>
      </w:r>
      <w:r w:rsidRPr="008E5EBD">
        <w:t xml:space="preserve">  </w:t>
      </w:r>
    </w:p>
    <w:tbl>
      <w:tblPr>
        <w:tblpPr w:leftFromText="180" w:rightFromText="180" w:vertAnchor="text" w:horzAnchor="margin" w:tblpY="314"/>
        <w:tblW w:w="5000" w:type="pct"/>
        <w:tblCellMar>
          <w:left w:w="115" w:type="dxa"/>
          <w:right w:w="115" w:type="dxa"/>
        </w:tblCellMar>
        <w:tblLook w:val="0000" w:firstRow="0" w:lastRow="0" w:firstColumn="0" w:lastColumn="0" w:noHBand="0" w:noVBand="0"/>
      </w:tblPr>
      <w:tblGrid>
        <w:gridCol w:w="2318"/>
        <w:gridCol w:w="2133"/>
        <w:gridCol w:w="1187"/>
        <w:gridCol w:w="2526"/>
        <w:gridCol w:w="1023"/>
      </w:tblGrid>
      <w:tr w:rsidR="00502550" w:rsidRPr="008E5EBD" w:rsidTr="00230FAA">
        <w:trPr>
          <w:trHeight w:val="710"/>
        </w:trPr>
        <w:tc>
          <w:tcPr>
            <w:tcW w:w="5000" w:type="pct"/>
            <w:gridSpan w:val="5"/>
            <w:shd w:val="clear" w:color="auto" w:fill="C6D9F1" w:themeFill="text2" w:themeFillTint="33"/>
            <w:tcMar>
              <w:left w:w="58" w:type="dxa"/>
              <w:right w:w="58" w:type="dxa"/>
            </w:tcMar>
            <w:vAlign w:val="center"/>
          </w:tcPr>
          <w:p w:rsidR="00502550" w:rsidRPr="008E5EBD" w:rsidRDefault="00502550" w:rsidP="00230FAA">
            <w:pPr>
              <w:keepNext/>
              <w:keepLines/>
              <w:tabs>
                <w:tab w:val="left" w:pos="1452"/>
              </w:tabs>
              <w:ind w:left="1701" w:hanging="1701"/>
              <w:rPr>
                <w:bCs/>
                <w:sz w:val="16"/>
                <w:szCs w:val="16"/>
              </w:rPr>
            </w:pPr>
            <w:r w:rsidRPr="008E5EBD">
              <w:rPr>
                <w:b/>
                <w:bCs/>
                <w:sz w:val="16"/>
                <w:szCs w:val="16"/>
              </w:rPr>
              <w:t>Resultado previsto:</w:t>
            </w:r>
            <w:r w:rsidRPr="008E5EBD">
              <w:rPr>
                <w:b/>
                <w:bCs/>
                <w:sz w:val="16"/>
                <w:szCs w:val="16"/>
              </w:rPr>
              <w:tab/>
            </w:r>
            <w:r w:rsidRPr="008E5EBD">
              <w:rPr>
                <w:bCs/>
                <w:sz w:val="16"/>
                <w:szCs w:val="16"/>
                <w:lang w:val="es-ES_tradnl"/>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r>
      <w:tr w:rsidR="00502550" w:rsidRPr="008E5EBD" w:rsidTr="00230FAA">
        <w:tc>
          <w:tcPr>
            <w:tcW w:w="1261" w:type="pct"/>
            <w:shd w:val="clear" w:color="auto" w:fill="auto"/>
            <w:tcMar>
              <w:left w:w="58" w:type="dxa"/>
              <w:right w:w="58" w:type="dxa"/>
            </w:tcMar>
            <w:vAlign w:val="center"/>
          </w:tcPr>
          <w:p w:rsidR="00502550" w:rsidRPr="008E5EBD" w:rsidRDefault="00502550" w:rsidP="00230FAA">
            <w:pPr>
              <w:rPr>
                <w:b/>
                <w:bCs/>
                <w:sz w:val="16"/>
                <w:szCs w:val="16"/>
              </w:rPr>
            </w:pPr>
            <w:r w:rsidRPr="008E5EBD">
              <w:rPr>
                <w:b/>
                <w:bCs/>
                <w:sz w:val="16"/>
                <w:szCs w:val="16"/>
                <w:lang w:val="es-ES_tradnl"/>
              </w:rPr>
              <w:t>Indicadores de rendimiento</w:t>
            </w:r>
          </w:p>
        </w:tc>
        <w:tc>
          <w:tcPr>
            <w:tcW w:w="1161" w:type="pct"/>
            <w:shd w:val="clear" w:color="auto" w:fill="auto"/>
            <w:tcMar>
              <w:left w:w="58" w:type="dxa"/>
              <w:right w:w="58" w:type="dxa"/>
            </w:tcMar>
            <w:vAlign w:val="center"/>
          </w:tcPr>
          <w:p w:rsidR="00502550" w:rsidRPr="008E5EBD" w:rsidRDefault="00502550" w:rsidP="00230FAA">
            <w:pPr>
              <w:rPr>
                <w:b/>
                <w:bCs/>
                <w:sz w:val="16"/>
                <w:szCs w:val="16"/>
              </w:rPr>
            </w:pPr>
            <w:r w:rsidRPr="008E5EBD">
              <w:rPr>
                <w:b/>
                <w:bCs/>
                <w:sz w:val="16"/>
                <w:szCs w:val="16"/>
                <w:lang w:val="es-ES_tradnl"/>
              </w:rPr>
              <w:t>Referencias de base</w:t>
            </w:r>
          </w:p>
        </w:tc>
        <w:tc>
          <w:tcPr>
            <w:tcW w:w="646" w:type="pct"/>
            <w:shd w:val="clear" w:color="auto" w:fill="auto"/>
            <w:tcMar>
              <w:top w:w="110" w:type="dxa"/>
              <w:left w:w="58" w:type="dxa"/>
              <w:right w:w="58" w:type="dxa"/>
            </w:tcMar>
            <w:vAlign w:val="center"/>
          </w:tcPr>
          <w:p w:rsidR="00502550" w:rsidRPr="008E5EBD" w:rsidRDefault="00502550" w:rsidP="00230FAA">
            <w:pPr>
              <w:tabs>
                <w:tab w:val="left" w:pos="290"/>
              </w:tabs>
              <w:rPr>
                <w:b/>
                <w:bCs/>
                <w:sz w:val="16"/>
                <w:szCs w:val="16"/>
              </w:rPr>
            </w:pPr>
            <w:r w:rsidRPr="008E5EBD">
              <w:rPr>
                <w:b/>
                <w:bCs/>
                <w:sz w:val="16"/>
                <w:szCs w:val="16"/>
                <w:lang w:val="es-ES_tradnl"/>
              </w:rPr>
              <w:t>Objetivos</w:t>
            </w:r>
          </w:p>
        </w:tc>
        <w:tc>
          <w:tcPr>
            <w:tcW w:w="1375" w:type="pct"/>
            <w:shd w:val="clear" w:color="auto" w:fill="FFFFFF"/>
            <w:tcMar>
              <w:top w:w="110" w:type="dxa"/>
              <w:left w:w="58" w:type="dxa"/>
              <w:right w:w="58" w:type="dxa"/>
            </w:tcMar>
            <w:vAlign w:val="center"/>
          </w:tcPr>
          <w:p w:rsidR="00502550" w:rsidRPr="008E5EBD" w:rsidRDefault="00502550" w:rsidP="00230FAA">
            <w:pPr>
              <w:rPr>
                <w:b/>
                <w:bCs/>
                <w:sz w:val="16"/>
                <w:szCs w:val="16"/>
              </w:rPr>
            </w:pPr>
            <w:r w:rsidRPr="008E5EBD">
              <w:rPr>
                <w:b/>
                <w:bCs/>
                <w:sz w:val="16"/>
                <w:szCs w:val="16"/>
                <w:lang w:val="es-ES_tradnl"/>
              </w:rPr>
              <w:t>Datos sobre el rendimiento</w:t>
            </w:r>
          </w:p>
        </w:tc>
        <w:tc>
          <w:tcPr>
            <w:tcW w:w="557" w:type="pct"/>
            <w:shd w:val="clear" w:color="auto" w:fill="auto"/>
            <w:tcMar>
              <w:top w:w="110" w:type="dxa"/>
              <w:left w:w="58" w:type="dxa"/>
              <w:right w:w="58" w:type="dxa"/>
            </w:tcMar>
            <w:vAlign w:val="center"/>
          </w:tcPr>
          <w:p w:rsidR="00502550" w:rsidRPr="008E5EBD" w:rsidRDefault="00502550" w:rsidP="00230FAA">
            <w:pPr>
              <w:keepNext/>
              <w:keepLines/>
              <w:jc w:val="center"/>
              <w:rPr>
                <w:b/>
                <w:bCs/>
                <w:sz w:val="16"/>
                <w:szCs w:val="16"/>
              </w:rPr>
            </w:pPr>
            <w:r w:rsidRPr="008E5EBD">
              <w:rPr>
                <w:b/>
                <w:bCs/>
                <w:sz w:val="16"/>
                <w:szCs w:val="16"/>
                <w:lang w:val="es-ES_tradnl"/>
              </w:rPr>
              <w:t>Clave de colores</w:t>
            </w:r>
          </w:p>
        </w:tc>
      </w:tr>
      <w:tr w:rsidR="00502550" w:rsidRPr="008E5EBD" w:rsidTr="00230FAA">
        <w:trPr>
          <w:trHeight w:val="2761"/>
        </w:trPr>
        <w:tc>
          <w:tcPr>
            <w:tcW w:w="1261" w:type="pct"/>
            <w:shd w:val="clear" w:color="auto" w:fill="auto"/>
            <w:tcMar>
              <w:left w:w="58" w:type="dxa"/>
              <w:right w:w="58" w:type="dxa"/>
            </w:tcMar>
          </w:tcPr>
          <w:p w:rsidR="00502550" w:rsidRPr="008E5EBD" w:rsidRDefault="00502550" w:rsidP="00230FAA">
            <w:pPr>
              <w:rPr>
                <w:sz w:val="16"/>
                <w:szCs w:val="16"/>
              </w:rPr>
            </w:pPr>
            <w:r w:rsidRPr="008E5EBD">
              <w:rPr>
                <w:sz w:val="16"/>
                <w:szCs w:val="16"/>
                <w:lang w:val="es-ES_tradnl"/>
              </w:rPr>
              <w:t>N.º oficinas que utilizan las plataformas de infraestructura de la OMPI</w:t>
            </w:r>
          </w:p>
        </w:tc>
        <w:tc>
          <w:tcPr>
            <w:tcW w:w="1161" w:type="pct"/>
            <w:shd w:val="clear" w:color="auto" w:fill="auto"/>
            <w:tcMar>
              <w:left w:w="58" w:type="dxa"/>
              <w:right w:w="58" w:type="dxa"/>
            </w:tcMar>
          </w:tcPr>
          <w:p w:rsidR="00502550" w:rsidRPr="008A4365" w:rsidRDefault="00502550" w:rsidP="00230FAA">
            <w:pPr>
              <w:rPr>
                <w:i/>
                <w:color w:val="002060"/>
                <w:sz w:val="16"/>
                <w:szCs w:val="16"/>
              </w:rPr>
            </w:pPr>
            <w:r w:rsidRPr="008A4365">
              <w:rPr>
                <w:i/>
                <w:color w:val="002060"/>
                <w:sz w:val="16"/>
                <w:szCs w:val="16"/>
                <w:lang w:val="es-ES_tradnl"/>
              </w:rPr>
              <w:t>Referencia actualizada a fines de 2015:</w:t>
            </w:r>
            <w:r w:rsidRPr="008A4365">
              <w:rPr>
                <w:i/>
                <w:color w:val="002060"/>
                <w:sz w:val="16"/>
                <w:szCs w:val="16"/>
              </w:rPr>
              <w:t xml:space="preserve">  </w:t>
            </w:r>
          </w:p>
          <w:p w:rsidR="00502550" w:rsidRPr="008A4365" w:rsidRDefault="00502550" w:rsidP="00502550">
            <w:pPr>
              <w:pStyle w:val="ListParagraph"/>
              <w:numPr>
                <w:ilvl w:val="0"/>
                <w:numId w:val="68"/>
              </w:numPr>
              <w:ind w:left="201" w:hanging="201"/>
              <w:rPr>
                <w:rFonts w:cs="Arial"/>
                <w:color w:val="002060"/>
                <w:sz w:val="16"/>
                <w:szCs w:val="16"/>
              </w:rPr>
            </w:pPr>
            <w:r w:rsidRPr="008A4365">
              <w:rPr>
                <w:rFonts w:cs="Arial"/>
                <w:color w:val="002060"/>
                <w:sz w:val="16"/>
                <w:szCs w:val="16"/>
                <w:lang w:val="es-ES_tradnl"/>
              </w:rPr>
              <w:t>Asia y el Pacífico: 12</w:t>
            </w:r>
          </w:p>
          <w:p w:rsidR="00502550" w:rsidRPr="008A4365" w:rsidRDefault="00502550" w:rsidP="00502550">
            <w:pPr>
              <w:pStyle w:val="ListParagraph"/>
              <w:numPr>
                <w:ilvl w:val="0"/>
                <w:numId w:val="68"/>
              </w:numPr>
              <w:ind w:left="201" w:hanging="201"/>
              <w:rPr>
                <w:color w:val="002060"/>
                <w:sz w:val="16"/>
                <w:szCs w:val="16"/>
                <w:lang w:val="es-ES"/>
              </w:rPr>
            </w:pPr>
            <w:r w:rsidRPr="008A4365">
              <w:rPr>
                <w:color w:val="002060"/>
                <w:sz w:val="16"/>
                <w:szCs w:val="16"/>
                <w:lang w:val="es-ES_tradnl"/>
              </w:rPr>
              <w:t>América Latina y el Caribe: 1</w:t>
            </w:r>
          </w:p>
          <w:p w:rsidR="00502550" w:rsidRPr="008A4365" w:rsidRDefault="00502550" w:rsidP="00502550">
            <w:pPr>
              <w:pStyle w:val="ListParagraph"/>
              <w:numPr>
                <w:ilvl w:val="0"/>
                <w:numId w:val="68"/>
              </w:numPr>
              <w:ind w:left="201" w:hanging="201"/>
              <w:rPr>
                <w:color w:val="002060"/>
                <w:sz w:val="16"/>
                <w:szCs w:val="16"/>
              </w:rPr>
            </w:pPr>
            <w:r w:rsidRPr="008A4365">
              <w:rPr>
                <w:rFonts w:cs="Arial"/>
                <w:color w:val="002060"/>
                <w:sz w:val="16"/>
                <w:szCs w:val="16"/>
              </w:rPr>
              <w:t>Otros:  12</w:t>
            </w:r>
            <w:r w:rsidRPr="008A4365">
              <w:rPr>
                <w:rStyle w:val="FootnoteReference"/>
                <w:color w:val="002060"/>
              </w:rPr>
              <w:footnoteReference w:id="64"/>
            </w:r>
          </w:p>
          <w:p w:rsidR="00502550" w:rsidRPr="008A4365" w:rsidRDefault="00502550" w:rsidP="00230FAA">
            <w:pPr>
              <w:rPr>
                <w:color w:val="002060"/>
                <w:sz w:val="16"/>
                <w:szCs w:val="16"/>
              </w:rPr>
            </w:pPr>
            <w:r w:rsidRPr="008A4365">
              <w:rPr>
                <w:color w:val="002060"/>
                <w:sz w:val="16"/>
                <w:szCs w:val="16"/>
                <w:lang w:val="es-ES_tradnl"/>
              </w:rPr>
              <w:t>(25 oficinas en total)</w:t>
            </w:r>
          </w:p>
          <w:p w:rsidR="00502550" w:rsidRPr="008E5EBD" w:rsidRDefault="00502550" w:rsidP="00230FAA">
            <w:pPr>
              <w:rPr>
                <w:sz w:val="16"/>
                <w:szCs w:val="16"/>
              </w:rPr>
            </w:pPr>
          </w:p>
          <w:p w:rsidR="00502550" w:rsidRPr="008E5EBD" w:rsidRDefault="00502550" w:rsidP="00230FAA">
            <w:pPr>
              <w:ind w:right="176"/>
              <w:rPr>
                <w:i/>
                <w:sz w:val="16"/>
                <w:szCs w:val="16"/>
                <w:lang w:bidi="th-TH"/>
              </w:rPr>
            </w:pPr>
            <w:r w:rsidRPr="008E5EBD">
              <w:rPr>
                <w:i/>
                <w:sz w:val="16"/>
                <w:szCs w:val="16"/>
                <w:lang w:val="es-ES_tradnl" w:bidi="th-TH"/>
              </w:rPr>
              <w:t>Referencia original en el presupuesto de 2016/17:</w:t>
            </w:r>
            <w:r w:rsidRPr="008E5EBD">
              <w:rPr>
                <w:i/>
                <w:sz w:val="16"/>
                <w:szCs w:val="16"/>
                <w:lang w:bidi="th-TH"/>
              </w:rPr>
              <w:t xml:space="preserve">  </w:t>
            </w:r>
          </w:p>
          <w:p w:rsidR="00502550" w:rsidRPr="008E5EBD" w:rsidRDefault="00502550" w:rsidP="00230FAA">
            <w:pPr>
              <w:rPr>
                <w:sz w:val="16"/>
                <w:szCs w:val="16"/>
              </w:rPr>
            </w:pPr>
            <w:r w:rsidRPr="008E5EBD">
              <w:rPr>
                <w:sz w:val="16"/>
                <w:szCs w:val="16"/>
                <w:lang w:val="es-ES_tradnl"/>
              </w:rPr>
              <w:t>22 Oficinas en marzo de 2015</w:t>
            </w:r>
          </w:p>
          <w:p w:rsidR="00502550" w:rsidRPr="008E5EBD" w:rsidRDefault="00502550" w:rsidP="00230FAA">
            <w:pPr>
              <w:rPr>
                <w:sz w:val="16"/>
                <w:szCs w:val="16"/>
              </w:rPr>
            </w:pPr>
            <w:r w:rsidRPr="008E5EBD">
              <w:rPr>
                <w:sz w:val="16"/>
                <w:szCs w:val="16"/>
                <w:lang w:val="es-ES_tradnl"/>
              </w:rPr>
              <w:t>Asia y el Pacífico:  12</w:t>
            </w:r>
          </w:p>
          <w:p w:rsidR="00502550" w:rsidRPr="008E5EBD" w:rsidRDefault="00502550" w:rsidP="00230FAA">
            <w:pPr>
              <w:rPr>
                <w:sz w:val="16"/>
                <w:szCs w:val="16"/>
              </w:rPr>
            </w:pPr>
            <w:r w:rsidRPr="008E5EBD">
              <w:rPr>
                <w:sz w:val="16"/>
                <w:szCs w:val="16"/>
                <w:lang w:val="es-ES_tradnl"/>
              </w:rPr>
              <w:t>Países en transición: 1</w:t>
            </w:r>
          </w:p>
          <w:p w:rsidR="00502550" w:rsidRPr="008E5EBD" w:rsidRDefault="00502550" w:rsidP="00230FAA">
            <w:pPr>
              <w:rPr>
                <w:sz w:val="16"/>
                <w:szCs w:val="16"/>
              </w:rPr>
            </w:pPr>
            <w:r w:rsidRPr="008E5EBD">
              <w:rPr>
                <w:sz w:val="16"/>
                <w:szCs w:val="16"/>
                <w:lang w:val="es-ES_tradnl"/>
              </w:rPr>
              <w:t>Países desarrollados: 9</w:t>
            </w:r>
          </w:p>
        </w:tc>
        <w:tc>
          <w:tcPr>
            <w:tcW w:w="646" w:type="pct"/>
            <w:shd w:val="clear" w:color="auto" w:fill="auto"/>
            <w:tcMar>
              <w:top w:w="110" w:type="dxa"/>
              <w:left w:w="58" w:type="dxa"/>
              <w:right w:w="58" w:type="dxa"/>
            </w:tcMar>
          </w:tcPr>
          <w:p w:rsidR="00502550" w:rsidRPr="008E5EBD" w:rsidRDefault="00502550" w:rsidP="00230FAA">
            <w:pPr>
              <w:rPr>
                <w:sz w:val="16"/>
                <w:szCs w:val="16"/>
              </w:rPr>
            </w:pPr>
            <w:r w:rsidRPr="008E5EBD">
              <w:rPr>
                <w:sz w:val="16"/>
                <w:szCs w:val="16"/>
                <w:lang w:val="es-ES_tradnl"/>
              </w:rPr>
              <w:t>29 oficinas a fines de 2017</w:t>
            </w:r>
          </w:p>
        </w:tc>
        <w:tc>
          <w:tcPr>
            <w:tcW w:w="1375" w:type="pct"/>
            <w:shd w:val="clear" w:color="auto" w:fill="FFFFFF"/>
            <w:tcMar>
              <w:top w:w="110" w:type="dxa"/>
              <w:left w:w="58" w:type="dxa"/>
              <w:right w:w="58" w:type="dxa"/>
            </w:tcMar>
          </w:tcPr>
          <w:p w:rsidR="00502550" w:rsidRPr="008E5EBD" w:rsidRDefault="00502550" w:rsidP="00230FAA">
            <w:pPr>
              <w:rPr>
                <w:sz w:val="16"/>
                <w:szCs w:val="16"/>
              </w:rPr>
            </w:pPr>
            <w:r w:rsidRPr="008E5EBD">
              <w:rPr>
                <w:sz w:val="16"/>
                <w:szCs w:val="16"/>
                <w:lang w:val="es-ES_tradnl"/>
              </w:rPr>
              <w:t>6 oficinas más en 2016:</w:t>
            </w:r>
            <w:r w:rsidRPr="008E5EBD">
              <w:rPr>
                <w:sz w:val="16"/>
                <w:szCs w:val="16"/>
              </w:rPr>
              <w:t xml:space="preserve">  </w:t>
            </w:r>
          </w:p>
          <w:p w:rsidR="00502550" w:rsidRPr="008E5EBD" w:rsidRDefault="00502550" w:rsidP="00502550">
            <w:pPr>
              <w:pStyle w:val="ListParagraph"/>
              <w:numPr>
                <w:ilvl w:val="0"/>
                <w:numId w:val="68"/>
              </w:numPr>
              <w:ind w:left="201" w:hanging="201"/>
              <w:rPr>
                <w:sz w:val="16"/>
                <w:szCs w:val="16"/>
                <w:lang w:val="es-ES"/>
              </w:rPr>
            </w:pPr>
            <w:r w:rsidRPr="008E5EBD">
              <w:rPr>
                <w:rFonts w:cs="Arial"/>
                <w:sz w:val="16"/>
                <w:szCs w:val="16"/>
                <w:lang w:val="es-ES"/>
              </w:rPr>
              <w:t>Asia y el Pacífico 2: Camboya, Papua Nueva Guinea (14 en total).</w:t>
            </w:r>
          </w:p>
          <w:p w:rsidR="00502550" w:rsidRPr="008E5EBD" w:rsidRDefault="00502550" w:rsidP="00502550">
            <w:pPr>
              <w:pStyle w:val="ListParagraph"/>
              <w:numPr>
                <w:ilvl w:val="0"/>
                <w:numId w:val="68"/>
              </w:numPr>
              <w:ind w:left="198" w:hanging="198"/>
              <w:rPr>
                <w:sz w:val="16"/>
                <w:szCs w:val="16"/>
                <w:lang w:val="es-ES"/>
              </w:rPr>
            </w:pPr>
            <w:r w:rsidRPr="008E5EBD">
              <w:rPr>
                <w:rFonts w:cs="Arial"/>
                <w:sz w:val="16"/>
                <w:szCs w:val="16"/>
                <w:lang w:val="es-ES"/>
              </w:rPr>
              <w:t>No</w:t>
            </w:r>
            <w:r w:rsidRPr="008E5EBD">
              <w:rPr>
                <w:rFonts w:cs="Arial"/>
                <w:sz w:val="16"/>
                <w:szCs w:val="16"/>
                <w:lang w:val="es-ES_tradnl"/>
              </w:rPr>
              <w:t xml:space="preserve"> más oficinas en América Latina y el Caribe (1 en total)</w:t>
            </w:r>
            <w:r w:rsidRPr="008E5EBD">
              <w:rPr>
                <w:rFonts w:cs="Arial"/>
                <w:sz w:val="16"/>
                <w:szCs w:val="16"/>
                <w:lang w:val="es-ES"/>
              </w:rPr>
              <w:t xml:space="preserve"> </w:t>
            </w:r>
          </w:p>
          <w:p w:rsidR="00502550" w:rsidRPr="008E5EBD" w:rsidRDefault="00502550" w:rsidP="00502550">
            <w:pPr>
              <w:pStyle w:val="ListParagraph"/>
              <w:numPr>
                <w:ilvl w:val="0"/>
                <w:numId w:val="68"/>
              </w:numPr>
              <w:ind w:left="201" w:hanging="201"/>
              <w:rPr>
                <w:sz w:val="16"/>
                <w:szCs w:val="16"/>
                <w:lang w:val="es-ES"/>
              </w:rPr>
            </w:pPr>
            <w:r w:rsidRPr="008E5EBD">
              <w:rPr>
                <w:rFonts w:cs="Arial"/>
                <w:sz w:val="16"/>
                <w:szCs w:val="16"/>
                <w:lang w:val="es-ES"/>
              </w:rPr>
              <w:t>Otras 3: Oficina Europea de Patentes, Oficina Eurasiática de Patentes, Portugal (15 en total)</w:t>
            </w:r>
          </w:p>
          <w:p w:rsidR="00502550" w:rsidRPr="008E5EBD" w:rsidRDefault="00502550" w:rsidP="00502550">
            <w:pPr>
              <w:pStyle w:val="ListParagraph"/>
              <w:numPr>
                <w:ilvl w:val="0"/>
                <w:numId w:val="68"/>
              </w:numPr>
              <w:ind w:left="201" w:hanging="201"/>
              <w:rPr>
                <w:sz w:val="16"/>
                <w:szCs w:val="16"/>
                <w:lang w:val="es-ES"/>
              </w:rPr>
            </w:pPr>
            <w:r w:rsidRPr="008E5EBD">
              <w:rPr>
                <w:rFonts w:cs="Arial"/>
                <w:sz w:val="16"/>
                <w:szCs w:val="16"/>
                <w:lang w:val="es-ES"/>
              </w:rPr>
              <w:t>Países en transición 1: Azerbaiyán (1 en total)</w:t>
            </w:r>
          </w:p>
          <w:p w:rsidR="00502550" w:rsidRPr="008E5EBD" w:rsidRDefault="00502550" w:rsidP="00230FAA">
            <w:pPr>
              <w:rPr>
                <w:sz w:val="16"/>
                <w:szCs w:val="16"/>
              </w:rPr>
            </w:pPr>
            <w:r w:rsidRPr="008E5EBD">
              <w:rPr>
                <w:sz w:val="16"/>
                <w:szCs w:val="16"/>
                <w:lang w:val="es-ES_tradnl"/>
              </w:rPr>
              <w:t>(31 oficinas en total)</w:t>
            </w:r>
          </w:p>
          <w:p w:rsidR="00502550" w:rsidRPr="008E5EBD" w:rsidRDefault="00502550" w:rsidP="00230FAA">
            <w:pPr>
              <w:rPr>
                <w:sz w:val="16"/>
                <w:szCs w:val="16"/>
              </w:rPr>
            </w:pPr>
          </w:p>
        </w:tc>
        <w:tc>
          <w:tcPr>
            <w:tcW w:w="557" w:type="pct"/>
            <w:shd w:val="clear" w:color="auto" w:fill="auto"/>
            <w:tcMar>
              <w:top w:w="110" w:type="dxa"/>
              <w:left w:w="58" w:type="dxa"/>
              <w:right w:w="58" w:type="dxa"/>
            </w:tcMar>
          </w:tcPr>
          <w:p w:rsidR="00502550" w:rsidRPr="008E5EBD" w:rsidRDefault="00502550" w:rsidP="00230FAA">
            <w:pPr>
              <w:keepNext/>
              <w:keepLines/>
              <w:jc w:val="center"/>
              <w:rPr>
                <w:b/>
                <w:sz w:val="16"/>
                <w:szCs w:val="16"/>
              </w:rPr>
            </w:pPr>
            <w:r w:rsidRPr="008E5EBD">
              <w:rPr>
                <w:b/>
                <w:color w:val="00B050"/>
                <w:sz w:val="16"/>
                <w:szCs w:val="16"/>
                <w:lang w:val="es-ES_tradnl"/>
              </w:rPr>
              <w:t>Avanza</w:t>
            </w:r>
          </w:p>
        </w:tc>
      </w:tr>
      <w:tr w:rsidR="00502550" w:rsidRPr="008E5EBD" w:rsidTr="00230FAA">
        <w:trPr>
          <w:trHeight w:val="524"/>
        </w:trPr>
        <w:tc>
          <w:tcPr>
            <w:tcW w:w="1261" w:type="pct"/>
            <w:shd w:val="clear" w:color="auto" w:fill="auto"/>
            <w:tcMar>
              <w:left w:w="58" w:type="dxa"/>
              <w:right w:w="58" w:type="dxa"/>
            </w:tcMar>
          </w:tcPr>
          <w:p w:rsidR="00502550" w:rsidRPr="008E5EBD" w:rsidRDefault="00502550" w:rsidP="00230FAA">
            <w:pPr>
              <w:rPr>
                <w:sz w:val="16"/>
                <w:szCs w:val="16"/>
              </w:rPr>
            </w:pPr>
            <w:r w:rsidRPr="008E5EBD">
              <w:rPr>
                <w:sz w:val="16"/>
                <w:szCs w:val="16"/>
                <w:lang w:val="es-ES_tradnl"/>
              </w:rPr>
              <w:t>Promedio del nivel de los servicios prestados por las Oficinas de P.I. que reciben asistencia (en una escala del 1 al 5).</w:t>
            </w:r>
          </w:p>
        </w:tc>
        <w:tc>
          <w:tcPr>
            <w:tcW w:w="1161" w:type="pct"/>
            <w:shd w:val="clear" w:color="auto" w:fill="auto"/>
            <w:tcMar>
              <w:left w:w="58" w:type="dxa"/>
              <w:right w:w="58" w:type="dxa"/>
            </w:tcMar>
          </w:tcPr>
          <w:p w:rsidR="00502550" w:rsidRPr="008A4365" w:rsidRDefault="00502550" w:rsidP="00230FAA">
            <w:pPr>
              <w:rPr>
                <w:i/>
                <w:color w:val="002060"/>
                <w:sz w:val="16"/>
                <w:szCs w:val="16"/>
              </w:rPr>
            </w:pPr>
            <w:r w:rsidRPr="008A4365">
              <w:rPr>
                <w:i/>
                <w:color w:val="002060"/>
                <w:sz w:val="16"/>
                <w:szCs w:val="16"/>
                <w:lang w:val="es-ES_tradnl"/>
              </w:rPr>
              <w:t>Referencia actualizada a fines de 2015:</w:t>
            </w:r>
            <w:r w:rsidRPr="008A4365">
              <w:rPr>
                <w:i/>
                <w:color w:val="002060"/>
                <w:sz w:val="16"/>
                <w:szCs w:val="16"/>
              </w:rPr>
              <w:t xml:space="preserve">  </w:t>
            </w:r>
          </w:p>
          <w:p w:rsidR="00502550" w:rsidRPr="008A4365" w:rsidRDefault="00502550" w:rsidP="00230FAA">
            <w:pPr>
              <w:rPr>
                <w:color w:val="002060"/>
                <w:sz w:val="16"/>
                <w:szCs w:val="16"/>
              </w:rPr>
            </w:pPr>
            <w:r w:rsidRPr="008A4365">
              <w:rPr>
                <w:color w:val="002060"/>
                <w:sz w:val="16"/>
                <w:szCs w:val="16"/>
                <w:lang w:val="es-ES_tradnl"/>
              </w:rPr>
              <w:t>Promedio general: 2,9</w:t>
            </w:r>
          </w:p>
          <w:p w:rsidR="00502550" w:rsidRPr="008A4365" w:rsidRDefault="00502550" w:rsidP="00502550">
            <w:pPr>
              <w:pStyle w:val="ListParagraph"/>
              <w:numPr>
                <w:ilvl w:val="0"/>
                <w:numId w:val="45"/>
              </w:numPr>
              <w:ind w:left="201" w:hanging="201"/>
              <w:rPr>
                <w:color w:val="002060"/>
                <w:sz w:val="16"/>
                <w:szCs w:val="16"/>
              </w:rPr>
            </w:pPr>
            <w:r w:rsidRPr="008A4365">
              <w:rPr>
                <w:color w:val="002060"/>
                <w:sz w:val="16"/>
                <w:szCs w:val="16"/>
                <w:lang w:val="es-ES_tradnl"/>
              </w:rPr>
              <w:t>África:  2,9</w:t>
            </w:r>
          </w:p>
          <w:p w:rsidR="00502550" w:rsidRPr="008A4365" w:rsidRDefault="00502550" w:rsidP="00502550">
            <w:pPr>
              <w:pStyle w:val="ListParagraph"/>
              <w:numPr>
                <w:ilvl w:val="0"/>
                <w:numId w:val="45"/>
              </w:numPr>
              <w:ind w:left="201" w:hanging="201"/>
              <w:rPr>
                <w:color w:val="002060"/>
                <w:sz w:val="16"/>
                <w:szCs w:val="16"/>
                <w:lang w:val="es-ES"/>
              </w:rPr>
            </w:pPr>
            <w:r w:rsidRPr="008A4365">
              <w:rPr>
                <w:color w:val="002060"/>
                <w:sz w:val="16"/>
                <w:szCs w:val="16"/>
                <w:lang w:val="es-ES_tradnl"/>
              </w:rPr>
              <w:t>Países árabes:  2,8</w:t>
            </w:r>
          </w:p>
          <w:p w:rsidR="00502550" w:rsidRPr="008A4365" w:rsidRDefault="00502550" w:rsidP="00502550">
            <w:pPr>
              <w:pStyle w:val="ListParagraph"/>
              <w:numPr>
                <w:ilvl w:val="0"/>
                <w:numId w:val="45"/>
              </w:numPr>
              <w:ind w:left="201" w:hanging="201"/>
              <w:rPr>
                <w:color w:val="002060"/>
                <w:sz w:val="16"/>
                <w:szCs w:val="16"/>
              </w:rPr>
            </w:pPr>
            <w:r w:rsidRPr="008A4365">
              <w:rPr>
                <w:color w:val="002060"/>
                <w:sz w:val="16"/>
                <w:szCs w:val="16"/>
                <w:lang w:val="es-ES_tradnl"/>
              </w:rPr>
              <w:t>Asia y el Pacífico:  2,7</w:t>
            </w:r>
          </w:p>
          <w:p w:rsidR="00502550" w:rsidRPr="008A4365" w:rsidRDefault="00502550" w:rsidP="00502550">
            <w:pPr>
              <w:pStyle w:val="ListParagraph"/>
              <w:numPr>
                <w:ilvl w:val="0"/>
                <w:numId w:val="45"/>
              </w:numPr>
              <w:ind w:left="201" w:hanging="201"/>
              <w:rPr>
                <w:color w:val="002060"/>
                <w:sz w:val="16"/>
                <w:szCs w:val="16"/>
                <w:lang w:val="es-ES"/>
              </w:rPr>
            </w:pPr>
            <w:r w:rsidRPr="008A4365">
              <w:rPr>
                <w:color w:val="002060"/>
                <w:sz w:val="16"/>
                <w:szCs w:val="16"/>
                <w:lang w:val="es-ES_tradnl"/>
              </w:rPr>
              <w:t>Determinados países de Europa y Asia:  3,3</w:t>
            </w:r>
          </w:p>
          <w:p w:rsidR="00502550" w:rsidRPr="008A4365" w:rsidRDefault="00502550" w:rsidP="00502550">
            <w:pPr>
              <w:pStyle w:val="ListParagraph"/>
              <w:numPr>
                <w:ilvl w:val="0"/>
                <w:numId w:val="45"/>
              </w:numPr>
              <w:ind w:left="201" w:hanging="201"/>
              <w:rPr>
                <w:color w:val="002060"/>
                <w:sz w:val="16"/>
                <w:szCs w:val="16"/>
                <w:lang w:val="es-ES"/>
              </w:rPr>
            </w:pPr>
            <w:r w:rsidRPr="008A4365">
              <w:rPr>
                <w:color w:val="002060"/>
                <w:sz w:val="16"/>
                <w:szCs w:val="16"/>
                <w:lang w:val="es-ES_tradnl"/>
              </w:rPr>
              <w:t>América Latina y el Caribe: 3</w:t>
            </w:r>
          </w:p>
          <w:p w:rsidR="00502550" w:rsidRPr="008A4365" w:rsidRDefault="00502550" w:rsidP="00502550">
            <w:pPr>
              <w:pStyle w:val="ListParagraph"/>
              <w:numPr>
                <w:ilvl w:val="0"/>
                <w:numId w:val="45"/>
              </w:numPr>
              <w:ind w:left="201" w:hanging="201"/>
              <w:rPr>
                <w:color w:val="002060"/>
                <w:sz w:val="16"/>
                <w:szCs w:val="16"/>
              </w:rPr>
            </w:pPr>
            <w:r w:rsidRPr="008A4365">
              <w:rPr>
                <w:color w:val="002060"/>
                <w:sz w:val="16"/>
                <w:szCs w:val="16"/>
                <w:lang w:val="es-ES"/>
              </w:rPr>
              <w:t>Otros</w:t>
            </w:r>
            <w:r w:rsidRPr="008A4365">
              <w:rPr>
                <w:color w:val="002060"/>
                <w:sz w:val="16"/>
                <w:szCs w:val="16"/>
              </w:rPr>
              <w:t>:  2,5</w:t>
            </w:r>
          </w:p>
          <w:p w:rsidR="00502550" w:rsidRPr="008E5EBD" w:rsidRDefault="00502550" w:rsidP="00230FAA">
            <w:pPr>
              <w:rPr>
                <w:sz w:val="16"/>
                <w:szCs w:val="16"/>
              </w:rPr>
            </w:pPr>
          </w:p>
          <w:p w:rsidR="00502550" w:rsidRPr="008E5EBD" w:rsidRDefault="00502550" w:rsidP="00230FAA">
            <w:pPr>
              <w:ind w:right="176"/>
              <w:rPr>
                <w:i/>
                <w:sz w:val="16"/>
                <w:szCs w:val="16"/>
                <w:lang w:bidi="th-TH"/>
              </w:rPr>
            </w:pPr>
            <w:r w:rsidRPr="008E5EBD">
              <w:rPr>
                <w:i/>
                <w:sz w:val="16"/>
                <w:szCs w:val="16"/>
                <w:lang w:val="es-ES_tradnl" w:bidi="th-TH"/>
              </w:rPr>
              <w:t>Referencia original en el presupuesto de 2016/17:</w:t>
            </w:r>
            <w:r w:rsidRPr="008E5EBD">
              <w:rPr>
                <w:i/>
                <w:sz w:val="16"/>
                <w:szCs w:val="16"/>
                <w:lang w:bidi="th-TH"/>
              </w:rPr>
              <w:t xml:space="preserve">  </w:t>
            </w:r>
          </w:p>
          <w:p w:rsidR="00502550" w:rsidRPr="008E5EBD" w:rsidRDefault="00502550" w:rsidP="00230FAA">
            <w:pPr>
              <w:spacing w:after="240"/>
              <w:rPr>
                <w:sz w:val="16"/>
                <w:szCs w:val="16"/>
              </w:rPr>
            </w:pPr>
            <w:r w:rsidRPr="008E5EBD">
              <w:rPr>
                <w:sz w:val="16"/>
                <w:szCs w:val="16"/>
                <w:lang w:val="es-ES_tradnl"/>
              </w:rPr>
              <w:t>2,9 a fines de 2015</w:t>
            </w:r>
          </w:p>
        </w:tc>
        <w:tc>
          <w:tcPr>
            <w:tcW w:w="646" w:type="pct"/>
            <w:shd w:val="clear" w:color="auto" w:fill="auto"/>
            <w:tcMar>
              <w:top w:w="110" w:type="dxa"/>
              <w:left w:w="58" w:type="dxa"/>
              <w:right w:w="58" w:type="dxa"/>
            </w:tcMar>
          </w:tcPr>
          <w:p w:rsidR="00502550" w:rsidRPr="008E5EBD" w:rsidRDefault="00502550" w:rsidP="00230FAA">
            <w:pPr>
              <w:rPr>
                <w:sz w:val="16"/>
                <w:szCs w:val="16"/>
              </w:rPr>
            </w:pPr>
            <w:r w:rsidRPr="008E5EBD">
              <w:rPr>
                <w:sz w:val="16"/>
                <w:szCs w:val="16"/>
                <w:lang w:val="es-ES_tradnl"/>
              </w:rPr>
              <w:t>3 a fines de 2017</w:t>
            </w:r>
          </w:p>
        </w:tc>
        <w:tc>
          <w:tcPr>
            <w:tcW w:w="1375" w:type="pct"/>
            <w:shd w:val="clear" w:color="auto" w:fill="FFFFFF"/>
            <w:tcMar>
              <w:top w:w="110" w:type="dxa"/>
              <w:left w:w="58" w:type="dxa"/>
              <w:right w:w="58" w:type="dxa"/>
            </w:tcMar>
          </w:tcPr>
          <w:p w:rsidR="00502550" w:rsidRPr="008E5EBD" w:rsidRDefault="00502550" w:rsidP="00230FAA">
            <w:pPr>
              <w:keepNext/>
              <w:keepLines/>
              <w:rPr>
                <w:sz w:val="16"/>
                <w:szCs w:val="16"/>
              </w:rPr>
            </w:pPr>
            <w:r w:rsidRPr="008E5EBD">
              <w:rPr>
                <w:sz w:val="16"/>
                <w:szCs w:val="16"/>
                <w:lang w:val="es-ES_tradnl"/>
              </w:rPr>
              <w:t>Promedio general: 3,1</w:t>
            </w:r>
            <w:r w:rsidRPr="008E5EBD">
              <w:rPr>
                <w:sz w:val="16"/>
                <w:szCs w:val="16"/>
              </w:rPr>
              <w:t xml:space="preserve"> </w:t>
            </w:r>
          </w:p>
          <w:p w:rsidR="00502550" w:rsidRPr="008E5EBD" w:rsidRDefault="00502550" w:rsidP="00502550">
            <w:pPr>
              <w:pStyle w:val="ListParagraph"/>
              <w:keepNext/>
              <w:keepLines/>
              <w:numPr>
                <w:ilvl w:val="0"/>
                <w:numId w:val="48"/>
              </w:numPr>
              <w:ind w:left="199" w:hanging="199"/>
              <w:rPr>
                <w:sz w:val="16"/>
                <w:szCs w:val="16"/>
              </w:rPr>
            </w:pPr>
            <w:r w:rsidRPr="008E5EBD">
              <w:rPr>
                <w:sz w:val="16"/>
                <w:szCs w:val="16"/>
                <w:lang w:val="es-ES_tradnl"/>
              </w:rPr>
              <w:t>África: 3,0</w:t>
            </w:r>
          </w:p>
          <w:p w:rsidR="00502550" w:rsidRPr="008E5EBD" w:rsidRDefault="00502550" w:rsidP="00502550">
            <w:pPr>
              <w:pStyle w:val="ListParagraph"/>
              <w:keepNext/>
              <w:keepLines/>
              <w:numPr>
                <w:ilvl w:val="0"/>
                <w:numId w:val="48"/>
              </w:numPr>
              <w:ind w:left="199" w:hanging="199"/>
              <w:rPr>
                <w:sz w:val="16"/>
                <w:szCs w:val="16"/>
                <w:lang w:val="es-ES"/>
              </w:rPr>
            </w:pPr>
            <w:r w:rsidRPr="008E5EBD">
              <w:rPr>
                <w:sz w:val="16"/>
                <w:szCs w:val="16"/>
                <w:lang w:val="es-ES_tradnl"/>
              </w:rPr>
              <w:t>Países árabes:  2,9</w:t>
            </w:r>
          </w:p>
          <w:p w:rsidR="00502550" w:rsidRPr="008E5EBD" w:rsidRDefault="00502550" w:rsidP="00502550">
            <w:pPr>
              <w:pStyle w:val="ListParagraph"/>
              <w:keepNext/>
              <w:keepLines/>
              <w:numPr>
                <w:ilvl w:val="0"/>
                <w:numId w:val="48"/>
              </w:numPr>
              <w:ind w:left="199" w:hanging="199"/>
              <w:rPr>
                <w:sz w:val="16"/>
                <w:szCs w:val="16"/>
              </w:rPr>
            </w:pPr>
            <w:r w:rsidRPr="008E5EBD">
              <w:rPr>
                <w:sz w:val="16"/>
                <w:szCs w:val="16"/>
                <w:lang w:val="es-ES_tradnl"/>
              </w:rPr>
              <w:t>Asia y el Pacífico:  3,4</w:t>
            </w:r>
          </w:p>
          <w:p w:rsidR="00502550" w:rsidRPr="008E5EBD" w:rsidRDefault="00502550" w:rsidP="00502550">
            <w:pPr>
              <w:pStyle w:val="ListParagraph"/>
              <w:keepNext/>
              <w:keepLines/>
              <w:numPr>
                <w:ilvl w:val="0"/>
                <w:numId w:val="48"/>
              </w:numPr>
              <w:ind w:left="199" w:hanging="199"/>
              <w:rPr>
                <w:sz w:val="16"/>
                <w:szCs w:val="16"/>
                <w:lang w:val="es-ES"/>
              </w:rPr>
            </w:pPr>
            <w:r w:rsidRPr="008E5EBD">
              <w:rPr>
                <w:sz w:val="16"/>
                <w:szCs w:val="16"/>
                <w:lang w:val="es-ES_tradnl"/>
              </w:rPr>
              <w:t>América Latina y el Caribe: 3.2</w:t>
            </w:r>
          </w:p>
          <w:p w:rsidR="00502550" w:rsidRPr="008E5EBD" w:rsidRDefault="00502550" w:rsidP="00502550">
            <w:pPr>
              <w:pStyle w:val="ListParagraph"/>
              <w:keepNext/>
              <w:keepLines/>
              <w:numPr>
                <w:ilvl w:val="0"/>
                <w:numId w:val="48"/>
              </w:numPr>
              <w:ind w:left="199" w:hanging="199"/>
              <w:rPr>
                <w:sz w:val="16"/>
                <w:szCs w:val="16"/>
              </w:rPr>
            </w:pPr>
            <w:r w:rsidRPr="008E5EBD">
              <w:rPr>
                <w:sz w:val="16"/>
                <w:szCs w:val="16"/>
                <w:lang w:val="es-ES"/>
              </w:rPr>
              <w:t>Otros</w:t>
            </w:r>
            <w:r w:rsidRPr="008E5EBD">
              <w:rPr>
                <w:sz w:val="16"/>
                <w:szCs w:val="16"/>
              </w:rPr>
              <w:t xml:space="preserve">:  2,6 </w:t>
            </w:r>
          </w:p>
          <w:p w:rsidR="00502550" w:rsidRPr="008E5EBD" w:rsidRDefault="00502550" w:rsidP="00502550">
            <w:pPr>
              <w:pStyle w:val="ListParagraph"/>
              <w:keepNext/>
              <w:keepLines/>
              <w:numPr>
                <w:ilvl w:val="0"/>
                <w:numId w:val="48"/>
              </w:numPr>
              <w:ind w:left="199" w:hanging="199"/>
              <w:rPr>
                <w:sz w:val="16"/>
                <w:szCs w:val="16"/>
              </w:rPr>
            </w:pPr>
            <w:r w:rsidRPr="008E5EBD">
              <w:rPr>
                <w:sz w:val="16"/>
                <w:szCs w:val="16"/>
                <w:lang w:val="es-ES_tradnl"/>
              </w:rPr>
              <w:t>Países en transición: 3,5</w:t>
            </w:r>
          </w:p>
          <w:p w:rsidR="00502550" w:rsidRPr="008E5EBD" w:rsidRDefault="00502550" w:rsidP="00230FAA">
            <w:pPr>
              <w:pStyle w:val="ListParagraph"/>
              <w:keepNext/>
              <w:keepLines/>
              <w:ind w:left="360"/>
              <w:rPr>
                <w:sz w:val="16"/>
                <w:szCs w:val="16"/>
              </w:rPr>
            </w:pPr>
          </w:p>
        </w:tc>
        <w:tc>
          <w:tcPr>
            <w:tcW w:w="557" w:type="pct"/>
            <w:shd w:val="clear" w:color="auto" w:fill="auto"/>
            <w:tcMar>
              <w:top w:w="110" w:type="dxa"/>
              <w:left w:w="58" w:type="dxa"/>
              <w:right w:w="58" w:type="dxa"/>
            </w:tcMar>
          </w:tcPr>
          <w:p w:rsidR="00502550" w:rsidRPr="008E5EBD" w:rsidRDefault="00502550" w:rsidP="00230FAA">
            <w:pPr>
              <w:keepNext/>
              <w:keepLines/>
              <w:jc w:val="center"/>
              <w:rPr>
                <w:b/>
                <w:sz w:val="16"/>
                <w:szCs w:val="16"/>
              </w:rPr>
            </w:pPr>
            <w:r w:rsidRPr="008E5EBD">
              <w:rPr>
                <w:b/>
                <w:color w:val="00B050"/>
                <w:sz w:val="16"/>
                <w:szCs w:val="16"/>
                <w:lang w:val="es-ES_tradnl"/>
              </w:rPr>
              <w:t>Avanza</w:t>
            </w:r>
          </w:p>
        </w:tc>
      </w:tr>
      <w:tr w:rsidR="00502550" w:rsidRPr="008E5EBD" w:rsidTr="00230FAA">
        <w:trPr>
          <w:trHeight w:val="1213"/>
        </w:trPr>
        <w:tc>
          <w:tcPr>
            <w:tcW w:w="1261" w:type="pct"/>
            <w:shd w:val="clear" w:color="auto" w:fill="auto"/>
            <w:tcMar>
              <w:left w:w="58" w:type="dxa"/>
              <w:right w:w="58" w:type="dxa"/>
            </w:tcMar>
          </w:tcPr>
          <w:p w:rsidR="00502550" w:rsidRPr="008E5EBD" w:rsidRDefault="00502550" w:rsidP="00230FAA">
            <w:pPr>
              <w:rPr>
                <w:sz w:val="16"/>
                <w:szCs w:val="16"/>
              </w:rPr>
            </w:pPr>
            <w:r w:rsidRPr="008E5EBD">
              <w:rPr>
                <w:sz w:val="16"/>
                <w:szCs w:val="16"/>
                <w:lang w:val="es-ES_tradnl"/>
              </w:rPr>
              <w:lastRenderedPageBreak/>
              <w:t>N.º de organismos de gestión colectiva (OGC) de países en desarrollo y PMA que participan en las redes regionales y mundiales facilitadas por la OMPI</w:t>
            </w:r>
          </w:p>
        </w:tc>
        <w:tc>
          <w:tcPr>
            <w:tcW w:w="1161" w:type="pct"/>
            <w:shd w:val="clear" w:color="auto" w:fill="auto"/>
            <w:tcMar>
              <w:left w:w="58" w:type="dxa"/>
              <w:right w:w="58" w:type="dxa"/>
            </w:tcMar>
          </w:tcPr>
          <w:p w:rsidR="00502550" w:rsidRPr="008A4365" w:rsidRDefault="00502550" w:rsidP="00230FAA">
            <w:pPr>
              <w:rPr>
                <w:i/>
                <w:color w:val="002060"/>
                <w:sz w:val="16"/>
                <w:szCs w:val="16"/>
              </w:rPr>
            </w:pPr>
            <w:r w:rsidRPr="008A4365">
              <w:rPr>
                <w:i/>
                <w:color w:val="002060"/>
                <w:sz w:val="16"/>
                <w:szCs w:val="16"/>
                <w:lang w:val="es-ES_tradnl"/>
              </w:rPr>
              <w:t>Referencia actualizada a fines de 2015:</w:t>
            </w:r>
            <w:r w:rsidRPr="008A4365">
              <w:rPr>
                <w:i/>
                <w:color w:val="002060"/>
                <w:sz w:val="16"/>
                <w:szCs w:val="16"/>
              </w:rPr>
              <w:t xml:space="preserve">  </w:t>
            </w:r>
          </w:p>
          <w:p w:rsidR="00502550" w:rsidRPr="008A4365" w:rsidRDefault="00502550" w:rsidP="00230FAA">
            <w:pPr>
              <w:rPr>
                <w:color w:val="002060"/>
                <w:sz w:val="16"/>
                <w:szCs w:val="16"/>
              </w:rPr>
            </w:pPr>
            <w:r w:rsidRPr="008A4365">
              <w:rPr>
                <w:color w:val="002060"/>
                <w:sz w:val="16"/>
                <w:szCs w:val="16"/>
                <w:lang w:val="es-ES_tradnl"/>
              </w:rPr>
              <w:t>El sistema WIPO Connect se encontraba en su fase final de desarrollo a fines del bienio 2014/15 y se iniciará un proyecto piloto en 2 OGC de países en desarrollo y PMA a fines de</w:t>
            </w:r>
            <w:r>
              <w:rPr>
                <w:color w:val="002060"/>
                <w:sz w:val="16"/>
                <w:szCs w:val="16"/>
                <w:lang w:val="es-ES_tradnl"/>
              </w:rPr>
              <w:t> </w:t>
            </w:r>
            <w:r w:rsidRPr="008A4365">
              <w:rPr>
                <w:color w:val="002060"/>
                <w:sz w:val="16"/>
                <w:szCs w:val="16"/>
                <w:lang w:val="es-ES_tradnl"/>
              </w:rPr>
              <w:t>2016</w:t>
            </w:r>
          </w:p>
          <w:p w:rsidR="00502550" w:rsidRPr="008E5EBD" w:rsidRDefault="00502550" w:rsidP="00230FAA">
            <w:pPr>
              <w:rPr>
                <w:sz w:val="16"/>
                <w:szCs w:val="16"/>
              </w:rPr>
            </w:pPr>
          </w:p>
          <w:p w:rsidR="00502550" w:rsidRPr="008E5EBD" w:rsidRDefault="00502550" w:rsidP="00230FAA">
            <w:pPr>
              <w:ind w:right="176"/>
              <w:rPr>
                <w:i/>
                <w:sz w:val="16"/>
                <w:szCs w:val="16"/>
                <w:lang w:bidi="th-TH"/>
              </w:rPr>
            </w:pPr>
            <w:r w:rsidRPr="008E5EBD">
              <w:rPr>
                <w:i/>
                <w:sz w:val="16"/>
                <w:szCs w:val="16"/>
                <w:lang w:val="es-ES_tradnl" w:bidi="th-TH"/>
              </w:rPr>
              <w:t>Referencia original en el presupuesto de 2016/17:</w:t>
            </w:r>
            <w:r w:rsidRPr="008E5EBD">
              <w:rPr>
                <w:i/>
                <w:sz w:val="16"/>
                <w:szCs w:val="16"/>
                <w:lang w:bidi="th-TH"/>
              </w:rPr>
              <w:t xml:space="preserve">  </w:t>
            </w:r>
          </w:p>
          <w:p w:rsidR="00502550" w:rsidRPr="008A4365" w:rsidRDefault="00502550" w:rsidP="00230FAA">
            <w:pPr>
              <w:spacing w:after="240"/>
              <w:rPr>
                <w:sz w:val="16"/>
                <w:szCs w:val="16"/>
                <w:lang w:val="es-ES_tradnl"/>
              </w:rPr>
            </w:pPr>
            <w:r w:rsidRPr="008E5EBD">
              <w:rPr>
                <w:sz w:val="16"/>
                <w:szCs w:val="16"/>
                <w:lang w:val="es-ES_tradnl"/>
              </w:rPr>
              <w:t>Ningún OGC a fines</w:t>
            </w:r>
            <w:r>
              <w:rPr>
                <w:sz w:val="16"/>
                <w:szCs w:val="16"/>
                <w:lang w:val="es-ES_tradnl"/>
              </w:rPr>
              <w:t xml:space="preserve"> de </w:t>
            </w:r>
            <w:r w:rsidRPr="008E5EBD">
              <w:rPr>
                <w:sz w:val="16"/>
                <w:szCs w:val="16"/>
                <w:lang w:val="es-ES_tradnl"/>
              </w:rPr>
              <w:t>2015</w:t>
            </w:r>
          </w:p>
        </w:tc>
        <w:tc>
          <w:tcPr>
            <w:tcW w:w="646" w:type="pct"/>
            <w:shd w:val="clear" w:color="auto" w:fill="auto"/>
            <w:tcMar>
              <w:top w:w="110" w:type="dxa"/>
              <w:left w:w="58" w:type="dxa"/>
              <w:right w:w="58" w:type="dxa"/>
            </w:tcMar>
          </w:tcPr>
          <w:p w:rsidR="00502550" w:rsidRPr="008E5EBD" w:rsidRDefault="00502550" w:rsidP="00230FAA">
            <w:pPr>
              <w:rPr>
                <w:sz w:val="16"/>
                <w:szCs w:val="16"/>
              </w:rPr>
            </w:pPr>
            <w:r w:rsidRPr="008E5EBD">
              <w:rPr>
                <w:sz w:val="16"/>
                <w:szCs w:val="16"/>
              </w:rPr>
              <w:t>7 OGC a fines de 2017</w:t>
            </w:r>
          </w:p>
        </w:tc>
        <w:tc>
          <w:tcPr>
            <w:tcW w:w="1375" w:type="pct"/>
            <w:shd w:val="clear" w:color="auto" w:fill="FFFFFF"/>
            <w:tcMar>
              <w:top w:w="110" w:type="dxa"/>
              <w:left w:w="58" w:type="dxa"/>
              <w:right w:w="58" w:type="dxa"/>
            </w:tcMar>
          </w:tcPr>
          <w:p w:rsidR="00502550" w:rsidRPr="008E5EBD" w:rsidRDefault="00502550" w:rsidP="00230FAA">
            <w:pPr>
              <w:keepNext/>
              <w:keepLines/>
              <w:rPr>
                <w:sz w:val="16"/>
                <w:szCs w:val="16"/>
              </w:rPr>
            </w:pPr>
            <w:r w:rsidRPr="008E5EBD">
              <w:rPr>
                <w:sz w:val="16"/>
                <w:szCs w:val="16"/>
              </w:rPr>
              <w:t>Ningún OGC</w:t>
            </w:r>
          </w:p>
        </w:tc>
        <w:tc>
          <w:tcPr>
            <w:tcW w:w="557" w:type="pct"/>
            <w:shd w:val="clear" w:color="auto" w:fill="auto"/>
            <w:tcMar>
              <w:top w:w="110" w:type="dxa"/>
              <w:left w:w="58" w:type="dxa"/>
              <w:right w:w="58" w:type="dxa"/>
            </w:tcMar>
          </w:tcPr>
          <w:p w:rsidR="00502550" w:rsidRPr="008E5EBD" w:rsidRDefault="00502550" w:rsidP="00230FAA">
            <w:pPr>
              <w:keepNext/>
              <w:keepLines/>
              <w:jc w:val="center"/>
              <w:rPr>
                <w:b/>
                <w:sz w:val="16"/>
                <w:szCs w:val="16"/>
              </w:rPr>
            </w:pPr>
            <w:r w:rsidRPr="008E5EBD">
              <w:rPr>
                <w:b/>
                <w:color w:val="FF0000"/>
                <w:sz w:val="16"/>
                <w:szCs w:val="16"/>
                <w:lang w:val="es-ES_tradnl"/>
              </w:rPr>
              <w:t>No avanza</w:t>
            </w:r>
          </w:p>
        </w:tc>
      </w:tr>
    </w:tbl>
    <w:p w:rsidR="00502550" w:rsidRPr="008E5EBD" w:rsidRDefault="00502550" w:rsidP="00230FAA">
      <w:pPr>
        <w:rPr>
          <w:sz w:val="20"/>
        </w:rPr>
      </w:pPr>
    </w:p>
    <w:p w:rsidR="00502550" w:rsidRPr="008E5EBD" w:rsidRDefault="00502550">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502550" w:rsidRPr="008E5EBD" w:rsidTr="00230FAA">
        <w:trPr>
          <w:trHeight w:val="423"/>
          <w:jc w:val="center"/>
        </w:trPr>
        <w:tc>
          <w:tcPr>
            <w:tcW w:w="9571" w:type="dxa"/>
            <w:shd w:val="clear" w:color="auto" w:fill="C6D9F1" w:themeFill="text2" w:themeFillTint="33"/>
            <w:vAlign w:val="center"/>
          </w:tcPr>
          <w:p w:rsidR="00502550" w:rsidRPr="008E5EBD" w:rsidRDefault="00502550" w:rsidP="00230FAA">
            <w:pPr>
              <w:keepNext/>
              <w:keepLines/>
              <w:jc w:val="center"/>
              <w:rPr>
                <w:b/>
                <w:sz w:val="20"/>
              </w:rPr>
            </w:pPr>
            <w:r w:rsidRPr="008E5EBD">
              <w:rPr>
                <w:b/>
                <w:sz w:val="20"/>
              </w:rPr>
              <w:br w:type="page"/>
            </w:r>
            <w:r w:rsidRPr="008E5EBD">
              <w:rPr>
                <w:b/>
                <w:sz w:val="20"/>
                <w:lang w:val="es-ES_tradnl"/>
              </w:rPr>
              <w:t>Utilización de los recursos del programa 15</w:t>
            </w:r>
          </w:p>
        </w:tc>
      </w:tr>
    </w:tbl>
    <w:p w:rsidR="00502550" w:rsidRPr="008E5EBD" w:rsidRDefault="00502550" w:rsidP="00230FAA">
      <w:pPr>
        <w:rPr>
          <w:sz w:val="20"/>
          <w:szCs w:val="18"/>
        </w:rPr>
      </w:pPr>
    </w:p>
    <w:p w:rsidR="00502550" w:rsidRPr="008E5EBD" w:rsidRDefault="00502550" w:rsidP="00230FAA">
      <w:pPr>
        <w:keepNext/>
        <w:keepLines/>
        <w:jc w:val="center"/>
        <w:rPr>
          <w:sz w:val="18"/>
          <w:szCs w:val="18"/>
        </w:rPr>
      </w:pPr>
      <w:r w:rsidRPr="008E5EBD">
        <w:rPr>
          <w:sz w:val="18"/>
          <w:szCs w:val="18"/>
          <w:lang w:val="es-ES_tradnl"/>
        </w:rPr>
        <w:t>Presupuesto y gastos reales (por resultado)</w:t>
      </w:r>
    </w:p>
    <w:p w:rsidR="00502550" w:rsidRPr="008E5EBD" w:rsidRDefault="00502550" w:rsidP="00230FAA">
      <w:pPr>
        <w:keepNext/>
        <w:keepLines/>
        <w:jc w:val="center"/>
        <w:rPr>
          <w:i/>
          <w:iCs/>
          <w:sz w:val="16"/>
          <w:szCs w:val="16"/>
        </w:rPr>
      </w:pPr>
      <w:r w:rsidRPr="008E5EBD">
        <w:rPr>
          <w:i/>
          <w:iCs/>
          <w:sz w:val="16"/>
          <w:szCs w:val="16"/>
          <w:lang w:val="es-ES_tradnl"/>
        </w:rPr>
        <w:t>(en miles de francos suizos)</w:t>
      </w:r>
    </w:p>
    <w:p w:rsidR="00502550" w:rsidRPr="008E5EBD" w:rsidRDefault="00502550" w:rsidP="00230FAA">
      <w:pPr>
        <w:rPr>
          <w:sz w:val="20"/>
          <w:szCs w:val="18"/>
        </w:rPr>
      </w:pPr>
    </w:p>
    <w:tbl>
      <w:tblPr>
        <w:tblW w:w="8222" w:type="dxa"/>
        <w:jc w:val="center"/>
        <w:tblLook w:val="04A0" w:firstRow="1" w:lastRow="0" w:firstColumn="1" w:lastColumn="0" w:noHBand="0" w:noVBand="1"/>
      </w:tblPr>
      <w:tblGrid>
        <w:gridCol w:w="559"/>
        <w:gridCol w:w="4223"/>
        <w:gridCol w:w="1186"/>
        <w:gridCol w:w="1310"/>
        <w:gridCol w:w="1160"/>
      </w:tblGrid>
      <w:tr w:rsidR="00502550" w:rsidRPr="008E5EBD" w:rsidTr="00230FAA">
        <w:trPr>
          <w:trHeight w:val="825"/>
          <w:jc w:val="center"/>
        </w:trPr>
        <w:tc>
          <w:tcPr>
            <w:tcW w:w="4782" w:type="dxa"/>
            <w:gridSpan w:val="2"/>
            <w:tcBorders>
              <w:top w:val="nil"/>
              <w:left w:val="nil"/>
              <w:bottom w:val="nil"/>
              <w:right w:val="nil"/>
            </w:tcBorders>
            <w:shd w:val="clear" w:color="000000" w:fill="C5D9F1"/>
            <w:noWrap/>
            <w:vAlign w:val="center"/>
            <w:hideMark/>
          </w:tcPr>
          <w:p w:rsidR="00502550" w:rsidRPr="008E5EBD" w:rsidRDefault="00502550" w:rsidP="00230FAA">
            <w:pPr>
              <w:jc w:val="center"/>
              <w:rPr>
                <w:b/>
                <w:bCs/>
                <w:sz w:val="16"/>
                <w:szCs w:val="16"/>
              </w:rPr>
            </w:pPr>
            <w:r w:rsidRPr="008E5EBD">
              <w:rPr>
                <w:b/>
                <w:bCs/>
                <w:sz w:val="16"/>
                <w:szCs w:val="16"/>
                <w:lang w:val="es-ES_tradnl"/>
              </w:rPr>
              <w:t>Número del resultado previsto y descripción</w:t>
            </w:r>
            <w:r w:rsidRPr="008E5EBD">
              <w:rPr>
                <w:b/>
                <w:bCs/>
                <w:sz w:val="16"/>
                <w:szCs w:val="16"/>
              </w:rPr>
              <w:t xml:space="preserve"> </w:t>
            </w:r>
          </w:p>
        </w:tc>
        <w:tc>
          <w:tcPr>
            <w:tcW w:w="113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rPr>
              <w:t xml:space="preserve"> </w:t>
            </w:r>
            <w:r w:rsidRPr="008E5EBD">
              <w:rPr>
                <w:b/>
                <w:bCs/>
                <w:sz w:val="16"/>
                <w:szCs w:val="16"/>
                <w:lang w:val="es-ES_tradnl"/>
              </w:rPr>
              <w:t>Presupuesto aprobado de 2016/17</w:t>
            </w:r>
            <w:r w:rsidRPr="008E5EBD">
              <w:rPr>
                <w:b/>
                <w:bCs/>
                <w:sz w:val="16"/>
                <w:szCs w:val="16"/>
              </w:rPr>
              <w:t xml:space="preserve"> </w:t>
            </w:r>
          </w:p>
        </w:tc>
        <w:tc>
          <w:tcPr>
            <w:tcW w:w="1128"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rPr>
              <w:t xml:space="preserve"> </w:t>
            </w:r>
            <w:r w:rsidRPr="008E5EBD">
              <w:rPr>
                <w:b/>
                <w:bCs/>
                <w:sz w:val="16"/>
                <w:szCs w:val="16"/>
                <w:lang w:val="es-ES_tradnl"/>
              </w:rPr>
              <w:t>Presupuesto de 2016/17 tras las transferencias</w:t>
            </w:r>
            <w:r w:rsidRPr="008E5EBD">
              <w:rPr>
                <w:b/>
                <w:bCs/>
                <w:sz w:val="16"/>
                <w:szCs w:val="16"/>
              </w:rPr>
              <w:t xml:space="preserve"> </w:t>
            </w:r>
          </w:p>
        </w:tc>
        <w:tc>
          <w:tcPr>
            <w:tcW w:w="116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rPr>
              <w:t xml:space="preserve"> </w:t>
            </w:r>
            <w:r w:rsidRPr="008E5EBD">
              <w:rPr>
                <w:b/>
                <w:bCs/>
                <w:sz w:val="16"/>
                <w:szCs w:val="16"/>
                <w:lang w:val="es-ES_tradnl"/>
              </w:rPr>
              <w:t>Gastos en 2016*</w:t>
            </w:r>
            <w:r w:rsidRPr="008E5EBD">
              <w:rPr>
                <w:b/>
                <w:bCs/>
                <w:sz w:val="16"/>
                <w:szCs w:val="16"/>
              </w:rPr>
              <w:t xml:space="preserve"> </w:t>
            </w:r>
          </w:p>
        </w:tc>
      </w:tr>
      <w:tr w:rsidR="00502550" w:rsidRPr="008E5EBD" w:rsidTr="00230FAA">
        <w:trPr>
          <w:trHeight w:val="1153"/>
          <w:jc w:val="center"/>
        </w:trPr>
        <w:tc>
          <w:tcPr>
            <w:tcW w:w="559" w:type="dxa"/>
            <w:tcBorders>
              <w:top w:val="nil"/>
              <w:left w:val="nil"/>
              <w:bottom w:val="nil"/>
              <w:right w:val="nil"/>
            </w:tcBorders>
            <w:shd w:val="clear" w:color="auto" w:fill="auto"/>
            <w:noWrap/>
            <w:vAlign w:val="center"/>
            <w:hideMark/>
          </w:tcPr>
          <w:p w:rsidR="00502550" w:rsidRPr="008E5EBD" w:rsidRDefault="00502550" w:rsidP="00230FAA">
            <w:pPr>
              <w:rPr>
                <w:sz w:val="16"/>
                <w:szCs w:val="16"/>
              </w:rPr>
            </w:pPr>
            <w:r w:rsidRPr="008E5EBD">
              <w:rPr>
                <w:sz w:val="16"/>
                <w:szCs w:val="16"/>
              </w:rPr>
              <w:t>IV.4</w:t>
            </w:r>
          </w:p>
        </w:tc>
        <w:tc>
          <w:tcPr>
            <w:tcW w:w="4223" w:type="dxa"/>
            <w:tcBorders>
              <w:top w:val="nil"/>
              <w:left w:val="nil"/>
              <w:bottom w:val="nil"/>
              <w:right w:val="nil"/>
            </w:tcBorders>
            <w:shd w:val="clear" w:color="auto" w:fill="auto"/>
            <w:vAlign w:val="center"/>
            <w:hideMark/>
          </w:tcPr>
          <w:p w:rsidR="00502550" w:rsidRPr="008E5EBD" w:rsidRDefault="00502550" w:rsidP="00230FAA">
            <w:pPr>
              <w:rPr>
                <w:sz w:val="16"/>
                <w:szCs w:val="16"/>
              </w:rPr>
            </w:pPr>
            <w:r w:rsidRPr="008E5EBD">
              <w:rPr>
                <w:sz w:val="16"/>
                <w:szCs w:val="16"/>
                <w:lang w:val="es-ES_tradnl"/>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1130" w:type="dxa"/>
            <w:tcBorders>
              <w:top w:val="nil"/>
              <w:left w:val="nil"/>
              <w:bottom w:val="nil"/>
              <w:right w:val="nil"/>
            </w:tcBorders>
            <w:shd w:val="clear" w:color="auto" w:fill="auto"/>
            <w:noWrap/>
            <w:vAlign w:val="center"/>
            <w:hideMark/>
          </w:tcPr>
          <w:p w:rsidR="00502550" w:rsidRPr="008E5EBD" w:rsidRDefault="00502550" w:rsidP="00230FAA">
            <w:pPr>
              <w:jc w:val="center"/>
              <w:rPr>
                <w:sz w:val="16"/>
                <w:szCs w:val="16"/>
              </w:rPr>
            </w:pPr>
            <w:r w:rsidRPr="008E5EBD">
              <w:rPr>
                <w:sz w:val="16"/>
                <w:szCs w:val="16"/>
              </w:rPr>
              <w:t>13.806</w:t>
            </w:r>
          </w:p>
        </w:tc>
        <w:tc>
          <w:tcPr>
            <w:tcW w:w="1128" w:type="dxa"/>
            <w:tcBorders>
              <w:top w:val="nil"/>
              <w:left w:val="nil"/>
              <w:bottom w:val="nil"/>
              <w:right w:val="nil"/>
            </w:tcBorders>
            <w:shd w:val="clear" w:color="auto" w:fill="auto"/>
            <w:noWrap/>
            <w:vAlign w:val="center"/>
            <w:hideMark/>
          </w:tcPr>
          <w:p w:rsidR="00502550" w:rsidRPr="008E5EBD" w:rsidRDefault="00502550" w:rsidP="00230FAA">
            <w:pPr>
              <w:jc w:val="center"/>
              <w:rPr>
                <w:sz w:val="16"/>
                <w:szCs w:val="16"/>
              </w:rPr>
            </w:pPr>
            <w:r w:rsidRPr="008E5EBD">
              <w:rPr>
                <w:sz w:val="16"/>
                <w:szCs w:val="16"/>
              </w:rPr>
              <w:t>14.016</w:t>
            </w:r>
          </w:p>
        </w:tc>
        <w:tc>
          <w:tcPr>
            <w:tcW w:w="1160" w:type="dxa"/>
            <w:tcBorders>
              <w:top w:val="nil"/>
              <w:left w:val="nil"/>
              <w:bottom w:val="nil"/>
              <w:right w:val="nil"/>
            </w:tcBorders>
            <w:shd w:val="clear" w:color="auto" w:fill="auto"/>
            <w:noWrap/>
            <w:vAlign w:val="center"/>
            <w:hideMark/>
          </w:tcPr>
          <w:p w:rsidR="00502550" w:rsidRPr="008E5EBD" w:rsidRDefault="00502550" w:rsidP="00230FAA">
            <w:pPr>
              <w:jc w:val="center"/>
              <w:rPr>
                <w:sz w:val="16"/>
                <w:szCs w:val="16"/>
              </w:rPr>
            </w:pPr>
            <w:r w:rsidRPr="008E5EBD">
              <w:rPr>
                <w:sz w:val="16"/>
                <w:szCs w:val="16"/>
              </w:rPr>
              <w:t>6.449</w:t>
            </w:r>
          </w:p>
        </w:tc>
      </w:tr>
      <w:tr w:rsidR="00502550" w:rsidRPr="008E5EBD" w:rsidTr="00230FAA">
        <w:trPr>
          <w:trHeight w:val="990"/>
          <w:jc w:val="center"/>
        </w:trPr>
        <w:tc>
          <w:tcPr>
            <w:tcW w:w="559" w:type="dxa"/>
            <w:tcBorders>
              <w:top w:val="nil"/>
              <w:left w:val="nil"/>
              <w:bottom w:val="nil"/>
              <w:right w:val="nil"/>
            </w:tcBorders>
            <w:shd w:val="clear" w:color="auto" w:fill="auto"/>
            <w:noWrap/>
            <w:vAlign w:val="center"/>
            <w:hideMark/>
          </w:tcPr>
          <w:p w:rsidR="00502550" w:rsidRPr="008E5EBD" w:rsidRDefault="00502550" w:rsidP="00230FAA">
            <w:pPr>
              <w:rPr>
                <w:sz w:val="16"/>
                <w:szCs w:val="16"/>
              </w:rPr>
            </w:pPr>
            <w:r w:rsidRPr="008E5EBD">
              <w:rPr>
                <w:sz w:val="16"/>
                <w:szCs w:val="16"/>
              </w:rPr>
              <w:t>VII.2</w:t>
            </w:r>
          </w:p>
        </w:tc>
        <w:tc>
          <w:tcPr>
            <w:tcW w:w="4223" w:type="dxa"/>
            <w:tcBorders>
              <w:top w:val="nil"/>
              <w:left w:val="nil"/>
              <w:bottom w:val="nil"/>
              <w:right w:val="nil"/>
            </w:tcBorders>
            <w:shd w:val="clear" w:color="auto" w:fill="auto"/>
            <w:vAlign w:val="center"/>
            <w:hideMark/>
          </w:tcPr>
          <w:p w:rsidR="00502550" w:rsidRPr="008E5EBD" w:rsidRDefault="00502550" w:rsidP="00230FAA">
            <w:pPr>
              <w:rPr>
                <w:sz w:val="16"/>
                <w:szCs w:val="16"/>
              </w:rPr>
            </w:pPr>
            <w:r w:rsidRPr="008E5EBD">
              <w:rPr>
                <w:sz w:val="16"/>
                <w:szCs w:val="16"/>
                <w:lang w:val="es-ES_tradnl"/>
              </w:rPr>
              <w:t>Plataformas y herramientas de P.I. utilizadas para la transferencia de conocimientos y la difusión y adaptación de tecnología de los países desarrollados a los países en desarrollo, en particular, a los menos adelantados, con el fin de atender los desafíos mundiales</w:t>
            </w:r>
          </w:p>
        </w:tc>
        <w:tc>
          <w:tcPr>
            <w:tcW w:w="1130" w:type="dxa"/>
            <w:tcBorders>
              <w:top w:val="nil"/>
              <w:left w:val="nil"/>
              <w:bottom w:val="nil"/>
              <w:right w:val="nil"/>
            </w:tcBorders>
            <w:shd w:val="clear" w:color="auto" w:fill="auto"/>
            <w:noWrap/>
            <w:vAlign w:val="center"/>
            <w:hideMark/>
          </w:tcPr>
          <w:p w:rsidR="00502550" w:rsidRPr="008E5EBD" w:rsidRDefault="00502550" w:rsidP="00230FAA">
            <w:pPr>
              <w:jc w:val="center"/>
              <w:rPr>
                <w:sz w:val="16"/>
                <w:szCs w:val="16"/>
              </w:rPr>
            </w:pPr>
            <w:r w:rsidRPr="008E5EBD">
              <w:rPr>
                <w:sz w:val="16"/>
                <w:szCs w:val="16"/>
              </w:rPr>
              <w:t>0</w:t>
            </w:r>
          </w:p>
        </w:tc>
        <w:tc>
          <w:tcPr>
            <w:tcW w:w="1128" w:type="dxa"/>
            <w:tcBorders>
              <w:top w:val="nil"/>
              <w:left w:val="nil"/>
              <w:bottom w:val="nil"/>
              <w:right w:val="nil"/>
            </w:tcBorders>
            <w:shd w:val="clear" w:color="auto" w:fill="auto"/>
            <w:noWrap/>
            <w:vAlign w:val="center"/>
            <w:hideMark/>
          </w:tcPr>
          <w:p w:rsidR="00502550" w:rsidRPr="008E5EBD" w:rsidRDefault="00502550" w:rsidP="00230FAA">
            <w:pPr>
              <w:jc w:val="center"/>
              <w:rPr>
                <w:sz w:val="16"/>
                <w:szCs w:val="16"/>
              </w:rPr>
            </w:pPr>
            <w:r w:rsidRPr="008E5EBD">
              <w:rPr>
                <w:sz w:val="16"/>
                <w:szCs w:val="16"/>
              </w:rPr>
              <w:t>355</w:t>
            </w:r>
          </w:p>
        </w:tc>
        <w:tc>
          <w:tcPr>
            <w:tcW w:w="1160" w:type="dxa"/>
            <w:tcBorders>
              <w:top w:val="nil"/>
              <w:left w:val="nil"/>
              <w:bottom w:val="nil"/>
              <w:right w:val="nil"/>
            </w:tcBorders>
            <w:shd w:val="clear" w:color="auto" w:fill="auto"/>
            <w:noWrap/>
            <w:vAlign w:val="center"/>
            <w:hideMark/>
          </w:tcPr>
          <w:p w:rsidR="00502550" w:rsidRPr="008E5EBD" w:rsidRDefault="00502550" w:rsidP="00230FAA">
            <w:pPr>
              <w:jc w:val="center"/>
              <w:rPr>
                <w:sz w:val="16"/>
                <w:szCs w:val="16"/>
              </w:rPr>
            </w:pPr>
            <w:r w:rsidRPr="008E5EBD">
              <w:rPr>
                <w:sz w:val="16"/>
                <w:szCs w:val="16"/>
              </w:rPr>
              <w:t>309</w:t>
            </w:r>
          </w:p>
        </w:tc>
      </w:tr>
      <w:tr w:rsidR="00502550" w:rsidRPr="008E5EBD" w:rsidTr="00230FAA">
        <w:trPr>
          <w:trHeight w:val="225"/>
          <w:jc w:val="center"/>
        </w:trPr>
        <w:tc>
          <w:tcPr>
            <w:tcW w:w="559" w:type="dxa"/>
            <w:tcBorders>
              <w:top w:val="nil"/>
              <w:left w:val="nil"/>
              <w:bottom w:val="nil"/>
              <w:right w:val="nil"/>
            </w:tcBorders>
            <w:shd w:val="clear" w:color="000000" w:fill="C5D9F1"/>
            <w:noWrap/>
            <w:vAlign w:val="bottom"/>
            <w:hideMark/>
          </w:tcPr>
          <w:p w:rsidR="00502550" w:rsidRPr="008E5EBD" w:rsidRDefault="00502550" w:rsidP="00230FAA">
            <w:pPr>
              <w:rPr>
                <w:sz w:val="16"/>
                <w:szCs w:val="16"/>
              </w:rPr>
            </w:pPr>
            <w:r w:rsidRPr="008E5EBD">
              <w:rPr>
                <w:sz w:val="16"/>
                <w:szCs w:val="16"/>
              </w:rPr>
              <w:t> </w:t>
            </w:r>
          </w:p>
        </w:tc>
        <w:tc>
          <w:tcPr>
            <w:tcW w:w="4223" w:type="dxa"/>
            <w:tcBorders>
              <w:top w:val="nil"/>
              <w:left w:val="nil"/>
              <w:bottom w:val="nil"/>
              <w:right w:val="nil"/>
            </w:tcBorders>
            <w:shd w:val="clear" w:color="000000" w:fill="C5D9F1"/>
            <w:noWrap/>
            <w:vAlign w:val="bottom"/>
            <w:hideMark/>
          </w:tcPr>
          <w:p w:rsidR="00502550" w:rsidRPr="008E5EBD" w:rsidRDefault="00502550" w:rsidP="00230FAA">
            <w:pPr>
              <w:jc w:val="right"/>
              <w:rPr>
                <w:b/>
                <w:bCs/>
                <w:sz w:val="16"/>
                <w:szCs w:val="16"/>
              </w:rPr>
            </w:pPr>
            <w:r w:rsidRPr="008E5EBD">
              <w:rPr>
                <w:b/>
                <w:bCs/>
                <w:sz w:val="16"/>
                <w:szCs w:val="16"/>
                <w:lang w:val="es-ES_tradnl"/>
              </w:rPr>
              <w:t>Total</w:t>
            </w:r>
          </w:p>
        </w:tc>
        <w:tc>
          <w:tcPr>
            <w:tcW w:w="1130" w:type="dxa"/>
            <w:tcBorders>
              <w:top w:val="nil"/>
              <w:left w:val="nil"/>
              <w:bottom w:val="nil"/>
              <w:right w:val="nil"/>
            </w:tcBorders>
            <w:shd w:val="clear" w:color="000000" w:fill="C5D9F1"/>
            <w:noWrap/>
            <w:vAlign w:val="center"/>
            <w:hideMark/>
          </w:tcPr>
          <w:p w:rsidR="00502550" w:rsidRPr="008E5EBD" w:rsidRDefault="00502550" w:rsidP="00230FAA">
            <w:pPr>
              <w:jc w:val="center"/>
              <w:rPr>
                <w:sz w:val="16"/>
                <w:szCs w:val="16"/>
              </w:rPr>
            </w:pPr>
            <w:r w:rsidRPr="008E5EBD">
              <w:rPr>
                <w:sz w:val="16"/>
                <w:szCs w:val="16"/>
              </w:rPr>
              <w:t>13.806</w:t>
            </w:r>
          </w:p>
        </w:tc>
        <w:tc>
          <w:tcPr>
            <w:tcW w:w="1128" w:type="dxa"/>
            <w:tcBorders>
              <w:top w:val="nil"/>
              <w:left w:val="nil"/>
              <w:bottom w:val="nil"/>
              <w:right w:val="nil"/>
            </w:tcBorders>
            <w:shd w:val="clear" w:color="000000" w:fill="C5D9F1"/>
            <w:noWrap/>
            <w:vAlign w:val="center"/>
            <w:hideMark/>
          </w:tcPr>
          <w:p w:rsidR="00502550" w:rsidRPr="008E5EBD" w:rsidRDefault="00502550" w:rsidP="00230FAA">
            <w:pPr>
              <w:jc w:val="center"/>
              <w:rPr>
                <w:sz w:val="16"/>
                <w:szCs w:val="16"/>
              </w:rPr>
            </w:pPr>
            <w:r w:rsidRPr="008E5EBD">
              <w:rPr>
                <w:sz w:val="16"/>
                <w:szCs w:val="16"/>
              </w:rPr>
              <w:t>14.371</w:t>
            </w:r>
          </w:p>
        </w:tc>
        <w:tc>
          <w:tcPr>
            <w:tcW w:w="1160" w:type="dxa"/>
            <w:tcBorders>
              <w:top w:val="nil"/>
              <w:left w:val="nil"/>
              <w:bottom w:val="nil"/>
              <w:right w:val="nil"/>
            </w:tcBorders>
            <w:shd w:val="clear" w:color="000000" w:fill="C5D9F1"/>
            <w:noWrap/>
            <w:vAlign w:val="center"/>
            <w:hideMark/>
          </w:tcPr>
          <w:p w:rsidR="00502550" w:rsidRPr="008E5EBD" w:rsidRDefault="00502550" w:rsidP="00230FAA">
            <w:pPr>
              <w:jc w:val="center"/>
              <w:rPr>
                <w:sz w:val="16"/>
                <w:szCs w:val="16"/>
              </w:rPr>
            </w:pPr>
            <w:r w:rsidRPr="008E5EBD">
              <w:rPr>
                <w:sz w:val="16"/>
                <w:szCs w:val="16"/>
              </w:rPr>
              <w:t>6.758</w:t>
            </w:r>
          </w:p>
        </w:tc>
      </w:tr>
      <w:tr w:rsidR="00502550" w:rsidRPr="008E5EBD" w:rsidTr="00230FAA">
        <w:trPr>
          <w:trHeight w:val="330"/>
          <w:jc w:val="center"/>
        </w:trPr>
        <w:tc>
          <w:tcPr>
            <w:tcW w:w="7040" w:type="dxa"/>
            <w:gridSpan w:val="4"/>
            <w:tcBorders>
              <w:top w:val="nil"/>
              <w:left w:val="nil"/>
              <w:bottom w:val="nil"/>
              <w:right w:val="nil"/>
            </w:tcBorders>
            <w:shd w:val="clear" w:color="auto" w:fill="auto"/>
            <w:noWrap/>
            <w:vAlign w:val="center"/>
            <w:hideMark/>
          </w:tcPr>
          <w:p w:rsidR="00502550" w:rsidRPr="008E5EBD" w:rsidRDefault="00502550" w:rsidP="00230FAA">
            <w:pPr>
              <w:rPr>
                <w:i/>
                <w:iCs/>
                <w:sz w:val="16"/>
                <w:szCs w:val="16"/>
              </w:rPr>
            </w:pPr>
            <w:r w:rsidRPr="008E5EBD">
              <w:rPr>
                <w:i/>
                <w:iCs/>
                <w:sz w:val="16"/>
                <w:szCs w:val="16"/>
                <w:lang w:val="es-ES_tradnl"/>
              </w:rPr>
              <w:t>*Las cifras de gastos en 2016 son preliminares, a reserva de verificación por el Auditor Externo.</w:t>
            </w:r>
          </w:p>
        </w:tc>
        <w:tc>
          <w:tcPr>
            <w:tcW w:w="1160" w:type="dxa"/>
            <w:tcBorders>
              <w:top w:val="nil"/>
              <w:left w:val="nil"/>
              <w:bottom w:val="nil"/>
              <w:right w:val="nil"/>
            </w:tcBorders>
            <w:shd w:val="clear" w:color="auto" w:fill="auto"/>
            <w:noWrap/>
            <w:vAlign w:val="center"/>
            <w:hideMark/>
          </w:tcPr>
          <w:p w:rsidR="00502550" w:rsidRPr="008E5EBD" w:rsidRDefault="00502550" w:rsidP="00230FAA">
            <w:pPr>
              <w:rPr>
                <w:sz w:val="16"/>
                <w:szCs w:val="16"/>
              </w:rPr>
            </w:pPr>
          </w:p>
        </w:tc>
      </w:tr>
    </w:tbl>
    <w:p w:rsidR="00502550" w:rsidRPr="008E5EBD" w:rsidRDefault="00502550" w:rsidP="00230FAA">
      <w:pPr>
        <w:rPr>
          <w:sz w:val="20"/>
          <w:szCs w:val="18"/>
        </w:rPr>
      </w:pPr>
    </w:p>
    <w:p w:rsidR="00502550" w:rsidRPr="008E5EBD" w:rsidRDefault="00502550" w:rsidP="00230FAA">
      <w:pPr>
        <w:keepNext/>
        <w:keepLines/>
        <w:jc w:val="center"/>
        <w:rPr>
          <w:sz w:val="18"/>
          <w:szCs w:val="18"/>
        </w:rPr>
      </w:pPr>
      <w:r w:rsidRPr="008E5EBD">
        <w:rPr>
          <w:sz w:val="18"/>
          <w:szCs w:val="18"/>
          <w:lang w:val="es-ES_tradnl"/>
        </w:rPr>
        <w:t>Presupuesto y gastos reales (de personal y no relativos a personal)</w:t>
      </w:r>
      <w:r w:rsidRPr="008E5EBD">
        <w:rPr>
          <w:sz w:val="18"/>
          <w:szCs w:val="18"/>
        </w:rPr>
        <w:t xml:space="preserve"> </w:t>
      </w:r>
    </w:p>
    <w:p w:rsidR="00502550" w:rsidRPr="008E5EBD" w:rsidRDefault="00502550" w:rsidP="00230FAA">
      <w:pPr>
        <w:keepNext/>
        <w:keepLines/>
        <w:jc w:val="center"/>
        <w:rPr>
          <w:i/>
          <w:iCs/>
          <w:sz w:val="16"/>
          <w:szCs w:val="16"/>
        </w:rPr>
      </w:pPr>
      <w:r w:rsidRPr="008E5EBD">
        <w:rPr>
          <w:i/>
          <w:iCs/>
          <w:sz w:val="16"/>
          <w:szCs w:val="16"/>
          <w:lang w:val="es-ES_tradnl"/>
        </w:rPr>
        <w:t>(en miles de francos suizos)</w:t>
      </w:r>
    </w:p>
    <w:p w:rsidR="00502550" w:rsidRPr="008E5EBD" w:rsidRDefault="00502550" w:rsidP="00230FAA">
      <w:pPr>
        <w:rPr>
          <w:b/>
          <w:sz w:val="20"/>
          <w:szCs w:val="18"/>
        </w:rPr>
      </w:pPr>
    </w:p>
    <w:tbl>
      <w:tblPr>
        <w:tblW w:w="8222" w:type="dxa"/>
        <w:jc w:val="center"/>
        <w:tblLook w:val="04A0" w:firstRow="1" w:lastRow="0" w:firstColumn="1" w:lastColumn="0" w:noHBand="0" w:noVBand="1"/>
      </w:tblPr>
      <w:tblGrid>
        <w:gridCol w:w="2470"/>
        <w:gridCol w:w="1438"/>
        <w:gridCol w:w="1438"/>
        <w:gridCol w:w="1438"/>
        <w:gridCol w:w="1438"/>
      </w:tblGrid>
      <w:tr w:rsidR="00502550" w:rsidRPr="008E5EBD" w:rsidTr="00230FAA">
        <w:trPr>
          <w:trHeight w:val="720"/>
          <w:jc w:val="center"/>
        </w:trPr>
        <w:tc>
          <w:tcPr>
            <w:tcW w:w="2440" w:type="dxa"/>
            <w:tcBorders>
              <w:top w:val="nil"/>
              <w:left w:val="nil"/>
              <w:bottom w:val="nil"/>
              <w:right w:val="nil"/>
            </w:tcBorders>
            <w:shd w:val="clear" w:color="000000" w:fill="C5D9F1"/>
            <w:noWrap/>
            <w:vAlign w:val="center"/>
            <w:hideMark/>
          </w:tcPr>
          <w:p w:rsidR="00502550" w:rsidRPr="008E5EBD" w:rsidRDefault="00502550" w:rsidP="00230FAA">
            <w:pPr>
              <w:rPr>
                <w:sz w:val="16"/>
                <w:szCs w:val="16"/>
              </w:rPr>
            </w:pPr>
            <w:r w:rsidRPr="008E5EBD">
              <w:rPr>
                <w:sz w:val="16"/>
                <w:szCs w:val="16"/>
              </w:rPr>
              <w:t> </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lang w:val="es-ES_tradnl"/>
              </w:rPr>
              <w:t>Índice de utilización (%)</w:t>
            </w:r>
          </w:p>
        </w:tc>
      </w:tr>
      <w:tr w:rsidR="00502550" w:rsidRPr="008E5EBD"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8E5EBD" w:rsidRDefault="00502550" w:rsidP="00230FAA">
            <w:pPr>
              <w:rPr>
                <w:sz w:val="16"/>
                <w:szCs w:val="16"/>
              </w:rPr>
            </w:pPr>
            <w:r w:rsidRPr="008E5EBD">
              <w:rPr>
                <w:sz w:val="16"/>
                <w:szCs w:val="16"/>
              </w:rPr>
              <w:t xml:space="preserve"> </w:t>
            </w:r>
            <w:r w:rsidRPr="008E5EBD">
              <w:rPr>
                <w:sz w:val="16"/>
                <w:szCs w:val="16"/>
                <w:lang w:val="es-ES_tradnl"/>
              </w:rPr>
              <w:t>Recursos de personal</w:t>
            </w:r>
            <w:r w:rsidRPr="008E5EBD">
              <w:rPr>
                <w:sz w:val="16"/>
                <w:szCs w:val="16"/>
              </w:rPr>
              <w:t xml:space="preserve">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 xml:space="preserve">7.756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 xml:space="preserve">7.931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 xml:space="preserve">3.841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48%</w:t>
            </w:r>
          </w:p>
        </w:tc>
      </w:tr>
      <w:tr w:rsidR="00502550" w:rsidRPr="008E5EBD" w:rsidTr="00230FAA">
        <w:trPr>
          <w:trHeight w:val="315"/>
          <w:jc w:val="center"/>
        </w:trPr>
        <w:tc>
          <w:tcPr>
            <w:tcW w:w="2440" w:type="dxa"/>
            <w:tcBorders>
              <w:top w:val="nil"/>
              <w:left w:val="nil"/>
              <w:bottom w:val="nil"/>
              <w:right w:val="nil"/>
            </w:tcBorders>
            <w:shd w:val="clear" w:color="auto" w:fill="auto"/>
            <w:noWrap/>
            <w:vAlign w:val="center"/>
            <w:hideMark/>
          </w:tcPr>
          <w:p w:rsidR="00502550" w:rsidRPr="008E5EBD" w:rsidRDefault="00502550" w:rsidP="00230FAA">
            <w:pPr>
              <w:rPr>
                <w:sz w:val="16"/>
                <w:szCs w:val="16"/>
              </w:rPr>
            </w:pPr>
            <w:r w:rsidRPr="008E5EBD">
              <w:rPr>
                <w:sz w:val="16"/>
                <w:szCs w:val="16"/>
              </w:rPr>
              <w:t xml:space="preserve"> </w:t>
            </w:r>
            <w:r w:rsidRPr="008E5EBD">
              <w:rPr>
                <w:sz w:val="16"/>
                <w:szCs w:val="16"/>
                <w:lang w:val="es-ES_tradnl"/>
              </w:rPr>
              <w:t>Recursos no relativos a personal</w:t>
            </w:r>
            <w:r w:rsidRPr="008E5EBD">
              <w:rPr>
                <w:sz w:val="16"/>
                <w:szCs w:val="16"/>
              </w:rPr>
              <w:t xml:space="preserve">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 xml:space="preserve">6.050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 xml:space="preserve">6.440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 xml:space="preserve">2.916 </w:t>
            </w:r>
          </w:p>
        </w:tc>
        <w:tc>
          <w:tcPr>
            <w:tcW w:w="1420" w:type="dxa"/>
            <w:tcBorders>
              <w:top w:val="nil"/>
              <w:left w:val="nil"/>
              <w:bottom w:val="nil"/>
              <w:right w:val="nil"/>
            </w:tcBorders>
            <w:shd w:val="clear" w:color="auto" w:fill="auto"/>
            <w:vAlign w:val="center"/>
            <w:hideMark/>
          </w:tcPr>
          <w:p w:rsidR="00502550" w:rsidRPr="008E5EBD" w:rsidRDefault="00502550" w:rsidP="00230FAA">
            <w:pPr>
              <w:jc w:val="center"/>
              <w:rPr>
                <w:sz w:val="16"/>
                <w:szCs w:val="16"/>
              </w:rPr>
            </w:pPr>
            <w:r w:rsidRPr="008E5EBD">
              <w:rPr>
                <w:sz w:val="16"/>
                <w:szCs w:val="16"/>
              </w:rPr>
              <w:t>45%</w:t>
            </w:r>
          </w:p>
        </w:tc>
      </w:tr>
      <w:tr w:rsidR="00502550" w:rsidRPr="008E5EBD" w:rsidTr="00230FAA">
        <w:trPr>
          <w:trHeight w:val="225"/>
          <w:jc w:val="center"/>
        </w:trPr>
        <w:tc>
          <w:tcPr>
            <w:tcW w:w="2440" w:type="dxa"/>
            <w:tcBorders>
              <w:top w:val="nil"/>
              <w:left w:val="nil"/>
              <w:bottom w:val="nil"/>
              <w:right w:val="nil"/>
            </w:tcBorders>
            <w:shd w:val="clear" w:color="000000" w:fill="C5D9F1"/>
            <w:noWrap/>
            <w:vAlign w:val="center"/>
            <w:hideMark/>
          </w:tcPr>
          <w:p w:rsidR="00502550" w:rsidRPr="008E5EBD" w:rsidRDefault="00502550" w:rsidP="00230FAA">
            <w:pPr>
              <w:jc w:val="right"/>
              <w:rPr>
                <w:b/>
                <w:bCs/>
                <w:sz w:val="16"/>
                <w:szCs w:val="16"/>
              </w:rPr>
            </w:pPr>
            <w:r w:rsidRPr="008E5EBD">
              <w:rPr>
                <w:b/>
                <w:bCs/>
                <w:sz w:val="16"/>
                <w:szCs w:val="16"/>
              </w:rPr>
              <w:t xml:space="preserve"> </w:t>
            </w:r>
            <w:r w:rsidRPr="008E5EBD">
              <w:rPr>
                <w:b/>
                <w:bCs/>
                <w:sz w:val="16"/>
                <w:szCs w:val="16"/>
                <w:lang w:val="es-ES_tradnl"/>
              </w:rPr>
              <w:t>Total</w:t>
            </w:r>
            <w:r w:rsidRPr="008E5EBD">
              <w:rPr>
                <w:b/>
                <w:bCs/>
                <w:sz w:val="16"/>
                <w:szCs w:val="16"/>
              </w:rPr>
              <w:t xml:space="preserve"> </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rPr>
              <w:t xml:space="preserve">13.806 </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rPr>
              <w:t xml:space="preserve">14.371 </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rPr>
              <w:t xml:space="preserve">6.758 </w:t>
            </w:r>
          </w:p>
        </w:tc>
        <w:tc>
          <w:tcPr>
            <w:tcW w:w="1420" w:type="dxa"/>
            <w:tcBorders>
              <w:top w:val="nil"/>
              <w:left w:val="nil"/>
              <w:bottom w:val="nil"/>
              <w:right w:val="nil"/>
            </w:tcBorders>
            <w:shd w:val="clear" w:color="000000" w:fill="C5D9F1"/>
            <w:vAlign w:val="center"/>
            <w:hideMark/>
          </w:tcPr>
          <w:p w:rsidR="00502550" w:rsidRPr="008E5EBD" w:rsidRDefault="00502550" w:rsidP="00230FAA">
            <w:pPr>
              <w:jc w:val="center"/>
              <w:rPr>
                <w:b/>
                <w:bCs/>
                <w:sz w:val="16"/>
                <w:szCs w:val="16"/>
              </w:rPr>
            </w:pPr>
            <w:r w:rsidRPr="008E5EBD">
              <w:rPr>
                <w:b/>
                <w:bCs/>
                <w:sz w:val="16"/>
                <w:szCs w:val="16"/>
              </w:rPr>
              <w:t>47%</w:t>
            </w:r>
          </w:p>
        </w:tc>
      </w:tr>
      <w:tr w:rsidR="00502550" w:rsidRPr="008E5EBD" w:rsidTr="00230FAA">
        <w:trPr>
          <w:trHeight w:val="300"/>
          <w:jc w:val="center"/>
        </w:trPr>
        <w:tc>
          <w:tcPr>
            <w:tcW w:w="8120" w:type="dxa"/>
            <w:gridSpan w:val="5"/>
            <w:tcBorders>
              <w:top w:val="nil"/>
              <w:left w:val="nil"/>
              <w:bottom w:val="nil"/>
              <w:right w:val="nil"/>
            </w:tcBorders>
            <w:shd w:val="clear" w:color="auto" w:fill="auto"/>
            <w:noWrap/>
            <w:vAlign w:val="center"/>
            <w:hideMark/>
          </w:tcPr>
          <w:p w:rsidR="00502550" w:rsidRPr="008E5EBD" w:rsidRDefault="00502550" w:rsidP="00230FAA">
            <w:pPr>
              <w:rPr>
                <w:i/>
                <w:iCs/>
                <w:sz w:val="16"/>
                <w:szCs w:val="16"/>
              </w:rPr>
            </w:pPr>
            <w:r w:rsidRPr="008E5EBD">
              <w:rPr>
                <w:i/>
                <w:iCs/>
                <w:sz w:val="16"/>
                <w:szCs w:val="16"/>
              </w:rPr>
              <w:t xml:space="preserve"> </w:t>
            </w:r>
            <w:r w:rsidRPr="008E5EBD">
              <w:rPr>
                <w:i/>
                <w:iCs/>
                <w:sz w:val="16"/>
                <w:szCs w:val="16"/>
                <w:lang w:val="es-ES_tradnl"/>
              </w:rPr>
              <w:t>*Las cifras de gastos en 2016 son preliminares, a reserva de verificación por el Auditor Externo</w:t>
            </w:r>
            <w:r w:rsidRPr="008E5EBD">
              <w:rPr>
                <w:i/>
                <w:iCs/>
                <w:sz w:val="16"/>
                <w:szCs w:val="16"/>
              </w:rPr>
              <w:t>.</w:t>
            </w:r>
          </w:p>
        </w:tc>
      </w:tr>
    </w:tbl>
    <w:p w:rsidR="00502550" w:rsidRPr="008E5EBD" w:rsidRDefault="00502550" w:rsidP="00230FAA">
      <w:pPr>
        <w:jc w:val="center"/>
        <w:rPr>
          <w:b/>
          <w:sz w:val="20"/>
          <w:szCs w:val="18"/>
        </w:rPr>
      </w:pPr>
    </w:p>
    <w:p w:rsidR="00502550" w:rsidRPr="008E5EBD" w:rsidRDefault="00502550" w:rsidP="00230FAA">
      <w:pPr>
        <w:keepNext/>
        <w:keepLines/>
        <w:ind w:left="567" w:right="282"/>
        <w:rPr>
          <w:i/>
          <w:sz w:val="16"/>
          <w:szCs w:val="16"/>
        </w:rPr>
      </w:pPr>
      <w:r w:rsidRPr="008E5EBD">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502550" w:rsidRPr="008E5EBD" w:rsidRDefault="00502550" w:rsidP="00230FAA">
      <w:pPr>
        <w:rPr>
          <w:b/>
          <w:sz w:val="20"/>
          <w:szCs w:val="18"/>
        </w:rPr>
      </w:pPr>
    </w:p>
    <w:p w:rsidR="00502550" w:rsidRPr="008E5EBD" w:rsidRDefault="00502550" w:rsidP="00230FAA">
      <w:pPr>
        <w:rPr>
          <w:b/>
          <w:sz w:val="20"/>
          <w:szCs w:val="18"/>
        </w:rPr>
      </w:pPr>
    </w:p>
    <w:p w:rsidR="00502550" w:rsidRPr="008E5EBD" w:rsidRDefault="00502550" w:rsidP="00230FAA">
      <w:pPr>
        <w:rPr>
          <w:sz w:val="20"/>
          <w:u w:val="single"/>
        </w:rPr>
      </w:pPr>
      <w:r w:rsidRPr="008E5EBD">
        <w:rPr>
          <w:sz w:val="20"/>
          <w:lang w:val="es-ES_tradnl"/>
        </w:rPr>
        <w:t>A.</w:t>
      </w:r>
      <w:r w:rsidRPr="008E5EBD">
        <w:rPr>
          <w:sz w:val="20"/>
          <w:lang w:val="es-ES_tradnl"/>
        </w:rPr>
        <w:tab/>
      </w:r>
      <w:r w:rsidRPr="008E5EBD">
        <w:rPr>
          <w:sz w:val="20"/>
          <w:u w:val="single"/>
          <w:lang w:val="es-ES_tradnl"/>
        </w:rPr>
        <w:t>Presupuesto de 2016/17 tras las transferencias</w:t>
      </w:r>
    </w:p>
    <w:p w:rsidR="00502550" w:rsidRPr="008E5EBD" w:rsidRDefault="00502550" w:rsidP="00230FAA">
      <w:pPr>
        <w:rPr>
          <w:b/>
          <w:sz w:val="20"/>
        </w:rPr>
      </w:pPr>
    </w:p>
    <w:p w:rsidR="00502550" w:rsidRPr="008E5EBD" w:rsidRDefault="00502550" w:rsidP="00502550">
      <w:pPr>
        <w:pStyle w:val="ListParagraph"/>
        <w:numPr>
          <w:ilvl w:val="0"/>
          <w:numId w:val="69"/>
        </w:numPr>
        <w:ind w:left="0" w:firstLine="0"/>
        <w:contextualSpacing/>
        <w:jc w:val="both"/>
        <w:rPr>
          <w:lang w:val="es-ES"/>
        </w:rPr>
      </w:pPr>
      <w:r w:rsidRPr="008E5EBD">
        <w:rPr>
          <w:lang w:val="es-ES"/>
        </w:rPr>
        <w:t xml:space="preserve">El aumento total en los recursos de personal con respecto al presupuesto aprobado de 2016/17 </w:t>
      </w:r>
      <w:r w:rsidR="0048069B">
        <w:rPr>
          <w:lang w:val="es-ES"/>
        </w:rPr>
        <w:t>se debió</w:t>
      </w:r>
      <w:r w:rsidRPr="008E5EBD">
        <w:rPr>
          <w:lang w:val="es-ES"/>
        </w:rPr>
        <w:t xml:space="preserve"> principalmente al resultado neto de, por una parte, la reclasificación de tres puestos, y, por otra, el traslado de un puesto desde el programa “Soluciones operativas para las oficinas de P.I.” (programa 15) al programa “Oficina de la OMPI en Singapur” (programa 20) a fin de fortalecer el apoyo relacionado con las IPAS que se presta a las Oficinas nacionales de P.I. en la región.</w:t>
      </w:r>
    </w:p>
    <w:p w:rsidR="00502550" w:rsidRPr="008E5EBD" w:rsidRDefault="00502550" w:rsidP="00502550">
      <w:pPr>
        <w:pStyle w:val="ListParagraph"/>
        <w:numPr>
          <w:ilvl w:val="0"/>
          <w:numId w:val="69"/>
        </w:numPr>
        <w:ind w:left="0" w:firstLine="0"/>
        <w:contextualSpacing/>
        <w:jc w:val="both"/>
        <w:rPr>
          <w:rFonts w:eastAsia="Batang"/>
          <w:lang w:val="es-ES" w:eastAsia="ko-KR"/>
        </w:rPr>
      </w:pPr>
      <w:r w:rsidRPr="008E5EBD">
        <w:rPr>
          <w:rFonts w:eastAsia="Batang"/>
          <w:lang w:val="es-ES" w:eastAsia="ko-KR"/>
        </w:rPr>
        <w:lastRenderedPageBreak/>
        <w:t>Los recursos no relativos a personal reflejan un ajuste al alza debido a la transferencia de recursos adicionales para impulsar la creación de una base de datos sobre familias de patentes y para cubrir el aumento de los costos de funcionamiento de WIPO Connect.  Además, en el marco del programa se efectuó una reorientación de los recursos, transfiriendo recursos de personal a recursos no relativos a personal a fin de impulsar la creación de un programa piloto de becas.</w:t>
      </w:r>
    </w:p>
    <w:p w:rsidR="00502550" w:rsidRPr="008E5EBD" w:rsidRDefault="00502550" w:rsidP="00230FAA">
      <w:pPr>
        <w:contextualSpacing/>
        <w:jc w:val="both"/>
        <w:rPr>
          <w:sz w:val="20"/>
        </w:rPr>
      </w:pPr>
    </w:p>
    <w:p w:rsidR="00502550" w:rsidRPr="008E5EBD" w:rsidRDefault="00502550" w:rsidP="00230FAA">
      <w:pPr>
        <w:rPr>
          <w:sz w:val="20"/>
          <w:u w:val="single"/>
        </w:rPr>
      </w:pPr>
      <w:r w:rsidRPr="008E5EBD">
        <w:rPr>
          <w:sz w:val="20"/>
          <w:lang w:val="es-ES_tradnl"/>
        </w:rPr>
        <w:t>B.</w:t>
      </w:r>
      <w:r w:rsidRPr="008E5EBD">
        <w:rPr>
          <w:sz w:val="20"/>
          <w:lang w:val="es-ES_tradnl"/>
        </w:rPr>
        <w:tab/>
      </w:r>
      <w:r w:rsidRPr="008E5EBD">
        <w:rPr>
          <w:sz w:val="20"/>
          <w:u w:val="single"/>
          <w:lang w:val="es-ES_tradnl"/>
        </w:rPr>
        <w:t>Utilización del presupuesto en 2016/17</w:t>
      </w:r>
    </w:p>
    <w:p w:rsidR="00502550" w:rsidRPr="008E5EBD" w:rsidRDefault="00502550" w:rsidP="00230FAA">
      <w:pPr>
        <w:jc w:val="both"/>
        <w:rPr>
          <w:sz w:val="20"/>
          <w:u w:val="single"/>
          <w:lang w:eastAsia="ko-KR"/>
        </w:rPr>
      </w:pPr>
    </w:p>
    <w:p w:rsidR="00502550" w:rsidRPr="008E5EBD" w:rsidRDefault="00502550" w:rsidP="00502550">
      <w:pPr>
        <w:pStyle w:val="ListParagraph"/>
        <w:numPr>
          <w:ilvl w:val="0"/>
          <w:numId w:val="69"/>
        </w:numPr>
        <w:ind w:left="0" w:firstLine="0"/>
        <w:contextualSpacing/>
        <w:jc w:val="both"/>
        <w:rPr>
          <w:lang w:val="es-ES" w:eastAsia="ko-KR"/>
        </w:rPr>
      </w:pPr>
      <w:r w:rsidRPr="008E5EBD">
        <w:rPr>
          <w:lang w:val="es-ES_tradnl" w:eastAsia="ko-KR"/>
        </w:rPr>
        <w:t>La utilización del presupuesto se ha mantenido dentro de los límites establecidos (40-60%) durante el primer año del bienio.</w:t>
      </w:r>
    </w:p>
    <w:p w:rsidR="00502550" w:rsidRPr="008E5EBD" w:rsidRDefault="00502550" w:rsidP="00230FAA"/>
    <w:p w:rsidR="00502550" w:rsidRPr="008E5EBD" w:rsidRDefault="00502550" w:rsidP="00230FAA"/>
    <w:p w:rsidR="00502550" w:rsidRPr="008E5EBD" w:rsidRDefault="00502550" w:rsidP="00230FAA"/>
    <w:p w:rsidR="00EE1CCE" w:rsidRPr="002F663B" w:rsidRDefault="00EE1CCE" w:rsidP="00EE1CCE">
      <w:pPr>
        <w:pStyle w:val="ListParagraph"/>
        <w:ind w:left="0"/>
        <w:contextualSpacing/>
        <w:jc w:val="both"/>
        <w:rPr>
          <w:rFonts w:cs="Arial"/>
          <w:lang w:val="es-ES"/>
        </w:rPr>
      </w:pPr>
    </w:p>
    <w:p w:rsidR="00EE1CCE" w:rsidRPr="002F663B" w:rsidRDefault="00EE1CCE" w:rsidP="00EE1CCE">
      <w:pPr>
        <w:pStyle w:val="ListParagraph"/>
        <w:ind w:left="0"/>
        <w:contextualSpacing/>
        <w:jc w:val="both"/>
        <w:rPr>
          <w:rFonts w:cs="Arial"/>
          <w:lang w:val="es-ES"/>
        </w:rPr>
      </w:pPr>
      <w:r w:rsidRPr="002F663B">
        <w:rPr>
          <w:rFonts w:cs="Arial"/>
          <w:lang w:val="es-ES"/>
        </w:rPr>
        <w:br w:type="page"/>
      </w:r>
    </w:p>
    <w:p w:rsidR="00EE1CCE" w:rsidRPr="008F3D8D" w:rsidRDefault="00EE1CCE" w:rsidP="00425619">
      <w:pPr>
        <w:pStyle w:val="Heading2"/>
        <w:spacing w:before="0" w:after="0"/>
        <w:jc w:val="center"/>
        <w:rPr>
          <w:b/>
          <w:sz w:val="20"/>
          <w:szCs w:val="20"/>
        </w:rPr>
      </w:pPr>
      <w:bookmarkStart w:id="54" w:name="_Toc482711263"/>
      <w:bookmarkStart w:id="55" w:name="_Toc422210500"/>
      <w:bookmarkStart w:id="56" w:name="_Toc367350592"/>
      <w:r w:rsidRPr="008F3D8D">
        <w:rPr>
          <w:b/>
          <w:sz w:val="20"/>
          <w:szCs w:val="20"/>
          <w:lang w:val="es-ES_tradnl"/>
        </w:rPr>
        <w:lastRenderedPageBreak/>
        <w:t>META ESTRATÉGICA V</w:t>
      </w:r>
      <w:bookmarkEnd w:id="54"/>
    </w:p>
    <w:p w:rsidR="00EE1CCE" w:rsidRPr="008F3D8D" w:rsidRDefault="00EE1CCE" w:rsidP="00425619">
      <w:pPr>
        <w:jc w:val="center"/>
        <w:rPr>
          <w:b/>
          <w:sz w:val="20"/>
        </w:rPr>
      </w:pPr>
    </w:p>
    <w:p w:rsidR="00EE1CCE" w:rsidRPr="008F3D8D" w:rsidRDefault="00EE1CCE" w:rsidP="00425619">
      <w:pPr>
        <w:jc w:val="center"/>
        <w:rPr>
          <w:b/>
          <w:sz w:val="20"/>
        </w:rPr>
      </w:pPr>
      <w:r w:rsidRPr="008F3D8D">
        <w:rPr>
          <w:b/>
          <w:sz w:val="20"/>
          <w:lang w:val="es-ES_tradnl"/>
        </w:rPr>
        <w:t>FUENTE DE REFERENCIA EN EL MUNDO DE INFORMACIÓN Y ANÁLISIS EN MATERIA DE P.I.</w:t>
      </w:r>
    </w:p>
    <w:p w:rsidR="00EE1CCE" w:rsidRPr="008F3D8D" w:rsidRDefault="00EE1CCE" w:rsidP="00425619">
      <w:pPr>
        <w:rPr>
          <w:sz w:val="20"/>
        </w:rPr>
      </w:pPr>
    </w:p>
    <w:p w:rsidR="00EE1CCE" w:rsidRPr="008F3D8D" w:rsidRDefault="00EE1CCE" w:rsidP="00425619">
      <w:pPr>
        <w:jc w:val="center"/>
        <w:rPr>
          <w:b/>
          <w:sz w:val="20"/>
        </w:rPr>
      </w:pPr>
      <w:r w:rsidRPr="008F3D8D">
        <w:rPr>
          <w:b/>
          <w:sz w:val="20"/>
        </w:rPr>
        <w:t>Tablero de control del rendimiento a mediano plazo (2016)</w:t>
      </w:r>
    </w:p>
    <w:p w:rsidR="00EE1CCE" w:rsidRPr="008F3D8D" w:rsidRDefault="00EE1CCE" w:rsidP="00425619">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EE1CCE" w:rsidP="00EE1CCE">
      <w:pPr>
        <w:jc w:val="center"/>
      </w:pPr>
      <w:r w:rsidRPr="008F3D8D">
        <w:rPr>
          <w:noProof/>
          <w:lang w:val="en-US" w:eastAsia="en-US"/>
        </w:rPr>
        <w:drawing>
          <wp:inline distT="0" distB="0" distL="0" distR="0" wp14:anchorId="0D02A35A" wp14:editId="394162C0">
            <wp:extent cx="4305300" cy="2533367"/>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4318905" cy="2541373"/>
                    </a:xfrm>
                    <a:prstGeom prst="rect">
                      <a:avLst/>
                    </a:prstGeom>
                    <a:noFill/>
                    <a:ln>
                      <a:noFill/>
                    </a:ln>
                  </pic:spPr>
                </pic:pic>
              </a:graphicData>
            </a:graphic>
          </wp:inline>
        </w:drawing>
      </w:r>
    </w:p>
    <w:tbl>
      <w:tblPr>
        <w:tblW w:w="9212" w:type="dxa"/>
        <w:tblInd w:w="108" w:type="dxa"/>
        <w:tblLayout w:type="fixed"/>
        <w:tblLook w:val="0000" w:firstRow="0" w:lastRow="0" w:firstColumn="0" w:lastColumn="0" w:noHBand="0" w:noVBand="0"/>
      </w:tblPr>
      <w:tblGrid>
        <w:gridCol w:w="2722"/>
        <w:gridCol w:w="3855"/>
        <w:gridCol w:w="1587"/>
        <w:gridCol w:w="1048"/>
      </w:tblGrid>
      <w:tr w:rsidR="00EE1CCE" w:rsidRPr="008F3D8D" w:rsidTr="00A34E19">
        <w:trPr>
          <w:cantSplit/>
          <w:trHeight w:val="605"/>
        </w:trPr>
        <w:tc>
          <w:tcPr>
            <w:tcW w:w="1477" w:type="pct"/>
            <w:shd w:val="clear" w:color="auto" w:fill="B8CCE4" w:themeFill="accent1" w:themeFillTint="66"/>
            <w:tcMar>
              <w:top w:w="113" w:type="dxa"/>
              <w:bottom w:w="85" w:type="dxa"/>
            </w:tcMar>
            <w:vAlign w:val="center"/>
          </w:tcPr>
          <w:p w:rsidR="00EE1CCE" w:rsidRPr="008F3D8D" w:rsidRDefault="00EE1CCE" w:rsidP="00A34E19">
            <w:pPr>
              <w:spacing w:after="120"/>
              <w:rPr>
                <w:b/>
                <w:bCs/>
                <w:sz w:val="18"/>
                <w:szCs w:val="18"/>
              </w:rPr>
            </w:pPr>
            <w:r w:rsidRPr="008F3D8D">
              <w:rPr>
                <w:b/>
                <w:bCs/>
                <w:sz w:val="18"/>
                <w:szCs w:val="18"/>
                <w:lang w:val="es-ES_tradnl"/>
              </w:rPr>
              <w:t>Resultado previsto:</w:t>
            </w:r>
          </w:p>
        </w:tc>
        <w:tc>
          <w:tcPr>
            <w:tcW w:w="2092" w:type="pct"/>
            <w:shd w:val="clear" w:color="auto" w:fill="B8CCE4" w:themeFill="accent1" w:themeFillTint="66"/>
            <w:tcMar>
              <w:top w:w="113" w:type="dxa"/>
              <w:bottom w:w="85" w:type="dxa"/>
            </w:tcMar>
            <w:vAlign w:val="center"/>
          </w:tcPr>
          <w:p w:rsidR="00EE1CCE" w:rsidRPr="008F3D8D" w:rsidRDefault="00EE1CCE" w:rsidP="00A34E19">
            <w:pPr>
              <w:spacing w:after="120"/>
              <w:rPr>
                <w:b/>
                <w:bCs/>
                <w:sz w:val="18"/>
                <w:szCs w:val="18"/>
              </w:rPr>
            </w:pPr>
            <w:r w:rsidRPr="008F3D8D">
              <w:rPr>
                <w:b/>
                <w:bCs/>
                <w:sz w:val="18"/>
                <w:szCs w:val="18"/>
                <w:lang w:val="es-ES_tradnl"/>
              </w:rPr>
              <w:t>Indicadores de rendimiento</w:t>
            </w:r>
          </w:p>
        </w:tc>
        <w:tc>
          <w:tcPr>
            <w:tcW w:w="861" w:type="pct"/>
            <w:shd w:val="clear" w:color="auto" w:fill="B8CCE4" w:themeFill="accent1" w:themeFillTint="66"/>
            <w:tcMar>
              <w:top w:w="113" w:type="dxa"/>
              <w:bottom w:w="85" w:type="dxa"/>
            </w:tcMar>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Programas responsables</w:t>
            </w:r>
          </w:p>
        </w:tc>
        <w:tc>
          <w:tcPr>
            <w:tcW w:w="569" w:type="pct"/>
            <w:shd w:val="clear" w:color="auto" w:fill="B8CCE4" w:themeFill="accent1" w:themeFillTint="66"/>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Clave de colores</w:t>
            </w:r>
          </w:p>
        </w:tc>
      </w:tr>
      <w:tr w:rsidR="00EE1CCE" w:rsidRPr="008F3D8D" w:rsidTr="00A34E19">
        <w:trPr>
          <w:cantSplit/>
          <w:trHeight w:val="249"/>
        </w:trPr>
        <w:tc>
          <w:tcPr>
            <w:tcW w:w="1477"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V.1  Mayor y mejor utilización de la información estadística de la OMPI en materia de P.I.</w:t>
            </w:r>
          </w:p>
        </w:tc>
        <w:tc>
          <w:tcPr>
            <w:tcW w:w="2092"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La diferencia entre las previsiones de enero y el número real de solicitudes PCT, Madrid y La Haya presentadas se mantiene dentro de los límites</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16</w:t>
            </w:r>
          </w:p>
        </w:tc>
        <w:tc>
          <w:tcPr>
            <w:tcW w:w="569"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A34E19">
        <w:trPr>
          <w:cantSplit/>
          <w:trHeight w:val="203"/>
        </w:trPr>
        <w:tc>
          <w:tcPr>
            <w:tcW w:w="1477" w:type="pct"/>
            <w:vMerge/>
            <w:shd w:val="clear" w:color="auto" w:fill="auto"/>
            <w:tcMar>
              <w:top w:w="113" w:type="dxa"/>
              <w:bottom w:w="85" w:type="dxa"/>
            </w:tcMar>
          </w:tcPr>
          <w:p w:rsidR="00EE1CCE" w:rsidRPr="008F3D8D" w:rsidRDefault="00EE1CCE" w:rsidP="00A34E19">
            <w:pPr>
              <w:rPr>
                <w:sz w:val="16"/>
                <w:szCs w:val="16"/>
              </w:rPr>
            </w:pPr>
          </w:p>
        </w:tc>
        <w:tc>
          <w:tcPr>
            <w:tcW w:w="2092"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descargas de los informes estadísticos anuales en el plazo de 6 meses desde su publicación</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16</w:t>
            </w:r>
          </w:p>
        </w:tc>
        <w:tc>
          <w:tcPr>
            <w:tcW w:w="569" w:type="pct"/>
            <w:shd w:val="clear" w:color="auto" w:fill="FFFFFF"/>
          </w:tcPr>
          <w:p w:rsidR="00EE1CCE" w:rsidRPr="008F3D8D" w:rsidRDefault="00EE1CCE" w:rsidP="00A34E19">
            <w:pPr>
              <w:jc w:val="center"/>
            </w:pPr>
            <w:r w:rsidRPr="008F3D8D">
              <w:rPr>
                <w:color w:val="0070C0"/>
                <w:szCs w:val="22"/>
              </w:rPr>
              <w:sym w:font="Wingdings" w:char="F06C"/>
            </w:r>
          </w:p>
        </w:tc>
      </w:tr>
      <w:tr w:rsidR="00EE1CCE" w:rsidRPr="008F3D8D" w:rsidTr="00A34E19">
        <w:trPr>
          <w:cantSplit/>
          <w:trHeight w:val="20"/>
        </w:trPr>
        <w:tc>
          <w:tcPr>
            <w:tcW w:w="1477" w:type="pct"/>
            <w:vMerge/>
            <w:shd w:val="clear" w:color="auto" w:fill="auto"/>
            <w:tcMar>
              <w:top w:w="113" w:type="dxa"/>
              <w:bottom w:w="85" w:type="dxa"/>
            </w:tcMar>
          </w:tcPr>
          <w:p w:rsidR="00EE1CCE" w:rsidRPr="008F3D8D" w:rsidRDefault="00EE1CCE" w:rsidP="00A34E19">
            <w:pPr>
              <w:tabs>
                <w:tab w:val="right" w:pos="2835"/>
              </w:tabs>
              <w:spacing w:after="60"/>
              <w:rPr>
                <w:sz w:val="16"/>
                <w:szCs w:val="16"/>
              </w:rPr>
            </w:pPr>
          </w:p>
        </w:tc>
        <w:tc>
          <w:tcPr>
            <w:tcW w:w="2092"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búsquedas en el Centro de Datos Estadísticos de P.I.</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16</w:t>
            </w:r>
          </w:p>
        </w:tc>
        <w:tc>
          <w:tcPr>
            <w:tcW w:w="569" w:type="pct"/>
            <w:shd w:val="clear" w:color="auto" w:fill="FFFFFF"/>
          </w:tcPr>
          <w:p w:rsidR="00EE1CCE" w:rsidRPr="008F3D8D" w:rsidRDefault="00EE1CCE" w:rsidP="00A34E19">
            <w:pPr>
              <w:spacing w:before="40"/>
              <w:jc w:val="center"/>
            </w:pPr>
            <w:r w:rsidRPr="008F3D8D">
              <w:rPr>
                <w:color w:val="0070C0"/>
                <w:szCs w:val="22"/>
              </w:rPr>
              <w:sym w:font="Wingdings" w:char="F06C"/>
            </w:r>
          </w:p>
        </w:tc>
      </w:tr>
      <w:tr w:rsidR="00EE1CCE" w:rsidRPr="008F3D8D" w:rsidTr="00A34E19">
        <w:trPr>
          <w:cantSplit/>
          <w:trHeight w:val="20"/>
        </w:trPr>
        <w:tc>
          <w:tcPr>
            <w:tcW w:w="1477" w:type="pct"/>
            <w:vMerge w:val="restart"/>
            <w:shd w:val="clear" w:color="auto" w:fill="auto"/>
            <w:tcMar>
              <w:top w:w="113" w:type="dxa"/>
              <w:bottom w:w="85" w:type="dxa"/>
            </w:tcMar>
          </w:tcPr>
          <w:p w:rsidR="00EE1CCE" w:rsidRPr="008F3D8D" w:rsidRDefault="00EE1CCE" w:rsidP="00A34E19">
            <w:pPr>
              <w:tabs>
                <w:tab w:val="right" w:pos="2835"/>
              </w:tabs>
              <w:spacing w:after="60"/>
              <w:rPr>
                <w:sz w:val="15"/>
                <w:szCs w:val="15"/>
              </w:rPr>
            </w:pPr>
            <w:r w:rsidRPr="008F3D8D">
              <w:rPr>
                <w:sz w:val="15"/>
                <w:szCs w:val="15"/>
                <w:lang w:val="es-ES_tradnl"/>
              </w:rPr>
              <w:t>V.2  Uso más amplio y mejor de los análisis económicos de la OMPI en la formulación de políticas</w:t>
            </w:r>
            <w:r w:rsidRPr="008F3D8D">
              <w:rPr>
                <w:sz w:val="15"/>
                <w:szCs w:val="15"/>
              </w:rPr>
              <w:t xml:space="preserve"> </w:t>
            </w:r>
          </w:p>
        </w:tc>
        <w:tc>
          <w:tcPr>
            <w:tcW w:w="2092"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visitas por año a los sitios web del Índice Mundial de Innovación</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16</w:t>
            </w:r>
          </w:p>
        </w:tc>
        <w:tc>
          <w:tcPr>
            <w:tcW w:w="569" w:type="pct"/>
            <w:shd w:val="clear" w:color="auto" w:fill="FFFFFF"/>
          </w:tcPr>
          <w:p w:rsidR="00EE1CCE" w:rsidRPr="008F3D8D" w:rsidRDefault="00EE1CCE" w:rsidP="00A34E19">
            <w:pPr>
              <w:spacing w:before="40"/>
              <w:jc w:val="center"/>
            </w:pPr>
            <w:r w:rsidRPr="008F3D8D">
              <w:rPr>
                <w:color w:val="00B050"/>
                <w:szCs w:val="22"/>
              </w:rPr>
              <w:sym w:font="Wingdings" w:char="F06C"/>
            </w:r>
          </w:p>
        </w:tc>
      </w:tr>
      <w:tr w:rsidR="00EE1CCE" w:rsidRPr="008F3D8D" w:rsidTr="00A34E19">
        <w:trPr>
          <w:cantSplit/>
          <w:trHeight w:val="512"/>
        </w:trPr>
        <w:tc>
          <w:tcPr>
            <w:tcW w:w="1477" w:type="pct"/>
            <w:vMerge/>
            <w:shd w:val="clear" w:color="auto" w:fill="auto"/>
            <w:tcMar>
              <w:top w:w="113" w:type="dxa"/>
              <w:bottom w:w="85" w:type="dxa"/>
            </w:tcMar>
          </w:tcPr>
          <w:p w:rsidR="00EE1CCE" w:rsidRPr="008F3D8D" w:rsidRDefault="00EE1CCE" w:rsidP="00A34E19">
            <w:pPr>
              <w:rPr>
                <w:sz w:val="16"/>
                <w:szCs w:val="16"/>
              </w:rPr>
            </w:pPr>
          </w:p>
        </w:tc>
        <w:tc>
          <w:tcPr>
            <w:tcW w:w="2092"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descargas del Informe mundial sobre la P.I. en el plazo de 6 meses desde su publicación</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16</w:t>
            </w:r>
          </w:p>
        </w:tc>
        <w:tc>
          <w:tcPr>
            <w:tcW w:w="569" w:type="pct"/>
            <w:shd w:val="clear" w:color="auto" w:fill="FFFFFF"/>
          </w:tcPr>
          <w:p w:rsidR="00EE1CCE" w:rsidRPr="008F3D8D" w:rsidRDefault="00EE1CCE" w:rsidP="00A34E19">
            <w:pPr>
              <w:jc w:val="center"/>
              <w:rPr>
                <w:color w:val="A6A6A6" w:themeColor="background1" w:themeShade="A6"/>
                <w:szCs w:val="22"/>
              </w:rPr>
            </w:pPr>
            <w:r w:rsidRPr="008F3D8D">
              <w:rPr>
                <w:color w:val="0070C0"/>
                <w:szCs w:val="22"/>
              </w:rPr>
              <w:sym w:font="Wingdings" w:char="F06C"/>
            </w:r>
          </w:p>
        </w:tc>
      </w:tr>
      <w:bookmarkEnd w:id="55"/>
      <w:bookmarkEnd w:id="56"/>
    </w:tbl>
    <w:p w:rsidR="00EE1CCE" w:rsidRPr="008F3D8D" w:rsidRDefault="00EE1CCE" w:rsidP="00EE1CCE">
      <w:pPr>
        <w:pStyle w:val="ListParagraph"/>
        <w:ind w:left="0"/>
        <w:contextualSpacing/>
        <w:jc w:val="both"/>
        <w:rPr>
          <w:rFonts w:cs="Arial"/>
        </w:rPr>
      </w:pPr>
    </w:p>
    <w:p w:rsidR="00EE1CCE" w:rsidRPr="008F3D8D" w:rsidRDefault="00EE1CCE" w:rsidP="00EE1CCE">
      <w:pPr>
        <w:pStyle w:val="ListParagraph"/>
        <w:ind w:left="0"/>
        <w:contextualSpacing/>
        <w:jc w:val="both"/>
        <w:rPr>
          <w:rFonts w:cs="Arial"/>
        </w:rPr>
      </w:pPr>
    </w:p>
    <w:p w:rsidR="00EE1CCE" w:rsidRPr="008F3D8D" w:rsidRDefault="00EE1CCE" w:rsidP="00EE1CCE">
      <w:pPr>
        <w:rPr>
          <w:iCs/>
          <w:caps/>
          <w:sz w:val="20"/>
          <w:lang w:eastAsia="da-DK"/>
        </w:rPr>
      </w:pPr>
    </w:p>
    <w:p w:rsidR="00E34342" w:rsidRDefault="00E34342">
      <w:pPr>
        <w:rPr>
          <w:rFonts w:eastAsia="Times New Roman"/>
          <w:sz w:val="20"/>
          <w:lang w:val="en-US" w:eastAsia="en-US"/>
        </w:rPr>
      </w:pPr>
      <w:r>
        <w:br w:type="page"/>
      </w:r>
    </w:p>
    <w:p w:rsidR="00E34342" w:rsidRPr="00B85616" w:rsidRDefault="00E34342" w:rsidP="0033692C">
      <w:pPr>
        <w:keepNext/>
        <w:tabs>
          <w:tab w:val="left" w:pos="2410"/>
        </w:tabs>
        <w:spacing w:before="240" w:after="60"/>
        <w:outlineLvl w:val="1"/>
        <w:rPr>
          <w:b/>
          <w:iCs/>
          <w:caps/>
          <w:szCs w:val="22"/>
        </w:rPr>
      </w:pPr>
      <w:bookmarkStart w:id="57" w:name="_Toc482711264"/>
      <w:r w:rsidRPr="00B85616">
        <w:rPr>
          <w:b/>
          <w:iCs/>
          <w:caps/>
          <w:szCs w:val="22"/>
        </w:rPr>
        <w:lastRenderedPageBreak/>
        <w:t>PROGRAMA 16</w:t>
      </w:r>
      <w:r w:rsidRPr="00B85616">
        <w:rPr>
          <w:iCs/>
          <w:caps/>
          <w:szCs w:val="22"/>
        </w:rPr>
        <w:tab/>
      </w:r>
      <w:r w:rsidRPr="00B85616">
        <w:rPr>
          <w:b/>
          <w:iCs/>
          <w:caps/>
          <w:szCs w:val="22"/>
        </w:rPr>
        <w:t>ECONOMÍA Y ESTADÍSTICA</w:t>
      </w:r>
      <w:bookmarkEnd w:id="57"/>
    </w:p>
    <w:p w:rsidR="00E34342" w:rsidRPr="00B85616" w:rsidRDefault="00E34342" w:rsidP="00230FAA">
      <w:pPr>
        <w:tabs>
          <w:tab w:val="left" w:pos="1985"/>
        </w:tabs>
        <w:jc w:val="both"/>
        <w:rPr>
          <w:rFonts w:cs="Times New Roman"/>
          <w:sz w:val="20"/>
        </w:rPr>
      </w:pPr>
    </w:p>
    <w:p w:rsidR="00E34342" w:rsidRPr="00B85616" w:rsidRDefault="00E34342" w:rsidP="0033692C">
      <w:pPr>
        <w:tabs>
          <w:tab w:val="left" w:pos="2410"/>
        </w:tabs>
        <w:jc w:val="both"/>
        <w:rPr>
          <w:rFonts w:cs="Times New Roman"/>
          <w:b/>
          <w:sz w:val="20"/>
          <w:szCs w:val="22"/>
        </w:rPr>
      </w:pPr>
      <w:r w:rsidRPr="00B85616">
        <w:rPr>
          <w:rFonts w:cs="Times New Roman"/>
          <w:b/>
          <w:sz w:val="20"/>
          <w:szCs w:val="22"/>
        </w:rPr>
        <w:t>Director de programa</w:t>
      </w:r>
      <w:r w:rsidRPr="00B85616">
        <w:rPr>
          <w:rFonts w:cs="Times New Roman"/>
          <w:sz w:val="20"/>
          <w:szCs w:val="22"/>
        </w:rPr>
        <w:tab/>
      </w:r>
      <w:r w:rsidRPr="00B85616">
        <w:rPr>
          <w:rFonts w:cs="Times New Roman"/>
          <w:b/>
          <w:sz w:val="20"/>
          <w:szCs w:val="22"/>
        </w:rPr>
        <w:t>Director general</w:t>
      </w:r>
    </w:p>
    <w:p w:rsidR="00E34342" w:rsidRPr="00B85616" w:rsidRDefault="00E34342" w:rsidP="00230FAA">
      <w:pPr>
        <w:keepNext/>
        <w:keepLines/>
        <w:jc w:val="center"/>
        <w:rPr>
          <w:szCs w:val="22"/>
        </w:rPr>
      </w:pPr>
      <w:r w:rsidRPr="00B85616">
        <w:rPr>
          <w:noProof/>
          <w:lang w:val="en-US" w:eastAsia="en-US"/>
        </w:rPr>
        <w:drawing>
          <wp:inline distT="0" distB="0" distL="0" distR="0" wp14:anchorId="1C763C4A" wp14:editId="7EF3A2DE">
            <wp:extent cx="4751347" cy="2467857"/>
            <wp:effectExtent l="0" t="0" r="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4754355" cy="2469419"/>
                    </a:xfrm>
                    <a:prstGeom prst="rect">
                      <a:avLst/>
                    </a:prstGeom>
                    <a:noFill/>
                    <a:ln>
                      <a:noFill/>
                    </a:ln>
                  </pic:spPr>
                </pic:pic>
              </a:graphicData>
            </a:graphic>
          </wp:inline>
        </w:drawing>
      </w:r>
      <w:r w:rsidRPr="00B85616">
        <w:t xml:space="preserve"> </w:t>
      </w:r>
    </w:p>
    <w:tbl>
      <w:tblPr>
        <w:tblW w:w="5000" w:type="pct"/>
        <w:tblInd w:w="108" w:type="dxa"/>
        <w:tblLayout w:type="fixed"/>
        <w:tblCellMar>
          <w:left w:w="115" w:type="dxa"/>
          <w:right w:w="115" w:type="dxa"/>
        </w:tblCellMar>
        <w:tblLook w:val="0000" w:firstRow="0" w:lastRow="0" w:firstColumn="0" w:lastColumn="0" w:noHBand="0" w:noVBand="0"/>
      </w:tblPr>
      <w:tblGrid>
        <w:gridCol w:w="1927"/>
        <w:gridCol w:w="2427"/>
        <w:gridCol w:w="1358"/>
        <w:gridCol w:w="2532"/>
        <w:gridCol w:w="943"/>
      </w:tblGrid>
      <w:tr w:rsidR="00E34342" w:rsidRPr="00B85616" w:rsidTr="00230FAA">
        <w:trPr>
          <w:trHeight w:val="565"/>
        </w:trPr>
        <w:tc>
          <w:tcPr>
            <w:tcW w:w="5000" w:type="pct"/>
            <w:gridSpan w:val="5"/>
            <w:shd w:val="clear" w:color="auto" w:fill="C6D9F1" w:themeFill="text2" w:themeFillTint="33"/>
            <w:tcMar>
              <w:left w:w="58" w:type="dxa"/>
              <w:right w:w="58" w:type="dxa"/>
            </w:tcMar>
            <w:vAlign w:val="center"/>
          </w:tcPr>
          <w:p w:rsidR="00E34342" w:rsidRPr="00B85616" w:rsidRDefault="00E34342" w:rsidP="00230FAA">
            <w:pPr>
              <w:keepNext/>
              <w:keepLines/>
              <w:tabs>
                <w:tab w:val="left" w:pos="1452"/>
              </w:tabs>
              <w:ind w:left="1701" w:hanging="1701"/>
              <w:rPr>
                <w:bCs/>
                <w:sz w:val="16"/>
                <w:szCs w:val="16"/>
              </w:rPr>
            </w:pPr>
            <w:r w:rsidRPr="00B85616">
              <w:rPr>
                <w:b/>
                <w:bCs/>
                <w:sz w:val="16"/>
                <w:szCs w:val="16"/>
              </w:rPr>
              <w:t>Resultado previsto:</w:t>
            </w:r>
            <w:r w:rsidRPr="00B85616">
              <w:rPr>
                <w:b/>
                <w:bCs/>
                <w:sz w:val="16"/>
                <w:szCs w:val="16"/>
              </w:rPr>
              <w:tab/>
            </w:r>
            <w:r w:rsidRPr="00B85616">
              <w:rPr>
                <w:bCs/>
                <w:sz w:val="16"/>
                <w:szCs w:val="16"/>
              </w:rPr>
              <w:t>V.1  Mayor y mejor utilización de la información estadística de la OMPI en materia de P.I.</w:t>
            </w:r>
          </w:p>
        </w:tc>
      </w:tr>
      <w:tr w:rsidR="00E34342" w:rsidRPr="00B85616" w:rsidTr="00230FAA">
        <w:tc>
          <w:tcPr>
            <w:tcW w:w="1049" w:type="pct"/>
            <w:shd w:val="clear" w:color="auto" w:fill="auto"/>
            <w:tcMar>
              <w:left w:w="58" w:type="dxa"/>
              <w:right w:w="58" w:type="dxa"/>
            </w:tcMar>
            <w:vAlign w:val="center"/>
          </w:tcPr>
          <w:p w:rsidR="00E34342" w:rsidRPr="00B85616" w:rsidRDefault="00E34342" w:rsidP="00230FAA">
            <w:pPr>
              <w:rPr>
                <w:b/>
                <w:bCs/>
                <w:sz w:val="16"/>
                <w:szCs w:val="16"/>
              </w:rPr>
            </w:pPr>
            <w:r w:rsidRPr="00B85616">
              <w:rPr>
                <w:b/>
                <w:bCs/>
                <w:sz w:val="16"/>
                <w:szCs w:val="16"/>
              </w:rPr>
              <w:t>Indicadores de rendimiento</w:t>
            </w:r>
          </w:p>
        </w:tc>
        <w:tc>
          <w:tcPr>
            <w:tcW w:w="1321" w:type="pct"/>
            <w:shd w:val="clear" w:color="auto" w:fill="auto"/>
            <w:tcMar>
              <w:left w:w="58" w:type="dxa"/>
              <w:right w:w="58" w:type="dxa"/>
            </w:tcMar>
            <w:vAlign w:val="center"/>
          </w:tcPr>
          <w:p w:rsidR="00E34342" w:rsidRPr="00B85616" w:rsidRDefault="00E34342" w:rsidP="00230FAA">
            <w:pPr>
              <w:rPr>
                <w:b/>
                <w:bCs/>
                <w:sz w:val="16"/>
                <w:szCs w:val="16"/>
              </w:rPr>
            </w:pPr>
            <w:r w:rsidRPr="00B85616">
              <w:rPr>
                <w:b/>
                <w:bCs/>
                <w:sz w:val="16"/>
                <w:szCs w:val="16"/>
              </w:rPr>
              <w:t>Referencias de base</w:t>
            </w:r>
          </w:p>
        </w:tc>
        <w:tc>
          <w:tcPr>
            <w:tcW w:w="739" w:type="pct"/>
            <w:shd w:val="clear" w:color="auto" w:fill="auto"/>
            <w:tcMar>
              <w:top w:w="110" w:type="dxa"/>
              <w:left w:w="58" w:type="dxa"/>
              <w:right w:w="58" w:type="dxa"/>
            </w:tcMar>
            <w:vAlign w:val="center"/>
          </w:tcPr>
          <w:p w:rsidR="00E34342" w:rsidRPr="00B85616" w:rsidRDefault="00E34342" w:rsidP="00230FAA">
            <w:pPr>
              <w:tabs>
                <w:tab w:val="left" w:pos="290"/>
              </w:tabs>
              <w:rPr>
                <w:b/>
                <w:bCs/>
                <w:sz w:val="16"/>
                <w:szCs w:val="16"/>
              </w:rPr>
            </w:pPr>
            <w:r w:rsidRPr="00B85616">
              <w:rPr>
                <w:b/>
                <w:bCs/>
                <w:sz w:val="16"/>
                <w:szCs w:val="16"/>
              </w:rPr>
              <w:t>Objetivos</w:t>
            </w:r>
          </w:p>
        </w:tc>
        <w:tc>
          <w:tcPr>
            <w:tcW w:w="1378" w:type="pct"/>
            <w:shd w:val="clear" w:color="auto" w:fill="FFFFFF"/>
            <w:tcMar>
              <w:top w:w="110" w:type="dxa"/>
              <w:left w:w="58" w:type="dxa"/>
              <w:right w:w="58" w:type="dxa"/>
            </w:tcMar>
            <w:vAlign w:val="center"/>
          </w:tcPr>
          <w:p w:rsidR="00E34342" w:rsidRPr="00B85616" w:rsidRDefault="00E34342" w:rsidP="00230FAA">
            <w:pPr>
              <w:rPr>
                <w:b/>
                <w:bCs/>
                <w:sz w:val="16"/>
                <w:szCs w:val="16"/>
              </w:rPr>
            </w:pPr>
            <w:r w:rsidRPr="00B85616">
              <w:rPr>
                <w:b/>
                <w:bCs/>
                <w:sz w:val="16"/>
                <w:szCs w:val="16"/>
              </w:rPr>
              <w:t>Datos sobre el rendimiento</w:t>
            </w:r>
          </w:p>
        </w:tc>
        <w:tc>
          <w:tcPr>
            <w:tcW w:w="513" w:type="pct"/>
            <w:shd w:val="clear" w:color="auto" w:fill="auto"/>
            <w:tcMar>
              <w:top w:w="110" w:type="dxa"/>
              <w:left w:w="58" w:type="dxa"/>
              <w:right w:w="58" w:type="dxa"/>
            </w:tcMar>
            <w:vAlign w:val="center"/>
          </w:tcPr>
          <w:p w:rsidR="00E34342" w:rsidRPr="00B85616" w:rsidRDefault="00E34342" w:rsidP="00230FAA">
            <w:pPr>
              <w:keepNext/>
              <w:keepLines/>
              <w:jc w:val="center"/>
              <w:rPr>
                <w:b/>
                <w:bCs/>
                <w:sz w:val="16"/>
                <w:szCs w:val="16"/>
              </w:rPr>
            </w:pPr>
            <w:r w:rsidRPr="00B85616">
              <w:rPr>
                <w:b/>
                <w:bCs/>
                <w:sz w:val="16"/>
                <w:szCs w:val="16"/>
              </w:rPr>
              <w:t>Clave de colores</w:t>
            </w:r>
          </w:p>
        </w:tc>
      </w:tr>
      <w:tr w:rsidR="00E34342" w:rsidRPr="00B85616" w:rsidTr="00230FAA">
        <w:trPr>
          <w:trHeight w:val="1438"/>
        </w:trPr>
        <w:tc>
          <w:tcPr>
            <w:tcW w:w="1049" w:type="pct"/>
            <w:shd w:val="clear" w:color="auto" w:fill="auto"/>
            <w:tcMar>
              <w:left w:w="58" w:type="dxa"/>
              <w:right w:w="58" w:type="dxa"/>
            </w:tcMar>
          </w:tcPr>
          <w:p w:rsidR="00E34342" w:rsidRPr="00B85616" w:rsidRDefault="00E34342" w:rsidP="00230FAA">
            <w:pPr>
              <w:rPr>
                <w:sz w:val="16"/>
                <w:szCs w:val="16"/>
              </w:rPr>
            </w:pPr>
            <w:r w:rsidRPr="00B85616">
              <w:rPr>
                <w:sz w:val="16"/>
                <w:szCs w:val="16"/>
              </w:rPr>
              <w:t>N.º de búsquedas en el Centro de Datos Estadísticos de P.I.</w:t>
            </w:r>
          </w:p>
        </w:tc>
        <w:tc>
          <w:tcPr>
            <w:tcW w:w="1321" w:type="pct"/>
            <w:shd w:val="clear" w:color="auto" w:fill="auto"/>
            <w:tcMar>
              <w:left w:w="58" w:type="dxa"/>
              <w:right w:w="58" w:type="dxa"/>
            </w:tcMar>
          </w:tcPr>
          <w:p w:rsidR="00E34342" w:rsidRPr="00837579" w:rsidRDefault="00E34342" w:rsidP="00230FAA">
            <w:pPr>
              <w:rPr>
                <w:i/>
                <w:color w:val="002060"/>
                <w:sz w:val="16"/>
                <w:szCs w:val="16"/>
              </w:rPr>
            </w:pPr>
            <w:r w:rsidRPr="00837579">
              <w:rPr>
                <w:i/>
                <w:color w:val="002060"/>
                <w:sz w:val="16"/>
                <w:szCs w:val="16"/>
              </w:rPr>
              <w:t>Referencia actualizada a fines de 2015:</w:t>
            </w:r>
            <w:r w:rsidRPr="00837579">
              <w:rPr>
                <w:rStyle w:val="FootnoteReference"/>
                <w:i/>
                <w:color w:val="002060"/>
              </w:rPr>
              <w:footnoteReference w:id="65"/>
            </w:r>
            <w:r w:rsidRPr="00837579">
              <w:rPr>
                <w:i/>
                <w:color w:val="002060"/>
                <w:sz w:val="16"/>
                <w:szCs w:val="16"/>
              </w:rPr>
              <w:t xml:space="preserve">  </w:t>
            </w:r>
          </w:p>
          <w:p w:rsidR="00E34342" w:rsidRPr="00837579" w:rsidRDefault="00E34342" w:rsidP="00230FAA">
            <w:pPr>
              <w:rPr>
                <w:color w:val="002060"/>
                <w:sz w:val="16"/>
                <w:szCs w:val="16"/>
              </w:rPr>
            </w:pPr>
            <w:r w:rsidRPr="00837579">
              <w:rPr>
                <w:color w:val="002060"/>
                <w:sz w:val="16"/>
                <w:szCs w:val="16"/>
              </w:rPr>
              <w:t>68.692</w:t>
            </w:r>
          </w:p>
          <w:p w:rsidR="00E34342" w:rsidRPr="00B85616" w:rsidRDefault="00E34342" w:rsidP="00230FAA">
            <w:pPr>
              <w:rPr>
                <w:sz w:val="16"/>
                <w:szCs w:val="16"/>
              </w:rPr>
            </w:pPr>
          </w:p>
          <w:p w:rsidR="00E34342" w:rsidRPr="00B85616" w:rsidRDefault="00E34342" w:rsidP="00230FAA">
            <w:pPr>
              <w:rPr>
                <w:i/>
                <w:sz w:val="16"/>
                <w:szCs w:val="16"/>
                <w:lang w:bidi="th-TH"/>
              </w:rPr>
            </w:pPr>
            <w:r w:rsidRPr="00B85616">
              <w:rPr>
                <w:i/>
                <w:sz w:val="16"/>
                <w:szCs w:val="16"/>
                <w:lang w:bidi="th-TH"/>
              </w:rPr>
              <w:t>Referencia original en el presupuesto de 2016/17:</w:t>
            </w:r>
          </w:p>
          <w:p w:rsidR="00E34342" w:rsidRPr="00B85616" w:rsidRDefault="00E34342" w:rsidP="00230FAA">
            <w:pPr>
              <w:rPr>
                <w:sz w:val="16"/>
                <w:szCs w:val="16"/>
              </w:rPr>
            </w:pPr>
            <w:r w:rsidRPr="00B85616">
              <w:rPr>
                <w:sz w:val="16"/>
                <w:szCs w:val="16"/>
              </w:rPr>
              <w:t>A determinar a fines de 2015</w:t>
            </w:r>
          </w:p>
        </w:tc>
        <w:tc>
          <w:tcPr>
            <w:tcW w:w="739" w:type="pct"/>
            <w:shd w:val="clear" w:color="auto" w:fill="auto"/>
            <w:tcMar>
              <w:top w:w="110" w:type="dxa"/>
              <w:left w:w="58" w:type="dxa"/>
              <w:right w:w="58" w:type="dxa"/>
            </w:tcMar>
          </w:tcPr>
          <w:p w:rsidR="00E34342" w:rsidRPr="00837579" w:rsidRDefault="00E34342" w:rsidP="00230FAA">
            <w:pPr>
              <w:rPr>
                <w:color w:val="002060"/>
                <w:sz w:val="16"/>
                <w:szCs w:val="16"/>
              </w:rPr>
            </w:pPr>
            <w:r w:rsidRPr="00837579">
              <w:rPr>
                <w:i/>
                <w:color w:val="002060"/>
                <w:sz w:val="16"/>
                <w:szCs w:val="16"/>
              </w:rPr>
              <w:t>Objetivo definido:</w:t>
            </w:r>
          </w:p>
          <w:p w:rsidR="00E34342" w:rsidRPr="00837579" w:rsidRDefault="00E34342" w:rsidP="00230FAA">
            <w:pPr>
              <w:rPr>
                <w:color w:val="002060"/>
                <w:sz w:val="16"/>
                <w:szCs w:val="16"/>
              </w:rPr>
            </w:pPr>
            <w:r w:rsidRPr="00837579">
              <w:rPr>
                <w:color w:val="002060"/>
                <w:sz w:val="16"/>
                <w:szCs w:val="16"/>
              </w:rPr>
              <w:t>10% de aumento</w:t>
            </w:r>
          </w:p>
          <w:p w:rsidR="00E34342" w:rsidRPr="00B85616" w:rsidRDefault="00E34342" w:rsidP="00230FAA">
            <w:pPr>
              <w:rPr>
                <w:sz w:val="16"/>
                <w:szCs w:val="16"/>
              </w:rPr>
            </w:pPr>
          </w:p>
          <w:p w:rsidR="00E34342" w:rsidRPr="00B85616" w:rsidRDefault="00E34342" w:rsidP="00230FAA">
            <w:pPr>
              <w:rPr>
                <w:sz w:val="16"/>
                <w:szCs w:val="16"/>
              </w:rPr>
            </w:pPr>
            <w:r w:rsidRPr="00B85616">
              <w:rPr>
                <w:i/>
                <w:sz w:val="16"/>
                <w:szCs w:val="16"/>
              </w:rPr>
              <w:t>Objetivo original:</w:t>
            </w:r>
            <w:r w:rsidRPr="00B85616">
              <w:rPr>
                <w:sz w:val="16"/>
                <w:szCs w:val="16"/>
              </w:rPr>
              <w:t xml:space="preserve">  Por determinar</w:t>
            </w:r>
          </w:p>
        </w:tc>
        <w:tc>
          <w:tcPr>
            <w:tcW w:w="1378" w:type="pct"/>
            <w:shd w:val="clear" w:color="auto" w:fill="FFFFFF"/>
            <w:tcMar>
              <w:top w:w="110" w:type="dxa"/>
              <w:left w:w="58" w:type="dxa"/>
              <w:right w:w="58" w:type="dxa"/>
            </w:tcMar>
          </w:tcPr>
          <w:p w:rsidR="00E34342" w:rsidRPr="00B85616" w:rsidRDefault="00E34342" w:rsidP="00230FAA">
            <w:pPr>
              <w:rPr>
                <w:sz w:val="16"/>
                <w:szCs w:val="16"/>
              </w:rPr>
            </w:pPr>
            <w:r w:rsidRPr="00B85616">
              <w:rPr>
                <w:sz w:val="16"/>
                <w:szCs w:val="16"/>
              </w:rPr>
              <w:t>La herramienta mejorada de análisis del sitio web se puso en funcionamiento en el curso de 2016, de manera que ese año no fue posible hacer un seguimiento de datos</w:t>
            </w:r>
          </w:p>
        </w:tc>
        <w:tc>
          <w:tcPr>
            <w:tcW w:w="513" w:type="pct"/>
            <w:shd w:val="clear" w:color="auto" w:fill="auto"/>
            <w:tcMar>
              <w:top w:w="110" w:type="dxa"/>
              <w:left w:w="58" w:type="dxa"/>
              <w:right w:w="58" w:type="dxa"/>
            </w:tcMar>
          </w:tcPr>
          <w:p w:rsidR="00E34342" w:rsidRPr="00B85616" w:rsidRDefault="00E34342" w:rsidP="00230FAA">
            <w:pPr>
              <w:keepNext/>
              <w:keepLines/>
              <w:jc w:val="center"/>
              <w:rPr>
                <w:b/>
                <w:sz w:val="16"/>
                <w:szCs w:val="16"/>
              </w:rPr>
            </w:pPr>
            <w:r w:rsidRPr="00B85616">
              <w:rPr>
                <w:b/>
                <w:color w:val="0070C0"/>
                <w:sz w:val="16"/>
                <w:szCs w:val="16"/>
              </w:rPr>
              <w:t>No disponible para 2016</w:t>
            </w:r>
          </w:p>
          <w:p w:rsidR="00E34342" w:rsidRPr="00B85616" w:rsidRDefault="00E34342" w:rsidP="00230FAA">
            <w:pPr>
              <w:keepNext/>
              <w:keepLines/>
              <w:jc w:val="center"/>
              <w:rPr>
                <w:b/>
                <w:sz w:val="16"/>
                <w:szCs w:val="16"/>
              </w:rPr>
            </w:pPr>
          </w:p>
        </w:tc>
      </w:tr>
      <w:tr w:rsidR="00E34342" w:rsidRPr="00B85616" w:rsidTr="00230FAA">
        <w:trPr>
          <w:trHeight w:val="3537"/>
        </w:trPr>
        <w:tc>
          <w:tcPr>
            <w:tcW w:w="1049" w:type="pct"/>
            <w:shd w:val="clear" w:color="auto" w:fill="auto"/>
            <w:tcMar>
              <w:left w:w="58" w:type="dxa"/>
              <w:right w:w="58" w:type="dxa"/>
            </w:tcMar>
          </w:tcPr>
          <w:p w:rsidR="00E34342" w:rsidRPr="00B85616" w:rsidRDefault="00E34342" w:rsidP="00230FAA">
            <w:pPr>
              <w:rPr>
                <w:sz w:val="16"/>
                <w:szCs w:val="16"/>
              </w:rPr>
            </w:pPr>
            <w:r w:rsidRPr="00B85616">
              <w:rPr>
                <w:sz w:val="16"/>
                <w:szCs w:val="16"/>
              </w:rPr>
              <w:t>N.º de descargas de los informes estadísticos anuales en el plazo de 6 meses desde su publicación</w:t>
            </w:r>
          </w:p>
        </w:tc>
        <w:tc>
          <w:tcPr>
            <w:tcW w:w="1321" w:type="pct"/>
            <w:shd w:val="clear" w:color="auto" w:fill="auto"/>
            <w:tcMar>
              <w:left w:w="58" w:type="dxa"/>
              <w:right w:w="58" w:type="dxa"/>
            </w:tcMar>
          </w:tcPr>
          <w:p w:rsidR="00E34342" w:rsidRPr="00837579" w:rsidRDefault="00E34342" w:rsidP="00230FAA">
            <w:pPr>
              <w:rPr>
                <w:i/>
                <w:color w:val="002060"/>
                <w:sz w:val="16"/>
                <w:szCs w:val="16"/>
              </w:rPr>
            </w:pPr>
            <w:r w:rsidRPr="00837579">
              <w:rPr>
                <w:i/>
                <w:color w:val="002060"/>
                <w:sz w:val="16"/>
                <w:szCs w:val="16"/>
              </w:rPr>
              <w:t>Referencia actualizada a fines de 2015:</w:t>
            </w:r>
            <w:r w:rsidRPr="00837579">
              <w:rPr>
                <w:rStyle w:val="FootnoteReference"/>
                <w:i/>
                <w:color w:val="002060"/>
              </w:rPr>
              <w:footnoteReference w:id="66"/>
            </w:r>
            <w:r w:rsidRPr="00837579">
              <w:rPr>
                <w:i/>
                <w:color w:val="002060"/>
                <w:sz w:val="16"/>
                <w:szCs w:val="16"/>
              </w:rPr>
              <w:t xml:space="preserve">  </w:t>
            </w:r>
          </w:p>
          <w:p w:rsidR="00E34342" w:rsidRPr="00837579" w:rsidRDefault="00E34342" w:rsidP="00230FAA">
            <w:pPr>
              <w:rPr>
                <w:color w:val="002060"/>
                <w:sz w:val="16"/>
                <w:szCs w:val="16"/>
              </w:rPr>
            </w:pPr>
            <w:r w:rsidRPr="00837579">
              <w:rPr>
                <w:color w:val="002060"/>
                <w:sz w:val="16"/>
                <w:szCs w:val="16"/>
              </w:rPr>
              <w:t>Indicadores de P.I.:  26,710</w:t>
            </w:r>
          </w:p>
          <w:p w:rsidR="00E34342" w:rsidRPr="00837579" w:rsidRDefault="00E34342" w:rsidP="00230FAA">
            <w:pPr>
              <w:rPr>
                <w:color w:val="002060"/>
                <w:sz w:val="16"/>
                <w:szCs w:val="16"/>
              </w:rPr>
            </w:pPr>
            <w:r w:rsidRPr="00837579">
              <w:rPr>
                <w:color w:val="002060"/>
                <w:sz w:val="16"/>
                <w:szCs w:val="16"/>
              </w:rPr>
              <w:t>Reseña anual del PCT:  11.949</w:t>
            </w:r>
          </w:p>
          <w:p w:rsidR="00E34342" w:rsidRPr="00837579" w:rsidRDefault="00E34342" w:rsidP="00230FAA">
            <w:pPr>
              <w:rPr>
                <w:color w:val="002060"/>
                <w:sz w:val="16"/>
                <w:szCs w:val="16"/>
              </w:rPr>
            </w:pPr>
            <w:r w:rsidRPr="00837579">
              <w:rPr>
                <w:color w:val="002060"/>
                <w:sz w:val="16"/>
                <w:szCs w:val="16"/>
              </w:rPr>
              <w:t>Reseña anual de Madrid:  4.733</w:t>
            </w:r>
          </w:p>
          <w:p w:rsidR="00E34342" w:rsidRPr="00837579" w:rsidRDefault="00E34342" w:rsidP="00230FAA">
            <w:pPr>
              <w:rPr>
                <w:color w:val="002060"/>
                <w:sz w:val="16"/>
                <w:szCs w:val="16"/>
              </w:rPr>
            </w:pPr>
            <w:r w:rsidRPr="00837579">
              <w:rPr>
                <w:color w:val="002060"/>
                <w:sz w:val="16"/>
                <w:szCs w:val="16"/>
              </w:rPr>
              <w:t>Reseña anual de La Haya:  3.662</w:t>
            </w:r>
          </w:p>
          <w:p w:rsidR="00E34342" w:rsidRPr="00B85616" w:rsidRDefault="00E34342" w:rsidP="00230FAA">
            <w:pPr>
              <w:rPr>
                <w:sz w:val="16"/>
                <w:szCs w:val="16"/>
              </w:rPr>
            </w:pPr>
          </w:p>
          <w:p w:rsidR="00E34342" w:rsidRPr="00B85616" w:rsidRDefault="00E34342" w:rsidP="00230FAA">
            <w:pPr>
              <w:rPr>
                <w:i/>
                <w:sz w:val="16"/>
                <w:szCs w:val="16"/>
                <w:lang w:bidi="th-TH"/>
              </w:rPr>
            </w:pPr>
            <w:r w:rsidRPr="00B85616">
              <w:rPr>
                <w:i/>
                <w:sz w:val="16"/>
                <w:szCs w:val="16"/>
                <w:lang w:bidi="th-TH"/>
              </w:rPr>
              <w:t xml:space="preserve">Referencia original en el presupuesto de 2016/17:  </w:t>
            </w:r>
          </w:p>
          <w:p w:rsidR="00E34342" w:rsidRPr="00B85616" w:rsidRDefault="00E34342" w:rsidP="00230FAA">
            <w:pPr>
              <w:rPr>
                <w:sz w:val="16"/>
                <w:szCs w:val="16"/>
              </w:rPr>
            </w:pPr>
            <w:r w:rsidRPr="00B85616">
              <w:rPr>
                <w:sz w:val="16"/>
                <w:szCs w:val="16"/>
              </w:rPr>
              <w:t>Por determinar</w:t>
            </w:r>
            <w:r w:rsidRPr="00B85616">
              <w:rPr>
                <w:rStyle w:val="FootnoteReference"/>
              </w:rPr>
              <w:footnoteReference w:id="67"/>
            </w:r>
          </w:p>
        </w:tc>
        <w:tc>
          <w:tcPr>
            <w:tcW w:w="739" w:type="pct"/>
            <w:shd w:val="clear" w:color="auto" w:fill="auto"/>
            <w:tcMar>
              <w:top w:w="110" w:type="dxa"/>
              <w:left w:w="58" w:type="dxa"/>
              <w:right w:w="58" w:type="dxa"/>
            </w:tcMar>
          </w:tcPr>
          <w:p w:rsidR="00E34342" w:rsidRPr="00837579" w:rsidRDefault="00E34342" w:rsidP="00230FAA">
            <w:pPr>
              <w:rPr>
                <w:color w:val="002060"/>
                <w:sz w:val="16"/>
                <w:szCs w:val="16"/>
              </w:rPr>
            </w:pPr>
            <w:r w:rsidRPr="00837579">
              <w:rPr>
                <w:i/>
                <w:color w:val="002060"/>
                <w:sz w:val="16"/>
                <w:szCs w:val="16"/>
              </w:rPr>
              <w:t>Objetivo definido:</w:t>
            </w:r>
          </w:p>
          <w:p w:rsidR="00E34342" w:rsidRPr="00837579" w:rsidRDefault="00E34342" w:rsidP="00230FAA">
            <w:pPr>
              <w:rPr>
                <w:color w:val="002060"/>
                <w:sz w:val="16"/>
                <w:szCs w:val="16"/>
              </w:rPr>
            </w:pPr>
            <w:r w:rsidRPr="00837579">
              <w:rPr>
                <w:color w:val="002060"/>
                <w:sz w:val="16"/>
                <w:szCs w:val="16"/>
              </w:rPr>
              <w:t>10% de aumento</w:t>
            </w:r>
          </w:p>
          <w:p w:rsidR="00E34342" w:rsidRPr="00837579" w:rsidRDefault="00E34342" w:rsidP="00230FAA">
            <w:pPr>
              <w:rPr>
                <w:color w:val="002060"/>
                <w:sz w:val="16"/>
                <w:szCs w:val="16"/>
              </w:rPr>
            </w:pPr>
          </w:p>
          <w:p w:rsidR="00E34342" w:rsidRPr="00837579" w:rsidRDefault="00E34342" w:rsidP="00230FAA">
            <w:pPr>
              <w:rPr>
                <w:color w:val="002060"/>
                <w:sz w:val="16"/>
                <w:szCs w:val="16"/>
              </w:rPr>
            </w:pPr>
            <w:r w:rsidRPr="00837579">
              <w:rPr>
                <w:color w:val="002060"/>
                <w:sz w:val="16"/>
                <w:szCs w:val="16"/>
              </w:rPr>
              <w:t xml:space="preserve">Reseña anual del PCT:  5% de aumento </w:t>
            </w:r>
            <w:r w:rsidRPr="00837579">
              <w:rPr>
                <w:rStyle w:val="FootnoteReference"/>
                <w:color w:val="002060"/>
              </w:rPr>
              <w:footnoteReference w:id="68"/>
            </w:r>
          </w:p>
          <w:p w:rsidR="00E34342" w:rsidRPr="00837579" w:rsidRDefault="00E34342" w:rsidP="00230FAA">
            <w:pPr>
              <w:rPr>
                <w:color w:val="002060"/>
                <w:sz w:val="16"/>
                <w:szCs w:val="16"/>
              </w:rPr>
            </w:pPr>
          </w:p>
          <w:p w:rsidR="00E34342" w:rsidRPr="00837579" w:rsidRDefault="00E34342" w:rsidP="00230FAA">
            <w:pPr>
              <w:rPr>
                <w:color w:val="002060"/>
                <w:sz w:val="16"/>
                <w:szCs w:val="16"/>
              </w:rPr>
            </w:pPr>
            <w:r w:rsidRPr="00837579">
              <w:rPr>
                <w:color w:val="002060"/>
                <w:sz w:val="16"/>
                <w:szCs w:val="16"/>
              </w:rPr>
              <w:t>Reseña anual de Madrid:  5% de aumento</w:t>
            </w:r>
          </w:p>
          <w:p w:rsidR="00E34342" w:rsidRPr="00837579" w:rsidRDefault="00E34342" w:rsidP="00230FAA">
            <w:pPr>
              <w:rPr>
                <w:color w:val="002060"/>
                <w:sz w:val="16"/>
                <w:szCs w:val="16"/>
              </w:rPr>
            </w:pPr>
          </w:p>
          <w:p w:rsidR="00E34342" w:rsidRPr="00837579" w:rsidRDefault="00E34342" w:rsidP="00230FAA">
            <w:pPr>
              <w:rPr>
                <w:color w:val="002060"/>
                <w:sz w:val="16"/>
                <w:szCs w:val="16"/>
              </w:rPr>
            </w:pPr>
            <w:r w:rsidRPr="00837579">
              <w:rPr>
                <w:color w:val="002060"/>
                <w:sz w:val="16"/>
                <w:szCs w:val="16"/>
              </w:rPr>
              <w:t>Reseña anual de La Haya:  5% de aumento</w:t>
            </w:r>
          </w:p>
          <w:p w:rsidR="00E34342" w:rsidRPr="00B85616" w:rsidRDefault="00E34342" w:rsidP="00230FAA">
            <w:pPr>
              <w:rPr>
                <w:sz w:val="16"/>
                <w:szCs w:val="16"/>
              </w:rPr>
            </w:pPr>
          </w:p>
          <w:p w:rsidR="00E34342" w:rsidRPr="00B85616" w:rsidRDefault="00E34342" w:rsidP="00230FAA">
            <w:pPr>
              <w:rPr>
                <w:sz w:val="16"/>
                <w:szCs w:val="16"/>
              </w:rPr>
            </w:pPr>
            <w:r w:rsidRPr="00B85616">
              <w:rPr>
                <w:i/>
                <w:sz w:val="16"/>
                <w:szCs w:val="16"/>
              </w:rPr>
              <w:t>Objetivo original:</w:t>
            </w:r>
          </w:p>
          <w:p w:rsidR="00E34342" w:rsidRPr="00B85616" w:rsidRDefault="00E34342" w:rsidP="00230FAA">
            <w:pPr>
              <w:rPr>
                <w:sz w:val="16"/>
                <w:szCs w:val="16"/>
              </w:rPr>
            </w:pPr>
            <w:r w:rsidRPr="00B85616">
              <w:rPr>
                <w:sz w:val="16"/>
                <w:szCs w:val="16"/>
              </w:rPr>
              <w:t>Por determinar</w:t>
            </w:r>
          </w:p>
        </w:tc>
        <w:tc>
          <w:tcPr>
            <w:tcW w:w="1378" w:type="pct"/>
            <w:shd w:val="clear" w:color="auto" w:fill="FFFFFF"/>
            <w:tcMar>
              <w:top w:w="110" w:type="dxa"/>
              <w:left w:w="58" w:type="dxa"/>
              <w:right w:w="58" w:type="dxa"/>
            </w:tcMar>
          </w:tcPr>
          <w:p w:rsidR="00E34342" w:rsidRPr="00B85616" w:rsidRDefault="00E34342" w:rsidP="00230FAA">
            <w:pPr>
              <w:keepNext/>
              <w:keepLines/>
              <w:rPr>
                <w:sz w:val="16"/>
                <w:szCs w:val="16"/>
              </w:rPr>
            </w:pPr>
            <w:r w:rsidRPr="00B85616">
              <w:rPr>
                <w:sz w:val="16"/>
                <w:szCs w:val="16"/>
              </w:rPr>
              <w:t>La herramienta mejorada de análisis del sitio web se puso en marcha en el curso de 2016, de manera que ese año no fue posible hacer un seguimiento de datos</w:t>
            </w: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p w:rsidR="00E34342" w:rsidRPr="00B85616" w:rsidRDefault="00E34342" w:rsidP="00230FAA">
            <w:pPr>
              <w:keepNext/>
              <w:keepLines/>
              <w:rPr>
                <w:sz w:val="16"/>
                <w:szCs w:val="16"/>
              </w:rPr>
            </w:pPr>
          </w:p>
        </w:tc>
        <w:tc>
          <w:tcPr>
            <w:tcW w:w="513" w:type="pct"/>
            <w:shd w:val="clear" w:color="auto" w:fill="auto"/>
            <w:tcMar>
              <w:top w:w="110" w:type="dxa"/>
              <w:left w:w="58" w:type="dxa"/>
              <w:right w:w="58" w:type="dxa"/>
            </w:tcMar>
          </w:tcPr>
          <w:p w:rsidR="00E34342" w:rsidRPr="00B85616" w:rsidRDefault="00E34342" w:rsidP="00230FAA">
            <w:pPr>
              <w:keepNext/>
              <w:keepLines/>
              <w:jc w:val="center"/>
              <w:rPr>
                <w:b/>
                <w:sz w:val="16"/>
                <w:szCs w:val="16"/>
              </w:rPr>
            </w:pPr>
            <w:r w:rsidRPr="00B85616">
              <w:rPr>
                <w:b/>
                <w:color w:val="0070C0"/>
                <w:sz w:val="16"/>
                <w:szCs w:val="16"/>
              </w:rPr>
              <w:t>No disponible para 2016</w:t>
            </w:r>
          </w:p>
          <w:p w:rsidR="00E34342" w:rsidRPr="00B85616" w:rsidRDefault="00E34342" w:rsidP="00230FAA">
            <w:pPr>
              <w:keepNext/>
              <w:keepLines/>
              <w:jc w:val="center"/>
              <w:rPr>
                <w:b/>
                <w:sz w:val="16"/>
                <w:szCs w:val="16"/>
              </w:rPr>
            </w:pPr>
          </w:p>
          <w:p w:rsidR="00E34342" w:rsidRPr="00B85616" w:rsidRDefault="00E34342" w:rsidP="00230FAA">
            <w:pPr>
              <w:keepNext/>
              <w:keepLines/>
              <w:jc w:val="center"/>
              <w:rPr>
                <w:b/>
                <w:sz w:val="16"/>
                <w:szCs w:val="16"/>
              </w:rPr>
            </w:pPr>
          </w:p>
          <w:p w:rsidR="00E34342" w:rsidRPr="00B85616" w:rsidRDefault="00E34342" w:rsidP="00230FAA">
            <w:pPr>
              <w:keepNext/>
              <w:keepLines/>
              <w:jc w:val="center"/>
              <w:rPr>
                <w:b/>
                <w:sz w:val="16"/>
                <w:szCs w:val="16"/>
              </w:rPr>
            </w:pPr>
          </w:p>
          <w:p w:rsidR="00E34342" w:rsidRPr="00B85616" w:rsidRDefault="00E34342" w:rsidP="00230FAA">
            <w:pPr>
              <w:keepNext/>
              <w:keepLines/>
              <w:jc w:val="center"/>
              <w:rPr>
                <w:sz w:val="16"/>
                <w:szCs w:val="16"/>
              </w:rPr>
            </w:pPr>
          </w:p>
        </w:tc>
      </w:tr>
      <w:tr w:rsidR="00E34342" w:rsidRPr="00B85616" w:rsidTr="00230FAA">
        <w:trPr>
          <w:trHeight w:val="165"/>
        </w:trPr>
        <w:tc>
          <w:tcPr>
            <w:tcW w:w="1049" w:type="pct"/>
            <w:shd w:val="clear" w:color="auto" w:fill="auto"/>
            <w:tcMar>
              <w:left w:w="58" w:type="dxa"/>
              <w:right w:w="58" w:type="dxa"/>
            </w:tcMar>
          </w:tcPr>
          <w:p w:rsidR="00E34342" w:rsidRPr="00B85616" w:rsidRDefault="00E34342" w:rsidP="00230FAA">
            <w:pPr>
              <w:keepNext/>
              <w:keepLines/>
              <w:rPr>
                <w:sz w:val="16"/>
                <w:szCs w:val="16"/>
              </w:rPr>
            </w:pPr>
            <w:r w:rsidRPr="00B85616">
              <w:rPr>
                <w:sz w:val="16"/>
                <w:szCs w:val="16"/>
              </w:rPr>
              <w:lastRenderedPageBreak/>
              <w:t>La diferencia entre las previsiones de enero y el número real de solicitudes PCT, Madrid y La Haya presentadas se mantiene dentro de los límites</w:t>
            </w:r>
          </w:p>
        </w:tc>
        <w:tc>
          <w:tcPr>
            <w:tcW w:w="1321" w:type="pct"/>
            <w:shd w:val="clear" w:color="auto" w:fill="auto"/>
            <w:tcMar>
              <w:left w:w="58" w:type="dxa"/>
              <w:right w:w="58" w:type="dxa"/>
            </w:tcMar>
          </w:tcPr>
          <w:p w:rsidR="00E34342" w:rsidRPr="00837579" w:rsidRDefault="00E34342" w:rsidP="00230FAA">
            <w:pPr>
              <w:keepNext/>
              <w:keepLines/>
              <w:rPr>
                <w:i/>
                <w:color w:val="002060"/>
                <w:sz w:val="16"/>
                <w:szCs w:val="16"/>
              </w:rPr>
            </w:pPr>
            <w:r w:rsidRPr="00837579">
              <w:rPr>
                <w:i/>
                <w:color w:val="002060"/>
                <w:sz w:val="16"/>
                <w:szCs w:val="16"/>
              </w:rPr>
              <w:t xml:space="preserve">Referencia actualizada a fines de 2015:  </w:t>
            </w:r>
          </w:p>
          <w:p w:rsidR="00E34342" w:rsidRPr="00837579" w:rsidRDefault="00E34342" w:rsidP="00230FAA">
            <w:pPr>
              <w:keepNext/>
              <w:keepLines/>
              <w:rPr>
                <w:color w:val="002060"/>
                <w:sz w:val="16"/>
                <w:szCs w:val="16"/>
              </w:rPr>
            </w:pPr>
            <w:r w:rsidRPr="00837579">
              <w:rPr>
                <w:color w:val="002060"/>
                <w:sz w:val="16"/>
                <w:szCs w:val="16"/>
              </w:rPr>
              <w:t xml:space="preserve">Previsiones de enero de 2015 sobre la presentación de solicitudes y número real de solicitudes presentadas en 2015:  </w:t>
            </w:r>
          </w:p>
          <w:p w:rsidR="00E34342" w:rsidRPr="00837579" w:rsidRDefault="00E34342" w:rsidP="00230FAA">
            <w:pPr>
              <w:keepNext/>
              <w:keepLines/>
              <w:rPr>
                <w:color w:val="002060"/>
                <w:sz w:val="16"/>
                <w:szCs w:val="16"/>
              </w:rPr>
            </w:pPr>
            <w:r w:rsidRPr="00837579">
              <w:rPr>
                <w:color w:val="002060"/>
                <w:sz w:val="16"/>
                <w:szCs w:val="16"/>
              </w:rPr>
              <w:t xml:space="preserve">- PCT 216.100;  real 217.230 </w:t>
            </w:r>
          </w:p>
          <w:p w:rsidR="00E34342" w:rsidRPr="00837579" w:rsidRDefault="00E34342" w:rsidP="00230FAA">
            <w:pPr>
              <w:keepNext/>
              <w:keepLines/>
              <w:rPr>
                <w:color w:val="002060"/>
                <w:sz w:val="16"/>
                <w:szCs w:val="16"/>
              </w:rPr>
            </w:pPr>
            <w:r w:rsidRPr="00837579">
              <w:rPr>
                <w:color w:val="002060"/>
                <w:sz w:val="16"/>
                <w:szCs w:val="16"/>
              </w:rPr>
              <w:t>- Madrid 51.090;  real 49.273</w:t>
            </w:r>
          </w:p>
          <w:p w:rsidR="00E34342" w:rsidRPr="00837579" w:rsidRDefault="00E34342" w:rsidP="00230FAA">
            <w:pPr>
              <w:keepNext/>
              <w:keepLines/>
              <w:rPr>
                <w:color w:val="002060"/>
                <w:sz w:val="16"/>
                <w:szCs w:val="16"/>
              </w:rPr>
            </w:pPr>
            <w:r w:rsidRPr="00837579">
              <w:rPr>
                <w:color w:val="002060"/>
                <w:sz w:val="16"/>
                <w:szCs w:val="16"/>
              </w:rPr>
              <w:t>- La Haya 3.940;  real 4.111</w:t>
            </w:r>
          </w:p>
          <w:p w:rsidR="00E34342" w:rsidRPr="00B85616" w:rsidRDefault="00E34342" w:rsidP="00230FAA">
            <w:pPr>
              <w:keepNext/>
              <w:keepLines/>
              <w:rPr>
                <w:sz w:val="16"/>
                <w:szCs w:val="16"/>
              </w:rPr>
            </w:pPr>
          </w:p>
          <w:p w:rsidR="00E34342" w:rsidRPr="00B85616" w:rsidRDefault="00E34342" w:rsidP="00230FAA">
            <w:pPr>
              <w:keepNext/>
              <w:keepLines/>
              <w:rPr>
                <w:i/>
                <w:sz w:val="16"/>
                <w:szCs w:val="16"/>
                <w:lang w:bidi="th-TH"/>
              </w:rPr>
            </w:pPr>
            <w:r w:rsidRPr="00B85616">
              <w:rPr>
                <w:i/>
                <w:sz w:val="16"/>
                <w:szCs w:val="16"/>
                <w:lang w:bidi="th-TH"/>
              </w:rPr>
              <w:t xml:space="preserve">Referencia original en el presupuesto de 2016/17:  </w:t>
            </w:r>
          </w:p>
          <w:p w:rsidR="00E34342" w:rsidRPr="00B85616" w:rsidRDefault="00E34342" w:rsidP="00230FAA">
            <w:pPr>
              <w:keepNext/>
              <w:keepLines/>
              <w:spacing w:after="240"/>
              <w:rPr>
                <w:sz w:val="16"/>
                <w:szCs w:val="16"/>
              </w:rPr>
            </w:pPr>
            <w:r w:rsidRPr="00B85616">
              <w:rPr>
                <w:sz w:val="16"/>
                <w:szCs w:val="16"/>
              </w:rPr>
              <w:t>A determinar a comienzos de 2016</w:t>
            </w:r>
          </w:p>
        </w:tc>
        <w:tc>
          <w:tcPr>
            <w:tcW w:w="739" w:type="pct"/>
            <w:shd w:val="clear" w:color="auto" w:fill="auto"/>
            <w:tcMar>
              <w:top w:w="110" w:type="dxa"/>
              <w:left w:w="58" w:type="dxa"/>
              <w:right w:w="58" w:type="dxa"/>
            </w:tcMar>
          </w:tcPr>
          <w:p w:rsidR="00E34342" w:rsidRPr="00B85616" w:rsidRDefault="00E34342" w:rsidP="00230FAA">
            <w:pPr>
              <w:keepNext/>
              <w:keepLines/>
              <w:rPr>
                <w:sz w:val="16"/>
                <w:szCs w:val="16"/>
              </w:rPr>
            </w:pPr>
            <w:r w:rsidRPr="00B85616">
              <w:rPr>
                <w:sz w:val="16"/>
                <w:szCs w:val="16"/>
              </w:rPr>
              <w:t>Previsiones en un 80% de intervalo de confianza</w:t>
            </w:r>
          </w:p>
        </w:tc>
        <w:tc>
          <w:tcPr>
            <w:tcW w:w="1378" w:type="pct"/>
            <w:shd w:val="clear" w:color="auto" w:fill="FFFFFF"/>
            <w:tcMar>
              <w:top w:w="110" w:type="dxa"/>
              <w:left w:w="58" w:type="dxa"/>
              <w:right w:w="58" w:type="dxa"/>
            </w:tcMar>
          </w:tcPr>
          <w:p w:rsidR="00E34342" w:rsidRPr="00B85616" w:rsidRDefault="00E34342" w:rsidP="00230FAA">
            <w:pPr>
              <w:keepNext/>
              <w:keepLines/>
              <w:rPr>
                <w:sz w:val="16"/>
                <w:szCs w:val="16"/>
              </w:rPr>
            </w:pPr>
            <w:r w:rsidRPr="00B85616">
              <w:rPr>
                <w:sz w:val="16"/>
                <w:szCs w:val="16"/>
              </w:rPr>
              <w:t>Previsiones y números reales:</w:t>
            </w:r>
          </w:p>
          <w:p w:rsidR="00E34342" w:rsidRPr="00B85616" w:rsidRDefault="00E34342" w:rsidP="0033692C">
            <w:pPr>
              <w:keepNext/>
              <w:keepLines/>
              <w:ind w:left="115" w:hanging="115"/>
              <w:rPr>
                <w:sz w:val="16"/>
                <w:szCs w:val="16"/>
              </w:rPr>
            </w:pPr>
            <w:r w:rsidRPr="00B85616">
              <w:rPr>
                <w:sz w:val="16"/>
                <w:szCs w:val="16"/>
              </w:rPr>
              <w:t xml:space="preserve">- </w:t>
            </w:r>
            <w:r w:rsidR="0033692C">
              <w:rPr>
                <w:sz w:val="16"/>
                <w:szCs w:val="16"/>
              </w:rPr>
              <w:t>P</w:t>
            </w:r>
            <w:r w:rsidRPr="00B85616">
              <w:rPr>
                <w:sz w:val="16"/>
                <w:szCs w:val="16"/>
              </w:rPr>
              <w:t>CT 225.400;  real 233.000</w:t>
            </w:r>
            <w:r w:rsidR="0033692C">
              <w:rPr>
                <w:sz w:val="16"/>
                <w:szCs w:val="16"/>
              </w:rPr>
              <w:t xml:space="preserve"> (103%)</w:t>
            </w:r>
          </w:p>
          <w:p w:rsidR="00E34342" w:rsidRPr="00B85616" w:rsidRDefault="00E34342" w:rsidP="0033692C">
            <w:pPr>
              <w:keepNext/>
              <w:keepLines/>
              <w:ind w:left="115" w:hanging="115"/>
              <w:rPr>
                <w:sz w:val="16"/>
                <w:szCs w:val="16"/>
              </w:rPr>
            </w:pPr>
            <w:r w:rsidRPr="00B85616">
              <w:rPr>
                <w:sz w:val="16"/>
                <w:szCs w:val="16"/>
              </w:rPr>
              <w:t>- Madrid 52.030 real 52.900</w:t>
            </w:r>
            <w:r w:rsidR="0033692C">
              <w:rPr>
                <w:sz w:val="16"/>
                <w:szCs w:val="16"/>
              </w:rPr>
              <w:t xml:space="preserve"> (102%)</w:t>
            </w:r>
          </w:p>
          <w:p w:rsidR="00E34342" w:rsidRPr="00B85616" w:rsidRDefault="00E34342" w:rsidP="0033692C">
            <w:pPr>
              <w:keepNext/>
              <w:keepLines/>
              <w:ind w:left="115" w:hanging="115"/>
              <w:rPr>
                <w:sz w:val="16"/>
                <w:szCs w:val="16"/>
              </w:rPr>
            </w:pPr>
            <w:r w:rsidRPr="00B85616">
              <w:rPr>
                <w:sz w:val="16"/>
                <w:szCs w:val="16"/>
              </w:rPr>
              <w:t>- La Haya 5.560;  real 5.562</w:t>
            </w:r>
            <w:r w:rsidR="0033692C">
              <w:rPr>
                <w:sz w:val="16"/>
                <w:szCs w:val="16"/>
              </w:rPr>
              <w:t xml:space="preserve"> (100%)</w:t>
            </w:r>
          </w:p>
          <w:p w:rsidR="00E34342" w:rsidRPr="00B85616" w:rsidRDefault="00E34342" w:rsidP="00230FAA">
            <w:pPr>
              <w:keepNext/>
              <w:keepLines/>
              <w:rPr>
                <w:sz w:val="16"/>
                <w:szCs w:val="16"/>
              </w:rPr>
            </w:pPr>
          </w:p>
        </w:tc>
        <w:tc>
          <w:tcPr>
            <w:tcW w:w="513" w:type="pct"/>
            <w:shd w:val="clear" w:color="auto" w:fill="auto"/>
            <w:tcMar>
              <w:top w:w="110" w:type="dxa"/>
              <w:left w:w="58" w:type="dxa"/>
              <w:right w:w="58" w:type="dxa"/>
            </w:tcMar>
          </w:tcPr>
          <w:p w:rsidR="00E34342" w:rsidRPr="00B85616" w:rsidRDefault="00E34342" w:rsidP="00230FAA">
            <w:pPr>
              <w:keepNext/>
              <w:keepLines/>
              <w:jc w:val="center"/>
              <w:rPr>
                <w:b/>
                <w:sz w:val="16"/>
                <w:szCs w:val="16"/>
              </w:rPr>
            </w:pPr>
            <w:r w:rsidRPr="00B85616">
              <w:rPr>
                <w:b/>
                <w:color w:val="00B050"/>
                <w:sz w:val="16"/>
                <w:szCs w:val="16"/>
              </w:rPr>
              <w:t>Avanza</w:t>
            </w:r>
          </w:p>
        </w:tc>
      </w:tr>
      <w:tr w:rsidR="00E34342" w:rsidRPr="00B85616" w:rsidTr="00230FAA">
        <w:trPr>
          <w:trHeight w:val="565"/>
        </w:trPr>
        <w:tc>
          <w:tcPr>
            <w:tcW w:w="5000" w:type="pct"/>
            <w:gridSpan w:val="5"/>
            <w:shd w:val="clear" w:color="auto" w:fill="C6D9F1" w:themeFill="text2" w:themeFillTint="33"/>
            <w:tcMar>
              <w:left w:w="58" w:type="dxa"/>
              <w:right w:w="58" w:type="dxa"/>
            </w:tcMar>
            <w:vAlign w:val="center"/>
          </w:tcPr>
          <w:p w:rsidR="00E34342" w:rsidRPr="00B85616" w:rsidRDefault="00E34342" w:rsidP="00230FAA">
            <w:pPr>
              <w:keepNext/>
              <w:keepLines/>
              <w:tabs>
                <w:tab w:val="left" w:pos="1452"/>
              </w:tabs>
              <w:ind w:left="1701" w:hanging="1701"/>
              <w:rPr>
                <w:bCs/>
                <w:sz w:val="16"/>
                <w:szCs w:val="16"/>
              </w:rPr>
            </w:pPr>
            <w:r w:rsidRPr="00B85616">
              <w:rPr>
                <w:b/>
                <w:bCs/>
                <w:sz w:val="16"/>
                <w:szCs w:val="16"/>
              </w:rPr>
              <w:t>Resultado previsto:</w:t>
            </w:r>
            <w:r w:rsidRPr="00B85616">
              <w:rPr>
                <w:b/>
                <w:bCs/>
                <w:sz w:val="16"/>
                <w:szCs w:val="16"/>
              </w:rPr>
              <w:tab/>
            </w:r>
            <w:r w:rsidRPr="00B85616">
              <w:rPr>
                <w:bCs/>
                <w:sz w:val="16"/>
                <w:szCs w:val="16"/>
              </w:rPr>
              <w:t>V.2  Uso más amplio y mejor de los análisis económicos de la OMPI en la formulación de políticas</w:t>
            </w:r>
          </w:p>
        </w:tc>
      </w:tr>
      <w:tr w:rsidR="00E34342" w:rsidRPr="00B85616" w:rsidTr="00230FAA">
        <w:tc>
          <w:tcPr>
            <w:tcW w:w="1049" w:type="pct"/>
            <w:shd w:val="clear" w:color="auto" w:fill="auto"/>
            <w:tcMar>
              <w:left w:w="58" w:type="dxa"/>
              <w:right w:w="58" w:type="dxa"/>
            </w:tcMar>
            <w:vAlign w:val="center"/>
          </w:tcPr>
          <w:p w:rsidR="00E34342" w:rsidRPr="00B85616" w:rsidRDefault="00E34342" w:rsidP="00230FAA">
            <w:pPr>
              <w:rPr>
                <w:b/>
                <w:bCs/>
                <w:sz w:val="16"/>
                <w:szCs w:val="16"/>
              </w:rPr>
            </w:pPr>
            <w:r w:rsidRPr="00B85616">
              <w:rPr>
                <w:b/>
                <w:bCs/>
                <w:sz w:val="16"/>
                <w:szCs w:val="16"/>
              </w:rPr>
              <w:t>Indicadores de rendimiento</w:t>
            </w:r>
          </w:p>
        </w:tc>
        <w:tc>
          <w:tcPr>
            <w:tcW w:w="1321" w:type="pct"/>
            <w:shd w:val="clear" w:color="auto" w:fill="auto"/>
            <w:tcMar>
              <w:left w:w="58" w:type="dxa"/>
              <w:right w:w="58" w:type="dxa"/>
            </w:tcMar>
            <w:vAlign w:val="center"/>
          </w:tcPr>
          <w:p w:rsidR="00E34342" w:rsidRPr="00B85616" w:rsidRDefault="00E34342" w:rsidP="00230FAA">
            <w:pPr>
              <w:rPr>
                <w:b/>
                <w:bCs/>
                <w:sz w:val="16"/>
                <w:szCs w:val="16"/>
              </w:rPr>
            </w:pPr>
            <w:r w:rsidRPr="00B85616">
              <w:rPr>
                <w:b/>
                <w:bCs/>
                <w:sz w:val="16"/>
                <w:szCs w:val="16"/>
              </w:rPr>
              <w:t>Referencias de base</w:t>
            </w:r>
          </w:p>
        </w:tc>
        <w:tc>
          <w:tcPr>
            <w:tcW w:w="739" w:type="pct"/>
            <w:shd w:val="clear" w:color="auto" w:fill="auto"/>
            <w:tcMar>
              <w:top w:w="110" w:type="dxa"/>
              <w:left w:w="58" w:type="dxa"/>
              <w:right w:w="58" w:type="dxa"/>
            </w:tcMar>
            <w:vAlign w:val="center"/>
          </w:tcPr>
          <w:p w:rsidR="00E34342" w:rsidRPr="00B85616" w:rsidRDefault="00E34342" w:rsidP="00230FAA">
            <w:pPr>
              <w:rPr>
                <w:b/>
                <w:bCs/>
                <w:sz w:val="16"/>
                <w:szCs w:val="16"/>
              </w:rPr>
            </w:pPr>
            <w:r w:rsidRPr="00B85616">
              <w:rPr>
                <w:b/>
                <w:bCs/>
                <w:sz w:val="16"/>
                <w:szCs w:val="16"/>
              </w:rPr>
              <w:t>Objetivos</w:t>
            </w:r>
          </w:p>
        </w:tc>
        <w:tc>
          <w:tcPr>
            <w:tcW w:w="1378" w:type="pct"/>
            <w:shd w:val="clear" w:color="auto" w:fill="FFFFFF"/>
            <w:tcMar>
              <w:top w:w="110" w:type="dxa"/>
              <w:left w:w="58" w:type="dxa"/>
              <w:right w:w="58" w:type="dxa"/>
            </w:tcMar>
            <w:vAlign w:val="center"/>
          </w:tcPr>
          <w:p w:rsidR="00E34342" w:rsidRPr="00B85616" w:rsidRDefault="00E34342" w:rsidP="00230FAA">
            <w:pPr>
              <w:rPr>
                <w:b/>
                <w:bCs/>
                <w:sz w:val="16"/>
                <w:szCs w:val="16"/>
              </w:rPr>
            </w:pPr>
            <w:r w:rsidRPr="00B85616">
              <w:rPr>
                <w:b/>
                <w:bCs/>
                <w:sz w:val="16"/>
                <w:szCs w:val="16"/>
              </w:rPr>
              <w:t>Datos sobre el rendimiento</w:t>
            </w:r>
          </w:p>
        </w:tc>
        <w:tc>
          <w:tcPr>
            <w:tcW w:w="513" w:type="pct"/>
            <w:shd w:val="clear" w:color="auto" w:fill="auto"/>
            <w:tcMar>
              <w:top w:w="110" w:type="dxa"/>
              <w:left w:w="58" w:type="dxa"/>
              <w:right w:w="58" w:type="dxa"/>
            </w:tcMar>
            <w:vAlign w:val="center"/>
          </w:tcPr>
          <w:p w:rsidR="00E34342" w:rsidRPr="00B85616" w:rsidRDefault="00E34342" w:rsidP="00230FAA">
            <w:pPr>
              <w:keepNext/>
              <w:keepLines/>
              <w:jc w:val="center"/>
              <w:rPr>
                <w:b/>
                <w:bCs/>
                <w:sz w:val="16"/>
                <w:szCs w:val="16"/>
              </w:rPr>
            </w:pPr>
            <w:r w:rsidRPr="00B85616">
              <w:rPr>
                <w:b/>
                <w:bCs/>
                <w:sz w:val="16"/>
                <w:szCs w:val="16"/>
              </w:rPr>
              <w:t>Clave de colores</w:t>
            </w:r>
          </w:p>
        </w:tc>
      </w:tr>
      <w:tr w:rsidR="00E34342" w:rsidRPr="00B85616" w:rsidTr="00230FAA">
        <w:trPr>
          <w:trHeight w:val="423"/>
        </w:trPr>
        <w:tc>
          <w:tcPr>
            <w:tcW w:w="1049" w:type="pct"/>
            <w:shd w:val="clear" w:color="auto" w:fill="auto"/>
            <w:tcMar>
              <w:left w:w="58" w:type="dxa"/>
              <w:right w:w="58" w:type="dxa"/>
            </w:tcMar>
          </w:tcPr>
          <w:p w:rsidR="00E34342" w:rsidRPr="00B85616" w:rsidRDefault="00E34342" w:rsidP="00230FAA">
            <w:pPr>
              <w:rPr>
                <w:sz w:val="16"/>
                <w:szCs w:val="16"/>
              </w:rPr>
            </w:pPr>
            <w:r w:rsidRPr="00B85616">
              <w:rPr>
                <w:sz w:val="16"/>
                <w:szCs w:val="16"/>
              </w:rPr>
              <w:t>N.º de visitantes por año de los sitios web del Índice Mundial de Innovación</w:t>
            </w:r>
          </w:p>
        </w:tc>
        <w:tc>
          <w:tcPr>
            <w:tcW w:w="1321" w:type="pct"/>
            <w:shd w:val="clear" w:color="auto" w:fill="auto"/>
            <w:tcMar>
              <w:left w:w="58" w:type="dxa"/>
              <w:right w:w="58" w:type="dxa"/>
            </w:tcMar>
          </w:tcPr>
          <w:p w:rsidR="00E34342" w:rsidRPr="00837579" w:rsidRDefault="00E34342" w:rsidP="00230FAA">
            <w:pPr>
              <w:rPr>
                <w:i/>
                <w:color w:val="002060"/>
                <w:sz w:val="16"/>
                <w:szCs w:val="16"/>
              </w:rPr>
            </w:pPr>
            <w:r w:rsidRPr="00837579">
              <w:rPr>
                <w:i/>
                <w:color w:val="002060"/>
                <w:sz w:val="16"/>
                <w:szCs w:val="16"/>
              </w:rPr>
              <w:t xml:space="preserve">Referencia actualizada a fines de 2015:  </w:t>
            </w:r>
          </w:p>
          <w:p w:rsidR="00E34342" w:rsidRPr="00837579" w:rsidRDefault="00E34342" w:rsidP="00230FAA">
            <w:pPr>
              <w:rPr>
                <w:color w:val="002060"/>
                <w:sz w:val="16"/>
                <w:szCs w:val="16"/>
              </w:rPr>
            </w:pPr>
            <w:r w:rsidRPr="00837579">
              <w:rPr>
                <w:color w:val="002060"/>
                <w:sz w:val="16"/>
                <w:szCs w:val="16"/>
              </w:rPr>
              <w:t>Página web OMPI del Índice Mundial de Innovación (GII)</w:t>
            </w:r>
            <w:r w:rsidRPr="00837579">
              <w:rPr>
                <w:rStyle w:val="FootnoteReference"/>
                <w:color w:val="002060"/>
              </w:rPr>
              <w:footnoteReference w:id="69"/>
            </w:r>
            <w:r w:rsidRPr="00837579">
              <w:rPr>
                <w:color w:val="002060"/>
                <w:sz w:val="16"/>
                <w:szCs w:val="16"/>
              </w:rPr>
              <w:t>:</w:t>
            </w:r>
          </w:p>
          <w:p w:rsidR="00E34342" w:rsidRPr="00837579" w:rsidRDefault="00E34342" w:rsidP="00230FAA">
            <w:pPr>
              <w:rPr>
                <w:color w:val="002060"/>
                <w:sz w:val="16"/>
                <w:szCs w:val="16"/>
              </w:rPr>
            </w:pPr>
            <w:r w:rsidRPr="00837579">
              <w:rPr>
                <w:color w:val="002060"/>
                <w:sz w:val="16"/>
                <w:szCs w:val="16"/>
              </w:rPr>
              <w:t>29.556 (2015)</w:t>
            </w:r>
          </w:p>
          <w:p w:rsidR="00E34342" w:rsidRPr="00837579" w:rsidRDefault="00E34342" w:rsidP="00230FAA">
            <w:pPr>
              <w:rPr>
                <w:color w:val="002060"/>
                <w:sz w:val="16"/>
                <w:szCs w:val="16"/>
              </w:rPr>
            </w:pPr>
            <w:r w:rsidRPr="00837579">
              <w:rPr>
                <w:color w:val="002060"/>
                <w:sz w:val="16"/>
                <w:szCs w:val="16"/>
              </w:rPr>
              <w:t>48.190</w:t>
            </w:r>
            <w:r w:rsidRPr="00837579">
              <w:rPr>
                <w:rStyle w:val="FootnoteReference"/>
                <w:color w:val="002060"/>
              </w:rPr>
              <w:footnoteReference w:id="70"/>
            </w:r>
            <w:r w:rsidRPr="00837579">
              <w:rPr>
                <w:color w:val="002060"/>
                <w:sz w:val="16"/>
                <w:szCs w:val="16"/>
              </w:rPr>
              <w:t xml:space="preserve"> (2014/15)</w:t>
            </w:r>
          </w:p>
          <w:p w:rsidR="00E34342" w:rsidRPr="00837579" w:rsidRDefault="00E34342" w:rsidP="00230FAA">
            <w:pPr>
              <w:rPr>
                <w:color w:val="002060"/>
                <w:sz w:val="16"/>
                <w:szCs w:val="16"/>
              </w:rPr>
            </w:pPr>
          </w:p>
          <w:p w:rsidR="00E34342" w:rsidRPr="00837579" w:rsidRDefault="00E34342" w:rsidP="00230FAA">
            <w:pPr>
              <w:rPr>
                <w:color w:val="002060"/>
                <w:sz w:val="16"/>
                <w:szCs w:val="16"/>
              </w:rPr>
            </w:pPr>
            <w:r w:rsidRPr="00837579">
              <w:rPr>
                <w:color w:val="002060"/>
                <w:sz w:val="16"/>
                <w:szCs w:val="16"/>
              </w:rPr>
              <w:t>Página web específica del GII</w:t>
            </w:r>
            <w:r w:rsidRPr="00837579">
              <w:rPr>
                <w:rStyle w:val="FootnoteReference"/>
                <w:color w:val="002060"/>
              </w:rPr>
              <w:footnoteReference w:id="71"/>
            </w:r>
            <w:r w:rsidRPr="00837579">
              <w:rPr>
                <w:color w:val="002060"/>
                <w:sz w:val="16"/>
                <w:szCs w:val="16"/>
              </w:rPr>
              <w:t xml:space="preserve">:  </w:t>
            </w:r>
          </w:p>
          <w:p w:rsidR="00E34342" w:rsidRPr="00837579" w:rsidRDefault="00E34342" w:rsidP="00230FAA">
            <w:pPr>
              <w:rPr>
                <w:color w:val="002060"/>
                <w:sz w:val="16"/>
                <w:szCs w:val="16"/>
              </w:rPr>
            </w:pPr>
            <w:r w:rsidRPr="00837579">
              <w:rPr>
                <w:color w:val="002060"/>
                <w:sz w:val="16"/>
                <w:szCs w:val="16"/>
              </w:rPr>
              <w:t>170.417 (2015)</w:t>
            </w:r>
          </w:p>
          <w:p w:rsidR="00E34342" w:rsidRPr="00837579" w:rsidRDefault="00E34342" w:rsidP="00230FAA">
            <w:pPr>
              <w:rPr>
                <w:color w:val="002060"/>
                <w:sz w:val="16"/>
                <w:szCs w:val="16"/>
              </w:rPr>
            </w:pPr>
            <w:r w:rsidRPr="00837579">
              <w:rPr>
                <w:color w:val="002060"/>
                <w:sz w:val="16"/>
                <w:szCs w:val="16"/>
              </w:rPr>
              <w:t>317.690 (2014/15)</w:t>
            </w:r>
            <w:r w:rsidRPr="00837579">
              <w:rPr>
                <w:rStyle w:val="FootnoteReference"/>
                <w:color w:val="002060"/>
              </w:rPr>
              <w:footnoteReference w:id="72"/>
            </w:r>
          </w:p>
          <w:p w:rsidR="00E34342" w:rsidRPr="00B85616" w:rsidRDefault="00E34342" w:rsidP="00230FAA">
            <w:pPr>
              <w:rPr>
                <w:sz w:val="16"/>
                <w:szCs w:val="16"/>
              </w:rPr>
            </w:pPr>
          </w:p>
          <w:p w:rsidR="00E34342" w:rsidRPr="00B85616" w:rsidRDefault="00E34342" w:rsidP="00230FAA">
            <w:pPr>
              <w:rPr>
                <w:i/>
                <w:sz w:val="16"/>
                <w:szCs w:val="16"/>
                <w:lang w:bidi="th-TH"/>
              </w:rPr>
            </w:pPr>
            <w:r w:rsidRPr="00B85616">
              <w:rPr>
                <w:i/>
                <w:sz w:val="16"/>
                <w:szCs w:val="16"/>
                <w:lang w:bidi="th-TH"/>
              </w:rPr>
              <w:t xml:space="preserve">Referencia original en el presupuesto de 2016/17: </w:t>
            </w:r>
          </w:p>
          <w:p w:rsidR="00E34342" w:rsidRPr="00B85616" w:rsidRDefault="00E34342" w:rsidP="00230FAA">
            <w:pPr>
              <w:spacing w:after="240"/>
              <w:rPr>
                <w:sz w:val="16"/>
                <w:szCs w:val="16"/>
              </w:rPr>
            </w:pPr>
            <w:r w:rsidRPr="00B85616">
              <w:rPr>
                <w:sz w:val="16"/>
                <w:szCs w:val="16"/>
              </w:rPr>
              <w:t>A determinar a fines de 2015</w:t>
            </w:r>
          </w:p>
        </w:tc>
        <w:tc>
          <w:tcPr>
            <w:tcW w:w="739" w:type="pct"/>
            <w:shd w:val="clear" w:color="auto" w:fill="auto"/>
            <w:tcMar>
              <w:top w:w="110" w:type="dxa"/>
              <w:left w:w="58" w:type="dxa"/>
              <w:right w:w="58" w:type="dxa"/>
            </w:tcMar>
          </w:tcPr>
          <w:p w:rsidR="00E34342" w:rsidRPr="00837579" w:rsidRDefault="00E34342" w:rsidP="00230FAA">
            <w:pPr>
              <w:rPr>
                <w:i/>
                <w:color w:val="002060"/>
                <w:sz w:val="16"/>
                <w:szCs w:val="16"/>
              </w:rPr>
            </w:pPr>
            <w:r w:rsidRPr="00837579">
              <w:rPr>
                <w:i/>
                <w:color w:val="002060"/>
                <w:sz w:val="16"/>
                <w:szCs w:val="16"/>
              </w:rPr>
              <w:t xml:space="preserve">Objetivo definido: </w:t>
            </w:r>
          </w:p>
          <w:p w:rsidR="00E34342" w:rsidRPr="00837579" w:rsidRDefault="00E34342" w:rsidP="00230FAA">
            <w:pPr>
              <w:rPr>
                <w:color w:val="002060"/>
                <w:sz w:val="16"/>
                <w:szCs w:val="16"/>
              </w:rPr>
            </w:pPr>
            <w:r w:rsidRPr="00837579">
              <w:rPr>
                <w:color w:val="002060"/>
                <w:sz w:val="16"/>
                <w:szCs w:val="16"/>
              </w:rPr>
              <w:t xml:space="preserve">Pág. OMPI GII:  </w:t>
            </w:r>
          </w:p>
          <w:p w:rsidR="00E34342" w:rsidRPr="00837579" w:rsidRDefault="00E34342" w:rsidP="00230FAA">
            <w:pPr>
              <w:rPr>
                <w:color w:val="002060"/>
                <w:sz w:val="16"/>
                <w:szCs w:val="16"/>
              </w:rPr>
            </w:pPr>
            <w:r w:rsidRPr="00837579">
              <w:rPr>
                <w:color w:val="002060"/>
                <w:sz w:val="16"/>
                <w:szCs w:val="16"/>
              </w:rPr>
              <w:t>10% de aumento</w:t>
            </w:r>
          </w:p>
          <w:p w:rsidR="00E34342" w:rsidRPr="00837579" w:rsidRDefault="00E34342" w:rsidP="00230FAA">
            <w:pPr>
              <w:rPr>
                <w:color w:val="002060"/>
                <w:sz w:val="16"/>
                <w:szCs w:val="16"/>
              </w:rPr>
            </w:pPr>
          </w:p>
          <w:p w:rsidR="00E34342" w:rsidRPr="00837579" w:rsidRDefault="00E34342" w:rsidP="00230FAA">
            <w:pPr>
              <w:rPr>
                <w:color w:val="002060"/>
                <w:sz w:val="16"/>
                <w:szCs w:val="16"/>
              </w:rPr>
            </w:pPr>
            <w:r w:rsidRPr="00837579">
              <w:rPr>
                <w:color w:val="002060"/>
                <w:sz w:val="16"/>
                <w:szCs w:val="16"/>
              </w:rPr>
              <w:t>Pág. específica del GII:  10% de aumento</w:t>
            </w:r>
          </w:p>
          <w:p w:rsidR="00E34342" w:rsidRPr="00B85616" w:rsidRDefault="00E34342" w:rsidP="00230FAA">
            <w:pPr>
              <w:rPr>
                <w:sz w:val="16"/>
                <w:szCs w:val="16"/>
              </w:rPr>
            </w:pPr>
          </w:p>
          <w:p w:rsidR="00E34342" w:rsidRPr="00B85616" w:rsidRDefault="00E34342" w:rsidP="00230FAA">
            <w:pPr>
              <w:rPr>
                <w:i/>
                <w:sz w:val="16"/>
                <w:szCs w:val="16"/>
              </w:rPr>
            </w:pPr>
            <w:r w:rsidRPr="00B85616">
              <w:rPr>
                <w:i/>
                <w:sz w:val="16"/>
                <w:szCs w:val="16"/>
              </w:rPr>
              <w:t xml:space="preserve">Objetivo original:  </w:t>
            </w:r>
          </w:p>
          <w:p w:rsidR="00E34342" w:rsidRPr="00B85616" w:rsidRDefault="00E34342" w:rsidP="00230FAA">
            <w:pPr>
              <w:rPr>
                <w:sz w:val="16"/>
                <w:szCs w:val="16"/>
              </w:rPr>
            </w:pPr>
            <w:r w:rsidRPr="00B85616">
              <w:rPr>
                <w:sz w:val="16"/>
                <w:szCs w:val="16"/>
              </w:rPr>
              <w:t>Por determinar</w:t>
            </w:r>
          </w:p>
        </w:tc>
        <w:tc>
          <w:tcPr>
            <w:tcW w:w="1378" w:type="pct"/>
            <w:shd w:val="clear" w:color="auto" w:fill="FFFFFF"/>
            <w:tcMar>
              <w:top w:w="110" w:type="dxa"/>
              <w:left w:w="58" w:type="dxa"/>
              <w:right w:w="58" w:type="dxa"/>
            </w:tcMar>
          </w:tcPr>
          <w:p w:rsidR="00E34342" w:rsidRPr="00B85616" w:rsidRDefault="00E34342" w:rsidP="00230FAA">
            <w:pPr>
              <w:rPr>
                <w:sz w:val="16"/>
                <w:szCs w:val="16"/>
              </w:rPr>
            </w:pPr>
            <w:r w:rsidRPr="00B85616">
              <w:rPr>
                <w:sz w:val="16"/>
                <w:szCs w:val="16"/>
              </w:rPr>
              <w:t>Pág. web OMPI del GII:  44.244 (+50%)</w:t>
            </w:r>
          </w:p>
          <w:p w:rsidR="00E34342" w:rsidRPr="00B85616" w:rsidRDefault="00E34342" w:rsidP="00230FAA">
            <w:pPr>
              <w:rPr>
                <w:sz w:val="16"/>
                <w:szCs w:val="16"/>
              </w:rPr>
            </w:pPr>
          </w:p>
          <w:p w:rsidR="00E34342" w:rsidRPr="00B85616" w:rsidRDefault="00E34342" w:rsidP="00230FAA">
            <w:pPr>
              <w:rPr>
                <w:sz w:val="16"/>
                <w:szCs w:val="16"/>
              </w:rPr>
            </w:pPr>
            <w:r w:rsidRPr="00B85616">
              <w:rPr>
                <w:sz w:val="16"/>
                <w:szCs w:val="16"/>
              </w:rPr>
              <w:t>Pág. web específica del GII:  214.122 (+25,6%)</w:t>
            </w:r>
          </w:p>
        </w:tc>
        <w:tc>
          <w:tcPr>
            <w:tcW w:w="513" w:type="pct"/>
            <w:shd w:val="clear" w:color="auto" w:fill="auto"/>
            <w:tcMar>
              <w:top w:w="110" w:type="dxa"/>
              <w:left w:w="58" w:type="dxa"/>
              <w:right w:w="58" w:type="dxa"/>
            </w:tcMar>
          </w:tcPr>
          <w:p w:rsidR="00E34342" w:rsidRPr="00B85616" w:rsidRDefault="00E34342" w:rsidP="00230FAA">
            <w:pPr>
              <w:keepNext/>
              <w:keepLines/>
              <w:jc w:val="center"/>
              <w:rPr>
                <w:sz w:val="16"/>
                <w:szCs w:val="16"/>
              </w:rPr>
            </w:pPr>
            <w:r w:rsidRPr="00B85616">
              <w:rPr>
                <w:b/>
                <w:color w:val="00B050"/>
                <w:sz w:val="16"/>
                <w:szCs w:val="16"/>
              </w:rPr>
              <w:t>Avanza</w:t>
            </w:r>
          </w:p>
        </w:tc>
      </w:tr>
      <w:tr w:rsidR="00E34342" w:rsidRPr="00B85616" w:rsidTr="00230FAA">
        <w:trPr>
          <w:trHeight w:val="1186"/>
        </w:trPr>
        <w:tc>
          <w:tcPr>
            <w:tcW w:w="1049" w:type="pct"/>
            <w:shd w:val="clear" w:color="auto" w:fill="auto"/>
            <w:tcMar>
              <w:left w:w="58" w:type="dxa"/>
              <w:right w:w="58" w:type="dxa"/>
            </w:tcMar>
          </w:tcPr>
          <w:p w:rsidR="00E34342" w:rsidRPr="00B85616" w:rsidRDefault="00E34342" w:rsidP="00230FAA">
            <w:pPr>
              <w:rPr>
                <w:sz w:val="16"/>
                <w:szCs w:val="16"/>
              </w:rPr>
            </w:pPr>
            <w:r w:rsidRPr="00B85616">
              <w:rPr>
                <w:sz w:val="16"/>
                <w:szCs w:val="16"/>
              </w:rPr>
              <w:t>N.º de descargas del Informe mundial sobre la P.I. en el plazo de 6 meses desde su publicación</w:t>
            </w:r>
            <w:r w:rsidRPr="00B85616">
              <w:rPr>
                <w:rStyle w:val="FootnoteReference"/>
              </w:rPr>
              <w:footnoteReference w:id="73"/>
            </w:r>
          </w:p>
        </w:tc>
        <w:tc>
          <w:tcPr>
            <w:tcW w:w="1321" w:type="pct"/>
            <w:shd w:val="clear" w:color="auto" w:fill="auto"/>
            <w:tcMar>
              <w:left w:w="58" w:type="dxa"/>
              <w:right w:w="58" w:type="dxa"/>
            </w:tcMar>
          </w:tcPr>
          <w:p w:rsidR="00E34342" w:rsidRPr="00837579" w:rsidRDefault="00E34342" w:rsidP="00230FAA">
            <w:pPr>
              <w:rPr>
                <w:i/>
                <w:color w:val="002060"/>
                <w:sz w:val="16"/>
                <w:szCs w:val="16"/>
              </w:rPr>
            </w:pPr>
            <w:r w:rsidRPr="00837579">
              <w:rPr>
                <w:i/>
                <w:color w:val="002060"/>
                <w:sz w:val="16"/>
                <w:szCs w:val="16"/>
              </w:rPr>
              <w:t xml:space="preserve">Referencia actualizada:  </w:t>
            </w:r>
          </w:p>
          <w:p w:rsidR="00E34342" w:rsidRPr="00837579" w:rsidRDefault="00E34342" w:rsidP="00230FAA">
            <w:pPr>
              <w:rPr>
                <w:color w:val="002060"/>
                <w:sz w:val="16"/>
                <w:szCs w:val="16"/>
              </w:rPr>
            </w:pPr>
            <w:r w:rsidRPr="00837579">
              <w:rPr>
                <w:color w:val="002060"/>
                <w:sz w:val="16"/>
                <w:szCs w:val="16"/>
              </w:rPr>
              <w:t>Informe mundial sobre la P.I. en 2015:  30.017</w:t>
            </w:r>
          </w:p>
          <w:p w:rsidR="00E34342" w:rsidRPr="00B85616" w:rsidRDefault="00E34342" w:rsidP="00230FAA">
            <w:pPr>
              <w:rPr>
                <w:sz w:val="16"/>
                <w:szCs w:val="16"/>
              </w:rPr>
            </w:pPr>
          </w:p>
          <w:p w:rsidR="00E34342" w:rsidRPr="00B85616" w:rsidRDefault="00E34342" w:rsidP="00230FAA">
            <w:pPr>
              <w:rPr>
                <w:i/>
                <w:sz w:val="16"/>
                <w:szCs w:val="16"/>
                <w:lang w:bidi="th-TH"/>
              </w:rPr>
            </w:pPr>
            <w:r w:rsidRPr="00B85616">
              <w:rPr>
                <w:i/>
                <w:sz w:val="16"/>
                <w:szCs w:val="16"/>
                <w:lang w:bidi="th-TH"/>
              </w:rPr>
              <w:t xml:space="preserve">Referencia original en el presupuesto de 2016/17:  </w:t>
            </w:r>
          </w:p>
          <w:p w:rsidR="00E34342" w:rsidRPr="00B85616" w:rsidRDefault="00E34342" w:rsidP="00230FAA">
            <w:pPr>
              <w:spacing w:after="240"/>
              <w:rPr>
                <w:sz w:val="16"/>
                <w:szCs w:val="16"/>
              </w:rPr>
            </w:pPr>
            <w:r w:rsidRPr="00B85616">
              <w:rPr>
                <w:sz w:val="16"/>
                <w:szCs w:val="16"/>
              </w:rPr>
              <w:t>Por determinar</w:t>
            </w:r>
            <w:r w:rsidRPr="00B85616">
              <w:rPr>
                <w:rStyle w:val="FootnoteReference"/>
              </w:rPr>
              <w:footnoteReference w:id="74"/>
            </w:r>
          </w:p>
        </w:tc>
        <w:tc>
          <w:tcPr>
            <w:tcW w:w="739" w:type="pct"/>
            <w:shd w:val="clear" w:color="auto" w:fill="auto"/>
            <w:tcMar>
              <w:top w:w="110" w:type="dxa"/>
              <w:left w:w="58" w:type="dxa"/>
              <w:right w:w="58" w:type="dxa"/>
            </w:tcMar>
          </w:tcPr>
          <w:p w:rsidR="00E34342" w:rsidRPr="00837579" w:rsidRDefault="00E34342" w:rsidP="00230FAA">
            <w:pPr>
              <w:rPr>
                <w:i/>
                <w:color w:val="002060"/>
                <w:sz w:val="16"/>
                <w:szCs w:val="16"/>
              </w:rPr>
            </w:pPr>
            <w:r w:rsidRPr="00837579">
              <w:rPr>
                <w:i/>
                <w:color w:val="002060"/>
                <w:sz w:val="16"/>
                <w:szCs w:val="16"/>
              </w:rPr>
              <w:t xml:space="preserve">Objetivo definido:   </w:t>
            </w:r>
          </w:p>
          <w:p w:rsidR="00E34342" w:rsidRPr="00837579" w:rsidRDefault="00E34342" w:rsidP="00230FAA">
            <w:pPr>
              <w:rPr>
                <w:color w:val="002060"/>
                <w:sz w:val="16"/>
                <w:szCs w:val="16"/>
              </w:rPr>
            </w:pPr>
            <w:r w:rsidRPr="00837579">
              <w:rPr>
                <w:color w:val="002060"/>
                <w:sz w:val="16"/>
                <w:szCs w:val="16"/>
              </w:rPr>
              <w:t>10% de aumento</w:t>
            </w:r>
          </w:p>
          <w:p w:rsidR="00E34342" w:rsidRPr="00B85616" w:rsidRDefault="00E34342" w:rsidP="00230FAA">
            <w:pPr>
              <w:rPr>
                <w:sz w:val="16"/>
                <w:szCs w:val="16"/>
              </w:rPr>
            </w:pPr>
          </w:p>
          <w:p w:rsidR="00E34342" w:rsidRPr="00B85616" w:rsidRDefault="00E34342" w:rsidP="00230FAA">
            <w:pPr>
              <w:rPr>
                <w:i/>
                <w:sz w:val="16"/>
                <w:szCs w:val="16"/>
              </w:rPr>
            </w:pPr>
            <w:r w:rsidRPr="00B85616">
              <w:rPr>
                <w:i/>
                <w:sz w:val="16"/>
                <w:szCs w:val="16"/>
              </w:rPr>
              <w:t xml:space="preserve">Objetivo original:  </w:t>
            </w:r>
          </w:p>
          <w:p w:rsidR="00E34342" w:rsidRPr="00B85616" w:rsidRDefault="00E34342" w:rsidP="00230FAA">
            <w:pPr>
              <w:rPr>
                <w:sz w:val="16"/>
                <w:szCs w:val="16"/>
              </w:rPr>
            </w:pPr>
            <w:r w:rsidRPr="00B85616">
              <w:rPr>
                <w:sz w:val="16"/>
                <w:szCs w:val="16"/>
              </w:rPr>
              <w:t>Por determinar</w:t>
            </w:r>
          </w:p>
        </w:tc>
        <w:tc>
          <w:tcPr>
            <w:tcW w:w="1378" w:type="pct"/>
            <w:shd w:val="clear" w:color="auto" w:fill="FFFFFF"/>
            <w:tcMar>
              <w:top w:w="110" w:type="dxa"/>
              <w:left w:w="58" w:type="dxa"/>
              <w:right w:w="58" w:type="dxa"/>
            </w:tcMar>
          </w:tcPr>
          <w:p w:rsidR="00E34342" w:rsidRPr="00B85616" w:rsidRDefault="00E34342" w:rsidP="00230FAA">
            <w:pPr>
              <w:keepNext/>
              <w:keepLines/>
              <w:rPr>
                <w:sz w:val="16"/>
                <w:szCs w:val="16"/>
              </w:rPr>
            </w:pPr>
            <w:r w:rsidRPr="00B85616">
              <w:rPr>
                <w:sz w:val="16"/>
                <w:szCs w:val="16"/>
              </w:rPr>
              <w:t>El Informe mundial sobre la P.I. es una publicación bienal, cuya siguiente edición está prevista a finales de 2017</w:t>
            </w:r>
          </w:p>
        </w:tc>
        <w:tc>
          <w:tcPr>
            <w:tcW w:w="513" w:type="pct"/>
            <w:shd w:val="clear" w:color="auto" w:fill="auto"/>
            <w:tcMar>
              <w:top w:w="110" w:type="dxa"/>
              <w:left w:w="58" w:type="dxa"/>
              <w:right w:w="58" w:type="dxa"/>
            </w:tcMar>
          </w:tcPr>
          <w:p w:rsidR="00E34342" w:rsidRPr="00B85616" w:rsidRDefault="00E34342" w:rsidP="00230FAA">
            <w:pPr>
              <w:keepNext/>
              <w:keepLines/>
              <w:jc w:val="center"/>
              <w:rPr>
                <w:b/>
                <w:sz w:val="16"/>
                <w:szCs w:val="16"/>
              </w:rPr>
            </w:pPr>
            <w:r w:rsidRPr="00B85616">
              <w:rPr>
                <w:b/>
                <w:sz w:val="16"/>
                <w:szCs w:val="16"/>
              </w:rPr>
              <w:t>No disponible en 2016</w:t>
            </w:r>
          </w:p>
          <w:p w:rsidR="00E34342" w:rsidRPr="00B85616" w:rsidRDefault="00E34342" w:rsidP="00230FAA">
            <w:pPr>
              <w:keepNext/>
              <w:keepLines/>
              <w:jc w:val="center"/>
              <w:rPr>
                <w:sz w:val="16"/>
                <w:szCs w:val="16"/>
              </w:rPr>
            </w:pPr>
          </w:p>
        </w:tc>
      </w:tr>
    </w:tbl>
    <w:p w:rsidR="00E34342" w:rsidRPr="00B85616" w:rsidRDefault="00E34342" w:rsidP="00230FAA">
      <w:pPr>
        <w:rPr>
          <w:b/>
          <w:bCs/>
          <w:iCs/>
          <w:caps/>
          <w:sz w:val="20"/>
          <w:lang w:eastAsia="da-DK"/>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E34342" w:rsidRPr="00B85616" w:rsidTr="00156844">
        <w:trPr>
          <w:trHeight w:val="423"/>
          <w:jc w:val="center"/>
        </w:trPr>
        <w:tc>
          <w:tcPr>
            <w:tcW w:w="9287" w:type="dxa"/>
            <w:shd w:val="clear" w:color="auto" w:fill="C6D9F1" w:themeFill="text2" w:themeFillTint="33"/>
            <w:vAlign w:val="center"/>
          </w:tcPr>
          <w:p w:rsidR="00E34342" w:rsidRPr="00B85616" w:rsidRDefault="00E34342" w:rsidP="00E34342">
            <w:pPr>
              <w:keepNext/>
              <w:keepLines/>
              <w:jc w:val="center"/>
              <w:rPr>
                <w:b/>
                <w:sz w:val="20"/>
              </w:rPr>
            </w:pPr>
            <w:r w:rsidRPr="00B85616">
              <w:rPr>
                <w:b/>
                <w:sz w:val="20"/>
              </w:rPr>
              <w:lastRenderedPageBreak/>
              <w:br w:type="page"/>
              <w:t>Utilización de los recursos del programa 16</w:t>
            </w:r>
          </w:p>
        </w:tc>
      </w:tr>
    </w:tbl>
    <w:p w:rsidR="00E34342" w:rsidRPr="00B85616" w:rsidRDefault="00E34342" w:rsidP="00E34342">
      <w:pPr>
        <w:keepNext/>
        <w:rPr>
          <w:sz w:val="20"/>
          <w:szCs w:val="18"/>
        </w:rPr>
      </w:pPr>
    </w:p>
    <w:p w:rsidR="00E34342" w:rsidRPr="00B85616" w:rsidRDefault="00E34342" w:rsidP="00E34342">
      <w:pPr>
        <w:keepNext/>
        <w:keepLines/>
        <w:jc w:val="center"/>
        <w:rPr>
          <w:sz w:val="18"/>
          <w:szCs w:val="18"/>
        </w:rPr>
      </w:pPr>
      <w:r w:rsidRPr="00B85616">
        <w:rPr>
          <w:sz w:val="18"/>
          <w:szCs w:val="18"/>
        </w:rPr>
        <w:t>Presupuesto y gastos reales (por resultado)</w:t>
      </w:r>
    </w:p>
    <w:p w:rsidR="00E34342" w:rsidRPr="00B85616" w:rsidRDefault="00E34342" w:rsidP="00E34342">
      <w:pPr>
        <w:keepNext/>
        <w:keepLines/>
        <w:jc w:val="center"/>
        <w:rPr>
          <w:i/>
          <w:iCs/>
          <w:sz w:val="16"/>
          <w:szCs w:val="16"/>
        </w:rPr>
      </w:pPr>
      <w:r w:rsidRPr="00B85616">
        <w:rPr>
          <w:i/>
          <w:iCs/>
          <w:sz w:val="16"/>
          <w:szCs w:val="16"/>
        </w:rPr>
        <w:t>(en miles de francos suizos)</w:t>
      </w:r>
    </w:p>
    <w:p w:rsidR="00E34342" w:rsidRPr="00B85616" w:rsidRDefault="00E34342" w:rsidP="00E34342">
      <w:pPr>
        <w:keepNext/>
        <w:rPr>
          <w:sz w:val="20"/>
          <w:szCs w:val="18"/>
        </w:rPr>
      </w:pPr>
    </w:p>
    <w:tbl>
      <w:tblPr>
        <w:tblW w:w="8222" w:type="dxa"/>
        <w:jc w:val="center"/>
        <w:tblLook w:val="04A0" w:firstRow="1" w:lastRow="0" w:firstColumn="1" w:lastColumn="0" w:noHBand="0" w:noVBand="1"/>
      </w:tblPr>
      <w:tblGrid>
        <w:gridCol w:w="457"/>
        <w:gridCol w:w="4239"/>
        <w:gridCol w:w="1186"/>
        <w:gridCol w:w="1310"/>
        <w:gridCol w:w="1175"/>
      </w:tblGrid>
      <w:tr w:rsidR="00E34342" w:rsidRPr="00B85616" w:rsidTr="00230FAA">
        <w:trPr>
          <w:trHeight w:val="825"/>
          <w:jc w:val="center"/>
        </w:trPr>
        <w:tc>
          <w:tcPr>
            <w:tcW w:w="4690" w:type="dxa"/>
            <w:gridSpan w:val="2"/>
            <w:tcBorders>
              <w:top w:val="nil"/>
              <w:left w:val="nil"/>
              <w:bottom w:val="nil"/>
              <w:right w:val="nil"/>
            </w:tcBorders>
            <w:shd w:val="clear" w:color="000000" w:fill="C5D9F1"/>
            <w:noWrap/>
            <w:vAlign w:val="center"/>
            <w:hideMark/>
          </w:tcPr>
          <w:p w:rsidR="00E34342" w:rsidRPr="00B85616" w:rsidRDefault="00E34342" w:rsidP="00E34342">
            <w:pPr>
              <w:keepNext/>
              <w:jc w:val="center"/>
              <w:rPr>
                <w:b/>
                <w:bCs/>
                <w:sz w:val="16"/>
                <w:szCs w:val="16"/>
              </w:rPr>
            </w:pPr>
            <w:r w:rsidRPr="00B85616">
              <w:rPr>
                <w:b/>
                <w:bCs/>
                <w:sz w:val="16"/>
                <w:szCs w:val="16"/>
              </w:rPr>
              <w:t xml:space="preserve">Número del resultado previsto y descripción </w:t>
            </w:r>
          </w:p>
        </w:tc>
        <w:tc>
          <w:tcPr>
            <w:tcW w:w="1168" w:type="dxa"/>
            <w:tcBorders>
              <w:top w:val="nil"/>
              <w:left w:val="nil"/>
              <w:bottom w:val="nil"/>
              <w:right w:val="nil"/>
            </w:tcBorders>
            <w:shd w:val="clear" w:color="000000" w:fill="C5D9F1"/>
            <w:vAlign w:val="center"/>
            <w:hideMark/>
          </w:tcPr>
          <w:p w:rsidR="00E34342" w:rsidRPr="00B85616" w:rsidRDefault="00E34342" w:rsidP="00E34342">
            <w:pPr>
              <w:keepNext/>
              <w:jc w:val="center"/>
              <w:rPr>
                <w:b/>
                <w:bCs/>
                <w:sz w:val="16"/>
                <w:szCs w:val="16"/>
              </w:rPr>
            </w:pPr>
            <w:r w:rsidRPr="00B85616">
              <w:rPr>
                <w:b/>
                <w:bCs/>
                <w:sz w:val="16"/>
                <w:szCs w:val="16"/>
              </w:rPr>
              <w:t xml:space="preserve"> Presupuesto aprobado de 2016/17 </w:t>
            </w:r>
          </w:p>
        </w:tc>
        <w:tc>
          <w:tcPr>
            <w:tcW w:w="1167" w:type="dxa"/>
            <w:tcBorders>
              <w:top w:val="nil"/>
              <w:left w:val="nil"/>
              <w:bottom w:val="nil"/>
              <w:right w:val="nil"/>
            </w:tcBorders>
            <w:shd w:val="clear" w:color="000000" w:fill="C5D9F1"/>
            <w:vAlign w:val="center"/>
            <w:hideMark/>
          </w:tcPr>
          <w:p w:rsidR="00E34342" w:rsidRPr="00B85616" w:rsidRDefault="00E34342" w:rsidP="00E34342">
            <w:pPr>
              <w:keepNext/>
              <w:jc w:val="center"/>
              <w:rPr>
                <w:b/>
                <w:bCs/>
                <w:sz w:val="16"/>
                <w:szCs w:val="16"/>
              </w:rPr>
            </w:pPr>
            <w:r w:rsidRPr="00B85616">
              <w:rPr>
                <w:b/>
                <w:bCs/>
                <w:sz w:val="16"/>
                <w:szCs w:val="16"/>
              </w:rPr>
              <w:t xml:space="preserve"> Presupuesto de 2016/17 tras las transferencias </w:t>
            </w:r>
          </w:p>
        </w:tc>
        <w:tc>
          <w:tcPr>
            <w:tcW w:w="1175" w:type="dxa"/>
            <w:tcBorders>
              <w:top w:val="nil"/>
              <w:left w:val="nil"/>
              <w:bottom w:val="nil"/>
              <w:right w:val="nil"/>
            </w:tcBorders>
            <w:shd w:val="clear" w:color="000000" w:fill="C5D9F1"/>
            <w:vAlign w:val="center"/>
            <w:hideMark/>
          </w:tcPr>
          <w:p w:rsidR="00E34342" w:rsidRPr="00B85616" w:rsidRDefault="00E34342" w:rsidP="00E34342">
            <w:pPr>
              <w:keepNext/>
              <w:jc w:val="center"/>
              <w:rPr>
                <w:b/>
                <w:bCs/>
                <w:sz w:val="16"/>
                <w:szCs w:val="16"/>
              </w:rPr>
            </w:pPr>
            <w:r w:rsidRPr="00B85616">
              <w:rPr>
                <w:b/>
                <w:bCs/>
                <w:sz w:val="16"/>
                <w:szCs w:val="16"/>
              </w:rPr>
              <w:t xml:space="preserve"> Gastos en 2016* </w:t>
            </w:r>
          </w:p>
        </w:tc>
      </w:tr>
      <w:tr w:rsidR="00E34342" w:rsidRPr="00B85616" w:rsidTr="00230FAA">
        <w:trPr>
          <w:trHeight w:val="600"/>
          <w:jc w:val="center"/>
        </w:trPr>
        <w:tc>
          <w:tcPr>
            <w:tcW w:w="451" w:type="dxa"/>
            <w:tcBorders>
              <w:top w:val="nil"/>
              <w:left w:val="nil"/>
              <w:bottom w:val="nil"/>
              <w:right w:val="nil"/>
            </w:tcBorders>
            <w:shd w:val="clear" w:color="auto" w:fill="auto"/>
            <w:noWrap/>
            <w:vAlign w:val="center"/>
            <w:hideMark/>
          </w:tcPr>
          <w:p w:rsidR="00E34342" w:rsidRPr="00B85616" w:rsidRDefault="00E34342" w:rsidP="00E34342">
            <w:pPr>
              <w:keepNext/>
              <w:rPr>
                <w:sz w:val="16"/>
                <w:szCs w:val="16"/>
              </w:rPr>
            </w:pPr>
            <w:r w:rsidRPr="00B85616">
              <w:rPr>
                <w:sz w:val="16"/>
                <w:szCs w:val="16"/>
              </w:rPr>
              <w:t>V.1</w:t>
            </w:r>
          </w:p>
        </w:tc>
        <w:tc>
          <w:tcPr>
            <w:tcW w:w="4239" w:type="dxa"/>
            <w:tcBorders>
              <w:top w:val="nil"/>
              <w:left w:val="nil"/>
              <w:bottom w:val="nil"/>
              <w:right w:val="nil"/>
            </w:tcBorders>
            <w:shd w:val="clear" w:color="auto" w:fill="auto"/>
            <w:vAlign w:val="center"/>
            <w:hideMark/>
          </w:tcPr>
          <w:p w:rsidR="00E34342" w:rsidRPr="00B85616" w:rsidRDefault="00E34342" w:rsidP="00E34342">
            <w:pPr>
              <w:keepNext/>
              <w:rPr>
                <w:sz w:val="16"/>
                <w:szCs w:val="16"/>
              </w:rPr>
            </w:pPr>
            <w:r w:rsidRPr="00B85616">
              <w:rPr>
                <w:sz w:val="16"/>
                <w:szCs w:val="16"/>
              </w:rPr>
              <w:t>Mayor y mejor utilización de la información estadística de la OMPI en materia de P.I.</w:t>
            </w:r>
          </w:p>
        </w:tc>
        <w:tc>
          <w:tcPr>
            <w:tcW w:w="1168" w:type="dxa"/>
            <w:tcBorders>
              <w:top w:val="nil"/>
              <w:left w:val="nil"/>
              <w:bottom w:val="nil"/>
              <w:right w:val="nil"/>
            </w:tcBorders>
            <w:shd w:val="clear" w:color="auto" w:fill="auto"/>
            <w:noWrap/>
            <w:vAlign w:val="center"/>
            <w:hideMark/>
          </w:tcPr>
          <w:p w:rsidR="00E34342" w:rsidRPr="00B85616" w:rsidRDefault="00E34342" w:rsidP="00E34342">
            <w:pPr>
              <w:keepNext/>
              <w:jc w:val="center"/>
              <w:rPr>
                <w:sz w:val="16"/>
                <w:szCs w:val="16"/>
              </w:rPr>
            </w:pPr>
            <w:r w:rsidRPr="00B85616">
              <w:rPr>
                <w:sz w:val="16"/>
                <w:szCs w:val="16"/>
              </w:rPr>
              <w:t>2.677</w:t>
            </w:r>
          </w:p>
        </w:tc>
        <w:tc>
          <w:tcPr>
            <w:tcW w:w="1167" w:type="dxa"/>
            <w:tcBorders>
              <w:top w:val="nil"/>
              <w:left w:val="nil"/>
              <w:bottom w:val="nil"/>
              <w:right w:val="nil"/>
            </w:tcBorders>
            <w:shd w:val="clear" w:color="auto" w:fill="auto"/>
            <w:noWrap/>
            <w:vAlign w:val="center"/>
            <w:hideMark/>
          </w:tcPr>
          <w:p w:rsidR="00E34342" w:rsidRPr="00B85616" w:rsidRDefault="00E34342" w:rsidP="00E34342">
            <w:pPr>
              <w:keepNext/>
              <w:jc w:val="center"/>
              <w:rPr>
                <w:sz w:val="16"/>
                <w:szCs w:val="16"/>
              </w:rPr>
            </w:pPr>
            <w:r w:rsidRPr="00B85616">
              <w:rPr>
                <w:sz w:val="16"/>
                <w:szCs w:val="16"/>
              </w:rPr>
              <w:t>2.447</w:t>
            </w:r>
          </w:p>
        </w:tc>
        <w:tc>
          <w:tcPr>
            <w:tcW w:w="1175" w:type="dxa"/>
            <w:tcBorders>
              <w:top w:val="nil"/>
              <w:left w:val="nil"/>
              <w:bottom w:val="nil"/>
              <w:right w:val="nil"/>
            </w:tcBorders>
            <w:shd w:val="clear" w:color="auto" w:fill="auto"/>
            <w:noWrap/>
            <w:vAlign w:val="center"/>
            <w:hideMark/>
          </w:tcPr>
          <w:p w:rsidR="00E34342" w:rsidRPr="00B85616" w:rsidRDefault="00E34342" w:rsidP="00E34342">
            <w:pPr>
              <w:keepNext/>
              <w:jc w:val="center"/>
              <w:rPr>
                <w:sz w:val="16"/>
                <w:szCs w:val="16"/>
              </w:rPr>
            </w:pPr>
            <w:r w:rsidRPr="00B85616">
              <w:rPr>
                <w:sz w:val="16"/>
                <w:szCs w:val="16"/>
              </w:rPr>
              <w:t>1.172</w:t>
            </w:r>
          </w:p>
        </w:tc>
      </w:tr>
      <w:tr w:rsidR="00E34342" w:rsidRPr="00B85616" w:rsidTr="00230FAA">
        <w:trPr>
          <w:trHeight w:val="660"/>
          <w:jc w:val="center"/>
        </w:trPr>
        <w:tc>
          <w:tcPr>
            <w:tcW w:w="451" w:type="dxa"/>
            <w:tcBorders>
              <w:top w:val="nil"/>
              <w:left w:val="nil"/>
              <w:bottom w:val="nil"/>
              <w:right w:val="nil"/>
            </w:tcBorders>
            <w:shd w:val="clear" w:color="auto" w:fill="auto"/>
            <w:noWrap/>
            <w:vAlign w:val="center"/>
            <w:hideMark/>
          </w:tcPr>
          <w:p w:rsidR="00E34342" w:rsidRPr="00B85616" w:rsidRDefault="00E34342" w:rsidP="00230FAA">
            <w:pPr>
              <w:rPr>
                <w:sz w:val="16"/>
                <w:szCs w:val="16"/>
              </w:rPr>
            </w:pPr>
            <w:r w:rsidRPr="00B85616">
              <w:rPr>
                <w:sz w:val="16"/>
                <w:szCs w:val="16"/>
              </w:rPr>
              <w:t>V.2</w:t>
            </w:r>
          </w:p>
        </w:tc>
        <w:tc>
          <w:tcPr>
            <w:tcW w:w="4239" w:type="dxa"/>
            <w:tcBorders>
              <w:top w:val="nil"/>
              <w:left w:val="nil"/>
              <w:bottom w:val="nil"/>
              <w:right w:val="nil"/>
            </w:tcBorders>
            <w:shd w:val="clear" w:color="auto" w:fill="auto"/>
            <w:vAlign w:val="center"/>
            <w:hideMark/>
          </w:tcPr>
          <w:p w:rsidR="00E34342" w:rsidRPr="00B85616" w:rsidRDefault="00E34342" w:rsidP="00230FAA">
            <w:pPr>
              <w:rPr>
                <w:sz w:val="16"/>
                <w:szCs w:val="16"/>
              </w:rPr>
            </w:pPr>
            <w:r w:rsidRPr="00B85616">
              <w:rPr>
                <w:sz w:val="16"/>
                <w:szCs w:val="16"/>
              </w:rPr>
              <w:t>Uso más amplio y mejor de los análisis económicos de la OMPI en la formulación de políticas</w:t>
            </w:r>
          </w:p>
        </w:tc>
        <w:tc>
          <w:tcPr>
            <w:tcW w:w="1168" w:type="dxa"/>
            <w:tcBorders>
              <w:top w:val="nil"/>
              <w:left w:val="nil"/>
              <w:bottom w:val="nil"/>
              <w:right w:val="nil"/>
            </w:tcBorders>
            <w:shd w:val="clear" w:color="auto" w:fill="auto"/>
            <w:noWrap/>
            <w:vAlign w:val="center"/>
            <w:hideMark/>
          </w:tcPr>
          <w:p w:rsidR="00E34342" w:rsidRPr="00B85616" w:rsidRDefault="00E34342" w:rsidP="00230FAA">
            <w:pPr>
              <w:jc w:val="center"/>
              <w:rPr>
                <w:sz w:val="16"/>
                <w:szCs w:val="16"/>
              </w:rPr>
            </w:pPr>
            <w:r w:rsidRPr="00B85616">
              <w:rPr>
                <w:sz w:val="16"/>
                <w:szCs w:val="16"/>
              </w:rPr>
              <w:t>3.395</w:t>
            </w:r>
          </w:p>
        </w:tc>
        <w:tc>
          <w:tcPr>
            <w:tcW w:w="1167" w:type="dxa"/>
            <w:tcBorders>
              <w:top w:val="nil"/>
              <w:left w:val="nil"/>
              <w:bottom w:val="nil"/>
              <w:right w:val="nil"/>
            </w:tcBorders>
            <w:shd w:val="clear" w:color="auto" w:fill="auto"/>
            <w:noWrap/>
            <w:vAlign w:val="center"/>
            <w:hideMark/>
          </w:tcPr>
          <w:p w:rsidR="00E34342" w:rsidRPr="00B85616" w:rsidRDefault="00E34342" w:rsidP="00230FAA">
            <w:pPr>
              <w:jc w:val="center"/>
              <w:rPr>
                <w:sz w:val="16"/>
                <w:szCs w:val="16"/>
              </w:rPr>
            </w:pPr>
            <w:r w:rsidRPr="00B85616">
              <w:rPr>
                <w:sz w:val="16"/>
                <w:szCs w:val="16"/>
              </w:rPr>
              <w:t>3.874</w:t>
            </w:r>
          </w:p>
        </w:tc>
        <w:tc>
          <w:tcPr>
            <w:tcW w:w="1175" w:type="dxa"/>
            <w:tcBorders>
              <w:top w:val="nil"/>
              <w:left w:val="nil"/>
              <w:bottom w:val="nil"/>
              <w:right w:val="nil"/>
            </w:tcBorders>
            <w:shd w:val="clear" w:color="auto" w:fill="auto"/>
            <w:noWrap/>
            <w:vAlign w:val="center"/>
            <w:hideMark/>
          </w:tcPr>
          <w:p w:rsidR="00E34342" w:rsidRPr="00B85616" w:rsidRDefault="00E34342" w:rsidP="00230FAA">
            <w:pPr>
              <w:jc w:val="center"/>
              <w:rPr>
                <w:sz w:val="16"/>
                <w:szCs w:val="16"/>
              </w:rPr>
            </w:pPr>
            <w:r w:rsidRPr="00B85616">
              <w:rPr>
                <w:sz w:val="16"/>
                <w:szCs w:val="16"/>
              </w:rPr>
              <w:t>1.569</w:t>
            </w:r>
          </w:p>
        </w:tc>
      </w:tr>
      <w:tr w:rsidR="00E34342" w:rsidRPr="00B85616" w:rsidTr="00230FAA">
        <w:trPr>
          <w:trHeight w:val="225"/>
          <w:jc w:val="center"/>
        </w:trPr>
        <w:tc>
          <w:tcPr>
            <w:tcW w:w="451" w:type="dxa"/>
            <w:tcBorders>
              <w:top w:val="nil"/>
              <w:left w:val="nil"/>
              <w:bottom w:val="nil"/>
              <w:right w:val="nil"/>
            </w:tcBorders>
            <w:shd w:val="clear" w:color="000000" w:fill="C5D9F1"/>
            <w:noWrap/>
            <w:vAlign w:val="bottom"/>
            <w:hideMark/>
          </w:tcPr>
          <w:p w:rsidR="00E34342" w:rsidRPr="00B85616" w:rsidRDefault="00E34342" w:rsidP="00230FAA">
            <w:pPr>
              <w:rPr>
                <w:sz w:val="16"/>
                <w:szCs w:val="16"/>
              </w:rPr>
            </w:pPr>
            <w:r w:rsidRPr="00B85616">
              <w:rPr>
                <w:sz w:val="16"/>
                <w:szCs w:val="16"/>
              </w:rPr>
              <w:t> </w:t>
            </w:r>
          </w:p>
        </w:tc>
        <w:tc>
          <w:tcPr>
            <w:tcW w:w="4239" w:type="dxa"/>
            <w:tcBorders>
              <w:top w:val="nil"/>
              <w:left w:val="nil"/>
              <w:bottom w:val="nil"/>
              <w:right w:val="nil"/>
            </w:tcBorders>
            <w:shd w:val="clear" w:color="000000" w:fill="C5D9F1"/>
            <w:noWrap/>
            <w:vAlign w:val="bottom"/>
            <w:hideMark/>
          </w:tcPr>
          <w:p w:rsidR="00E34342" w:rsidRPr="00B85616" w:rsidRDefault="00E34342" w:rsidP="00230FAA">
            <w:pPr>
              <w:jc w:val="right"/>
              <w:rPr>
                <w:b/>
                <w:bCs/>
                <w:sz w:val="16"/>
                <w:szCs w:val="16"/>
              </w:rPr>
            </w:pPr>
            <w:r w:rsidRPr="00B85616">
              <w:rPr>
                <w:b/>
                <w:bCs/>
                <w:sz w:val="16"/>
                <w:szCs w:val="16"/>
              </w:rPr>
              <w:t>Total</w:t>
            </w:r>
          </w:p>
        </w:tc>
        <w:tc>
          <w:tcPr>
            <w:tcW w:w="1168" w:type="dxa"/>
            <w:tcBorders>
              <w:top w:val="nil"/>
              <w:left w:val="nil"/>
              <w:bottom w:val="nil"/>
              <w:right w:val="nil"/>
            </w:tcBorders>
            <w:shd w:val="clear" w:color="000000" w:fill="C5D9F1"/>
            <w:noWrap/>
            <w:vAlign w:val="center"/>
            <w:hideMark/>
          </w:tcPr>
          <w:p w:rsidR="00E34342" w:rsidRPr="00B85616" w:rsidRDefault="00E34342" w:rsidP="00230FAA">
            <w:pPr>
              <w:jc w:val="center"/>
              <w:rPr>
                <w:sz w:val="16"/>
                <w:szCs w:val="16"/>
              </w:rPr>
            </w:pPr>
            <w:r w:rsidRPr="00B85616">
              <w:rPr>
                <w:sz w:val="16"/>
                <w:szCs w:val="16"/>
              </w:rPr>
              <w:t>6.072</w:t>
            </w:r>
          </w:p>
        </w:tc>
        <w:tc>
          <w:tcPr>
            <w:tcW w:w="1167" w:type="dxa"/>
            <w:tcBorders>
              <w:top w:val="nil"/>
              <w:left w:val="nil"/>
              <w:bottom w:val="nil"/>
              <w:right w:val="nil"/>
            </w:tcBorders>
            <w:shd w:val="clear" w:color="000000" w:fill="C5D9F1"/>
            <w:noWrap/>
            <w:vAlign w:val="center"/>
            <w:hideMark/>
          </w:tcPr>
          <w:p w:rsidR="00E34342" w:rsidRPr="00B85616" w:rsidRDefault="00E34342" w:rsidP="00230FAA">
            <w:pPr>
              <w:jc w:val="center"/>
              <w:rPr>
                <w:sz w:val="16"/>
                <w:szCs w:val="16"/>
              </w:rPr>
            </w:pPr>
            <w:r w:rsidRPr="00B85616">
              <w:rPr>
                <w:sz w:val="16"/>
                <w:szCs w:val="16"/>
              </w:rPr>
              <w:t>6.322</w:t>
            </w:r>
          </w:p>
        </w:tc>
        <w:tc>
          <w:tcPr>
            <w:tcW w:w="1175" w:type="dxa"/>
            <w:tcBorders>
              <w:top w:val="nil"/>
              <w:left w:val="nil"/>
              <w:bottom w:val="nil"/>
              <w:right w:val="nil"/>
            </w:tcBorders>
            <w:shd w:val="clear" w:color="000000" w:fill="C5D9F1"/>
            <w:noWrap/>
            <w:vAlign w:val="center"/>
            <w:hideMark/>
          </w:tcPr>
          <w:p w:rsidR="00E34342" w:rsidRPr="00B85616" w:rsidRDefault="00E34342" w:rsidP="00230FAA">
            <w:pPr>
              <w:jc w:val="center"/>
              <w:rPr>
                <w:sz w:val="16"/>
                <w:szCs w:val="16"/>
              </w:rPr>
            </w:pPr>
            <w:r w:rsidRPr="00B85616">
              <w:rPr>
                <w:sz w:val="16"/>
                <w:szCs w:val="16"/>
              </w:rPr>
              <w:t>2.741</w:t>
            </w:r>
          </w:p>
        </w:tc>
      </w:tr>
      <w:tr w:rsidR="00E34342" w:rsidRPr="00B85616" w:rsidTr="00230FAA">
        <w:trPr>
          <w:trHeight w:val="330"/>
          <w:jc w:val="center"/>
        </w:trPr>
        <w:tc>
          <w:tcPr>
            <w:tcW w:w="7025" w:type="dxa"/>
            <w:gridSpan w:val="4"/>
            <w:tcBorders>
              <w:top w:val="nil"/>
              <w:left w:val="nil"/>
              <w:bottom w:val="nil"/>
              <w:right w:val="nil"/>
            </w:tcBorders>
            <w:shd w:val="clear" w:color="auto" w:fill="auto"/>
            <w:noWrap/>
            <w:vAlign w:val="center"/>
            <w:hideMark/>
          </w:tcPr>
          <w:p w:rsidR="00E34342" w:rsidRPr="00B85616" w:rsidRDefault="00E34342" w:rsidP="00230FAA">
            <w:pPr>
              <w:rPr>
                <w:i/>
                <w:iCs/>
                <w:sz w:val="16"/>
                <w:szCs w:val="16"/>
              </w:rPr>
            </w:pPr>
            <w:r w:rsidRPr="00B85616">
              <w:rPr>
                <w:i/>
                <w:iCs/>
                <w:sz w:val="16"/>
                <w:szCs w:val="16"/>
              </w:rPr>
              <w:t>*Las cifras de gastos en 2016 son preliminares, a reserva de verificación por el Auditor Externo.</w:t>
            </w:r>
          </w:p>
        </w:tc>
        <w:tc>
          <w:tcPr>
            <w:tcW w:w="1175" w:type="dxa"/>
            <w:tcBorders>
              <w:top w:val="nil"/>
              <w:left w:val="nil"/>
              <w:bottom w:val="nil"/>
              <w:right w:val="nil"/>
            </w:tcBorders>
            <w:shd w:val="clear" w:color="auto" w:fill="auto"/>
            <w:noWrap/>
            <w:vAlign w:val="center"/>
            <w:hideMark/>
          </w:tcPr>
          <w:p w:rsidR="00E34342" w:rsidRPr="00B85616" w:rsidRDefault="00E34342" w:rsidP="00230FAA">
            <w:pPr>
              <w:rPr>
                <w:sz w:val="16"/>
                <w:szCs w:val="16"/>
              </w:rPr>
            </w:pPr>
          </w:p>
        </w:tc>
      </w:tr>
    </w:tbl>
    <w:p w:rsidR="00E34342" w:rsidRPr="00B85616" w:rsidRDefault="00E34342" w:rsidP="00230FAA">
      <w:pPr>
        <w:rPr>
          <w:sz w:val="20"/>
          <w:szCs w:val="18"/>
        </w:rPr>
      </w:pPr>
    </w:p>
    <w:p w:rsidR="00E34342" w:rsidRPr="00B85616" w:rsidRDefault="00E34342" w:rsidP="00230FAA">
      <w:pPr>
        <w:keepNext/>
        <w:keepLines/>
        <w:jc w:val="center"/>
        <w:rPr>
          <w:sz w:val="18"/>
          <w:szCs w:val="18"/>
        </w:rPr>
      </w:pPr>
      <w:r w:rsidRPr="00B85616">
        <w:rPr>
          <w:sz w:val="18"/>
          <w:szCs w:val="18"/>
        </w:rPr>
        <w:t xml:space="preserve">Presupuesto y gastos reales (de personal y no relativos a personal) </w:t>
      </w:r>
    </w:p>
    <w:p w:rsidR="00E34342" w:rsidRPr="00B85616" w:rsidRDefault="00E34342" w:rsidP="00230FAA">
      <w:pPr>
        <w:keepNext/>
        <w:keepLines/>
        <w:jc w:val="center"/>
        <w:rPr>
          <w:i/>
          <w:iCs/>
          <w:sz w:val="16"/>
          <w:szCs w:val="16"/>
        </w:rPr>
      </w:pPr>
      <w:r w:rsidRPr="00B85616">
        <w:rPr>
          <w:i/>
          <w:iCs/>
          <w:sz w:val="16"/>
          <w:szCs w:val="16"/>
        </w:rPr>
        <w:t>(en miles de francos suizos)</w:t>
      </w:r>
    </w:p>
    <w:p w:rsidR="00E34342" w:rsidRPr="00B85616" w:rsidRDefault="00E34342" w:rsidP="00230FAA">
      <w:pPr>
        <w:keepNext/>
        <w:keepLines/>
        <w:rPr>
          <w:sz w:val="20"/>
          <w:szCs w:val="18"/>
        </w:rPr>
      </w:pPr>
    </w:p>
    <w:tbl>
      <w:tblPr>
        <w:tblW w:w="8222" w:type="dxa"/>
        <w:jc w:val="center"/>
        <w:tblLook w:val="04A0" w:firstRow="1" w:lastRow="0" w:firstColumn="1" w:lastColumn="0" w:noHBand="0" w:noVBand="1"/>
      </w:tblPr>
      <w:tblGrid>
        <w:gridCol w:w="2470"/>
        <w:gridCol w:w="1438"/>
        <w:gridCol w:w="1438"/>
        <w:gridCol w:w="1438"/>
        <w:gridCol w:w="1438"/>
      </w:tblGrid>
      <w:tr w:rsidR="00E34342" w:rsidRPr="00B85616" w:rsidTr="00230FAA">
        <w:trPr>
          <w:trHeight w:val="720"/>
          <w:jc w:val="center"/>
        </w:trPr>
        <w:tc>
          <w:tcPr>
            <w:tcW w:w="2440" w:type="dxa"/>
            <w:tcBorders>
              <w:top w:val="nil"/>
              <w:left w:val="nil"/>
              <w:bottom w:val="nil"/>
              <w:right w:val="nil"/>
            </w:tcBorders>
            <w:shd w:val="clear" w:color="000000" w:fill="C5D9F1"/>
            <w:noWrap/>
            <w:vAlign w:val="center"/>
            <w:hideMark/>
          </w:tcPr>
          <w:p w:rsidR="00E34342" w:rsidRPr="00B85616" w:rsidRDefault="00E34342" w:rsidP="00230FAA">
            <w:pPr>
              <w:keepNext/>
              <w:keepLines/>
              <w:rPr>
                <w:sz w:val="16"/>
                <w:szCs w:val="16"/>
              </w:rPr>
            </w:pPr>
            <w:r w:rsidRPr="00B85616">
              <w:rPr>
                <w:sz w:val="16"/>
                <w:szCs w:val="16"/>
              </w:rPr>
              <w:t> </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Gastos en 2016*</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Índice de utilización (%)</w:t>
            </w:r>
          </w:p>
        </w:tc>
      </w:tr>
      <w:tr w:rsidR="00E34342" w:rsidRPr="00B85616" w:rsidTr="00230FAA">
        <w:trPr>
          <w:trHeight w:val="315"/>
          <w:jc w:val="center"/>
        </w:trPr>
        <w:tc>
          <w:tcPr>
            <w:tcW w:w="2440" w:type="dxa"/>
            <w:tcBorders>
              <w:top w:val="nil"/>
              <w:left w:val="nil"/>
              <w:bottom w:val="nil"/>
              <w:right w:val="nil"/>
            </w:tcBorders>
            <w:shd w:val="clear" w:color="auto" w:fill="auto"/>
            <w:noWrap/>
            <w:vAlign w:val="center"/>
            <w:hideMark/>
          </w:tcPr>
          <w:p w:rsidR="00E34342" w:rsidRPr="00B85616" w:rsidRDefault="00E34342" w:rsidP="00230FAA">
            <w:pPr>
              <w:keepNext/>
              <w:keepLines/>
              <w:rPr>
                <w:sz w:val="16"/>
                <w:szCs w:val="16"/>
              </w:rPr>
            </w:pPr>
            <w:r w:rsidRPr="00B85616">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 xml:space="preserve">4.997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 xml:space="preserve">5.021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 xml:space="preserve">2.326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46%</w:t>
            </w:r>
          </w:p>
        </w:tc>
      </w:tr>
      <w:tr w:rsidR="00E34342" w:rsidRPr="00B85616" w:rsidTr="00230FAA">
        <w:trPr>
          <w:trHeight w:val="315"/>
          <w:jc w:val="center"/>
        </w:trPr>
        <w:tc>
          <w:tcPr>
            <w:tcW w:w="2440" w:type="dxa"/>
            <w:tcBorders>
              <w:top w:val="nil"/>
              <w:left w:val="nil"/>
              <w:bottom w:val="nil"/>
              <w:right w:val="nil"/>
            </w:tcBorders>
            <w:shd w:val="clear" w:color="auto" w:fill="auto"/>
            <w:noWrap/>
            <w:vAlign w:val="center"/>
            <w:hideMark/>
          </w:tcPr>
          <w:p w:rsidR="00E34342" w:rsidRPr="00B85616" w:rsidRDefault="00E34342" w:rsidP="00230FAA">
            <w:pPr>
              <w:keepNext/>
              <w:keepLines/>
              <w:rPr>
                <w:sz w:val="16"/>
                <w:szCs w:val="16"/>
              </w:rPr>
            </w:pPr>
            <w:r w:rsidRPr="00B85616">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 xml:space="preserve">1.075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 xml:space="preserve">1.300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 xml:space="preserve">415 </w:t>
            </w:r>
          </w:p>
        </w:tc>
        <w:tc>
          <w:tcPr>
            <w:tcW w:w="1420" w:type="dxa"/>
            <w:tcBorders>
              <w:top w:val="nil"/>
              <w:left w:val="nil"/>
              <w:bottom w:val="nil"/>
              <w:right w:val="nil"/>
            </w:tcBorders>
            <w:shd w:val="clear" w:color="auto" w:fill="auto"/>
            <w:vAlign w:val="center"/>
            <w:hideMark/>
          </w:tcPr>
          <w:p w:rsidR="00E34342" w:rsidRPr="00B85616" w:rsidRDefault="00E34342" w:rsidP="00230FAA">
            <w:pPr>
              <w:keepNext/>
              <w:keepLines/>
              <w:jc w:val="center"/>
              <w:rPr>
                <w:sz w:val="16"/>
                <w:szCs w:val="16"/>
              </w:rPr>
            </w:pPr>
            <w:r w:rsidRPr="00B85616">
              <w:rPr>
                <w:sz w:val="16"/>
                <w:szCs w:val="16"/>
              </w:rPr>
              <w:t>32%</w:t>
            </w:r>
          </w:p>
        </w:tc>
      </w:tr>
      <w:tr w:rsidR="00E34342" w:rsidRPr="00B85616" w:rsidTr="00230FAA">
        <w:trPr>
          <w:trHeight w:val="225"/>
          <w:jc w:val="center"/>
        </w:trPr>
        <w:tc>
          <w:tcPr>
            <w:tcW w:w="2440" w:type="dxa"/>
            <w:tcBorders>
              <w:top w:val="nil"/>
              <w:left w:val="nil"/>
              <w:bottom w:val="nil"/>
              <w:right w:val="nil"/>
            </w:tcBorders>
            <w:shd w:val="clear" w:color="000000" w:fill="C5D9F1"/>
            <w:noWrap/>
            <w:vAlign w:val="center"/>
            <w:hideMark/>
          </w:tcPr>
          <w:p w:rsidR="00E34342" w:rsidRPr="00B85616" w:rsidRDefault="00E34342" w:rsidP="00230FAA">
            <w:pPr>
              <w:keepNext/>
              <w:keepLines/>
              <w:jc w:val="right"/>
              <w:rPr>
                <w:b/>
                <w:bCs/>
                <w:sz w:val="16"/>
                <w:szCs w:val="16"/>
              </w:rPr>
            </w:pPr>
            <w:r w:rsidRPr="00B85616">
              <w:rPr>
                <w:b/>
                <w:bCs/>
                <w:sz w:val="16"/>
                <w:szCs w:val="16"/>
              </w:rPr>
              <w:t xml:space="preserve"> Total </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 xml:space="preserve">6.072 </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 xml:space="preserve">6.322 </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 xml:space="preserve">2.741 </w:t>
            </w:r>
          </w:p>
        </w:tc>
        <w:tc>
          <w:tcPr>
            <w:tcW w:w="1420" w:type="dxa"/>
            <w:tcBorders>
              <w:top w:val="nil"/>
              <w:left w:val="nil"/>
              <w:bottom w:val="nil"/>
              <w:right w:val="nil"/>
            </w:tcBorders>
            <w:shd w:val="clear" w:color="000000" w:fill="C5D9F1"/>
            <w:vAlign w:val="center"/>
            <w:hideMark/>
          </w:tcPr>
          <w:p w:rsidR="00E34342" w:rsidRPr="00B85616" w:rsidRDefault="00E34342" w:rsidP="00230FAA">
            <w:pPr>
              <w:keepNext/>
              <w:keepLines/>
              <w:jc w:val="center"/>
              <w:rPr>
                <w:b/>
                <w:bCs/>
                <w:sz w:val="16"/>
                <w:szCs w:val="16"/>
              </w:rPr>
            </w:pPr>
            <w:r w:rsidRPr="00B85616">
              <w:rPr>
                <w:b/>
                <w:bCs/>
                <w:sz w:val="16"/>
                <w:szCs w:val="16"/>
              </w:rPr>
              <w:t>43%</w:t>
            </w:r>
          </w:p>
        </w:tc>
      </w:tr>
      <w:tr w:rsidR="00E34342" w:rsidRPr="00B85616" w:rsidTr="00230FAA">
        <w:trPr>
          <w:trHeight w:val="300"/>
          <w:jc w:val="center"/>
        </w:trPr>
        <w:tc>
          <w:tcPr>
            <w:tcW w:w="8120" w:type="dxa"/>
            <w:gridSpan w:val="5"/>
            <w:tcBorders>
              <w:top w:val="nil"/>
              <w:left w:val="nil"/>
              <w:bottom w:val="nil"/>
              <w:right w:val="nil"/>
            </w:tcBorders>
            <w:shd w:val="clear" w:color="auto" w:fill="auto"/>
            <w:noWrap/>
            <w:vAlign w:val="center"/>
            <w:hideMark/>
          </w:tcPr>
          <w:p w:rsidR="00E34342" w:rsidRPr="00B85616" w:rsidRDefault="00E34342" w:rsidP="00230FAA">
            <w:pPr>
              <w:keepNext/>
              <w:keepLines/>
              <w:rPr>
                <w:i/>
                <w:iCs/>
                <w:sz w:val="16"/>
                <w:szCs w:val="16"/>
              </w:rPr>
            </w:pPr>
            <w:r w:rsidRPr="00B85616">
              <w:rPr>
                <w:i/>
                <w:iCs/>
                <w:sz w:val="16"/>
                <w:szCs w:val="16"/>
              </w:rPr>
              <w:t xml:space="preserve"> *Las cifras de gastos en 2016 son preliminares, a reserva de verificación por el Auditor Externo.</w:t>
            </w:r>
          </w:p>
        </w:tc>
      </w:tr>
    </w:tbl>
    <w:p w:rsidR="00E34342" w:rsidRPr="00B85616" w:rsidRDefault="00E34342" w:rsidP="00230FAA">
      <w:pPr>
        <w:keepNext/>
        <w:keepLines/>
        <w:jc w:val="center"/>
        <w:rPr>
          <w:sz w:val="20"/>
          <w:szCs w:val="18"/>
        </w:rPr>
      </w:pPr>
    </w:p>
    <w:p w:rsidR="00E34342" w:rsidRPr="00B85616" w:rsidRDefault="00E34342" w:rsidP="00230FAA">
      <w:pPr>
        <w:keepNext/>
        <w:keepLines/>
        <w:ind w:left="567" w:right="282"/>
        <w:rPr>
          <w:i/>
          <w:sz w:val="16"/>
          <w:szCs w:val="16"/>
        </w:rPr>
      </w:pPr>
      <w:r w:rsidRPr="00B85616">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E34342" w:rsidRPr="00B85616" w:rsidRDefault="00E34342" w:rsidP="00230FAA">
      <w:pPr>
        <w:rPr>
          <w:sz w:val="20"/>
          <w:szCs w:val="18"/>
        </w:rPr>
      </w:pPr>
    </w:p>
    <w:p w:rsidR="00E34342" w:rsidRPr="00B85616" w:rsidRDefault="00E34342" w:rsidP="00230FAA">
      <w:pPr>
        <w:rPr>
          <w:sz w:val="20"/>
          <w:szCs w:val="18"/>
        </w:rPr>
      </w:pPr>
    </w:p>
    <w:p w:rsidR="00E34342" w:rsidRPr="00B85616" w:rsidRDefault="00E34342" w:rsidP="00230FAA">
      <w:pPr>
        <w:jc w:val="both"/>
        <w:rPr>
          <w:sz w:val="20"/>
          <w:u w:val="single"/>
        </w:rPr>
      </w:pPr>
      <w:r w:rsidRPr="00B85616">
        <w:rPr>
          <w:sz w:val="20"/>
        </w:rPr>
        <w:t>A.</w:t>
      </w:r>
      <w:r w:rsidRPr="00B85616">
        <w:rPr>
          <w:sz w:val="20"/>
        </w:rPr>
        <w:tab/>
      </w:r>
      <w:r w:rsidRPr="00B85616">
        <w:rPr>
          <w:sz w:val="20"/>
          <w:u w:val="single"/>
        </w:rPr>
        <w:t>Presupuesto de 2016/17 tras las transferencias</w:t>
      </w:r>
    </w:p>
    <w:p w:rsidR="00E34342" w:rsidRPr="00B85616" w:rsidRDefault="00E34342" w:rsidP="00230FAA">
      <w:pPr>
        <w:jc w:val="both"/>
        <w:rPr>
          <w:sz w:val="20"/>
        </w:rPr>
      </w:pPr>
    </w:p>
    <w:p w:rsidR="00E34342" w:rsidRPr="00B85616" w:rsidRDefault="00E34342" w:rsidP="00E34342">
      <w:pPr>
        <w:pStyle w:val="ListParagraph"/>
        <w:numPr>
          <w:ilvl w:val="0"/>
          <w:numId w:val="70"/>
        </w:numPr>
        <w:tabs>
          <w:tab w:val="left" w:pos="709"/>
        </w:tabs>
        <w:ind w:left="0" w:firstLine="18"/>
        <w:contextualSpacing/>
        <w:jc w:val="both"/>
        <w:rPr>
          <w:lang w:val="es-ES"/>
        </w:rPr>
      </w:pPr>
      <w:r w:rsidRPr="00B85616">
        <w:rPr>
          <w:lang w:val="es-ES"/>
        </w:rPr>
        <w:t xml:space="preserve">El aumento en los recursos de personal con respecto al presupuesto aprobado de 2016/17 </w:t>
      </w:r>
      <w:r w:rsidR="0048069B">
        <w:rPr>
          <w:lang w:val="es-ES"/>
        </w:rPr>
        <w:t>se debió</w:t>
      </w:r>
      <w:r w:rsidRPr="00B85616">
        <w:rPr>
          <w:lang w:val="es-ES"/>
        </w:rPr>
        <w:t xml:space="preserve"> principalmente a la reclasificación de un puesto</w:t>
      </w:r>
      <w:r w:rsidRPr="00B85616">
        <w:rPr>
          <w:lang w:val="es-ES" w:eastAsia="ko-KR"/>
        </w:rPr>
        <w:t>.</w:t>
      </w:r>
    </w:p>
    <w:p w:rsidR="00E34342" w:rsidRPr="00B85616" w:rsidRDefault="00E34342" w:rsidP="00230FAA">
      <w:pPr>
        <w:tabs>
          <w:tab w:val="left" w:pos="709"/>
        </w:tabs>
        <w:contextualSpacing/>
        <w:jc w:val="both"/>
        <w:rPr>
          <w:sz w:val="20"/>
        </w:rPr>
      </w:pPr>
    </w:p>
    <w:p w:rsidR="00E34342" w:rsidRPr="00B85616" w:rsidRDefault="00E34342" w:rsidP="00E34342">
      <w:pPr>
        <w:pStyle w:val="ListParagraph"/>
        <w:numPr>
          <w:ilvl w:val="0"/>
          <w:numId w:val="70"/>
        </w:numPr>
        <w:tabs>
          <w:tab w:val="left" w:pos="709"/>
        </w:tabs>
        <w:ind w:left="0" w:firstLine="18"/>
        <w:contextualSpacing/>
        <w:jc w:val="both"/>
        <w:rPr>
          <w:lang w:val="es-ES" w:eastAsia="ko-KR"/>
        </w:rPr>
      </w:pPr>
      <w:r w:rsidRPr="00B85616">
        <w:rPr>
          <w:lang w:val="es-ES" w:eastAsia="ko-KR"/>
        </w:rPr>
        <w:t xml:space="preserve">El aumento en los recursos no relativos a personal, que se refleja en el resultado previsto V.2 (Uso más amplio y mejor de los análisis económicos de la OMPI en la formulación de políticas) </w:t>
      </w:r>
      <w:r w:rsidR="0048069B">
        <w:rPr>
          <w:lang w:val="es-ES" w:eastAsia="ko-KR"/>
        </w:rPr>
        <w:t>se debió</w:t>
      </w:r>
      <w:r w:rsidRPr="00B85616">
        <w:rPr>
          <w:lang w:val="es-ES" w:eastAsia="ko-KR"/>
        </w:rPr>
        <w:t xml:space="preserve"> a la asignación de la parte del presupuesto de 2015 no utilizada en el marco del proyecto de la A.D. sobre P.I. y desarrollo socioeconómico (fase II) y la necesidad de asignar recursos adicionales para:  i) la elaboración del Índice Mundial de Innovación;  ii) la ejecución de proyectos específicos de investigación en relación con el Informe mundial sobre la P.I. de 2017;  y iii) la ejecución de trabajos de investigación sobre la economía creativa. </w:t>
      </w:r>
    </w:p>
    <w:p w:rsidR="00E34342" w:rsidRPr="00B85616" w:rsidRDefault="00E34342" w:rsidP="00230FAA">
      <w:pPr>
        <w:pStyle w:val="ListParagraph"/>
        <w:tabs>
          <w:tab w:val="left" w:pos="709"/>
        </w:tabs>
        <w:ind w:left="18"/>
        <w:contextualSpacing/>
        <w:jc w:val="both"/>
        <w:rPr>
          <w:lang w:val="es-ES" w:eastAsia="ko-KR"/>
        </w:rPr>
      </w:pPr>
    </w:p>
    <w:p w:rsidR="00E34342" w:rsidRPr="00B85616" w:rsidRDefault="00E34342" w:rsidP="00E34342">
      <w:pPr>
        <w:pStyle w:val="ListParagraph"/>
        <w:numPr>
          <w:ilvl w:val="0"/>
          <w:numId w:val="70"/>
        </w:numPr>
        <w:tabs>
          <w:tab w:val="left" w:pos="709"/>
        </w:tabs>
        <w:ind w:left="0" w:firstLine="18"/>
        <w:contextualSpacing/>
        <w:jc w:val="both"/>
        <w:rPr>
          <w:lang w:val="es-ES" w:eastAsia="ko-KR"/>
        </w:rPr>
      </w:pPr>
      <w:r w:rsidRPr="00B85616">
        <w:rPr>
          <w:lang w:val="es-ES" w:eastAsia="ko-KR"/>
        </w:rPr>
        <w:t>La disminución en los recursos en el marco del resultado previsto V.1 (Mayor y mejor utilización de la información estadística de la OMPI en materia de P.I.) refleja la transferencia de recursos para el establecimiento de una nueva línea de investigación sobre políticas y resultados en la economía creativa en el marco del resultado previsto V.2 (Uso más amplio y mejor de los análisis económicos de la OMPI en la formulación de políticas).</w:t>
      </w:r>
    </w:p>
    <w:p w:rsidR="00E34342" w:rsidRPr="00B85616" w:rsidRDefault="00E34342" w:rsidP="00230FAA">
      <w:pPr>
        <w:tabs>
          <w:tab w:val="left" w:pos="709"/>
        </w:tabs>
        <w:contextualSpacing/>
        <w:jc w:val="both"/>
        <w:rPr>
          <w:sz w:val="20"/>
        </w:rPr>
      </w:pPr>
    </w:p>
    <w:p w:rsidR="00E34342" w:rsidRPr="00B85616" w:rsidRDefault="00E34342" w:rsidP="00230FAA">
      <w:pPr>
        <w:jc w:val="both"/>
        <w:rPr>
          <w:sz w:val="20"/>
          <w:u w:val="single"/>
          <w:lang w:eastAsia="ko-KR"/>
        </w:rPr>
      </w:pPr>
      <w:r w:rsidRPr="00B85616">
        <w:rPr>
          <w:sz w:val="20"/>
        </w:rPr>
        <w:t>B.</w:t>
      </w:r>
      <w:r w:rsidRPr="00B85616">
        <w:rPr>
          <w:sz w:val="20"/>
        </w:rPr>
        <w:tab/>
      </w:r>
      <w:r w:rsidRPr="00B85616">
        <w:rPr>
          <w:sz w:val="20"/>
          <w:u w:val="single"/>
        </w:rPr>
        <w:t>Utilización del presupuesto en 2016/17</w:t>
      </w:r>
    </w:p>
    <w:p w:rsidR="00E34342" w:rsidRPr="00B85616" w:rsidRDefault="00E34342" w:rsidP="00230FAA">
      <w:pPr>
        <w:tabs>
          <w:tab w:val="left" w:pos="709"/>
        </w:tabs>
        <w:jc w:val="both"/>
        <w:rPr>
          <w:sz w:val="20"/>
          <w:u w:val="single"/>
          <w:lang w:eastAsia="ko-KR"/>
        </w:rPr>
      </w:pPr>
    </w:p>
    <w:p w:rsidR="00E34342" w:rsidRPr="00B85616" w:rsidRDefault="00E34342" w:rsidP="00E34342">
      <w:pPr>
        <w:pStyle w:val="ListParagraph"/>
        <w:numPr>
          <w:ilvl w:val="0"/>
          <w:numId w:val="70"/>
        </w:numPr>
        <w:tabs>
          <w:tab w:val="left" w:pos="709"/>
        </w:tabs>
        <w:ind w:left="0" w:firstLine="18"/>
        <w:contextualSpacing/>
        <w:jc w:val="both"/>
        <w:rPr>
          <w:lang w:val="es-ES" w:eastAsia="ko-KR"/>
        </w:rPr>
      </w:pPr>
      <w:r w:rsidRPr="00B85616">
        <w:rPr>
          <w:lang w:val="es-ES" w:eastAsia="ko-KR"/>
        </w:rPr>
        <w:t>La utilización de</w:t>
      </w:r>
      <w:r w:rsidR="00CB0271">
        <w:rPr>
          <w:lang w:val="es-ES" w:eastAsia="ko-KR"/>
        </w:rPr>
        <w:t>l</w:t>
      </w:r>
      <w:r w:rsidRPr="00B85616">
        <w:rPr>
          <w:lang w:val="es-ES" w:eastAsia="ko-KR"/>
        </w:rPr>
        <w:t xml:space="preserve"> 32% del presupuesto </w:t>
      </w:r>
      <w:r w:rsidR="00CB0271">
        <w:rPr>
          <w:lang w:val="es-ES" w:eastAsia="ko-KR"/>
        </w:rPr>
        <w:t>de</w:t>
      </w:r>
      <w:r w:rsidRPr="00B85616">
        <w:rPr>
          <w:lang w:val="es-ES" w:eastAsia="ko-KR"/>
        </w:rPr>
        <w:t xml:space="preserve"> recursos no relativos a personal </w:t>
      </w:r>
      <w:r w:rsidR="0048069B">
        <w:rPr>
          <w:lang w:val="es-ES" w:eastAsia="ko-KR"/>
        </w:rPr>
        <w:t>se debió</w:t>
      </w:r>
      <w:r w:rsidRPr="00B85616">
        <w:rPr>
          <w:lang w:val="es-ES" w:eastAsia="ko-KR"/>
        </w:rPr>
        <w:t xml:space="preserve"> principalmente a </w:t>
      </w:r>
      <w:r w:rsidR="00CB0271">
        <w:rPr>
          <w:lang w:val="es-ES" w:eastAsia="ko-KR"/>
        </w:rPr>
        <w:t>los calendarios de pagos relativos a la preparación del Informe Mundial de Propiedad Intelectual de 2017 y a los estudios del proyecto de la A.D</w:t>
      </w:r>
      <w:r w:rsidRPr="00B85616">
        <w:rPr>
          <w:lang w:val="es-ES" w:eastAsia="ko-KR"/>
        </w:rPr>
        <w:t xml:space="preserve">. </w:t>
      </w:r>
    </w:p>
    <w:p w:rsidR="00E34342" w:rsidRPr="00B85616" w:rsidRDefault="00E34342" w:rsidP="00230FAA">
      <w:pPr>
        <w:rPr>
          <w:b/>
          <w:bCs/>
          <w:iCs/>
          <w:caps/>
          <w:sz w:val="20"/>
          <w:lang w:eastAsia="da-DK"/>
        </w:rPr>
      </w:pPr>
    </w:p>
    <w:p w:rsidR="00EE1CCE" w:rsidRPr="002F663B" w:rsidRDefault="00EE1CCE" w:rsidP="00EE1CCE">
      <w:pPr>
        <w:pStyle w:val="ListParagraph"/>
        <w:ind w:left="0"/>
        <w:contextualSpacing/>
        <w:jc w:val="both"/>
        <w:rPr>
          <w:rFonts w:cs="Arial"/>
          <w:lang w:val="es-ES"/>
        </w:rPr>
      </w:pPr>
      <w:r w:rsidRPr="002F663B">
        <w:rPr>
          <w:rFonts w:cs="Arial"/>
          <w:lang w:val="es-ES"/>
        </w:rPr>
        <w:br w:type="page"/>
      </w:r>
    </w:p>
    <w:p w:rsidR="00EE1CCE" w:rsidRPr="008F3D8D" w:rsidRDefault="00EE1CCE" w:rsidP="00425619">
      <w:pPr>
        <w:pStyle w:val="Heading2"/>
        <w:spacing w:before="0" w:after="0"/>
        <w:jc w:val="center"/>
        <w:rPr>
          <w:b/>
          <w:sz w:val="20"/>
          <w:szCs w:val="20"/>
        </w:rPr>
      </w:pPr>
      <w:bookmarkStart w:id="58" w:name="_Toc482711265"/>
      <w:bookmarkStart w:id="59" w:name="_Toc422210502"/>
      <w:bookmarkStart w:id="60" w:name="_Toc367350594"/>
      <w:r w:rsidRPr="008F3D8D">
        <w:rPr>
          <w:b/>
          <w:sz w:val="20"/>
          <w:szCs w:val="20"/>
          <w:lang w:val="es-ES_tradnl"/>
        </w:rPr>
        <w:lastRenderedPageBreak/>
        <w:t>META ESTRATÉGICA VI</w:t>
      </w:r>
      <w:bookmarkEnd w:id="58"/>
    </w:p>
    <w:p w:rsidR="00EE1CCE" w:rsidRPr="008F3D8D" w:rsidRDefault="00EE1CCE" w:rsidP="00425619">
      <w:pPr>
        <w:jc w:val="center"/>
        <w:rPr>
          <w:b/>
          <w:sz w:val="20"/>
        </w:rPr>
      </w:pPr>
    </w:p>
    <w:p w:rsidR="00EE1CCE" w:rsidRPr="008F3D8D" w:rsidRDefault="00EE1CCE" w:rsidP="00425619">
      <w:pPr>
        <w:jc w:val="center"/>
        <w:rPr>
          <w:b/>
          <w:sz w:val="20"/>
        </w:rPr>
      </w:pPr>
      <w:r w:rsidRPr="008F3D8D">
        <w:rPr>
          <w:b/>
          <w:sz w:val="20"/>
          <w:lang w:val="es-ES_tradnl"/>
        </w:rPr>
        <w:t>COOPERACIÓN INTERNACIONAL PARA FOMENTAR EL RESPETO POR LA P.I.</w:t>
      </w:r>
      <w:r w:rsidRPr="008F3D8D">
        <w:rPr>
          <w:b/>
          <w:sz w:val="20"/>
        </w:rPr>
        <w:t xml:space="preserve"> </w:t>
      </w:r>
    </w:p>
    <w:p w:rsidR="00EE1CCE" w:rsidRPr="008F3D8D" w:rsidRDefault="00EE1CCE" w:rsidP="00425619">
      <w:pPr>
        <w:rPr>
          <w:sz w:val="20"/>
        </w:rPr>
      </w:pPr>
    </w:p>
    <w:p w:rsidR="00EE1CCE" w:rsidRPr="008F3D8D" w:rsidRDefault="00EE1CCE" w:rsidP="00425619">
      <w:pPr>
        <w:jc w:val="center"/>
        <w:rPr>
          <w:b/>
          <w:sz w:val="20"/>
        </w:rPr>
      </w:pPr>
      <w:r w:rsidRPr="008F3D8D">
        <w:rPr>
          <w:b/>
          <w:sz w:val="20"/>
        </w:rPr>
        <w:t>Tablero de control del rendimiento a mediano plazo (2016)</w:t>
      </w:r>
    </w:p>
    <w:p w:rsidR="00EE1CCE" w:rsidRPr="008F3D8D" w:rsidRDefault="00EE1CCE" w:rsidP="00EE1CCE">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EE1CCE" w:rsidP="00EE1CCE">
      <w:pPr>
        <w:jc w:val="center"/>
      </w:pPr>
      <w:r w:rsidRPr="008F3D8D">
        <w:rPr>
          <w:noProof/>
          <w:lang w:val="en-US" w:eastAsia="en-US"/>
        </w:rPr>
        <w:drawing>
          <wp:inline distT="0" distB="0" distL="0" distR="0" wp14:anchorId="63BC237F" wp14:editId="43AA9AED">
            <wp:extent cx="4457700" cy="252182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4457700" cy="2521827"/>
                    </a:xfrm>
                    <a:prstGeom prst="rect">
                      <a:avLst/>
                    </a:prstGeom>
                    <a:noFill/>
                    <a:ln>
                      <a:noFill/>
                    </a:ln>
                  </pic:spPr>
                </pic:pic>
              </a:graphicData>
            </a:graphic>
          </wp:inline>
        </w:drawing>
      </w:r>
    </w:p>
    <w:tbl>
      <w:tblPr>
        <w:tblW w:w="9214" w:type="dxa"/>
        <w:tblInd w:w="108" w:type="dxa"/>
        <w:tblLayout w:type="fixed"/>
        <w:tblLook w:val="0000" w:firstRow="0" w:lastRow="0" w:firstColumn="0" w:lastColumn="0" w:noHBand="0" w:noVBand="0"/>
      </w:tblPr>
      <w:tblGrid>
        <w:gridCol w:w="2723"/>
        <w:gridCol w:w="3855"/>
        <w:gridCol w:w="1587"/>
        <w:gridCol w:w="1049"/>
      </w:tblGrid>
      <w:tr w:rsidR="00EE1CCE" w:rsidRPr="008F3D8D" w:rsidTr="00A34E19">
        <w:trPr>
          <w:cantSplit/>
          <w:trHeight w:val="455"/>
        </w:trPr>
        <w:tc>
          <w:tcPr>
            <w:tcW w:w="1478" w:type="pct"/>
            <w:shd w:val="clear" w:color="auto" w:fill="B8CCE4" w:themeFill="accent1" w:themeFillTint="66"/>
            <w:vAlign w:val="center"/>
          </w:tcPr>
          <w:p w:rsidR="00EE1CCE" w:rsidRPr="008F3D8D" w:rsidRDefault="00EE1CCE" w:rsidP="00A34E19">
            <w:pPr>
              <w:spacing w:after="120"/>
              <w:rPr>
                <w:b/>
                <w:bCs/>
                <w:sz w:val="18"/>
                <w:szCs w:val="18"/>
              </w:rPr>
            </w:pPr>
            <w:r w:rsidRPr="008F3D8D">
              <w:rPr>
                <w:b/>
                <w:bCs/>
                <w:sz w:val="18"/>
                <w:szCs w:val="18"/>
                <w:lang w:val="es-ES_tradnl"/>
              </w:rPr>
              <w:t>Resultado previsto:</w:t>
            </w:r>
          </w:p>
        </w:tc>
        <w:tc>
          <w:tcPr>
            <w:tcW w:w="2092" w:type="pct"/>
            <w:shd w:val="clear" w:color="auto" w:fill="B8CCE4" w:themeFill="accent1" w:themeFillTint="66"/>
            <w:tcMar>
              <w:top w:w="110" w:type="dxa"/>
            </w:tcMar>
            <w:vAlign w:val="center"/>
          </w:tcPr>
          <w:p w:rsidR="00EE1CCE" w:rsidRPr="008F3D8D" w:rsidRDefault="00EE1CCE" w:rsidP="00A34E19">
            <w:pPr>
              <w:spacing w:after="120"/>
              <w:rPr>
                <w:b/>
                <w:bCs/>
                <w:sz w:val="18"/>
                <w:szCs w:val="18"/>
              </w:rPr>
            </w:pPr>
            <w:r w:rsidRPr="008F3D8D">
              <w:rPr>
                <w:b/>
                <w:bCs/>
                <w:sz w:val="18"/>
                <w:szCs w:val="18"/>
                <w:lang w:val="es-ES_tradnl"/>
              </w:rPr>
              <w:t>Indicadores de rendimiento</w:t>
            </w:r>
          </w:p>
        </w:tc>
        <w:tc>
          <w:tcPr>
            <w:tcW w:w="861" w:type="pct"/>
            <w:shd w:val="clear" w:color="auto" w:fill="B8CCE4" w:themeFill="accent1" w:themeFillTint="66"/>
            <w:tcMar>
              <w:top w:w="110" w:type="dxa"/>
            </w:tcMar>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Programas responsables</w:t>
            </w:r>
          </w:p>
        </w:tc>
        <w:tc>
          <w:tcPr>
            <w:tcW w:w="569" w:type="pct"/>
            <w:shd w:val="clear" w:color="auto" w:fill="B8CCE4" w:themeFill="accent1" w:themeFillTint="66"/>
          </w:tcPr>
          <w:p w:rsidR="00EE1CCE" w:rsidRPr="008F3D8D" w:rsidRDefault="00EE1CCE" w:rsidP="00A34E19">
            <w:pPr>
              <w:spacing w:after="120"/>
              <w:ind w:left="85"/>
              <w:jc w:val="center"/>
              <w:rPr>
                <w:b/>
                <w:bCs/>
                <w:sz w:val="18"/>
                <w:szCs w:val="18"/>
              </w:rPr>
            </w:pPr>
            <w:r w:rsidRPr="008F3D8D">
              <w:rPr>
                <w:b/>
                <w:bCs/>
                <w:sz w:val="18"/>
                <w:szCs w:val="18"/>
                <w:lang w:val="es-ES_tradnl"/>
              </w:rPr>
              <w:t>Clave de colores</w:t>
            </w:r>
          </w:p>
        </w:tc>
      </w:tr>
      <w:tr w:rsidR="00EE1CCE" w:rsidRPr="008F3D8D" w:rsidTr="00A34E19">
        <w:trPr>
          <w:cantSplit/>
          <w:trHeight w:val="842"/>
        </w:trPr>
        <w:tc>
          <w:tcPr>
            <w:tcW w:w="1478"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VI.1  Avances en el diálogo internacional sobre políticas entre los Estados miembros de la OMPI para fomentar el respeto por la P.I. sobre la base de la recomendación 45 de la Agenda de la OMPI para el Desarrollo</w:t>
            </w:r>
          </w:p>
        </w:tc>
        <w:tc>
          <w:tcPr>
            <w:tcW w:w="2092"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Acuerdo constante entre los Estados miembros sobre la labor sustantiva del Comité Asesor de la OMPI sobre Observancia (ACE), al incorporar elementos orientados al desarrollo.</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17</w:t>
            </w:r>
          </w:p>
        </w:tc>
        <w:tc>
          <w:tcPr>
            <w:tcW w:w="569"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A34E19">
        <w:trPr>
          <w:cantSplit/>
          <w:trHeight w:val="704"/>
        </w:trPr>
        <w:tc>
          <w:tcPr>
            <w:tcW w:w="1478"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VI.2  Cooperación y coordinación sistemáticas, eficaces y transparentes entre la OMPI y otras organizaciones internacionales en el fomento del respeto por la P.I.</w:t>
            </w:r>
          </w:p>
        </w:tc>
        <w:tc>
          <w:tcPr>
            <w:tcW w:w="2092"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colaboraciones estratégicas u otras actividades conjuntas con organizaciones asociadas para el fomento del respeto por la P.I.</w:t>
            </w:r>
          </w:p>
          <w:p w:rsidR="00EE1CCE" w:rsidRPr="008F3D8D" w:rsidRDefault="00EE1CCE" w:rsidP="00A34E19">
            <w:pPr>
              <w:rPr>
                <w:sz w:val="16"/>
                <w:szCs w:val="16"/>
              </w:rPr>
            </w:pP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17</w:t>
            </w:r>
          </w:p>
        </w:tc>
        <w:tc>
          <w:tcPr>
            <w:tcW w:w="569" w:type="pct"/>
            <w:shd w:val="clear" w:color="auto" w:fill="FFFFFF"/>
          </w:tcPr>
          <w:p w:rsidR="00EE1CCE" w:rsidRPr="008F3D8D" w:rsidRDefault="00EE1CCE" w:rsidP="00A34E19">
            <w:pPr>
              <w:jc w:val="center"/>
            </w:pPr>
            <w:r w:rsidRPr="008F3D8D">
              <w:rPr>
                <w:color w:val="00B050"/>
                <w:szCs w:val="22"/>
              </w:rPr>
              <w:sym w:font="Wingdings" w:char="F06C"/>
            </w:r>
          </w:p>
        </w:tc>
      </w:tr>
      <w:bookmarkEnd w:id="59"/>
      <w:bookmarkEnd w:id="60"/>
    </w:tbl>
    <w:p w:rsidR="00EE1CCE" w:rsidRPr="008F3D8D" w:rsidRDefault="00EE1CCE" w:rsidP="00EE1CCE">
      <w:pPr>
        <w:pStyle w:val="ListParagraph"/>
        <w:ind w:left="0"/>
        <w:contextualSpacing/>
        <w:jc w:val="both"/>
        <w:rPr>
          <w:rFonts w:cs="Arial"/>
        </w:rPr>
      </w:pPr>
    </w:p>
    <w:p w:rsidR="004218A6" w:rsidRDefault="004218A6">
      <w:pPr>
        <w:rPr>
          <w:rFonts w:eastAsia="Times New Roman"/>
          <w:sz w:val="20"/>
          <w:lang w:eastAsia="en-US"/>
        </w:rPr>
      </w:pPr>
      <w:r>
        <w:rPr>
          <w:rFonts w:eastAsia="Times New Roman"/>
          <w:sz w:val="20"/>
          <w:lang w:eastAsia="en-US"/>
        </w:rPr>
        <w:br w:type="page"/>
      </w:r>
    </w:p>
    <w:p w:rsidR="004218A6" w:rsidRPr="00D84A0D" w:rsidRDefault="004218A6" w:rsidP="00CB0271">
      <w:pPr>
        <w:keepNext/>
        <w:tabs>
          <w:tab w:val="left" w:pos="2410"/>
          <w:tab w:val="right" w:pos="9072"/>
        </w:tabs>
        <w:jc w:val="both"/>
        <w:outlineLvl w:val="1"/>
        <w:rPr>
          <w:b/>
          <w:bCs/>
          <w:iCs/>
        </w:rPr>
      </w:pPr>
      <w:bookmarkStart w:id="61" w:name="_Toc482711266"/>
      <w:r w:rsidRPr="00D84A0D">
        <w:rPr>
          <w:b/>
          <w:bCs/>
          <w:iCs/>
        </w:rPr>
        <w:lastRenderedPageBreak/>
        <w:t>PROGRAMA 17</w:t>
      </w:r>
      <w:r w:rsidRPr="00D84A0D">
        <w:rPr>
          <w:b/>
          <w:bCs/>
          <w:iCs/>
        </w:rPr>
        <w:tab/>
        <w:t>FOMENTAR EL RESPETO POR LA P.I.</w:t>
      </w:r>
      <w:bookmarkEnd w:id="61"/>
    </w:p>
    <w:p w:rsidR="004218A6" w:rsidRPr="00D84A0D" w:rsidRDefault="004218A6" w:rsidP="00230FAA">
      <w:pPr>
        <w:jc w:val="both"/>
        <w:rPr>
          <w:sz w:val="20"/>
        </w:rPr>
      </w:pPr>
    </w:p>
    <w:p w:rsidR="004218A6" w:rsidRPr="00D84A0D" w:rsidRDefault="004218A6" w:rsidP="00CB0271">
      <w:pPr>
        <w:tabs>
          <w:tab w:val="left" w:pos="2410"/>
        </w:tabs>
        <w:jc w:val="both"/>
        <w:rPr>
          <w:b/>
          <w:sz w:val="20"/>
        </w:rPr>
      </w:pPr>
      <w:r w:rsidRPr="00D84A0D">
        <w:rPr>
          <w:b/>
          <w:sz w:val="20"/>
        </w:rPr>
        <w:t>Director de programa</w:t>
      </w:r>
      <w:r w:rsidRPr="00D84A0D">
        <w:rPr>
          <w:b/>
          <w:sz w:val="20"/>
        </w:rPr>
        <w:tab/>
        <w:t>Sr. M.A. Getahun</w:t>
      </w:r>
    </w:p>
    <w:p w:rsidR="004218A6" w:rsidRPr="00D84A0D" w:rsidRDefault="004218A6" w:rsidP="00230FAA">
      <w:pPr>
        <w:tabs>
          <w:tab w:val="left" w:pos="1985"/>
        </w:tabs>
        <w:jc w:val="center"/>
        <w:rPr>
          <w:b/>
          <w:sz w:val="20"/>
        </w:rPr>
      </w:pPr>
      <w:r w:rsidRPr="00D84A0D">
        <w:rPr>
          <w:noProof/>
          <w:lang w:val="en-US" w:eastAsia="en-US"/>
        </w:rPr>
        <w:drawing>
          <wp:inline distT="0" distB="0" distL="0" distR="0" wp14:anchorId="03063D22" wp14:editId="2163FC53">
            <wp:extent cx="4774576" cy="2733675"/>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4780220" cy="2736906"/>
                    </a:xfrm>
                    <a:prstGeom prst="rect">
                      <a:avLst/>
                    </a:prstGeom>
                    <a:noFill/>
                    <a:ln>
                      <a:noFill/>
                    </a:ln>
                  </pic:spPr>
                </pic:pic>
              </a:graphicData>
            </a:graphic>
          </wp:inline>
        </w:drawing>
      </w:r>
      <w:r w:rsidRPr="00D84A0D">
        <w:t xml:space="preserve">  </w:t>
      </w:r>
    </w:p>
    <w:tbl>
      <w:tblPr>
        <w:tblW w:w="5000" w:type="pct"/>
        <w:tblInd w:w="58" w:type="dxa"/>
        <w:tblLayout w:type="fixed"/>
        <w:tblCellMar>
          <w:left w:w="115" w:type="dxa"/>
          <w:right w:w="115" w:type="dxa"/>
        </w:tblCellMar>
        <w:tblLook w:val="0000" w:firstRow="0" w:lastRow="0" w:firstColumn="0" w:lastColumn="0" w:noHBand="0" w:noVBand="0"/>
      </w:tblPr>
      <w:tblGrid>
        <w:gridCol w:w="1970"/>
        <w:gridCol w:w="2774"/>
        <w:gridCol w:w="1343"/>
        <w:gridCol w:w="2159"/>
        <w:gridCol w:w="941"/>
      </w:tblGrid>
      <w:tr w:rsidR="004218A6" w:rsidRPr="00D84A0D" w:rsidTr="00230FAA">
        <w:trPr>
          <w:trHeight w:val="565"/>
        </w:trPr>
        <w:tc>
          <w:tcPr>
            <w:tcW w:w="5000" w:type="pct"/>
            <w:gridSpan w:val="5"/>
            <w:shd w:val="clear" w:color="auto" w:fill="C6D9F1" w:themeFill="text2" w:themeFillTint="33"/>
            <w:tcMar>
              <w:left w:w="58" w:type="dxa"/>
              <w:right w:w="58" w:type="dxa"/>
            </w:tcMar>
            <w:vAlign w:val="center"/>
          </w:tcPr>
          <w:p w:rsidR="004218A6" w:rsidRPr="00D84A0D" w:rsidRDefault="004218A6" w:rsidP="00230FAA">
            <w:pPr>
              <w:jc w:val="center"/>
              <w:rPr>
                <w:szCs w:val="22"/>
              </w:rPr>
            </w:pPr>
          </w:p>
          <w:p w:rsidR="004218A6" w:rsidRPr="00D84A0D" w:rsidRDefault="004218A6" w:rsidP="00230FAA">
            <w:pPr>
              <w:keepNext/>
              <w:keepLines/>
              <w:tabs>
                <w:tab w:val="left" w:pos="1452"/>
              </w:tabs>
              <w:ind w:left="1701" w:hanging="1701"/>
              <w:rPr>
                <w:bCs/>
                <w:sz w:val="16"/>
                <w:szCs w:val="16"/>
              </w:rPr>
            </w:pPr>
            <w:r w:rsidRPr="00D84A0D">
              <w:rPr>
                <w:b/>
                <w:bCs/>
                <w:sz w:val="16"/>
                <w:szCs w:val="16"/>
              </w:rPr>
              <w:t>Resultado previsto:</w:t>
            </w:r>
            <w:r w:rsidRPr="00D84A0D">
              <w:rPr>
                <w:b/>
                <w:bCs/>
                <w:sz w:val="16"/>
                <w:szCs w:val="16"/>
              </w:rPr>
              <w:tab/>
            </w:r>
            <w:r w:rsidRPr="00D84A0D">
              <w:rPr>
                <w:rFonts w:cs="Times New Roman"/>
                <w:sz w:val="16"/>
                <w:szCs w:val="16"/>
              </w:rPr>
              <w:t xml:space="preserve">I.2  Marcos de P.I. adaptados y equilibrados en el ámbito legislativo, regulador y de política </w:t>
            </w:r>
          </w:p>
          <w:p w:rsidR="004218A6" w:rsidRPr="00D84A0D" w:rsidRDefault="004218A6" w:rsidP="00230FAA">
            <w:pPr>
              <w:keepNext/>
              <w:keepLines/>
              <w:tabs>
                <w:tab w:val="left" w:pos="1452"/>
              </w:tabs>
              <w:rPr>
                <w:b/>
                <w:bCs/>
                <w:sz w:val="16"/>
                <w:szCs w:val="16"/>
              </w:rPr>
            </w:pPr>
          </w:p>
        </w:tc>
      </w:tr>
      <w:tr w:rsidR="004218A6" w:rsidRPr="00D84A0D" w:rsidTr="00230FAA">
        <w:tc>
          <w:tcPr>
            <w:tcW w:w="1072"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Indicadores de rendimiento</w:t>
            </w:r>
          </w:p>
        </w:tc>
        <w:tc>
          <w:tcPr>
            <w:tcW w:w="1510"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Referencias de base</w:t>
            </w:r>
          </w:p>
        </w:tc>
        <w:tc>
          <w:tcPr>
            <w:tcW w:w="731" w:type="pct"/>
            <w:shd w:val="clear" w:color="auto" w:fill="auto"/>
            <w:tcMar>
              <w:top w:w="110" w:type="dxa"/>
              <w:left w:w="58" w:type="dxa"/>
              <w:right w:w="58" w:type="dxa"/>
            </w:tcMar>
            <w:vAlign w:val="center"/>
          </w:tcPr>
          <w:p w:rsidR="004218A6" w:rsidRPr="00D84A0D" w:rsidRDefault="004218A6" w:rsidP="00230FAA">
            <w:pPr>
              <w:tabs>
                <w:tab w:val="left" w:pos="290"/>
              </w:tabs>
              <w:rPr>
                <w:b/>
                <w:bCs/>
                <w:sz w:val="16"/>
                <w:szCs w:val="16"/>
              </w:rPr>
            </w:pPr>
            <w:r w:rsidRPr="00D84A0D">
              <w:rPr>
                <w:b/>
                <w:bCs/>
                <w:sz w:val="16"/>
                <w:szCs w:val="16"/>
              </w:rPr>
              <w:t>Objetivos</w:t>
            </w:r>
          </w:p>
        </w:tc>
        <w:tc>
          <w:tcPr>
            <w:tcW w:w="1175" w:type="pct"/>
            <w:shd w:val="clear" w:color="auto" w:fill="FFFFFF"/>
            <w:tcMar>
              <w:top w:w="110" w:type="dxa"/>
              <w:left w:w="58" w:type="dxa"/>
              <w:right w:w="58" w:type="dxa"/>
            </w:tcMar>
            <w:vAlign w:val="center"/>
          </w:tcPr>
          <w:p w:rsidR="004218A6" w:rsidRPr="00D84A0D" w:rsidRDefault="004218A6" w:rsidP="00230FAA">
            <w:pPr>
              <w:rPr>
                <w:b/>
                <w:bCs/>
                <w:sz w:val="16"/>
                <w:szCs w:val="16"/>
              </w:rPr>
            </w:pPr>
            <w:r w:rsidRPr="00D84A0D">
              <w:rPr>
                <w:b/>
                <w:bCs/>
                <w:sz w:val="16"/>
                <w:szCs w:val="16"/>
              </w:rPr>
              <w:t>Datos sobre el rendimiento</w:t>
            </w:r>
          </w:p>
        </w:tc>
        <w:tc>
          <w:tcPr>
            <w:tcW w:w="512" w:type="pct"/>
            <w:shd w:val="clear" w:color="auto" w:fill="auto"/>
            <w:tcMar>
              <w:top w:w="110" w:type="dxa"/>
              <w:left w:w="58" w:type="dxa"/>
              <w:right w:w="58" w:type="dxa"/>
            </w:tcMar>
            <w:vAlign w:val="center"/>
          </w:tcPr>
          <w:p w:rsidR="004218A6" w:rsidRPr="00D84A0D" w:rsidRDefault="004218A6" w:rsidP="00230FAA">
            <w:pPr>
              <w:keepNext/>
              <w:keepLines/>
              <w:jc w:val="center"/>
              <w:rPr>
                <w:b/>
                <w:bCs/>
                <w:sz w:val="16"/>
                <w:szCs w:val="16"/>
              </w:rPr>
            </w:pPr>
            <w:r w:rsidRPr="00D84A0D">
              <w:rPr>
                <w:b/>
                <w:bCs/>
                <w:sz w:val="16"/>
                <w:szCs w:val="16"/>
              </w:rPr>
              <w:t>Clave de colores</w:t>
            </w:r>
          </w:p>
        </w:tc>
      </w:tr>
      <w:tr w:rsidR="004218A6" w:rsidRPr="00D84A0D" w:rsidTr="00230FAA">
        <w:trPr>
          <w:trHeight w:val="1636"/>
        </w:trPr>
        <w:tc>
          <w:tcPr>
            <w:tcW w:w="1072" w:type="pct"/>
            <w:shd w:val="clear" w:color="auto" w:fill="auto"/>
            <w:tcMar>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 xml:space="preserve">N.º de países u organizaciones regionales que han aprobado o modificado los marcos pertinentes en aras de una observancia de la P.I. efectiva, teniendo en cuenta la Parte III del Acuerdo sobre los ADPIC y la recomendación 45 de la A.D., o que lo están haciendo actualmente, tras recibir asistencia de la OMPI. </w:t>
            </w:r>
          </w:p>
        </w:tc>
        <w:tc>
          <w:tcPr>
            <w:tcW w:w="1510" w:type="pct"/>
            <w:shd w:val="clear" w:color="auto" w:fill="auto"/>
            <w:tcMar>
              <w:left w:w="58" w:type="dxa"/>
              <w:right w:w="58" w:type="dxa"/>
            </w:tcMar>
          </w:tcPr>
          <w:p w:rsidR="004218A6" w:rsidRPr="00562952" w:rsidRDefault="004218A6" w:rsidP="00230FAA">
            <w:pPr>
              <w:rPr>
                <w:color w:val="002060"/>
                <w:sz w:val="16"/>
                <w:szCs w:val="16"/>
              </w:rPr>
            </w:pPr>
            <w:r w:rsidRPr="00562952">
              <w:rPr>
                <w:i/>
                <w:color w:val="002060"/>
                <w:sz w:val="16"/>
                <w:szCs w:val="16"/>
              </w:rPr>
              <w:t xml:space="preserve">Referencia actualizada a fines de 2015:  </w:t>
            </w:r>
          </w:p>
          <w:p w:rsidR="004218A6" w:rsidRPr="00562952" w:rsidRDefault="004218A6" w:rsidP="00230FAA">
            <w:pPr>
              <w:rPr>
                <w:i/>
                <w:iCs/>
                <w:color w:val="002060"/>
                <w:sz w:val="16"/>
                <w:szCs w:val="16"/>
              </w:rPr>
            </w:pPr>
            <w:r w:rsidRPr="00562952">
              <w:rPr>
                <w:color w:val="002060"/>
                <w:sz w:val="16"/>
                <w:szCs w:val="16"/>
              </w:rPr>
              <w:t xml:space="preserve">21 países u organizaciones (en total) en vías de modificar o aprobar los marcos pertinentes en aras de una observancia de la P.I. efectiva:  África (8), Asia y el Pacífico (8), América Latina y el Caribe (5) </w:t>
            </w:r>
          </w:p>
          <w:p w:rsidR="004218A6" w:rsidRPr="00D84A0D" w:rsidRDefault="004218A6" w:rsidP="00230FAA">
            <w:pPr>
              <w:rPr>
                <w:sz w:val="16"/>
                <w:szCs w:val="16"/>
              </w:rPr>
            </w:pPr>
          </w:p>
          <w:p w:rsidR="004218A6" w:rsidRPr="00D84A0D" w:rsidRDefault="004218A6" w:rsidP="00230FAA">
            <w:pPr>
              <w:autoSpaceDE w:val="0"/>
              <w:autoSpaceDN w:val="0"/>
              <w:adjustRightInd w:val="0"/>
              <w:rPr>
                <w:rFonts w:eastAsia="Batang"/>
                <w:i/>
                <w:sz w:val="16"/>
                <w:szCs w:val="16"/>
                <w:lang w:eastAsia="ja-JP" w:bidi="th-TH"/>
              </w:rPr>
            </w:pPr>
            <w:r w:rsidRPr="00D84A0D">
              <w:rPr>
                <w:rFonts w:eastAsia="Batang"/>
                <w:i/>
                <w:sz w:val="16"/>
                <w:szCs w:val="16"/>
                <w:lang w:eastAsia="ja-JP" w:bidi="th-TH"/>
              </w:rPr>
              <w:t xml:space="preserve">Referencia original en el presupuesto de 2016/17:  </w:t>
            </w:r>
          </w:p>
          <w:p w:rsidR="004218A6" w:rsidRPr="00D84A0D" w:rsidRDefault="004218A6" w:rsidP="00230FAA">
            <w:pPr>
              <w:autoSpaceDE w:val="0"/>
              <w:autoSpaceDN w:val="0"/>
              <w:adjustRightInd w:val="0"/>
              <w:spacing w:after="240"/>
              <w:rPr>
                <w:rFonts w:eastAsia="Batang"/>
                <w:sz w:val="16"/>
                <w:szCs w:val="16"/>
                <w:lang w:eastAsia="ja-JP"/>
              </w:rPr>
            </w:pPr>
            <w:r w:rsidRPr="00D84A0D">
              <w:rPr>
                <w:rFonts w:eastAsia="Batang"/>
                <w:sz w:val="16"/>
                <w:szCs w:val="16"/>
                <w:lang w:eastAsia="ja-JP"/>
              </w:rPr>
              <w:t xml:space="preserve">13 países en vías de modificar o aprobar los marcos pertinentes en aras de una observancia de la P.I. efectiva (al 15 de febrero de 2015). </w:t>
            </w:r>
          </w:p>
        </w:tc>
        <w:tc>
          <w:tcPr>
            <w:tcW w:w="731" w:type="pct"/>
            <w:shd w:val="clear" w:color="auto" w:fill="auto"/>
            <w:tcMar>
              <w:top w:w="110" w:type="dxa"/>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1 país u organización regional ha aprobado o modificado los marcos pertinentes en aras de una observancia de la P.I. efectiva</w:t>
            </w:r>
          </w:p>
        </w:tc>
        <w:tc>
          <w:tcPr>
            <w:tcW w:w="1175" w:type="pct"/>
            <w:shd w:val="clear" w:color="auto" w:fill="FFFFFF"/>
            <w:tcMar>
              <w:top w:w="110" w:type="dxa"/>
              <w:left w:w="58" w:type="dxa"/>
              <w:right w:w="58" w:type="dxa"/>
            </w:tcMar>
          </w:tcPr>
          <w:p w:rsidR="004218A6" w:rsidRPr="00D84A0D" w:rsidRDefault="004218A6" w:rsidP="00230FAA">
            <w:pPr>
              <w:rPr>
                <w:sz w:val="16"/>
                <w:szCs w:val="16"/>
              </w:rPr>
            </w:pPr>
            <w:r w:rsidRPr="00D84A0D">
              <w:rPr>
                <w:sz w:val="16"/>
                <w:szCs w:val="16"/>
              </w:rPr>
              <w:t>31 países u organizaciones (en total) estaban en vías de modificar o aprobar los marcos pertinentes en aras de una observancia de la P.I. efectiva:  África (12), Países árabes (2), Asia y el Pacífico (10), América Latina y el Caribe (6), Países en transición (1)</w:t>
            </w:r>
          </w:p>
        </w:tc>
        <w:tc>
          <w:tcPr>
            <w:tcW w:w="512" w:type="pct"/>
            <w:shd w:val="clear" w:color="auto" w:fill="auto"/>
            <w:tcMar>
              <w:top w:w="110" w:type="dxa"/>
              <w:left w:w="58" w:type="dxa"/>
              <w:right w:w="58" w:type="dxa"/>
            </w:tcMar>
          </w:tcPr>
          <w:p w:rsidR="004218A6" w:rsidRPr="00D84A0D" w:rsidRDefault="004218A6" w:rsidP="00230FAA">
            <w:pPr>
              <w:keepNext/>
              <w:keepLines/>
              <w:jc w:val="center"/>
              <w:rPr>
                <w:b/>
                <w:sz w:val="16"/>
                <w:szCs w:val="16"/>
              </w:rPr>
            </w:pPr>
            <w:r w:rsidRPr="00D84A0D">
              <w:rPr>
                <w:b/>
                <w:color w:val="00B050"/>
                <w:sz w:val="16"/>
                <w:szCs w:val="16"/>
              </w:rPr>
              <w:t>Avanza</w:t>
            </w:r>
          </w:p>
        </w:tc>
      </w:tr>
      <w:tr w:rsidR="004218A6" w:rsidRPr="00D84A0D" w:rsidTr="00230FAA">
        <w:trPr>
          <w:trHeight w:val="1967"/>
        </w:trPr>
        <w:tc>
          <w:tcPr>
            <w:tcW w:w="1072" w:type="pct"/>
            <w:shd w:val="clear" w:color="auto" w:fill="auto"/>
            <w:tcMar>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N.º de países que ha aprobado o aplicado una estrategia nacional sobre el fomento del respeto por la P.I., o que lo están haciendo actualmente, tras recibir asistencia de la OMPI</w:t>
            </w:r>
          </w:p>
        </w:tc>
        <w:tc>
          <w:tcPr>
            <w:tcW w:w="1510" w:type="pct"/>
            <w:shd w:val="clear" w:color="auto" w:fill="auto"/>
            <w:tcMar>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2 países en vías de aprobar una estrategia de esa índole</w:t>
            </w:r>
          </w:p>
        </w:tc>
        <w:tc>
          <w:tcPr>
            <w:tcW w:w="731" w:type="pct"/>
            <w:shd w:val="clear" w:color="auto" w:fill="auto"/>
            <w:tcMar>
              <w:top w:w="110" w:type="dxa"/>
              <w:left w:w="58" w:type="dxa"/>
              <w:right w:w="58" w:type="dxa"/>
            </w:tcMar>
          </w:tcPr>
          <w:p w:rsidR="004218A6" w:rsidRPr="00562952" w:rsidRDefault="004218A6" w:rsidP="00230FAA">
            <w:pPr>
              <w:autoSpaceDE w:val="0"/>
              <w:autoSpaceDN w:val="0"/>
              <w:adjustRightInd w:val="0"/>
              <w:rPr>
                <w:rFonts w:eastAsia="Batang"/>
                <w:i/>
                <w:color w:val="002060"/>
                <w:sz w:val="16"/>
                <w:szCs w:val="16"/>
                <w:lang w:eastAsia="ja-JP"/>
              </w:rPr>
            </w:pPr>
            <w:r w:rsidRPr="00562952">
              <w:rPr>
                <w:rFonts w:eastAsia="Batang"/>
                <w:i/>
                <w:color w:val="002060"/>
                <w:sz w:val="16"/>
                <w:szCs w:val="16"/>
                <w:lang w:eastAsia="ja-JP"/>
              </w:rPr>
              <w:t xml:space="preserve">Objetivo actualizado:  </w:t>
            </w:r>
          </w:p>
          <w:p w:rsidR="004218A6" w:rsidRPr="00562952" w:rsidRDefault="004218A6" w:rsidP="00230FAA">
            <w:pPr>
              <w:autoSpaceDE w:val="0"/>
              <w:autoSpaceDN w:val="0"/>
              <w:adjustRightInd w:val="0"/>
              <w:rPr>
                <w:rFonts w:eastAsia="Batang"/>
                <w:color w:val="002060"/>
                <w:sz w:val="16"/>
                <w:szCs w:val="16"/>
                <w:lang w:eastAsia="ja-JP"/>
              </w:rPr>
            </w:pPr>
            <w:r w:rsidRPr="00562952">
              <w:rPr>
                <w:rFonts w:eastAsia="Batang"/>
                <w:color w:val="002060"/>
                <w:sz w:val="16"/>
                <w:szCs w:val="16"/>
                <w:lang w:eastAsia="ja-JP"/>
              </w:rPr>
              <w:t>2 países han aprobado una estrategia de esa índole en el bienio</w:t>
            </w:r>
          </w:p>
          <w:p w:rsidR="004218A6" w:rsidRPr="00D84A0D" w:rsidRDefault="004218A6" w:rsidP="00230FAA">
            <w:pPr>
              <w:autoSpaceDE w:val="0"/>
              <w:autoSpaceDN w:val="0"/>
              <w:adjustRightInd w:val="0"/>
              <w:rPr>
                <w:rFonts w:eastAsia="Batang"/>
                <w:sz w:val="16"/>
                <w:szCs w:val="16"/>
                <w:lang w:eastAsia="ja-JP"/>
              </w:rPr>
            </w:pPr>
          </w:p>
          <w:p w:rsidR="004218A6" w:rsidRPr="00D84A0D" w:rsidRDefault="004218A6" w:rsidP="00230FAA">
            <w:pPr>
              <w:autoSpaceDE w:val="0"/>
              <w:autoSpaceDN w:val="0"/>
              <w:adjustRightInd w:val="0"/>
              <w:rPr>
                <w:rFonts w:eastAsia="Batang"/>
                <w:i/>
                <w:sz w:val="16"/>
                <w:szCs w:val="16"/>
                <w:lang w:eastAsia="ja-JP"/>
              </w:rPr>
            </w:pPr>
            <w:r w:rsidRPr="00D84A0D">
              <w:rPr>
                <w:rFonts w:eastAsia="Batang"/>
                <w:i/>
                <w:sz w:val="16"/>
                <w:szCs w:val="16"/>
                <w:lang w:eastAsia="ja-JP"/>
              </w:rPr>
              <w:t xml:space="preserve">Objetivo original en el presup. de 2016/17:  </w:t>
            </w:r>
          </w:p>
          <w:p w:rsidR="004218A6" w:rsidRPr="00D84A0D" w:rsidRDefault="004218A6" w:rsidP="00230FAA">
            <w:pPr>
              <w:autoSpaceDE w:val="0"/>
              <w:autoSpaceDN w:val="0"/>
              <w:adjustRightInd w:val="0"/>
              <w:spacing w:after="240"/>
              <w:rPr>
                <w:rFonts w:eastAsia="Batang"/>
                <w:sz w:val="16"/>
                <w:szCs w:val="16"/>
                <w:lang w:eastAsia="ja-JP"/>
              </w:rPr>
            </w:pPr>
            <w:r w:rsidRPr="00D84A0D">
              <w:rPr>
                <w:rFonts w:eastAsia="Batang"/>
                <w:sz w:val="16"/>
                <w:szCs w:val="16"/>
                <w:lang w:eastAsia="ja-JP"/>
              </w:rPr>
              <w:t>2 países han aprobado una estrategia de esa índole</w:t>
            </w:r>
          </w:p>
        </w:tc>
        <w:tc>
          <w:tcPr>
            <w:tcW w:w="1175" w:type="pct"/>
            <w:shd w:val="clear" w:color="auto" w:fill="FFFFFF"/>
            <w:tcMar>
              <w:top w:w="110" w:type="dxa"/>
              <w:left w:w="58" w:type="dxa"/>
              <w:right w:w="58" w:type="dxa"/>
            </w:tcMar>
          </w:tcPr>
          <w:p w:rsidR="004218A6" w:rsidRPr="00D84A0D" w:rsidRDefault="004218A6" w:rsidP="004218A6">
            <w:pPr>
              <w:pStyle w:val="ListParagraph"/>
              <w:keepNext/>
              <w:keepLines/>
              <w:numPr>
                <w:ilvl w:val="0"/>
                <w:numId w:val="71"/>
              </w:numPr>
              <w:rPr>
                <w:sz w:val="16"/>
                <w:szCs w:val="16"/>
                <w:lang w:val="es-ES"/>
              </w:rPr>
            </w:pPr>
            <w:r w:rsidRPr="00D84A0D">
              <w:rPr>
                <w:sz w:val="16"/>
                <w:szCs w:val="16"/>
                <w:lang w:val="es-ES"/>
              </w:rPr>
              <w:t xml:space="preserve">1 país (Letonia) en las últimas etapas de la adopción de una estrategia para el fomento del respeto por la P.I.;  </w:t>
            </w:r>
          </w:p>
          <w:p w:rsidR="004218A6" w:rsidRPr="00D84A0D" w:rsidRDefault="004218A6" w:rsidP="004218A6">
            <w:pPr>
              <w:pStyle w:val="ListParagraph"/>
              <w:keepNext/>
              <w:keepLines/>
              <w:numPr>
                <w:ilvl w:val="0"/>
                <w:numId w:val="71"/>
              </w:numPr>
              <w:rPr>
                <w:sz w:val="16"/>
                <w:szCs w:val="16"/>
                <w:lang w:val="es-ES"/>
              </w:rPr>
            </w:pPr>
            <w:r w:rsidRPr="00D84A0D">
              <w:rPr>
                <w:sz w:val="16"/>
                <w:szCs w:val="16"/>
                <w:lang w:val="es-ES"/>
              </w:rPr>
              <w:t xml:space="preserve">1 país (Namibia) en curso de aplicación de una estrategia para el fomento del respeto por la P.I.; </w:t>
            </w:r>
          </w:p>
          <w:p w:rsidR="004218A6" w:rsidRPr="00D84A0D" w:rsidRDefault="004218A6" w:rsidP="004218A6">
            <w:pPr>
              <w:pStyle w:val="ListParagraph"/>
              <w:keepNext/>
              <w:keepLines/>
              <w:numPr>
                <w:ilvl w:val="0"/>
                <w:numId w:val="71"/>
              </w:numPr>
              <w:spacing w:after="240"/>
              <w:ind w:left="357" w:hanging="357"/>
              <w:rPr>
                <w:sz w:val="16"/>
                <w:szCs w:val="16"/>
                <w:lang w:val="es-ES"/>
              </w:rPr>
            </w:pPr>
            <w:r w:rsidRPr="00D84A0D">
              <w:rPr>
                <w:sz w:val="16"/>
                <w:szCs w:val="16"/>
                <w:lang w:val="es-ES"/>
              </w:rPr>
              <w:t xml:space="preserve">1 país (Kiribati) al que se presta asistencia en la redacción de una estrategia para el fomento del respeto por la P.I. </w:t>
            </w:r>
          </w:p>
          <w:p w:rsidR="004218A6" w:rsidRPr="00D84A0D" w:rsidRDefault="004218A6" w:rsidP="00230FAA">
            <w:pPr>
              <w:keepNext/>
              <w:keepLines/>
              <w:rPr>
                <w:sz w:val="16"/>
                <w:szCs w:val="16"/>
              </w:rPr>
            </w:pPr>
          </w:p>
        </w:tc>
        <w:tc>
          <w:tcPr>
            <w:tcW w:w="512" w:type="pct"/>
            <w:shd w:val="clear" w:color="auto" w:fill="auto"/>
            <w:tcMar>
              <w:top w:w="110" w:type="dxa"/>
              <w:left w:w="58" w:type="dxa"/>
              <w:right w:w="58" w:type="dxa"/>
            </w:tcMar>
          </w:tcPr>
          <w:p w:rsidR="004218A6" w:rsidRPr="00D84A0D" w:rsidRDefault="004218A6" w:rsidP="00230FAA">
            <w:pPr>
              <w:keepNext/>
              <w:keepLines/>
              <w:jc w:val="center"/>
              <w:rPr>
                <w:b/>
                <w:sz w:val="16"/>
                <w:szCs w:val="16"/>
              </w:rPr>
            </w:pPr>
            <w:r w:rsidRPr="00D84A0D">
              <w:rPr>
                <w:b/>
                <w:color w:val="00B050"/>
                <w:sz w:val="16"/>
                <w:szCs w:val="16"/>
              </w:rPr>
              <w:t>Avanza</w:t>
            </w:r>
          </w:p>
        </w:tc>
      </w:tr>
      <w:tr w:rsidR="004218A6" w:rsidRPr="00D84A0D" w:rsidTr="00230FAA">
        <w:trPr>
          <w:trHeight w:val="648"/>
        </w:trPr>
        <w:tc>
          <w:tcPr>
            <w:tcW w:w="5000" w:type="pct"/>
            <w:gridSpan w:val="5"/>
            <w:shd w:val="clear" w:color="auto" w:fill="C6D9F1" w:themeFill="text2" w:themeFillTint="33"/>
            <w:tcMar>
              <w:left w:w="58" w:type="dxa"/>
              <w:right w:w="58" w:type="dxa"/>
            </w:tcMar>
            <w:vAlign w:val="center"/>
          </w:tcPr>
          <w:p w:rsidR="004218A6" w:rsidRPr="00D84A0D" w:rsidRDefault="004218A6" w:rsidP="00230FAA">
            <w:pPr>
              <w:keepNext/>
              <w:keepLines/>
              <w:tabs>
                <w:tab w:val="left" w:pos="1452"/>
              </w:tabs>
              <w:ind w:left="1701" w:hanging="1701"/>
              <w:rPr>
                <w:sz w:val="16"/>
                <w:szCs w:val="16"/>
              </w:rPr>
            </w:pPr>
            <w:r w:rsidRPr="00D84A0D">
              <w:rPr>
                <w:b/>
                <w:bCs/>
                <w:sz w:val="16"/>
                <w:szCs w:val="16"/>
              </w:rPr>
              <w:lastRenderedPageBreak/>
              <w:t>Resultado previsto:</w:t>
            </w:r>
            <w:r w:rsidRPr="00D84A0D">
              <w:rPr>
                <w:b/>
                <w:bCs/>
                <w:sz w:val="16"/>
                <w:szCs w:val="16"/>
              </w:rPr>
              <w:tab/>
            </w:r>
            <w:r w:rsidRPr="00D84A0D">
              <w:rPr>
                <w:rFonts w:cs="Times New Roman"/>
                <w:sz w:val="16"/>
                <w:szCs w:val="16"/>
              </w:rPr>
              <w:t xml:space="preserve">III.2  Aumento de las capacidades en recursos humanos para hacer frente a la gran diversidad de exigencias que supone la utilización eficaz de la P.I. para fomentar el desarrollo en los países en desarrollo, PMA y países con economías en transición </w:t>
            </w:r>
          </w:p>
        </w:tc>
      </w:tr>
      <w:tr w:rsidR="004218A6" w:rsidRPr="00D84A0D" w:rsidTr="00230FAA">
        <w:tc>
          <w:tcPr>
            <w:tcW w:w="1072" w:type="pct"/>
            <w:shd w:val="clear" w:color="auto" w:fill="auto"/>
            <w:tcMar>
              <w:left w:w="58" w:type="dxa"/>
              <w:right w:w="58" w:type="dxa"/>
            </w:tcMar>
            <w:vAlign w:val="center"/>
          </w:tcPr>
          <w:p w:rsidR="004218A6" w:rsidRPr="00D84A0D" w:rsidRDefault="004218A6" w:rsidP="00230FAA">
            <w:pPr>
              <w:keepNext/>
              <w:keepLines/>
              <w:rPr>
                <w:b/>
                <w:bCs/>
                <w:sz w:val="16"/>
                <w:szCs w:val="16"/>
              </w:rPr>
            </w:pPr>
            <w:r w:rsidRPr="00D84A0D">
              <w:rPr>
                <w:b/>
                <w:bCs/>
                <w:sz w:val="16"/>
                <w:szCs w:val="16"/>
              </w:rPr>
              <w:t>Indicadores de rendimiento</w:t>
            </w:r>
          </w:p>
        </w:tc>
        <w:tc>
          <w:tcPr>
            <w:tcW w:w="1510" w:type="pct"/>
            <w:shd w:val="clear" w:color="auto" w:fill="auto"/>
            <w:tcMar>
              <w:left w:w="58" w:type="dxa"/>
              <w:right w:w="58" w:type="dxa"/>
            </w:tcMar>
            <w:vAlign w:val="center"/>
          </w:tcPr>
          <w:p w:rsidR="004218A6" w:rsidRPr="00D84A0D" w:rsidRDefault="004218A6" w:rsidP="00230FAA">
            <w:pPr>
              <w:keepNext/>
              <w:keepLines/>
              <w:rPr>
                <w:b/>
                <w:bCs/>
                <w:sz w:val="16"/>
                <w:szCs w:val="16"/>
              </w:rPr>
            </w:pPr>
            <w:r w:rsidRPr="00D84A0D">
              <w:rPr>
                <w:b/>
                <w:bCs/>
                <w:sz w:val="16"/>
                <w:szCs w:val="16"/>
              </w:rPr>
              <w:t>Referencias de base</w:t>
            </w:r>
          </w:p>
        </w:tc>
        <w:tc>
          <w:tcPr>
            <w:tcW w:w="731" w:type="pct"/>
            <w:shd w:val="clear" w:color="auto" w:fill="auto"/>
            <w:tcMar>
              <w:top w:w="110" w:type="dxa"/>
              <w:left w:w="58" w:type="dxa"/>
              <w:right w:w="58" w:type="dxa"/>
            </w:tcMar>
            <w:vAlign w:val="center"/>
          </w:tcPr>
          <w:p w:rsidR="004218A6" w:rsidRPr="00D84A0D" w:rsidRDefault="004218A6" w:rsidP="00230FAA">
            <w:pPr>
              <w:keepNext/>
              <w:keepLines/>
              <w:rPr>
                <w:b/>
                <w:bCs/>
                <w:sz w:val="16"/>
                <w:szCs w:val="16"/>
              </w:rPr>
            </w:pPr>
            <w:r w:rsidRPr="00D84A0D">
              <w:rPr>
                <w:b/>
                <w:bCs/>
                <w:sz w:val="16"/>
                <w:szCs w:val="16"/>
              </w:rPr>
              <w:t>Objetivos</w:t>
            </w:r>
          </w:p>
        </w:tc>
        <w:tc>
          <w:tcPr>
            <w:tcW w:w="1175" w:type="pct"/>
            <w:shd w:val="clear" w:color="auto" w:fill="FFFFFF"/>
            <w:tcMar>
              <w:top w:w="110" w:type="dxa"/>
              <w:left w:w="58" w:type="dxa"/>
              <w:right w:w="58" w:type="dxa"/>
            </w:tcMar>
            <w:vAlign w:val="center"/>
          </w:tcPr>
          <w:p w:rsidR="004218A6" w:rsidRPr="00D84A0D" w:rsidRDefault="004218A6" w:rsidP="00230FAA">
            <w:pPr>
              <w:keepNext/>
              <w:keepLines/>
              <w:rPr>
                <w:b/>
                <w:bCs/>
                <w:sz w:val="16"/>
                <w:szCs w:val="16"/>
              </w:rPr>
            </w:pPr>
            <w:r w:rsidRPr="00D84A0D">
              <w:rPr>
                <w:b/>
                <w:bCs/>
                <w:sz w:val="16"/>
                <w:szCs w:val="16"/>
              </w:rPr>
              <w:t>Datos sobre el rendimiento</w:t>
            </w:r>
          </w:p>
        </w:tc>
        <w:tc>
          <w:tcPr>
            <w:tcW w:w="512" w:type="pct"/>
            <w:shd w:val="clear" w:color="auto" w:fill="auto"/>
            <w:tcMar>
              <w:top w:w="110" w:type="dxa"/>
              <w:left w:w="58" w:type="dxa"/>
              <w:right w:w="58" w:type="dxa"/>
            </w:tcMar>
            <w:vAlign w:val="center"/>
          </w:tcPr>
          <w:p w:rsidR="004218A6" w:rsidRPr="00D84A0D" w:rsidRDefault="004218A6" w:rsidP="00230FAA">
            <w:pPr>
              <w:keepNext/>
              <w:keepLines/>
              <w:jc w:val="center"/>
              <w:rPr>
                <w:b/>
                <w:bCs/>
                <w:sz w:val="16"/>
                <w:szCs w:val="16"/>
              </w:rPr>
            </w:pPr>
            <w:r w:rsidRPr="00D84A0D">
              <w:rPr>
                <w:b/>
                <w:bCs/>
                <w:sz w:val="16"/>
                <w:szCs w:val="16"/>
              </w:rPr>
              <w:t>Clave de colores</w:t>
            </w:r>
          </w:p>
        </w:tc>
      </w:tr>
      <w:tr w:rsidR="004218A6" w:rsidRPr="00D84A0D" w:rsidTr="00230FAA">
        <w:trPr>
          <w:trHeight w:val="107"/>
        </w:trPr>
        <w:tc>
          <w:tcPr>
            <w:tcW w:w="1072" w:type="pct"/>
            <w:shd w:val="clear" w:color="auto" w:fill="auto"/>
            <w:tcMar>
              <w:left w:w="58" w:type="dxa"/>
              <w:right w:w="58" w:type="dxa"/>
            </w:tcMar>
          </w:tcPr>
          <w:p w:rsidR="004218A6" w:rsidRPr="00D84A0D" w:rsidRDefault="004218A6" w:rsidP="00230FAA">
            <w:pPr>
              <w:keepNext/>
              <w:keepLines/>
              <w:autoSpaceDE w:val="0"/>
              <w:autoSpaceDN w:val="0"/>
              <w:adjustRightInd w:val="0"/>
              <w:rPr>
                <w:rFonts w:eastAsia="Batang"/>
                <w:sz w:val="16"/>
                <w:szCs w:val="16"/>
                <w:lang w:eastAsia="ja-JP"/>
              </w:rPr>
            </w:pPr>
            <w:r w:rsidRPr="00D84A0D">
              <w:rPr>
                <w:rFonts w:eastAsia="Batang"/>
                <w:sz w:val="16"/>
                <w:szCs w:val="16"/>
                <w:lang w:eastAsia="ja-JP"/>
              </w:rPr>
              <w:t>% de participantes que han recibido formación y que están satisfechos de la utilidad y pertinencia de la formación recibida para el desempeño de sus funciones profesionales</w:t>
            </w:r>
          </w:p>
        </w:tc>
        <w:tc>
          <w:tcPr>
            <w:tcW w:w="1510" w:type="pct"/>
            <w:shd w:val="clear" w:color="auto" w:fill="auto"/>
            <w:tcMar>
              <w:left w:w="58" w:type="dxa"/>
              <w:right w:w="58" w:type="dxa"/>
            </w:tcMar>
          </w:tcPr>
          <w:p w:rsidR="004218A6" w:rsidRPr="00562952" w:rsidRDefault="004218A6" w:rsidP="00230FAA">
            <w:pPr>
              <w:keepNext/>
              <w:keepLines/>
              <w:rPr>
                <w:i/>
                <w:color w:val="002060"/>
                <w:sz w:val="16"/>
                <w:szCs w:val="16"/>
              </w:rPr>
            </w:pPr>
            <w:r w:rsidRPr="00562952">
              <w:rPr>
                <w:i/>
                <w:color w:val="002060"/>
                <w:sz w:val="16"/>
                <w:szCs w:val="16"/>
              </w:rPr>
              <w:t xml:space="preserve">Referencia actualizada a fines de 2015:  </w:t>
            </w:r>
          </w:p>
          <w:p w:rsidR="004218A6" w:rsidRPr="00562952" w:rsidRDefault="004218A6" w:rsidP="00230FAA">
            <w:pPr>
              <w:keepNext/>
              <w:keepLines/>
              <w:tabs>
                <w:tab w:val="left" w:pos="307"/>
              </w:tabs>
              <w:rPr>
                <w:color w:val="002060"/>
                <w:sz w:val="16"/>
                <w:szCs w:val="16"/>
              </w:rPr>
            </w:pPr>
            <w:r w:rsidRPr="00562952">
              <w:rPr>
                <w:color w:val="002060"/>
                <w:sz w:val="16"/>
                <w:szCs w:val="16"/>
              </w:rPr>
              <w:t>Tasa media de utilidad:  93%</w:t>
            </w:r>
          </w:p>
          <w:p w:rsidR="004218A6" w:rsidRPr="00562952" w:rsidRDefault="004218A6" w:rsidP="00230FAA">
            <w:pPr>
              <w:keepNext/>
              <w:keepLines/>
              <w:rPr>
                <w:color w:val="002060"/>
                <w:sz w:val="16"/>
                <w:szCs w:val="16"/>
              </w:rPr>
            </w:pPr>
            <w:r w:rsidRPr="00562952">
              <w:rPr>
                <w:color w:val="002060"/>
                <w:sz w:val="16"/>
                <w:szCs w:val="16"/>
              </w:rPr>
              <w:t>Tasa media de satisfacción:  92%</w:t>
            </w:r>
          </w:p>
          <w:p w:rsidR="004218A6" w:rsidRPr="00D84A0D" w:rsidRDefault="004218A6" w:rsidP="00230FAA">
            <w:pPr>
              <w:keepNext/>
              <w:keepLines/>
              <w:rPr>
                <w:sz w:val="16"/>
                <w:szCs w:val="16"/>
              </w:rPr>
            </w:pPr>
          </w:p>
          <w:p w:rsidR="004218A6" w:rsidRPr="00D84A0D" w:rsidRDefault="004218A6" w:rsidP="00230FAA">
            <w:pPr>
              <w:keepNext/>
              <w:keepLines/>
              <w:autoSpaceDE w:val="0"/>
              <w:autoSpaceDN w:val="0"/>
              <w:adjustRightInd w:val="0"/>
              <w:rPr>
                <w:rFonts w:eastAsia="Batang"/>
                <w:i/>
                <w:sz w:val="16"/>
                <w:szCs w:val="16"/>
                <w:lang w:eastAsia="ja-JP" w:bidi="th-TH"/>
              </w:rPr>
            </w:pPr>
            <w:r w:rsidRPr="00D84A0D">
              <w:rPr>
                <w:rFonts w:eastAsia="Batang"/>
                <w:i/>
                <w:sz w:val="16"/>
                <w:szCs w:val="16"/>
                <w:lang w:eastAsia="ja-JP" w:bidi="th-TH"/>
              </w:rPr>
              <w:t xml:space="preserve">Referencia original en el presupuesto de 2016/17:  </w:t>
            </w:r>
          </w:p>
          <w:p w:rsidR="004218A6" w:rsidRPr="00D84A0D" w:rsidRDefault="004218A6" w:rsidP="00230FAA">
            <w:pPr>
              <w:keepNext/>
              <w:keepLines/>
              <w:autoSpaceDE w:val="0"/>
              <w:autoSpaceDN w:val="0"/>
              <w:adjustRightInd w:val="0"/>
              <w:rPr>
                <w:rFonts w:eastAsia="Batang"/>
                <w:sz w:val="16"/>
                <w:szCs w:val="16"/>
                <w:lang w:eastAsia="ja-JP"/>
              </w:rPr>
            </w:pPr>
            <w:r w:rsidRPr="00D84A0D">
              <w:rPr>
                <w:rFonts w:eastAsia="Batang"/>
                <w:sz w:val="16"/>
                <w:szCs w:val="16"/>
                <w:lang w:eastAsia="ja-JP"/>
              </w:rPr>
              <w:t xml:space="preserve">Pertinencia:  90%; Utilidad:  90% </w:t>
            </w:r>
          </w:p>
          <w:p w:rsidR="004218A6" w:rsidRPr="00D84A0D" w:rsidRDefault="004218A6" w:rsidP="004218A6">
            <w:pPr>
              <w:keepNext/>
              <w:keepLines/>
              <w:autoSpaceDE w:val="0"/>
              <w:autoSpaceDN w:val="0"/>
              <w:adjustRightInd w:val="0"/>
              <w:rPr>
                <w:rFonts w:eastAsia="Batang"/>
                <w:sz w:val="16"/>
                <w:szCs w:val="16"/>
                <w:lang w:eastAsia="ja-JP"/>
              </w:rPr>
            </w:pPr>
            <w:r w:rsidRPr="00D84A0D">
              <w:rPr>
                <w:rFonts w:eastAsia="Batang"/>
                <w:sz w:val="16"/>
                <w:szCs w:val="16"/>
                <w:lang w:eastAsia="ja-JP"/>
              </w:rPr>
              <w:t xml:space="preserve">(al 15 de febrero de 2015) </w:t>
            </w:r>
          </w:p>
        </w:tc>
        <w:tc>
          <w:tcPr>
            <w:tcW w:w="731" w:type="pct"/>
            <w:shd w:val="clear" w:color="auto" w:fill="auto"/>
            <w:tcMar>
              <w:top w:w="110" w:type="dxa"/>
              <w:left w:w="58" w:type="dxa"/>
              <w:right w:w="58" w:type="dxa"/>
            </w:tcMar>
          </w:tcPr>
          <w:p w:rsidR="004218A6" w:rsidRPr="00D84A0D" w:rsidRDefault="004218A6" w:rsidP="00230FAA">
            <w:pPr>
              <w:keepNext/>
              <w:keepLines/>
              <w:autoSpaceDE w:val="0"/>
              <w:autoSpaceDN w:val="0"/>
              <w:adjustRightInd w:val="0"/>
              <w:rPr>
                <w:rFonts w:eastAsia="Batang"/>
                <w:sz w:val="16"/>
                <w:szCs w:val="16"/>
                <w:lang w:eastAsia="ja-JP"/>
              </w:rPr>
            </w:pPr>
            <w:r w:rsidRPr="00D84A0D">
              <w:rPr>
                <w:rFonts w:eastAsia="Batang"/>
                <w:sz w:val="16"/>
                <w:szCs w:val="16"/>
                <w:lang w:eastAsia="ja-JP"/>
              </w:rPr>
              <w:t xml:space="preserve">Pertinencia: &gt;85% </w:t>
            </w:r>
            <w:r w:rsidRPr="00D84A0D">
              <w:rPr>
                <w:rFonts w:eastAsia="Batang"/>
                <w:sz w:val="16"/>
                <w:szCs w:val="16"/>
                <w:lang w:eastAsia="ja-JP"/>
              </w:rPr>
              <w:br/>
              <w:t xml:space="preserve">Utilidad: &gt; 85% </w:t>
            </w:r>
          </w:p>
        </w:tc>
        <w:tc>
          <w:tcPr>
            <w:tcW w:w="1175" w:type="pct"/>
            <w:shd w:val="clear" w:color="auto" w:fill="FFFFFF"/>
            <w:tcMar>
              <w:top w:w="110" w:type="dxa"/>
              <w:left w:w="58" w:type="dxa"/>
              <w:right w:w="58" w:type="dxa"/>
            </w:tcMar>
          </w:tcPr>
          <w:p w:rsidR="004218A6" w:rsidRPr="00D84A0D" w:rsidRDefault="004218A6" w:rsidP="00230FAA">
            <w:pPr>
              <w:keepNext/>
              <w:keepLines/>
              <w:rPr>
                <w:sz w:val="16"/>
                <w:szCs w:val="16"/>
              </w:rPr>
            </w:pPr>
            <w:r w:rsidRPr="00D84A0D">
              <w:rPr>
                <w:sz w:val="16"/>
                <w:szCs w:val="16"/>
              </w:rPr>
              <w:t>Pertinencia:  92%</w:t>
            </w:r>
          </w:p>
          <w:p w:rsidR="004218A6" w:rsidRPr="00D84A0D" w:rsidRDefault="004218A6" w:rsidP="00230FAA">
            <w:pPr>
              <w:keepNext/>
              <w:keepLines/>
              <w:rPr>
                <w:sz w:val="16"/>
                <w:szCs w:val="16"/>
              </w:rPr>
            </w:pPr>
            <w:r w:rsidRPr="00D84A0D">
              <w:rPr>
                <w:sz w:val="16"/>
                <w:szCs w:val="16"/>
              </w:rPr>
              <w:t>Utilidad:  92%</w:t>
            </w:r>
          </w:p>
        </w:tc>
        <w:tc>
          <w:tcPr>
            <w:tcW w:w="512" w:type="pct"/>
            <w:shd w:val="clear" w:color="auto" w:fill="auto"/>
            <w:tcMar>
              <w:top w:w="110" w:type="dxa"/>
              <w:left w:w="58" w:type="dxa"/>
              <w:right w:w="58" w:type="dxa"/>
            </w:tcMar>
          </w:tcPr>
          <w:p w:rsidR="004218A6" w:rsidRPr="00D84A0D" w:rsidRDefault="004218A6" w:rsidP="00230FAA">
            <w:pPr>
              <w:keepNext/>
              <w:keepLines/>
              <w:jc w:val="center"/>
              <w:rPr>
                <w:b/>
                <w:sz w:val="16"/>
                <w:szCs w:val="16"/>
              </w:rPr>
            </w:pPr>
            <w:r w:rsidRPr="00D84A0D">
              <w:rPr>
                <w:b/>
                <w:color w:val="00B050"/>
                <w:sz w:val="16"/>
                <w:szCs w:val="16"/>
              </w:rPr>
              <w:t>Avanza</w:t>
            </w:r>
          </w:p>
        </w:tc>
      </w:tr>
      <w:tr w:rsidR="004218A6" w:rsidRPr="00D84A0D" w:rsidTr="00230FAA">
        <w:trPr>
          <w:trHeight w:val="565"/>
        </w:trPr>
        <w:tc>
          <w:tcPr>
            <w:tcW w:w="5000" w:type="pct"/>
            <w:gridSpan w:val="5"/>
            <w:shd w:val="clear" w:color="auto" w:fill="C6D9F1" w:themeFill="text2" w:themeFillTint="33"/>
            <w:tcMar>
              <w:left w:w="58" w:type="dxa"/>
              <w:right w:w="58" w:type="dxa"/>
            </w:tcMar>
            <w:vAlign w:val="center"/>
          </w:tcPr>
          <w:p w:rsidR="004218A6" w:rsidRPr="00D84A0D" w:rsidRDefault="004218A6" w:rsidP="00230FAA">
            <w:pPr>
              <w:keepNext/>
              <w:keepLines/>
              <w:tabs>
                <w:tab w:val="left" w:pos="1452"/>
              </w:tabs>
              <w:ind w:left="1701" w:hanging="1701"/>
              <w:rPr>
                <w:sz w:val="16"/>
                <w:szCs w:val="16"/>
              </w:rPr>
            </w:pPr>
            <w:r w:rsidRPr="00D84A0D">
              <w:rPr>
                <w:b/>
                <w:bCs/>
                <w:sz w:val="16"/>
                <w:szCs w:val="16"/>
              </w:rPr>
              <w:t>Resultado previsto:</w:t>
            </w:r>
            <w:r w:rsidRPr="00D84A0D">
              <w:rPr>
                <w:b/>
                <w:bCs/>
                <w:sz w:val="16"/>
                <w:szCs w:val="16"/>
              </w:rPr>
              <w:tab/>
            </w:r>
            <w:r w:rsidRPr="00D84A0D">
              <w:rPr>
                <w:rFonts w:cs="Times New Roman"/>
                <w:sz w:val="16"/>
                <w:szCs w:val="16"/>
              </w:rPr>
              <w:t xml:space="preserve">VI.1  Avances en el diálogo internacional sobre políticas entre los Estados miembros de la OMPI para fomentar el respeto por la P.I. sobre la base de la recomendación 45 de la Agenda de la OMPI para el Desarrollo </w:t>
            </w:r>
          </w:p>
        </w:tc>
      </w:tr>
      <w:tr w:rsidR="004218A6" w:rsidRPr="00D84A0D" w:rsidTr="00230FAA">
        <w:tc>
          <w:tcPr>
            <w:tcW w:w="1072"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Indicadores de rendimiento</w:t>
            </w:r>
          </w:p>
        </w:tc>
        <w:tc>
          <w:tcPr>
            <w:tcW w:w="1510"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Referencias de base</w:t>
            </w:r>
          </w:p>
        </w:tc>
        <w:tc>
          <w:tcPr>
            <w:tcW w:w="731" w:type="pct"/>
            <w:shd w:val="clear" w:color="auto" w:fill="auto"/>
            <w:tcMar>
              <w:top w:w="110" w:type="dxa"/>
              <w:left w:w="58" w:type="dxa"/>
              <w:right w:w="58" w:type="dxa"/>
            </w:tcMar>
            <w:vAlign w:val="center"/>
          </w:tcPr>
          <w:p w:rsidR="004218A6" w:rsidRPr="00D84A0D" w:rsidRDefault="004218A6" w:rsidP="00230FAA">
            <w:pPr>
              <w:rPr>
                <w:b/>
                <w:bCs/>
                <w:sz w:val="16"/>
                <w:szCs w:val="16"/>
              </w:rPr>
            </w:pPr>
            <w:r w:rsidRPr="00D84A0D">
              <w:rPr>
                <w:b/>
                <w:bCs/>
                <w:sz w:val="16"/>
                <w:szCs w:val="16"/>
              </w:rPr>
              <w:t>Objetivos</w:t>
            </w:r>
          </w:p>
        </w:tc>
        <w:tc>
          <w:tcPr>
            <w:tcW w:w="1175" w:type="pct"/>
            <w:shd w:val="clear" w:color="auto" w:fill="FFFFFF"/>
            <w:tcMar>
              <w:top w:w="110" w:type="dxa"/>
              <w:left w:w="58" w:type="dxa"/>
              <w:right w:w="58" w:type="dxa"/>
            </w:tcMar>
            <w:vAlign w:val="center"/>
          </w:tcPr>
          <w:p w:rsidR="004218A6" w:rsidRPr="00D84A0D" w:rsidRDefault="004218A6" w:rsidP="00230FAA">
            <w:pPr>
              <w:rPr>
                <w:b/>
                <w:bCs/>
                <w:sz w:val="16"/>
                <w:szCs w:val="16"/>
              </w:rPr>
            </w:pPr>
            <w:r w:rsidRPr="00D84A0D">
              <w:rPr>
                <w:b/>
                <w:bCs/>
                <w:sz w:val="16"/>
                <w:szCs w:val="16"/>
              </w:rPr>
              <w:t>Datos sobre el rendimiento</w:t>
            </w:r>
          </w:p>
        </w:tc>
        <w:tc>
          <w:tcPr>
            <w:tcW w:w="512" w:type="pct"/>
            <w:shd w:val="clear" w:color="auto" w:fill="auto"/>
            <w:tcMar>
              <w:top w:w="110" w:type="dxa"/>
              <w:left w:w="58" w:type="dxa"/>
              <w:right w:w="58" w:type="dxa"/>
            </w:tcMar>
            <w:vAlign w:val="center"/>
          </w:tcPr>
          <w:p w:rsidR="004218A6" w:rsidRPr="00D84A0D" w:rsidRDefault="004218A6" w:rsidP="00230FAA">
            <w:pPr>
              <w:keepNext/>
              <w:keepLines/>
              <w:jc w:val="center"/>
              <w:rPr>
                <w:b/>
                <w:bCs/>
                <w:sz w:val="16"/>
                <w:szCs w:val="16"/>
              </w:rPr>
            </w:pPr>
            <w:r w:rsidRPr="00D84A0D">
              <w:rPr>
                <w:b/>
                <w:bCs/>
                <w:sz w:val="16"/>
                <w:szCs w:val="16"/>
              </w:rPr>
              <w:t>Clave de colores</w:t>
            </w:r>
          </w:p>
        </w:tc>
      </w:tr>
      <w:tr w:rsidR="004218A6" w:rsidRPr="00D84A0D" w:rsidTr="00230FAA">
        <w:trPr>
          <w:trHeight w:val="1582"/>
        </w:trPr>
        <w:tc>
          <w:tcPr>
            <w:tcW w:w="1072" w:type="pct"/>
            <w:shd w:val="clear" w:color="auto" w:fill="auto"/>
            <w:tcMar>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Acuerdo constante entre los Estados miembros sobre la labor sustantiva del Comité Asesor de la OMPI sobre Observancia (ACE), al incorporar elementos orientados al desarrollo</w:t>
            </w:r>
          </w:p>
        </w:tc>
        <w:tc>
          <w:tcPr>
            <w:tcW w:w="1510" w:type="pct"/>
            <w:shd w:val="clear" w:color="auto" w:fill="auto"/>
            <w:tcMar>
              <w:left w:w="58" w:type="dxa"/>
              <w:right w:w="58" w:type="dxa"/>
            </w:tcMar>
          </w:tcPr>
          <w:p w:rsidR="004218A6" w:rsidRPr="00562952" w:rsidRDefault="004218A6" w:rsidP="00230FAA">
            <w:pPr>
              <w:rPr>
                <w:i/>
                <w:color w:val="002060"/>
                <w:sz w:val="16"/>
                <w:szCs w:val="16"/>
              </w:rPr>
            </w:pPr>
            <w:r w:rsidRPr="00562952">
              <w:rPr>
                <w:i/>
                <w:color w:val="002060"/>
                <w:sz w:val="16"/>
                <w:szCs w:val="16"/>
              </w:rPr>
              <w:t xml:space="preserve">Referencia actualizada a fines de 2015:  </w:t>
            </w:r>
          </w:p>
          <w:p w:rsidR="004218A6" w:rsidRPr="00562952" w:rsidRDefault="004218A6" w:rsidP="00230FAA">
            <w:pPr>
              <w:rPr>
                <w:color w:val="002060"/>
                <w:sz w:val="16"/>
                <w:szCs w:val="16"/>
              </w:rPr>
            </w:pPr>
            <w:r w:rsidRPr="00562952">
              <w:rPr>
                <w:color w:val="002060"/>
                <w:sz w:val="16"/>
                <w:szCs w:val="16"/>
              </w:rPr>
              <w:t xml:space="preserve">Se logró un acuerdo sobre el programa de trabajo durante la 9ª y la 10ª sesiones del ACE </w:t>
            </w:r>
          </w:p>
          <w:p w:rsidR="004218A6" w:rsidRPr="00562952" w:rsidRDefault="004218A6" w:rsidP="00230FAA">
            <w:pPr>
              <w:rPr>
                <w:color w:val="002060"/>
                <w:sz w:val="16"/>
                <w:szCs w:val="16"/>
              </w:rPr>
            </w:pPr>
            <w:r w:rsidRPr="00562952">
              <w:rPr>
                <w:color w:val="002060"/>
                <w:sz w:val="16"/>
                <w:szCs w:val="16"/>
              </w:rPr>
              <w:t>WIPO/ACE/9/29 párr. 44 y WIPO/ACE/10/26 Prov. párr. 40</w:t>
            </w:r>
          </w:p>
          <w:p w:rsidR="004218A6" w:rsidRPr="00D84A0D" w:rsidRDefault="004218A6" w:rsidP="00230FAA">
            <w:pPr>
              <w:rPr>
                <w:sz w:val="16"/>
                <w:szCs w:val="16"/>
              </w:rPr>
            </w:pPr>
          </w:p>
          <w:p w:rsidR="004218A6" w:rsidRPr="00D84A0D" w:rsidRDefault="004218A6" w:rsidP="00230FAA">
            <w:pPr>
              <w:autoSpaceDE w:val="0"/>
              <w:autoSpaceDN w:val="0"/>
              <w:adjustRightInd w:val="0"/>
              <w:rPr>
                <w:rFonts w:eastAsia="Batang"/>
                <w:i/>
                <w:sz w:val="16"/>
                <w:szCs w:val="16"/>
                <w:lang w:eastAsia="ja-JP" w:bidi="th-TH"/>
              </w:rPr>
            </w:pPr>
            <w:r w:rsidRPr="00D84A0D">
              <w:rPr>
                <w:rFonts w:eastAsia="Batang"/>
                <w:i/>
                <w:sz w:val="16"/>
                <w:szCs w:val="16"/>
                <w:lang w:eastAsia="ja-JP" w:bidi="th-TH"/>
              </w:rPr>
              <w:t xml:space="preserve">Referencia original en el presupuesto de 2016/17:  </w:t>
            </w:r>
          </w:p>
          <w:p w:rsidR="004218A6" w:rsidRPr="00D84A0D" w:rsidRDefault="004218A6" w:rsidP="004218A6">
            <w:pPr>
              <w:keepNext/>
              <w:keepLines/>
              <w:autoSpaceDE w:val="0"/>
              <w:autoSpaceDN w:val="0"/>
              <w:adjustRightInd w:val="0"/>
              <w:rPr>
                <w:rFonts w:eastAsia="Batang"/>
                <w:sz w:val="16"/>
                <w:szCs w:val="16"/>
                <w:lang w:eastAsia="ja-JP"/>
              </w:rPr>
            </w:pPr>
            <w:r w:rsidRPr="00D84A0D">
              <w:rPr>
                <w:rFonts w:eastAsia="Batang"/>
                <w:sz w:val="16"/>
                <w:szCs w:val="16"/>
                <w:lang w:eastAsia="ja-JP"/>
              </w:rPr>
              <w:t xml:space="preserve">Acuerdo sobre el programa de trabajo de la 10ª sesión del ACE </w:t>
            </w:r>
          </w:p>
        </w:tc>
        <w:tc>
          <w:tcPr>
            <w:tcW w:w="731" w:type="pct"/>
            <w:shd w:val="clear" w:color="auto" w:fill="auto"/>
            <w:tcMar>
              <w:top w:w="110" w:type="dxa"/>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 xml:space="preserve">Acuerdo sobre el programa de trabajo de la siguiente sesión del ACE </w:t>
            </w:r>
          </w:p>
        </w:tc>
        <w:tc>
          <w:tcPr>
            <w:tcW w:w="1175" w:type="pct"/>
            <w:shd w:val="clear" w:color="auto" w:fill="FFFFFF"/>
            <w:tcMar>
              <w:top w:w="110" w:type="dxa"/>
              <w:left w:w="58" w:type="dxa"/>
              <w:right w:w="58" w:type="dxa"/>
            </w:tcMar>
          </w:tcPr>
          <w:p w:rsidR="004218A6" w:rsidRPr="00D84A0D" w:rsidRDefault="004218A6" w:rsidP="00230FAA">
            <w:pPr>
              <w:autoSpaceDE w:val="0"/>
              <w:autoSpaceDN w:val="0"/>
              <w:adjustRightInd w:val="0"/>
              <w:rPr>
                <w:sz w:val="16"/>
                <w:szCs w:val="16"/>
              </w:rPr>
            </w:pPr>
            <w:r w:rsidRPr="00D84A0D">
              <w:rPr>
                <w:sz w:val="16"/>
                <w:szCs w:val="16"/>
              </w:rPr>
              <w:t xml:space="preserve">Se logró un acuerdo sobre el programa de trabajo de la 12ª sesión del ACE (WIPO/ACE/11/11 párr. 39) </w:t>
            </w:r>
          </w:p>
        </w:tc>
        <w:tc>
          <w:tcPr>
            <w:tcW w:w="512" w:type="pct"/>
            <w:shd w:val="clear" w:color="auto" w:fill="auto"/>
            <w:tcMar>
              <w:top w:w="110" w:type="dxa"/>
              <w:left w:w="58" w:type="dxa"/>
              <w:right w:w="58" w:type="dxa"/>
            </w:tcMar>
          </w:tcPr>
          <w:p w:rsidR="004218A6" w:rsidRPr="00D84A0D" w:rsidRDefault="004218A6" w:rsidP="00230FAA">
            <w:pPr>
              <w:keepNext/>
              <w:keepLines/>
              <w:jc w:val="center"/>
              <w:rPr>
                <w:b/>
                <w:sz w:val="16"/>
                <w:szCs w:val="16"/>
              </w:rPr>
            </w:pPr>
            <w:r w:rsidRPr="00D84A0D">
              <w:rPr>
                <w:b/>
                <w:color w:val="00B050"/>
                <w:sz w:val="16"/>
                <w:szCs w:val="16"/>
              </w:rPr>
              <w:t>Avanza</w:t>
            </w:r>
          </w:p>
        </w:tc>
      </w:tr>
      <w:tr w:rsidR="004218A6" w:rsidRPr="00D84A0D" w:rsidTr="00230FAA">
        <w:trPr>
          <w:trHeight w:val="565"/>
        </w:trPr>
        <w:tc>
          <w:tcPr>
            <w:tcW w:w="5000" w:type="pct"/>
            <w:gridSpan w:val="5"/>
            <w:shd w:val="clear" w:color="auto" w:fill="C6D9F1" w:themeFill="text2" w:themeFillTint="33"/>
            <w:tcMar>
              <w:left w:w="58" w:type="dxa"/>
              <w:right w:w="58" w:type="dxa"/>
            </w:tcMar>
            <w:vAlign w:val="center"/>
          </w:tcPr>
          <w:p w:rsidR="004218A6" w:rsidRPr="00D84A0D" w:rsidRDefault="004218A6" w:rsidP="00230FAA">
            <w:pPr>
              <w:keepNext/>
              <w:keepLines/>
              <w:tabs>
                <w:tab w:val="left" w:pos="1452"/>
              </w:tabs>
              <w:ind w:left="1701" w:hanging="1701"/>
              <w:rPr>
                <w:sz w:val="16"/>
                <w:szCs w:val="16"/>
              </w:rPr>
            </w:pPr>
            <w:r w:rsidRPr="00D84A0D">
              <w:rPr>
                <w:b/>
                <w:bCs/>
                <w:sz w:val="16"/>
                <w:szCs w:val="16"/>
              </w:rPr>
              <w:t>Resultado previsto:</w:t>
            </w:r>
            <w:r w:rsidRPr="00D84A0D">
              <w:rPr>
                <w:b/>
                <w:bCs/>
                <w:sz w:val="16"/>
                <w:szCs w:val="16"/>
              </w:rPr>
              <w:tab/>
            </w:r>
            <w:r w:rsidRPr="00D84A0D">
              <w:rPr>
                <w:rFonts w:cs="Times New Roman"/>
                <w:sz w:val="16"/>
                <w:szCs w:val="16"/>
              </w:rPr>
              <w:t xml:space="preserve">VI.2  Cooperación y coordinación sistemáticas, eficaces y transparentes entre la OMPI y otras organizaciones internacionales en el fomento del respeto por la P.I. </w:t>
            </w:r>
          </w:p>
        </w:tc>
      </w:tr>
      <w:tr w:rsidR="004218A6" w:rsidRPr="00D84A0D" w:rsidTr="00230FAA">
        <w:tc>
          <w:tcPr>
            <w:tcW w:w="1072"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Indicadores de rendimiento</w:t>
            </w:r>
          </w:p>
        </w:tc>
        <w:tc>
          <w:tcPr>
            <w:tcW w:w="1510"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Referencias de base</w:t>
            </w:r>
          </w:p>
        </w:tc>
        <w:tc>
          <w:tcPr>
            <w:tcW w:w="731" w:type="pct"/>
            <w:shd w:val="clear" w:color="auto" w:fill="auto"/>
            <w:tcMar>
              <w:top w:w="110" w:type="dxa"/>
              <w:left w:w="58" w:type="dxa"/>
              <w:right w:w="58" w:type="dxa"/>
            </w:tcMar>
            <w:vAlign w:val="center"/>
          </w:tcPr>
          <w:p w:rsidR="004218A6" w:rsidRPr="00D84A0D" w:rsidRDefault="004218A6" w:rsidP="00230FAA">
            <w:pPr>
              <w:rPr>
                <w:b/>
                <w:bCs/>
                <w:sz w:val="16"/>
                <w:szCs w:val="16"/>
              </w:rPr>
            </w:pPr>
            <w:r w:rsidRPr="00D84A0D">
              <w:rPr>
                <w:b/>
                <w:bCs/>
                <w:sz w:val="16"/>
                <w:szCs w:val="16"/>
              </w:rPr>
              <w:t>Objetivos</w:t>
            </w:r>
          </w:p>
        </w:tc>
        <w:tc>
          <w:tcPr>
            <w:tcW w:w="1175" w:type="pct"/>
            <w:shd w:val="clear" w:color="auto" w:fill="FFFFFF"/>
            <w:tcMar>
              <w:top w:w="110" w:type="dxa"/>
              <w:left w:w="58" w:type="dxa"/>
              <w:right w:w="58" w:type="dxa"/>
            </w:tcMar>
            <w:vAlign w:val="center"/>
          </w:tcPr>
          <w:p w:rsidR="004218A6" w:rsidRPr="00D84A0D" w:rsidRDefault="004218A6" w:rsidP="00230FAA">
            <w:pPr>
              <w:rPr>
                <w:b/>
                <w:bCs/>
                <w:sz w:val="16"/>
                <w:szCs w:val="16"/>
              </w:rPr>
            </w:pPr>
            <w:r w:rsidRPr="00D84A0D">
              <w:rPr>
                <w:b/>
                <w:bCs/>
                <w:sz w:val="16"/>
                <w:szCs w:val="16"/>
              </w:rPr>
              <w:t>Datos sobre el rendimiento</w:t>
            </w:r>
          </w:p>
        </w:tc>
        <w:tc>
          <w:tcPr>
            <w:tcW w:w="512" w:type="pct"/>
            <w:shd w:val="clear" w:color="auto" w:fill="auto"/>
            <w:tcMar>
              <w:top w:w="110" w:type="dxa"/>
              <w:left w:w="58" w:type="dxa"/>
              <w:right w:w="58" w:type="dxa"/>
            </w:tcMar>
            <w:vAlign w:val="center"/>
          </w:tcPr>
          <w:p w:rsidR="004218A6" w:rsidRPr="00D84A0D" w:rsidRDefault="004218A6" w:rsidP="00230FAA">
            <w:pPr>
              <w:keepNext/>
              <w:keepLines/>
              <w:jc w:val="center"/>
              <w:rPr>
                <w:b/>
                <w:bCs/>
                <w:sz w:val="16"/>
                <w:szCs w:val="16"/>
              </w:rPr>
            </w:pPr>
            <w:r w:rsidRPr="00D84A0D">
              <w:rPr>
                <w:b/>
                <w:bCs/>
                <w:sz w:val="16"/>
                <w:szCs w:val="16"/>
              </w:rPr>
              <w:t>Clave de colores</w:t>
            </w:r>
          </w:p>
        </w:tc>
      </w:tr>
      <w:tr w:rsidR="004218A6" w:rsidRPr="00D84A0D" w:rsidTr="00230FAA">
        <w:trPr>
          <w:trHeight w:val="1582"/>
        </w:trPr>
        <w:tc>
          <w:tcPr>
            <w:tcW w:w="1072" w:type="pct"/>
            <w:shd w:val="clear" w:color="auto" w:fill="auto"/>
            <w:tcMar>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 xml:space="preserve">N.º de colaboraciones estratégicas u otras actividades conjuntas con organizaciones asociadas para el fomento del respeto por la P.I. </w:t>
            </w:r>
          </w:p>
        </w:tc>
        <w:tc>
          <w:tcPr>
            <w:tcW w:w="1510" w:type="pct"/>
            <w:shd w:val="clear" w:color="auto" w:fill="auto"/>
            <w:tcMar>
              <w:left w:w="58" w:type="dxa"/>
              <w:right w:w="58" w:type="dxa"/>
            </w:tcMar>
          </w:tcPr>
          <w:p w:rsidR="004218A6" w:rsidRPr="00562952" w:rsidRDefault="004218A6" w:rsidP="00230FAA">
            <w:pPr>
              <w:rPr>
                <w:i/>
                <w:color w:val="002060"/>
                <w:sz w:val="16"/>
                <w:szCs w:val="16"/>
              </w:rPr>
            </w:pPr>
            <w:r w:rsidRPr="00562952">
              <w:rPr>
                <w:i/>
                <w:color w:val="002060"/>
                <w:sz w:val="16"/>
                <w:szCs w:val="16"/>
              </w:rPr>
              <w:t xml:space="preserve">Referencia actualizada a fines de 2015:  </w:t>
            </w:r>
          </w:p>
          <w:p w:rsidR="004218A6" w:rsidRPr="00562952" w:rsidRDefault="004218A6" w:rsidP="00230FAA">
            <w:pPr>
              <w:rPr>
                <w:color w:val="002060"/>
                <w:sz w:val="16"/>
                <w:szCs w:val="16"/>
              </w:rPr>
            </w:pPr>
            <w:r w:rsidRPr="00562952">
              <w:rPr>
                <w:color w:val="002060"/>
                <w:sz w:val="16"/>
                <w:szCs w:val="16"/>
              </w:rPr>
              <w:t>En 2014/15 se celebraron 7 colaboraciones estratégicas</w:t>
            </w:r>
            <w:r w:rsidRPr="00562952">
              <w:rPr>
                <w:rStyle w:val="FootnoteReference"/>
                <w:color w:val="002060"/>
              </w:rPr>
              <w:footnoteReference w:id="75"/>
            </w:r>
            <w:r w:rsidRPr="00562952">
              <w:rPr>
                <w:color w:val="002060"/>
                <w:sz w:val="16"/>
                <w:szCs w:val="16"/>
              </w:rPr>
              <w:t xml:space="preserve"> (en total) y 55 actividades conjuntamente con organismos que cooperan con la OMPI y partes interesadas, o para las que se contó con la participación del programa 17.</w:t>
            </w:r>
          </w:p>
          <w:p w:rsidR="004218A6" w:rsidRPr="00D84A0D" w:rsidRDefault="004218A6" w:rsidP="00230FAA">
            <w:pPr>
              <w:rPr>
                <w:sz w:val="16"/>
                <w:szCs w:val="16"/>
              </w:rPr>
            </w:pPr>
          </w:p>
          <w:p w:rsidR="004218A6" w:rsidRPr="00D84A0D" w:rsidRDefault="004218A6" w:rsidP="00230FAA">
            <w:pPr>
              <w:autoSpaceDE w:val="0"/>
              <w:autoSpaceDN w:val="0"/>
              <w:adjustRightInd w:val="0"/>
              <w:rPr>
                <w:rFonts w:eastAsia="Batang"/>
                <w:i/>
                <w:sz w:val="16"/>
                <w:szCs w:val="16"/>
                <w:lang w:eastAsia="ja-JP" w:bidi="th-TH"/>
              </w:rPr>
            </w:pPr>
            <w:r w:rsidRPr="00D84A0D">
              <w:rPr>
                <w:rFonts w:eastAsia="Batang"/>
                <w:i/>
                <w:sz w:val="16"/>
                <w:szCs w:val="16"/>
                <w:lang w:eastAsia="ja-JP" w:bidi="th-TH"/>
              </w:rPr>
              <w:t xml:space="preserve">Referencia original en el presupuesto de 2016/17:  </w:t>
            </w:r>
          </w:p>
          <w:p w:rsidR="004218A6" w:rsidRPr="00D84A0D" w:rsidRDefault="004218A6" w:rsidP="00230FAA">
            <w:pPr>
              <w:autoSpaceDE w:val="0"/>
              <w:autoSpaceDN w:val="0"/>
              <w:adjustRightInd w:val="0"/>
              <w:spacing w:after="240"/>
              <w:rPr>
                <w:rFonts w:eastAsia="Batang"/>
                <w:sz w:val="16"/>
                <w:szCs w:val="16"/>
                <w:lang w:eastAsia="ja-JP"/>
              </w:rPr>
            </w:pPr>
            <w:r w:rsidRPr="00D84A0D">
              <w:rPr>
                <w:rFonts w:eastAsia="Batang"/>
                <w:sz w:val="16"/>
                <w:szCs w:val="16"/>
                <w:lang w:eastAsia="ja-JP"/>
              </w:rPr>
              <w:t>6 colaboraciones estratégicas y otras 24 actividades conjuntas (al 15 de febrero de 2015).</w:t>
            </w:r>
          </w:p>
        </w:tc>
        <w:tc>
          <w:tcPr>
            <w:tcW w:w="731" w:type="pct"/>
            <w:shd w:val="clear" w:color="auto" w:fill="auto"/>
            <w:tcMar>
              <w:top w:w="110" w:type="dxa"/>
              <w:left w:w="58" w:type="dxa"/>
              <w:right w:w="58" w:type="dxa"/>
            </w:tcMar>
          </w:tcPr>
          <w:p w:rsidR="004218A6" w:rsidRPr="00562952" w:rsidRDefault="004218A6" w:rsidP="00230FAA">
            <w:pPr>
              <w:autoSpaceDE w:val="0"/>
              <w:autoSpaceDN w:val="0"/>
              <w:adjustRightInd w:val="0"/>
              <w:rPr>
                <w:rFonts w:eastAsia="Batang"/>
                <w:i/>
                <w:color w:val="002060"/>
                <w:sz w:val="16"/>
                <w:szCs w:val="16"/>
                <w:lang w:eastAsia="ja-JP"/>
              </w:rPr>
            </w:pPr>
            <w:r w:rsidRPr="00562952">
              <w:rPr>
                <w:rFonts w:eastAsia="Batang"/>
                <w:i/>
                <w:color w:val="002060"/>
                <w:sz w:val="16"/>
                <w:szCs w:val="16"/>
                <w:lang w:eastAsia="ja-JP"/>
              </w:rPr>
              <w:t>Objetivo actualizado:</w:t>
            </w:r>
          </w:p>
          <w:p w:rsidR="004218A6" w:rsidRPr="00562952" w:rsidRDefault="004218A6" w:rsidP="00230FAA">
            <w:pPr>
              <w:rPr>
                <w:rFonts w:eastAsia="Batang"/>
                <w:color w:val="002060"/>
                <w:sz w:val="16"/>
                <w:szCs w:val="16"/>
                <w:lang w:eastAsia="ja-JP"/>
              </w:rPr>
            </w:pPr>
            <w:r w:rsidRPr="00562952">
              <w:rPr>
                <w:rFonts w:eastAsia="Batang"/>
                <w:color w:val="002060"/>
                <w:sz w:val="16"/>
                <w:szCs w:val="16"/>
                <w:lang w:eastAsia="ja-JP"/>
              </w:rPr>
              <w:t>7 colaboraciones estratégicas;  50 actividades conjuntas en el bienio</w:t>
            </w:r>
          </w:p>
          <w:p w:rsidR="004218A6" w:rsidRPr="00D84A0D" w:rsidRDefault="004218A6" w:rsidP="00230FAA">
            <w:pPr>
              <w:rPr>
                <w:sz w:val="16"/>
                <w:szCs w:val="16"/>
              </w:rPr>
            </w:pPr>
          </w:p>
          <w:p w:rsidR="004218A6" w:rsidRPr="00D84A0D" w:rsidRDefault="004218A6" w:rsidP="00230FAA">
            <w:pPr>
              <w:rPr>
                <w:i/>
                <w:sz w:val="16"/>
                <w:szCs w:val="16"/>
                <w:lang w:bidi="th-TH"/>
              </w:rPr>
            </w:pPr>
            <w:r w:rsidRPr="00D84A0D">
              <w:rPr>
                <w:i/>
                <w:sz w:val="16"/>
                <w:szCs w:val="16"/>
                <w:lang w:bidi="th-TH"/>
              </w:rPr>
              <w:t xml:space="preserve">Objetivo original en el presup. de 2016/17:  </w:t>
            </w:r>
          </w:p>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 xml:space="preserve">6 colaboraciones estratégicas; </w:t>
            </w:r>
          </w:p>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 xml:space="preserve">otras 25 actividades conjuntas </w:t>
            </w:r>
          </w:p>
        </w:tc>
        <w:tc>
          <w:tcPr>
            <w:tcW w:w="1175" w:type="pct"/>
            <w:shd w:val="clear" w:color="auto" w:fill="FFFFFF"/>
            <w:tcMar>
              <w:top w:w="110" w:type="dxa"/>
              <w:left w:w="58" w:type="dxa"/>
              <w:right w:w="58" w:type="dxa"/>
            </w:tcMar>
          </w:tcPr>
          <w:p w:rsidR="004218A6" w:rsidRPr="00D84A0D" w:rsidRDefault="004218A6" w:rsidP="00230FAA">
            <w:pPr>
              <w:rPr>
                <w:sz w:val="16"/>
                <w:szCs w:val="16"/>
              </w:rPr>
            </w:pPr>
            <w:r w:rsidRPr="00D84A0D">
              <w:rPr>
                <w:sz w:val="16"/>
                <w:szCs w:val="16"/>
              </w:rPr>
              <w:t xml:space="preserve">7 colaboraciones estratégicas en curso y 20 actividades organizadas en colaboración con organizaciones y sectores interesados que cooperan con la OMPI y/o en el que participó el programa 17. </w:t>
            </w:r>
          </w:p>
        </w:tc>
        <w:tc>
          <w:tcPr>
            <w:tcW w:w="512" w:type="pct"/>
            <w:shd w:val="clear" w:color="auto" w:fill="auto"/>
            <w:tcMar>
              <w:top w:w="110" w:type="dxa"/>
              <w:left w:w="58" w:type="dxa"/>
              <w:right w:w="58" w:type="dxa"/>
            </w:tcMar>
          </w:tcPr>
          <w:p w:rsidR="004218A6" w:rsidRPr="00D84A0D" w:rsidRDefault="004218A6" w:rsidP="00230FAA">
            <w:pPr>
              <w:keepNext/>
              <w:keepLines/>
              <w:jc w:val="center"/>
              <w:rPr>
                <w:b/>
                <w:sz w:val="16"/>
                <w:szCs w:val="16"/>
              </w:rPr>
            </w:pPr>
            <w:r w:rsidRPr="00D84A0D">
              <w:rPr>
                <w:b/>
                <w:color w:val="00B050"/>
                <w:sz w:val="16"/>
                <w:szCs w:val="16"/>
              </w:rPr>
              <w:t>Avanza</w:t>
            </w:r>
          </w:p>
        </w:tc>
      </w:tr>
      <w:tr w:rsidR="004218A6" w:rsidRPr="00D84A0D" w:rsidTr="00230FAA">
        <w:trPr>
          <w:trHeight w:val="565"/>
        </w:trPr>
        <w:tc>
          <w:tcPr>
            <w:tcW w:w="5000" w:type="pct"/>
            <w:gridSpan w:val="5"/>
            <w:shd w:val="clear" w:color="auto" w:fill="C6D9F1" w:themeFill="text2" w:themeFillTint="33"/>
            <w:tcMar>
              <w:left w:w="58" w:type="dxa"/>
              <w:right w:w="58" w:type="dxa"/>
            </w:tcMar>
            <w:vAlign w:val="center"/>
          </w:tcPr>
          <w:p w:rsidR="004218A6" w:rsidRPr="00D84A0D" w:rsidRDefault="004218A6" w:rsidP="00230FAA">
            <w:pPr>
              <w:keepNext/>
              <w:keepLines/>
              <w:tabs>
                <w:tab w:val="left" w:pos="1452"/>
              </w:tabs>
              <w:ind w:left="1701" w:hanging="1701"/>
              <w:rPr>
                <w:sz w:val="16"/>
                <w:szCs w:val="16"/>
              </w:rPr>
            </w:pPr>
            <w:r w:rsidRPr="00D84A0D">
              <w:rPr>
                <w:b/>
                <w:bCs/>
                <w:sz w:val="16"/>
                <w:szCs w:val="16"/>
              </w:rPr>
              <w:t>Resultado previsto:</w:t>
            </w:r>
            <w:r w:rsidRPr="00D84A0D">
              <w:rPr>
                <w:b/>
                <w:bCs/>
                <w:sz w:val="16"/>
                <w:szCs w:val="16"/>
              </w:rPr>
              <w:tab/>
            </w:r>
            <w:r w:rsidRPr="00D84A0D">
              <w:rPr>
                <w:rFonts w:cs="Times New Roman"/>
                <w:sz w:val="16"/>
                <w:szCs w:val="16"/>
              </w:rPr>
              <w:t xml:space="preserve">VIII.1  Comunicación más eficaz con el público en general acerca de la P.I. y la función de la OMPI </w:t>
            </w:r>
          </w:p>
        </w:tc>
      </w:tr>
      <w:tr w:rsidR="004218A6" w:rsidRPr="00D84A0D" w:rsidTr="00230FAA">
        <w:tc>
          <w:tcPr>
            <w:tcW w:w="1072"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Indicadores de rendimiento</w:t>
            </w:r>
          </w:p>
        </w:tc>
        <w:tc>
          <w:tcPr>
            <w:tcW w:w="1510" w:type="pct"/>
            <w:shd w:val="clear" w:color="auto" w:fill="auto"/>
            <w:tcMar>
              <w:left w:w="58" w:type="dxa"/>
              <w:right w:w="58" w:type="dxa"/>
            </w:tcMar>
            <w:vAlign w:val="center"/>
          </w:tcPr>
          <w:p w:rsidR="004218A6" w:rsidRPr="00D84A0D" w:rsidRDefault="004218A6" w:rsidP="00230FAA">
            <w:pPr>
              <w:rPr>
                <w:b/>
                <w:bCs/>
                <w:sz w:val="16"/>
                <w:szCs w:val="16"/>
              </w:rPr>
            </w:pPr>
            <w:r w:rsidRPr="00D84A0D">
              <w:rPr>
                <w:b/>
                <w:bCs/>
                <w:sz w:val="16"/>
                <w:szCs w:val="16"/>
              </w:rPr>
              <w:t>Referencias de base</w:t>
            </w:r>
          </w:p>
        </w:tc>
        <w:tc>
          <w:tcPr>
            <w:tcW w:w="731" w:type="pct"/>
            <w:shd w:val="clear" w:color="auto" w:fill="auto"/>
            <w:tcMar>
              <w:top w:w="110" w:type="dxa"/>
              <w:left w:w="58" w:type="dxa"/>
              <w:right w:w="58" w:type="dxa"/>
            </w:tcMar>
            <w:vAlign w:val="center"/>
          </w:tcPr>
          <w:p w:rsidR="004218A6" w:rsidRPr="00D84A0D" w:rsidRDefault="004218A6" w:rsidP="00230FAA">
            <w:pPr>
              <w:rPr>
                <w:b/>
                <w:bCs/>
                <w:sz w:val="16"/>
                <w:szCs w:val="16"/>
              </w:rPr>
            </w:pPr>
            <w:r w:rsidRPr="00D84A0D">
              <w:rPr>
                <w:b/>
                <w:bCs/>
                <w:sz w:val="16"/>
                <w:szCs w:val="16"/>
              </w:rPr>
              <w:t>Objetivos</w:t>
            </w:r>
          </w:p>
        </w:tc>
        <w:tc>
          <w:tcPr>
            <w:tcW w:w="1175" w:type="pct"/>
            <w:shd w:val="clear" w:color="auto" w:fill="FFFFFF"/>
            <w:tcMar>
              <w:top w:w="110" w:type="dxa"/>
              <w:left w:w="58" w:type="dxa"/>
              <w:right w:w="58" w:type="dxa"/>
            </w:tcMar>
            <w:vAlign w:val="center"/>
          </w:tcPr>
          <w:p w:rsidR="004218A6" w:rsidRPr="00D84A0D" w:rsidRDefault="004218A6" w:rsidP="00230FAA">
            <w:pPr>
              <w:rPr>
                <w:b/>
                <w:bCs/>
                <w:sz w:val="16"/>
                <w:szCs w:val="16"/>
              </w:rPr>
            </w:pPr>
            <w:r w:rsidRPr="00D84A0D">
              <w:rPr>
                <w:b/>
                <w:bCs/>
                <w:sz w:val="16"/>
                <w:szCs w:val="16"/>
              </w:rPr>
              <w:t>Datos sobre el rendimiento</w:t>
            </w:r>
          </w:p>
        </w:tc>
        <w:tc>
          <w:tcPr>
            <w:tcW w:w="512" w:type="pct"/>
            <w:shd w:val="clear" w:color="auto" w:fill="auto"/>
            <w:tcMar>
              <w:top w:w="110" w:type="dxa"/>
              <w:left w:w="58" w:type="dxa"/>
              <w:right w:w="58" w:type="dxa"/>
            </w:tcMar>
            <w:vAlign w:val="center"/>
          </w:tcPr>
          <w:p w:rsidR="004218A6" w:rsidRPr="00D84A0D" w:rsidRDefault="004218A6" w:rsidP="00230FAA">
            <w:pPr>
              <w:keepNext/>
              <w:keepLines/>
              <w:jc w:val="center"/>
              <w:rPr>
                <w:b/>
                <w:bCs/>
                <w:sz w:val="16"/>
                <w:szCs w:val="16"/>
              </w:rPr>
            </w:pPr>
            <w:r w:rsidRPr="00D84A0D">
              <w:rPr>
                <w:b/>
                <w:bCs/>
                <w:sz w:val="16"/>
                <w:szCs w:val="16"/>
              </w:rPr>
              <w:t>Clave de colores</w:t>
            </w:r>
          </w:p>
        </w:tc>
      </w:tr>
      <w:tr w:rsidR="004218A6" w:rsidRPr="00D84A0D" w:rsidTr="00230FAA">
        <w:trPr>
          <w:trHeight w:val="414"/>
        </w:trPr>
        <w:tc>
          <w:tcPr>
            <w:tcW w:w="1072" w:type="pct"/>
            <w:shd w:val="clear" w:color="auto" w:fill="auto"/>
            <w:tcMar>
              <w:left w:w="58" w:type="dxa"/>
              <w:right w:w="58" w:type="dxa"/>
            </w:tcMar>
          </w:tcPr>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 xml:space="preserve">N.º de Estados miembros participantes en el programa de Premios de la OMPI </w:t>
            </w:r>
          </w:p>
        </w:tc>
        <w:tc>
          <w:tcPr>
            <w:tcW w:w="1510" w:type="pct"/>
            <w:shd w:val="clear" w:color="auto" w:fill="auto"/>
            <w:tcMar>
              <w:left w:w="58" w:type="dxa"/>
              <w:right w:w="58" w:type="dxa"/>
            </w:tcMar>
          </w:tcPr>
          <w:p w:rsidR="004218A6" w:rsidRPr="00562952" w:rsidRDefault="004218A6" w:rsidP="00230FAA">
            <w:pPr>
              <w:rPr>
                <w:i/>
                <w:color w:val="002060"/>
                <w:sz w:val="16"/>
                <w:szCs w:val="16"/>
              </w:rPr>
            </w:pPr>
            <w:r w:rsidRPr="00562952">
              <w:rPr>
                <w:i/>
                <w:color w:val="002060"/>
                <w:sz w:val="16"/>
                <w:szCs w:val="16"/>
              </w:rPr>
              <w:t xml:space="preserve">Referencia actualizada a fines de 2015:  </w:t>
            </w:r>
          </w:p>
          <w:p w:rsidR="004218A6" w:rsidRPr="00562952" w:rsidRDefault="004218A6" w:rsidP="00230FAA">
            <w:pPr>
              <w:pStyle w:val="ListParagraph"/>
              <w:tabs>
                <w:tab w:val="left" w:pos="307"/>
              </w:tabs>
              <w:ind w:left="24"/>
              <w:rPr>
                <w:rFonts w:cs="Arial"/>
                <w:color w:val="002060"/>
                <w:sz w:val="16"/>
                <w:szCs w:val="16"/>
                <w:lang w:val="es-ES" w:bidi="th-TH"/>
              </w:rPr>
            </w:pPr>
            <w:r w:rsidRPr="00562952">
              <w:rPr>
                <w:rFonts w:cs="Arial"/>
                <w:color w:val="002060"/>
                <w:sz w:val="16"/>
                <w:szCs w:val="16"/>
                <w:lang w:val="es-ES" w:bidi="th-TH"/>
              </w:rPr>
              <w:t>En 2014/15 participaron en el programa de Premios de la OMPI 54 países distintos en total</w:t>
            </w:r>
          </w:p>
          <w:p w:rsidR="004218A6" w:rsidRPr="00D84A0D" w:rsidRDefault="004218A6" w:rsidP="00230FAA">
            <w:pPr>
              <w:pStyle w:val="ListParagraph"/>
              <w:tabs>
                <w:tab w:val="left" w:pos="307"/>
              </w:tabs>
              <w:ind w:left="24"/>
              <w:rPr>
                <w:rFonts w:cs="Arial"/>
                <w:sz w:val="16"/>
                <w:szCs w:val="16"/>
                <w:lang w:val="es-ES" w:bidi="th-TH"/>
              </w:rPr>
            </w:pPr>
          </w:p>
          <w:p w:rsidR="004218A6" w:rsidRPr="00D84A0D" w:rsidRDefault="004218A6" w:rsidP="00230FAA">
            <w:pPr>
              <w:autoSpaceDE w:val="0"/>
              <w:autoSpaceDN w:val="0"/>
              <w:adjustRightInd w:val="0"/>
              <w:rPr>
                <w:rFonts w:eastAsia="Batang"/>
                <w:sz w:val="16"/>
                <w:szCs w:val="16"/>
                <w:lang w:eastAsia="ja-JP"/>
              </w:rPr>
            </w:pPr>
            <w:r w:rsidRPr="00D84A0D">
              <w:rPr>
                <w:rFonts w:eastAsia="Batang"/>
                <w:i/>
                <w:sz w:val="16"/>
                <w:szCs w:val="16"/>
                <w:lang w:eastAsia="ja-JP" w:bidi="th-TH"/>
              </w:rPr>
              <w:t xml:space="preserve">Referencia original en el presupuesto de 2016/17:  </w:t>
            </w:r>
            <w:r w:rsidRPr="00D84A0D">
              <w:rPr>
                <w:rFonts w:eastAsia="Batang"/>
                <w:sz w:val="16"/>
                <w:szCs w:val="16"/>
                <w:lang w:eastAsia="ja-JP"/>
              </w:rPr>
              <w:t>38 (en 2014)</w:t>
            </w:r>
          </w:p>
        </w:tc>
        <w:tc>
          <w:tcPr>
            <w:tcW w:w="731" w:type="pct"/>
            <w:shd w:val="clear" w:color="auto" w:fill="auto"/>
            <w:tcMar>
              <w:top w:w="110" w:type="dxa"/>
              <w:left w:w="58" w:type="dxa"/>
              <w:right w:w="58" w:type="dxa"/>
            </w:tcMar>
          </w:tcPr>
          <w:p w:rsidR="004218A6" w:rsidRPr="00562952" w:rsidRDefault="004218A6" w:rsidP="00230FAA">
            <w:pPr>
              <w:rPr>
                <w:color w:val="002060"/>
                <w:sz w:val="16"/>
                <w:szCs w:val="16"/>
              </w:rPr>
            </w:pPr>
            <w:r w:rsidRPr="00562952">
              <w:rPr>
                <w:i/>
                <w:color w:val="002060"/>
                <w:sz w:val="16"/>
                <w:szCs w:val="16"/>
              </w:rPr>
              <w:t>Objetivo actualizado:</w:t>
            </w:r>
            <w:r>
              <w:rPr>
                <w:i/>
                <w:color w:val="002060"/>
                <w:sz w:val="16"/>
                <w:szCs w:val="16"/>
              </w:rPr>
              <w:t xml:space="preserve"> </w:t>
            </w:r>
            <w:r w:rsidRPr="00562952">
              <w:rPr>
                <w:i/>
                <w:color w:val="002060"/>
                <w:sz w:val="16"/>
                <w:szCs w:val="16"/>
              </w:rPr>
              <w:t xml:space="preserve"> </w:t>
            </w:r>
            <w:r w:rsidRPr="00562952">
              <w:rPr>
                <w:color w:val="002060"/>
                <w:sz w:val="16"/>
                <w:szCs w:val="16"/>
              </w:rPr>
              <w:t>54</w:t>
            </w:r>
          </w:p>
          <w:p w:rsidR="004218A6" w:rsidRPr="00D84A0D" w:rsidRDefault="004218A6" w:rsidP="00230FAA">
            <w:pPr>
              <w:rPr>
                <w:sz w:val="16"/>
                <w:szCs w:val="16"/>
              </w:rPr>
            </w:pPr>
          </w:p>
          <w:p w:rsidR="004218A6" w:rsidRPr="00D84A0D" w:rsidRDefault="004218A6" w:rsidP="00230FAA">
            <w:pPr>
              <w:rPr>
                <w:i/>
                <w:sz w:val="16"/>
                <w:szCs w:val="16"/>
                <w:lang w:bidi="th-TH"/>
              </w:rPr>
            </w:pPr>
            <w:r w:rsidRPr="00D84A0D">
              <w:rPr>
                <w:i/>
                <w:sz w:val="16"/>
                <w:szCs w:val="16"/>
                <w:lang w:bidi="th-TH"/>
              </w:rPr>
              <w:t xml:space="preserve">Objetivo original en el presup. de 2016/17:  </w:t>
            </w:r>
          </w:p>
          <w:p w:rsidR="004218A6" w:rsidRPr="00D84A0D" w:rsidRDefault="004218A6" w:rsidP="00230FAA">
            <w:pPr>
              <w:autoSpaceDE w:val="0"/>
              <w:autoSpaceDN w:val="0"/>
              <w:adjustRightInd w:val="0"/>
              <w:rPr>
                <w:rFonts w:eastAsia="Batang"/>
                <w:sz w:val="16"/>
                <w:szCs w:val="16"/>
                <w:lang w:eastAsia="ja-JP"/>
              </w:rPr>
            </w:pPr>
            <w:r w:rsidRPr="00D84A0D">
              <w:rPr>
                <w:rFonts w:eastAsia="Batang"/>
                <w:sz w:val="16"/>
                <w:szCs w:val="16"/>
                <w:lang w:eastAsia="ja-JP"/>
              </w:rPr>
              <w:t>45 en 2016/17</w:t>
            </w:r>
          </w:p>
        </w:tc>
        <w:tc>
          <w:tcPr>
            <w:tcW w:w="1175" w:type="pct"/>
            <w:shd w:val="clear" w:color="auto" w:fill="FFFFFF"/>
            <w:tcMar>
              <w:top w:w="110" w:type="dxa"/>
              <w:left w:w="58" w:type="dxa"/>
              <w:right w:w="58" w:type="dxa"/>
            </w:tcMar>
          </w:tcPr>
          <w:p w:rsidR="004218A6" w:rsidRPr="00D84A0D" w:rsidRDefault="004218A6" w:rsidP="00230FAA">
            <w:pPr>
              <w:rPr>
                <w:sz w:val="16"/>
                <w:szCs w:val="16"/>
              </w:rPr>
            </w:pPr>
            <w:r w:rsidRPr="00D84A0D">
              <w:rPr>
                <w:sz w:val="16"/>
                <w:szCs w:val="16"/>
              </w:rPr>
              <w:t>En 2016 participaron en el programa de Premios de la OMPI 45 países distintos en total</w:t>
            </w:r>
          </w:p>
        </w:tc>
        <w:tc>
          <w:tcPr>
            <w:tcW w:w="512" w:type="pct"/>
            <w:shd w:val="clear" w:color="auto" w:fill="auto"/>
            <w:tcMar>
              <w:top w:w="110" w:type="dxa"/>
              <w:left w:w="58" w:type="dxa"/>
              <w:right w:w="58" w:type="dxa"/>
            </w:tcMar>
          </w:tcPr>
          <w:p w:rsidR="004218A6" w:rsidRPr="00D84A0D" w:rsidRDefault="004218A6" w:rsidP="00230FAA">
            <w:pPr>
              <w:keepNext/>
              <w:keepLines/>
              <w:jc w:val="center"/>
              <w:rPr>
                <w:b/>
                <w:sz w:val="16"/>
                <w:szCs w:val="16"/>
              </w:rPr>
            </w:pPr>
            <w:r w:rsidRPr="00D84A0D">
              <w:rPr>
                <w:b/>
                <w:color w:val="00B050"/>
                <w:sz w:val="16"/>
                <w:szCs w:val="16"/>
              </w:rPr>
              <w:t>Avanza</w:t>
            </w:r>
            <w:r w:rsidRPr="00D84A0D" w:rsidDel="00840CA7">
              <w:rPr>
                <w:b/>
                <w:sz w:val="16"/>
                <w:szCs w:val="16"/>
              </w:rPr>
              <w:t xml:space="preserve"> </w:t>
            </w: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4218A6" w:rsidRPr="00D84A0D" w:rsidTr="00156844">
        <w:trPr>
          <w:trHeight w:val="423"/>
          <w:jc w:val="center"/>
        </w:trPr>
        <w:tc>
          <w:tcPr>
            <w:tcW w:w="9287" w:type="dxa"/>
            <w:shd w:val="clear" w:color="auto" w:fill="C6D9F1" w:themeFill="text2" w:themeFillTint="33"/>
            <w:vAlign w:val="center"/>
          </w:tcPr>
          <w:p w:rsidR="004218A6" w:rsidRPr="00D84A0D" w:rsidRDefault="004218A6" w:rsidP="00230FAA">
            <w:pPr>
              <w:keepNext/>
              <w:keepLines/>
              <w:jc w:val="center"/>
              <w:rPr>
                <w:b/>
                <w:sz w:val="20"/>
              </w:rPr>
            </w:pPr>
            <w:r w:rsidRPr="00D84A0D">
              <w:rPr>
                <w:b/>
                <w:sz w:val="20"/>
              </w:rPr>
              <w:lastRenderedPageBreak/>
              <w:br w:type="page"/>
              <w:t>Utilización de los recursos del programa 17</w:t>
            </w:r>
          </w:p>
        </w:tc>
      </w:tr>
    </w:tbl>
    <w:p w:rsidR="004218A6" w:rsidRPr="00D84A0D" w:rsidRDefault="004218A6" w:rsidP="00156844">
      <w:pPr>
        <w:pStyle w:val="NormalWeb"/>
        <w:keepNext/>
        <w:keepLines/>
        <w:spacing w:before="120" w:beforeAutospacing="0" w:after="0" w:afterAutospacing="0"/>
        <w:jc w:val="center"/>
        <w:rPr>
          <w:lang w:val="es-ES"/>
        </w:rPr>
      </w:pPr>
      <w:r w:rsidRPr="00D84A0D">
        <w:rPr>
          <w:lang w:val="es-ES"/>
        </w:rPr>
        <w:t>Presupuesto y gastos reales (por resultado)</w:t>
      </w:r>
    </w:p>
    <w:p w:rsidR="004218A6" w:rsidRPr="00D84A0D" w:rsidRDefault="004218A6" w:rsidP="00156844">
      <w:pPr>
        <w:pStyle w:val="NormalWeb"/>
        <w:keepNext/>
        <w:keepLines/>
        <w:spacing w:before="0" w:beforeAutospacing="0" w:after="120" w:afterAutospacing="0"/>
        <w:jc w:val="center"/>
        <w:rPr>
          <w:i/>
          <w:iCs/>
          <w:sz w:val="16"/>
          <w:szCs w:val="16"/>
          <w:lang w:val="es-ES"/>
        </w:rPr>
      </w:pPr>
      <w:r w:rsidRPr="00D84A0D">
        <w:rPr>
          <w:i/>
          <w:iCs/>
          <w:sz w:val="16"/>
          <w:szCs w:val="16"/>
          <w:lang w:val="es-ES"/>
        </w:rPr>
        <w:t>(en miles de francos suizos)</w:t>
      </w:r>
    </w:p>
    <w:tbl>
      <w:tblPr>
        <w:tblW w:w="8511" w:type="dxa"/>
        <w:jc w:val="center"/>
        <w:tblLook w:val="04A0" w:firstRow="1" w:lastRow="0" w:firstColumn="1" w:lastColumn="0" w:noHBand="0" w:noVBand="1"/>
      </w:tblPr>
      <w:tblGrid>
        <w:gridCol w:w="611"/>
        <w:gridCol w:w="4235"/>
        <w:gridCol w:w="1186"/>
        <w:gridCol w:w="1310"/>
        <w:gridCol w:w="1169"/>
      </w:tblGrid>
      <w:tr w:rsidR="004218A6" w:rsidRPr="00D84A0D" w:rsidTr="00156844">
        <w:trPr>
          <w:trHeight w:val="825"/>
          <w:jc w:val="center"/>
        </w:trPr>
        <w:tc>
          <w:tcPr>
            <w:tcW w:w="4846" w:type="dxa"/>
            <w:gridSpan w:val="2"/>
            <w:tcBorders>
              <w:top w:val="nil"/>
              <w:left w:val="nil"/>
              <w:bottom w:val="nil"/>
              <w:right w:val="nil"/>
            </w:tcBorders>
            <w:shd w:val="clear" w:color="000000" w:fill="C5D9F1"/>
            <w:noWrap/>
            <w:vAlign w:val="center"/>
            <w:hideMark/>
          </w:tcPr>
          <w:p w:rsidR="004218A6" w:rsidRPr="00D84A0D" w:rsidRDefault="004218A6" w:rsidP="00230FAA">
            <w:pPr>
              <w:jc w:val="center"/>
              <w:rPr>
                <w:b/>
                <w:bCs/>
                <w:sz w:val="16"/>
                <w:szCs w:val="16"/>
              </w:rPr>
            </w:pPr>
            <w:r w:rsidRPr="00D84A0D">
              <w:rPr>
                <w:b/>
                <w:bCs/>
                <w:sz w:val="16"/>
                <w:szCs w:val="16"/>
              </w:rPr>
              <w:t xml:space="preserve">Número del resultado previsto y descripción </w:t>
            </w:r>
          </w:p>
        </w:tc>
        <w:tc>
          <w:tcPr>
            <w:tcW w:w="1186"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 xml:space="preserve"> Presupuesto aprobado de 2016/17 </w:t>
            </w:r>
          </w:p>
        </w:tc>
        <w:tc>
          <w:tcPr>
            <w:tcW w:w="131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 xml:space="preserve"> Presupuesto de 2016/17 tras las transferencias </w:t>
            </w:r>
          </w:p>
        </w:tc>
        <w:tc>
          <w:tcPr>
            <w:tcW w:w="1169"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 xml:space="preserve"> Gastos en 2016* </w:t>
            </w:r>
          </w:p>
        </w:tc>
      </w:tr>
      <w:tr w:rsidR="004218A6" w:rsidRPr="00D84A0D" w:rsidTr="00156844">
        <w:trPr>
          <w:trHeight w:val="645"/>
          <w:jc w:val="center"/>
        </w:trPr>
        <w:tc>
          <w:tcPr>
            <w:tcW w:w="611"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r w:rsidRPr="00D84A0D">
              <w:rPr>
                <w:sz w:val="16"/>
                <w:szCs w:val="16"/>
              </w:rPr>
              <w:t>I.2</w:t>
            </w:r>
          </w:p>
        </w:tc>
        <w:tc>
          <w:tcPr>
            <w:tcW w:w="4235" w:type="dxa"/>
            <w:tcBorders>
              <w:top w:val="nil"/>
              <w:left w:val="nil"/>
              <w:bottom w:val="nil"/>
              <w:right w:val="nil"/>
            </w:tcBorders>
            <w:shd w:val="clear" w:color="auto" w:fill="auto"/>
            <w:vAlign w:val="center"/>
            <w:hideMark/>
          </w:tcPr>
          <w:p w:rsidR="004218A6" w:rsidRPr="00D84A0D" w:rsidRDefault="004218A6" w:rsidP="00230FAA">
            <w:pPr>
              <w:rPr>
                <w:sz w:val="16"/>
                <w:szCs w:val="16"/>
              </w:rPr>
            </w:pPr>
            <w:r w:rsidRPr="00D84A0D">
              <w:rPr>
                <w:sz w:val="16"/>
                <w:szCs w:val="16"/>
              </w:rPr>
              <w:t>Marcos de P.I. adaptados y equilibrados en el ámbito legislativo, regulador y de política</w:t>
            </w:r>
          </w:p>
        </w:tc>
        <w:tc>
          <w:tcPr>
            <w:tcW w:w="1186"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639</w:t>
            </w:r>
          </w:p>
        </w:tc>
        <w:tc>
          <w:tcPr>
            <w:tcW w:w="1310"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659</w:t>
            </w:r>
          </w:p>
        </w:tc>
        <w:tc>
          <w:tcPr>
            <w:tcW w:w="1169"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316</w:t>
            </w:r>
          </w:p>
        </w:tc>
      </w:tr>
      <w:tr w:rsidR="004218A6" w:rsidRPr="00D84A0D" w:rsidTr="00156844">
        <w:trPr>
          <w:trHeight w:val="1035"/>
          <w:jc w:val="center"/>
        </w:trPr>
        <w:tc>
          <w:tcPr>
            <w:tcW w:w="611"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r w:rsidRPr="00D84A0D">
              <w:rPr>
                <w:sz w:val="16"/>
                <w:szCs w:val="16"/>
              </w:rPr>
              <w:t>III.2</w:t>
            </w:r>
          </w:p>
        </w:tc>
        <w:tc>
          <w:tcPr>
            <w:tcW w:w="4235" w:type="dxa"/>
            <w:tcBorders>
              <w:top w:val="nil"/>
              <w:left w:val="nil"/>
              <w:bottom w:val="nil"/>
              <w:right w:val="nil"/>
            </w:tcBorders>
            <w:shd w:val="clear" w:color="auto" w:fill="auto"/>
            <w:vAlign w:val="center"/>
            <w:hideMark/>
          </w:tcPr>
          <w:p w:rsidR="004218A6" w:rsidRPr="00D84A0D" w:rsidRDefault="004218A6" w:rsidP="00230FAA">
            <w:pPr>
              <w:rPr>
                <w:sz w:val="16"/>
                <w:szCs w:val="16"/>
              </w:rPr>
            </w:pPr>
            <w:r w:rsidRPr="00D84A0D">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86"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1.105</w:t>
            </w:r>
          </w:p>
        </w:tc>
        <w:tc>
          <w:tcPr>
            <w:tcW w:w="1310"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1.114</w:t>
            </w:r>
          </w:p>
        </w:tc>
        <w:tc>
          <w:tcPr>
            <w:tcW w:w="1169"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519</w:t>
            </w:r>
          </w:p>
        </w:tc>
      </w:tr>
      <w:tr w:rsidR="004218A6" w:rsidRPr="00D84A0D" w:rsidTr="00156844">
        <w:trPr>
          <w:trHeight w:val="795"/>
          <w:jc w:val="center"/>
        </w:trPr>
        <w:tc>
          <w:tcPr>
            <w:tcW w:w="611"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r w:rsidRPr="00D84A0D">
              <w:rPr>
                <w:sz w:val="16"/>
                <w:szCs w:val="16"/>
              </w:rPr>
              <w:t>VI.1</w:t>
            </w:r>
          </w:p>
        </w:tc>
        <w:tc>
          <w:tcPr>
            <w:tcW w:w="4235" w:type="dxa"/>
            <w:tcBorders>
              <w:top w:val="nil"/>
              <w:left w:val="nil"/>
              <w:bottom w:val="nil"/>
              <w:right w:val="nil"/>
            </w:tcBorders>
            <w:shd w:val="clear" w:color="auto" w:fill="auto"/>
            <w:vAlign w:val="center"/>
            <w:hideMark/>
          </w:tcPr>
          <w:p w:rsidR="004218A6" w:rsidRPr="00D84A0D" w:rsidRDefault="004218A6" w:rsidP="00230FAA">
            <w:pPr>
              <w:rPr>
                <w:sz w:val="16"/>
                <w:szCs w:val="16"/>
              </w:rPr>
            </w:pPr>
            <w:r w:rsidRPr="00D84A0D">
              <w:rPr>
                <w:sz w:val="16"/>
                <w:szCs w:val="16"/>
              </w:rPr>
              <w:t>Avances en el diálogo internacional sobre políticas entre los Estados miembros de la OMPI para fomentar el respeto por la P.I. sobre la base de la recomendación 45 de la Agenda de la OMPI para el Desarrollo</w:t>
            </w:r>
          </w:p>
        </w:tc>
        <w:tc>
          <w:tcPr>
            <w:tcW w:w="1186"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569</w:t>
            </w:r>
          </w:p>
        </w:tc>
        <w:tc>
          <w:tcPr>
            <w:tcW w:w="1310"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823</w:t>
            </w:r>
          </w:p>
        </w:tc>
        <w:tc>
          <w:tcPr>
            <w:tcW w:w="1169"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383</w:t>
            </w:r>
          </w:p>
        </w:tc>
      </w:tr>
      <w:tr w:rsidR="004218A6" w:rsidRPr="00D84A0D" w:rsidTr="00156844">
        <w:trPr>
          <w:trHeight w:val="840"/>
          <w:jc w:val="center"/>
        </w:trPr>
        <w:tc>
          <w:tcPr>
            <w:tcW w:w="611"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r w:rsidRPr="00D84A0D">
              <w:rPr>
                <w:sz w:val="16"/>
                <w:szCs w:val="16"/>
              </w:rPr>
              <w:t>VI.2</w:t>
            </w:r>
          </w:p>
        </w:tc>
        <w:tc>
          <w:tcPr>
            <w:tcW w:w="4235" w:type="dxa"/>
            <w:tcBorders>
              <w:top w:val="nil"/>
              <w:left w:val="nil"/>
              <w:bottom w:val="nil"/>
              <w:right w:val="nil"/>
            </w:tcBorders>
            <w:shd w:val="clear" w:color="auto" w:fill="auto"/>
            <w:vAlign w:val="center"/>
            <w:hideMark/>
          </w:tcPr>
          <w:p w:rsidR="004218A6" w:rsidRPr="00D84A0D" w:rsidRDefault="004218A6" w:rsidP="00230FAA">
            <w:pPr>
              <w:rPr>
                <w:sz w:val="16"/>
                <w:szCs w:val="16"/>
              </w:rPr>
            </w:pPr>
            <w:r w:rsidRPr="00D84A0D">
              <w:rPr>
                <w:sz w:val="16"/>
                <w:szCs w:val="16"/>
              </w:rPr>
              <w:t>Cooperación y coordinación sistemáticas, eficaces y transparentes entre la OMPI y otras organizaciones internacionales en el fomento del respeto por la P.I.</w:t>
            </w:r>
          </w:p>
        </w:tc>
        <w:tc>
          <w:tcPr>
            <w:tcW w:w="1186"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1.111</w:t>
            </w:r>
          </w:p>
        </w:tc>
        <w:tc>
          <w:tcPr>
            <w:tcW w:w="1310"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1.278</w:t>
            </w:r>
          </w:p>
        </w:tc>
        <w:tc>
          <w:tcPr>
            <w:tcW w:w="1169"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684</w:t>
            </w:r>
          </w:p>
        </w:tc>
      </w:tr>
      <w:tr w:rsidR="004218A6" w:rsidRPr="00D84A0D" w:rsidTr="00156844">
        <w:trPr>
          <w:trHeight w:val="840"/>
          <w:jc w:val="center"/>
        </w:trPr>
        <w:tc>
          <w:tcPr>
            <w:tcW w:w="611"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r w:rsidRPr="00D84A0D">
              <w:rPr>
                <w:sz w:val="16"/>
                <w:szCs w:val="16"/>
              </w:rPr>
              <w:t>VIII.1</w:t>
            </w:r>
          </w:p>
        </w:tc>
        <w:tc>
          <w:tcPr>
            <w:tcW w:w="4235" w:type="dxa"/>
            <w:tcBorders>
              <w:top w:val="nil"/>
              <w:left w:val="nil"/>
              <w:bottom w:val="nil"/>
              <w:right w:val="nil"/>
            </w:tcBorders>
            <w:shd w:val="clear" w:color="auto" w:fill="auto"/>
            <w:vAlign w:val="center"/>
            <w:hideMark/>
          </w:tcPr>
          <w:p w:rsidR="004218A6" w:rsidRPr="00D84A0D" w:rsidRDefault="004218A6" w:rsidP="00230FAA">
            <w:pPr>
              <w:rPr>
                <w:sz w:val="16"/>
                <w:szCs w:val="16"/>
              </w:rPr>
            </w:pPr>
            <w:r w:rsidRPr="00D84A0D">
              <w:rPr>
                <w:sz w:val="16"/>
                <w:szCs w:val="16"/>
              </w:rPr>
              <w:t>Comunicación más eficaz con el público en general acerca de la P.I. y la función de la OMPI</w:t>
            </w:r>
          </w:p>
        </w:tc>
        <w:tc>
          <w:tcPr>
            <w:tcW w:w="1186"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327</w:t>
            </w:r>
          </w:p>
        </w:tc>
        <w:tc>
          <w:tcPr>
            <w:tcW w:w="1310"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0</w:t>
            </w:r>
          </w:p>
        </w:tc>
        <w:tc>
          <w:tcPr>
            <w:tcW w:w="1169" w:type="dxa"/>
            <w:tcBorders>
              <w:top w:val="nil"/>
              <w:left w:val="nil"/>
              <w:bottom w:val="nil"/>
              <w:right w:val="nil"/>
            </w:tcBorders>
            <w:shd w:val="clear" w:color="auto" w:fill="auto"/>
            <w:noWrap/>
            <w:vAlign w:val="center"/>
            <w:hideMark/>
          </w:tcPr>
          <w:p w:rsidR="004218A6" w:rsidRPr="00D84A0D" w:rsidRDefault="004218A6" w:rsidP="00230FAA">
            <w:pPr>
              <w:jc w:val="center"/>
              <w:rPr>
                <w:sz w:val="16"/>
                <w:szCs w:val="16"/>
              </w:rPr>
            </w:pPr>
            <w:r w:rsidRPr="00D84A0D">
              <w:rPr>
                <w:sz w:val="16"/>
                <w:szCs w:val="16"/>
              </w:rPr>
              <w:t>2</w:t>
            </w:r>
          </w:p>
        </w:tc>
      </w:tr>
      <w:tr w:rsidR="004218A6" w:rsidRPr="00D84A0D" w:rsidTr="00156844">
        <w:trPr>
          <w:trHeight w:val="225"/>
          <w:jc w:val="center"/>
        </w:trPr>
        <w:tc>
          <w:tcPr>
            <w:tcW w:w="611" w:type="dxa"/>
            <w:tcBorders>
              <w:top w:val="nil"/>
              <w:left w:val="nil"/>
              <w:bottom w:val="nil"/>
              <w:right w:val="nil"/>
            </w:tcBorders>
            <w:shd w:val="clear" w:color="000000" w:fill="C5D9F1"/>
            <w:noWrap/>
            <w:vAlign w:val="bottom"/>
            <w:hideMark/>
          </w:tcPr>
          <w:p w:rsidR="004218A6" w:rsidRPr="00D84A0D" w:rsidRDefault="004218A6" w:rsidP="00230FAA">
            <w:pPr>
              <w:rPr>
                <w:sz w:val="16"/>
                <w:szCs w:val="16"/>
              </w:rPr>
            </w:pPr>
            <w:r w:rsidRPr="00D84A0D">
              <w:rPr>
                <w:sz w:val="16"/>
                <w:szCs w:val="16"/>
              </w:rPr>
              <w:t> </w:t>
            </w:r>
          </w:p>
        </w:tc>
        <w:tc>
          <w:tcPr>
            <w:tcW w:w="4235" w:type="dxa"/>
            <w:tcBorders>
              <w:top w:val="nil"/>
              <w:left w:val="nil"/>
              <w:bottom w:val="nil"/>
              <w:right w:val="nil"/>
            </w:tcBorders>
            <w:shd w:val="clear" w:color="000000" w:fill="C5D9F1"/>
            <w:noWrap/>
            <w:vAlign w:val="bottom"/>
            <w:hideMark/>
          </w:tcPr>
          <w:p w:rsidR="004218A6" w:rsidRPr="00D84A0D" w:rsidRDefault="004218A6" w:rsidP="00230FAA">
            <w:pPr>
              <w:jc w:val="right"/>
              <w:rPr>
                <w:b/>
                <w:bCs/>
                <w:sz w:val="16"/>
                <w:szCs w:val="16"/>
              </w:rPr>
            </w:pPr>
            <w:r w:rsidRPr="00D84A0D">
              <w:rPr>
                <w:b/>
                <w:bCs/>
                <w:sz w:val="16"/>
                <w:szCs w:val="16"/>
              </w:rPr>
              <w:t>Total</w:t>
            </w:r>
          </w:p>
        </w:tc>
        <w:tc>
          <w:tcPr>
            <w:tcW w:w="1186" w:type="dxa"/>
            <w:tcBorders>
              <w:top w:val="nil"/>
              <w:left w:val="nil"/>
              <w:bottom w:val="nil"/>
              <w:right w:val="nil"/>
            </w:tcBorders>
            <w:shd w:val="clear" w:color="000000" w:fill="C5D9F1"/>
            <w:noWrap/>
            <w:vAlign w:val="center"/>
            <w:hideMark/>
          </w:tcPr>
          <w:p w:rsidR="004218A6" w:rsidRPr="00D84A0D" w:rsidRDefault="004218A6" w:rsidP="00230FAA">
            <w:pPr>
              <w:jc w:val="center"/>
              <w:rPr>
                <w:sz w:val="16"/>
                <w:szCs w:val="16"/>
              </w:rPr>
            </w:pPr>
            <w:r w:rsidRPr="00D84A0D">
              <w:rPr>
                <w:sz w:val="16"/>
                <w:szCs w:val="16"/>
              </w:rPr>
              <w:t>3.752</w:t>
            </w:r>
          </w:p>
        </w:tc>
        <w:tc>
          <w:tcPr>
            <w:tcW w:w="1310" w:type="dxa"/>
            <w:tcBorders>
              <w:top w:val="nil"/>
              <w:left w:val="nil"/>
              <w:bottom w:val="nil"/>
              <w:right w:val="nil"/>
            </w:tcBorders>
            <w:shd w:val="clear" w:color="000000" w:fill="C5D9F1"/>
            <w:noWrap/>
            <w:vAlign w:val="center"/>
            <w:hideMark/>
          </w:tcPr>
          <w:p w:rsidR="004218A6" w:rsidRPr="00D84A0D" w:rsidRDefault="004218A6" w:rsidP="00230FAA">
            <w:pPr>
              <w:jc w:val="center"/>
              <w:rPr>
                <w:sz w:val="16"/>
                <w:szCs w:val="16"/>
              </w:rPr>
            </w:pPr>
            <w:r w:rsidRPr="00D84A0D">
              <w:rPr>
                <w:sz w:val="16"/>
                <w:szCs w:val="16"/>
              </w:rPr>
              <w:t>3.874</w:t>
            </w:r>
          </w:p>
        </w:tc>
        <w:tc>
          <w:tcPr>
            <w:tcW w:w="1169" w:type="dxa"/>
            <w:tcBorders>
              <w:top w:val="nil"/>
              <w:left w:val="nil"/>
              <w:bottom w:val="nil"/>
              <w:right w:val="nil"/>
            </w:tcBorders>
            <w:shd w:val="clear" w:color="000000" w:fill="C5D9F1"/>
            <w:noWrap/>
            <w:vAlign w:val="center"/>
            <w:hideMark/>
          </w:tcPr>
          <w:p w:rsidR="004218A6" w:rsidRPr="00D84A0D" w:rsidRDefault="004218A6" w:rsidP="00230FAA">
            <w:pPr>
              <w:jc w:val="center"/>
              <w:rPr>
                <w:sz w:val="16"/>
                <w:szCs w:val="16"/>
              </w:rPr>
            </w:pPr>
            <w:r w:rsidRPr="00D84A0D">
              <w:rPr>
                <w:sz w:val="16"/>
                <w:szCs w:val="16"/>
              </w:rPr>
              <w:t>1.905</w:t>
            </w:r>
          </w:p>
        </w:tc>
      </w:tr>
      <w:tr w:rsidR="004218A6" w:rsidRPr="00D84A0D" w:rsidTr="00156844">
        <w:trPr>
          <w:trHeight w:val="330"/>
          <w:jc w:val="center"/>
        </w:trPr>
        <w:tc>
          <w:tcPr>
            <w:tcW w:w="7342" w:type="dxa"/>
            <w:gridSpan w:val="4"/>
            <w:tcBorders>
              <w:top w:val="nil"/>
              <w:left w:val="nil"/>
              <w:bottom w:val="nil"/>
              <w:right w:val="nil"/>
            </w:tcBorders>
            <w:shd w:val="clear" w:color="auto" w:fill="auto"/>
            <w:noWrap/>
            <w:vAlign w:val="center"/>
            <w:hideMark/>
          </w:tcPr>
          <w:p w:rsidR="004218A6" w:rsidRPr="00D84A0D" w:rsidRDefault="004218A6" w:rsidP="00230FAA">
            <w:pPr>
              <w:rPr>
                <w:i/>
                <w:iCs/>
                <w:sz w:val="16"/>
                <w:szCs w:val="16"/>
              </w:rPr>
            </w:pPr>
            <w:r w:rsidRPr="00D84A0D">
              <w:rPr>
                <w:i/>
                <w:iCs/>
                <w:sz w:val="16"/>
                <w:szCs w:val="16"/>
              </w:rPr>
              <w:t>*Las cifras de gastos en 2016 son preliminares, a reserva de verificación por el Auditor Externo.</w:t>
            </w:r>
          </w:p>
        </w:tc>
        <w:tc>
          <w:tcPr>
            <w:tcW w:w="1169"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p>
        </w:tc>
      </w:tr>
    </w:tbl>
    <w:p w:rsidR="004218A6" w:rsidRPr="00D84A0D" w:rsidRDefault="004218A6" w:rsidP="00230FAA">
      <w:pPr>
        <w:rPr>
          <w:sz w:val="20"/>
          <w:szCs w:val="18"/>
        </w:rPr>
      </w:pPr>
    </w:p>
    <w:p w:rsidR="004218A6" w:rsidRPr="00D84A0D" w:rsidRDefault="004218A6" w:rsidP="00230FAA">
      <w:pPr>
        <w:pStyle w:val="NormalWeb"/>
        <w:keepNext/>
        <w:keepLines/>
        <w:spacing w:before="0" w:beforeAutospacing="0" w:after="0" w:afterAutospacing="0"/>
        <w:jc w:val="center"/>
        <w:rPr>
          <w:lang w:val="es-ES"/>
        </w:rPr>
      </w:pPr>
      <w:r w:rsidRPr="00D84A0D">
        <w:rPr>
          <w:lang w:val="es-ES"/>
        </w:rPr>
        <w:t xml:space="preserve">Presupuesto y gastos reales (de personal y no relativos a personal) </w:t>
      </w:r>
    </w:p>
    <w:p w:rsidR="004218A6" w:rsidRPr="00D84A0D" w:rsidRDefault="004218A6" w:rsidP="00230FAA">
      <w:pPr>
        <w:pStyle w:val="NormalWeb"/>
        <w:keepNext/>
        <w:keepLines/>
        <w:spacing w:before="0" w:beforeAutospacing="0" w:after="0" w:afterAutospacing="0"/>
        <w:jc w:val="center"/>
        <w:rPr>
          <w:i/>
          <w:iCs/>
          <w:sz w:val="16"/>
          <w:szCs w:val="16"/>
          <w:lang w:val="es-ES"/>
        </w:rPr>
      </w:pPr>
      <w:r w:rsidRPr="00D84A0D">
        <w:rPr>
          <w:i/>
          <w:iCs/>
          <w:sz w:val="16"/>
          <w:szCs w:val="16"/>
          <w:lang w:val="es-ES"/>
        </w:rPr>
        <w:t>(en miles de francos suizos)</w:t>
      </w:r>
    </w:p>
    <w:p w:rsidR="004218A6" w:rsidRPr="00D84A0D" w:rsidRDefault="004218A6" w:rsidP="00230FAA">
      <w:pPr>
        <w:pStyle w:val="NormalWeb"/>
        <w:keepNext/>
        <w:keepLines/>
        <w:spacing w:before="0" w:beforeAutospacing="0" w:after="0" w:afterAutospacing="0"/>
        <w:jc w:val="center"/>
        <w:rPr>
          <w:i/>
          <w:iCs/>
          <w:sz w:val="20"/>
          <w:szCs w:val="20"/>
          <w:lang w:val="es-ES"/>
        </w:rPr>
      </w:pPr>
    </w:p>
    <w:tbl>
      <w:tblPr>
        <w:tblW w:w="8222" w:type="dxa"/>
        <w:jc w:val="center"/>
        <w:tblLook w:val="04A0" w:firstRow="1" w:lastRow="0" w:firstColumn="1" w:lastColumn="0" w:noHBand="0" w:noVBand="1"/>
      </w:tblPr>
      <w:tblGrid>
        <w:gridCol w:w="2470"/>
        <w:gridCol w:w="1438"/>
        <w:gridCol w:w="1438"/>
        <w:gridCol w:w="1438"/>
        <w:gridCol w:w="1438"/>
      </w:tblGrid>
      <w:tr w:rsidR="004218A6" w:rsidRPr="00D84A0D" w:rsidTr="00230FAA">
        <w:trPr>
          <w:trHeight w:val="720"/>
          <w:jc w:val="center"/>
        </w:trPr>
        <w:tc>
          <w:tcPr>
            <w:tcW w:w="2440" w:type="dxa"/>
            <w:tcBorders>
              <w:top w:val="nil"/>
              <w:left w:val="nil"/>
              <w:bottom w:val="nil"/>
              <w:right w:val="nil"/>
            </w:tcBorders>
            <w:shd w:val="clear" w:color="000000" w:fill="C5D9F1"/>
            <w:noWrap/>
            <w:vAlign w:val="center"/>
            <w:hideMark/>
          </w:tcPr>
          <w:p w:rsidR="004218A6" w:rsidRPr="00D84A0D" w:rsidRDefault="004218A6" w:rsidP="00230FAA">
            <w:pPr>
              <w:rPr>
                <w:sz w:val="16"/>
                <w:szCs w:val="16"/>
              </w:rPr>
            </w:pPr>
            <w:r w:rsidRPr="00D84A0D">
              <w:rPr>
                <w:sz w:val="16"/>
                <w:szCs w:val="16"/>
              </w:rPr>
              <w:t> </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Gastos en 2016*</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Índice de utilización (%)</w:t>
            </w:r>
          </w:p>
        </w:tc>
      </w:tr>
      <w:tr w:rsidR="004218A6" w:rsidRPr="00D84A0D" w:rsidTr="00230FAA">
        <w:trPr>
          <w:trHeight w:val="315"/>
          <w:jc w:val="center"/>
        </w:trPr>
        <w:tc>
          <w:tcPr>
            <w:tcW w:w="2440"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r w:rsidRPr="00D84A0D">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 xml:space="preserve">3.073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 xml:space="preserve">3.073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 xml:space="preserve">1.567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51%</w:t>
            </w:r>
          </w:p>
        </w:tc>
      </w:tr>
      <w:tr w:rsidR="004218A6" w:rsidRPr="00D84A0D" w:rsidTr="00230FAA">
        <w:trPr>
          <w:trHeight w:val="315"/>
          <w:jc w:val="center"/>
        </w:trPr>
        <w:tc>
          <w:tcPr>
            <w:tcW w:w="2440" w:type="dxa"/>
            <w:tcBorders>
              <w:top w:val="nil"/>
              <w:left w:val="nil"/>
              <w:bottom w:val="nil"/>
              <w:right w:val="nil"/>
            </w:tcBorders>
            <w:shd w:val="clear" w:color="auto" w:fill="auto"/>
            <w:noWrap/>
            <w:vAlign w:val="center"/>
            <w:hideMark/>
          </w:tcPr>
          <w:p w:rsidR="004218A6" w:rsidRPr="00D84A0D" w:rsidRDefault="004218A6" w:rsidP="00230FAA">
            <w:pPr>
              <w:rPr>
                <w:sz w:val="16"/>
                <w:szCs w:val="16"/>
              </w:rPr>
            </w:pPr>
            <w:r w:rsidRPr="00D84A0D">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 xml:space="preserve">679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 xml:space="preserve">801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 xml:space="preserve">338 </w:t>
            </w:r>
          </w:p>
        </w:tc>
        <w:tc>
          <w:tcPr>
            <w:tcW w:w="1420" w:type="dxa"/>
            <w:tcBorders>
              <w:top w:val="nil"/>
              <w:left w:val="nil"/>
              <w:bottom w:val="nil"/>
              <w:right w:val="nil"/>
            </w:tcBorders>
            <w:shd w:val="clear" w:color="auto" w:fill="auto"/>
            <w:vAlign w:val="center"/>
            <w:hideMark/>
          </w:tcPr>
          <w:p w:rsidR="004218A6" w:rsidRPr="00D84A0D" w:rsidRDefault="004218A6" w:rsidP="00230FAA">
            <w:pPr>
              <w:jc w:val="center"/>
              <w:rPr>
                <w:sz w:val="16"/>
                <w:szCs w:val="16"/>
              </w:rPr>
            </w:pPr>
            <w:r w:rsidRPr="00D84A0D">
              <w:rPr>
                <w:sz w:val="16"/>
                <w:szCs w:val="16"/>
              </w:rPr>
              <w:t>42%</w:t>
            </w:r>
          </w:p>
        </w:tc>
      </w:tr>
      <w:tr w:rsidR="004218A6" w:rsidRPr="00D84A0D" w:rsidTr="00230FAA">
        <w:trPr>
          <w:trHeight w:val="225"/>
          <w:jc w:val="center"/>
        </w:trPr>
        <w:tc>
          <w:tcPr>
            <w:tcW w:w="2440" w:type="dxa"/>
            <w:tcBorders>
              <w:top w:val="nil"/>
              <w:left w:val="nil"/>
              <w:bottom w:val="nil"/>
              <w:right w:val="nil"/>
            </w:tcBorders>
            <w:shd w:val="clear" w:color="000000" w:fill="C5D9F1"/>
            <w:noWrap/>
            <w:vAlign w:val="center"/>
            <w:hideMark/>
          </w:tcPr>
          <w:p w:rsidR="004218A6" w:rsidRPr="00D84A0D" w:rsidRDefault="004218A6" w:rsidP="00230FAA">
            <w:pPr>
              <w:jc w:val="right"/>
              <w:rPr>
                <w:b/>
                <w:bCs/>
                <w:sz w:val="16"/>
                <w:szCs w:val="16"/>
              </w:rPr>
            </w:pPr>
            <w:r w:rsidRPr="00D84A0D">
              <w:rPr>
                <w:b/>
                <w:bCs/>
                <w:sz w:val="16"/>
                <w:szCs w:val="16"/>
              </w:rPr>
              <w:t xml:space="preserve"> Total </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 xml:space="preserve">3.752 </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 xml:space="preserve">3.874 </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 xml:space="preserve">1.905 </w:t>
            </w:r>
          </w:p>
        </w:tc>
        <w:tc>
          <w:tcPr>
            <w:tcW w:w="1420" w:type="dxa"/>
            <w:tcBorders>
              <w:top w:val="nil"/>
              <w:left w:val="nil"/>
              <w:bottom w:val="nil"/>
              <w:right w:val="nil"/>
            </w:tcBorders>
            <w:shd w:val="clear" w:color="000000" w:fill="C5D9F1"/>
            <w:vAlign w:val="center"/>
            <w:hideMark/>
          </w:tcPr>
          <w:p w:rsidR="004218A6" w:rsidRPr="00D84A0D" w:rsidRDefault="004218A6" w:rsidP="00230FAA">
            <w:pPr>
              <w:jc w:val="center"/>
              <w:rPr>
                <w:b/>
                <w:bCs/>
                <w:sz w:val="16"/>
                <w:szCs w:val="16"/>
              </w:rPr>
            </w:pPr>
            <w:r w:rsidRPr="00D84A0D">
              <w:rPr>
                <w:b/>
                <w:bCs/>
                <w:sz w:val="16"/>
                <w:szCs w:val="16"/>
              </w:rPr>
              <w:t>49%</w:t>
            </w:r>
          </w:p>
        </w:tc>
      </w:tr>
      <w:tr w:rsidR="004218A6" w:rsidRPr="00D84A0D" w:rsidTr="00230FAA">
        <w:trPr>
          <w:trHeight w:val="300"/>
          <w:jc w:val="center"/>
        </w:trPr>
        <w:tc>
          <w:tcPr>
            <w:tcW w:w="8120" w:type="dxa"/>
            <w:gridSpan w:val="5"/>
            <w:tcBorders>
              <w:top w:val="nil"/>
              <w:left w:val="nil"/>
              <w:bottom w:val="nil"/>
              <w:right w:val="nil"/>
            </w:tcBorders>
            <w:shd w:val="clear" w:color="auto" w:fill="auto"/>
            <w:noWrap/>
            <w:vAlign w:val="center"/>
            <w:hideMark/>
          </w:tcPr>
          <w:p w:rsidR="004218A6" w:rsidRPr="00D84A0D" w:rsidRDefault="004218A6" w:rsidP="00230FAA">
            <w:pPr>
              <w:rPr>
                <w:i/>
                <w:iCs/>
                <w:sz w:val="16"/>
                <w:szCs w:val="16"/>
              </w:rPr>
            </w:pPr>
            <w:r w:rsidRPr="00D84A0D">
              <w:rPr>
                <w:i/>
                <w:iCs/>
                <w:sz w:val="16"/>
                <w:szCs w:val="16"/>
              </w:rPr>
              <w:t xml:space="preserve"> *Las cifras de gastos en 2016 son preliminares, a reserva de verificación por el Auditor Externo.</w:t>
            </w:r>
          </w:p>
        </w:tc>
      </w:tr>
    </w:tbl>
    <w:p w:rsidR="004218A6" w:rsidRPr="00D84A0D" w:rsidRDefault="004218A6" w:rsidP="00230FAA">
      <w:pPr>
        <w:jc w:val="center"/>
        <w:rPr>
          <w:sz w:val="18"/>
          <w:szCs w:val="16"/>
        </w:rPr>
      </w:pPr>
    </w:p>
    <w:p w:rsidR="004218A6" w:rsidRPr="00D84A0D" w:rsidRDefault="004218A6" w:rsidP="00230FAA">
      <w:pPr>
        <w:keepNext/>
        <w:keepLines/>
        <w:ind w:left="567" w:right="282"/>
        <w:rPr>
          <w:i/>
          <w:sz w:val="16"/>
          <w:szCs w:val="16"/>
        </w:rPr>
      </w:pPr>
      <w:r w:rsidRPr="00D84A0D">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4218A6" w:rsidRPr="00D84A0D" w:rsidRDefault="004218A6" w:rsidP="00230FAA">
      <w:pPr>
        <w:jc w:val="both"/>
        <w:rPr>
          <w:sz w:val="18"/>
          <w:szCs w:val="18"/>
        </w:rPr>
      </w:pPr>
    </w:p>
    <w:p w:rsidR="004218A6" w:rsidRPr="00D84A0D" w:rsidRDefault="004218A6" w:rsidP="00230FAA">
      <w:pPr>
        <w:jc w:val="both"/>
        <w:rPr>
          <w:sz w:val="20"/>
        </w:rPr>
      </w:pPr>
      <w:r w:rsidRPr="00D84A0D">
        <w:rPr>
          <w:sz w:val="20"/>
        </w:rPr>
        <w:t>A.</w:t>
      </w:r>
      <w:r w:rsidRPr="00D84A0D">
        <w:rPr>
          <w:sz w:val="20"/>
        </w:rPr>
        <w:tab/>
      </w:r>
      <w:r w:rsidRPr="00D84A0D">
        <w:rPr>
          <w:sz w:val="20"/>
          <w:u w:val="single"/>
        </w:rPr>
        <w:t>Presupuesto de 2016/17 tras las transferencias</w:t>
      </w:r>
    </w:p>
    <w:p w:rsidR="004218A6" w:rsidRPr="00D84A0D" w:rsidRDefault="004218A6" w:rsidP="00230FAA">
      <w:pPr>
        <w:jc w:val="both"/>
        <w:rPr>
          <w:sz w:val="20"/>
        </w:rPr>
      </w:pPr>
    </w:p>
    <w:p w:rsidR="004218A6" w:rsidRPr="00D84A0D" w:rsidRDefault="004218A6" w:rsidP="004218A6">
      <w:pPr>
        <w:pStyle w:val="ListParagraph"/>
        <w:numPr>
          <w:ilvl w:val="0"/>
          <w:numId w:val="72"/>
        </w:numPr>
        <w:ind w:left="0" w:firstLine="0"/>
        <w:jc w:val="both"/>
        <w:rPr>
          <w:lang w:val="es-ES"/>
        </w:rPr>
      </w:pPr>
      <w:r w:rsidRPr="00D84A0D">
        <w:rPr>
          <w:lang w:val="es-ES"/>
        </w:rPr>
        <w:t xml:space="preserve">El presupuesto tras las transferencias refleja la transferencia al programa de recursos no relativos a personal adicionales en el marco del resultado previsto VI.1 (Avances en el diálogo internacional sobre políticas entre los Estados miembros de la OMPI para fomentar el respeto por la P.I.) a fin de financiar:  i) la 12ª sesión del ACE;  y ii) la preparación de dos estudios y la futura labor acordada por los Estados miembros durante la 11ª sesión del ACE.    </w:t>
      </w:r>
    </w:p>
    <w:p w:rsidR="004218A6" w:rsidRPr="00D84A0D" w:rsidRDefault="004218A6" w:rsidP="00230FAA">
      <w:pPr>
        <w:jc w:val="both"/>
        <w:rPr>
          <w:sz w:val="20"/>
        </w:rPr>
      </w:pPr>
    </w:p>
    <w:p w:rsidR="004218A6" w:rsidRPr="00D84A0D" w:rsidRDefault="004218A6" w:rsidP="00230FAA">
      <w:pPr>
        <w:jc w:val="both"/>
        <w:rPr>
          <w:sz w:val="20"/>
        </w:rPr>
      </w:pPr>
      <w:r w:rsidRPr="00D84A0D">
        <w:rPr>
          <w:sz w:val="20"/>
        </w:rPr>
        <w:t>B.</w:t>
      </w:r>
      <w:r w:rsidRPr="00D84A0D">
        <w:rPr>
          <w:sz w:val="20"/>
        </w:rPr>
        <w:tab/>
      </w:r>
      <w:r w:rsidRPr="00D84A0D">
        <w:rPr>
          <w:sz w:val="20"/>
          <w:u w:val="single"/>
        </w:rPr>
        <w:t>Utilización del presupuesto en 2016/17</w:t>
      </w:r>
    </w:p>
    <w:p w:rsidR="004218A6" w:rsidRPr="00D84A0D" w:rsidRDefault="004218A6" w:rsidP="00230FAA">
      <w:pPr>
        <w:jc w:val="both"/>
        <w:rPr>
          <w:sz w:val="20"/>
        </w:rPr>
      </w:pPr>
    </w:p>
    <w:p w:rsidR="004218A6" w:rsidRPr="00D84A0D" w:rsidRDefault="004218A6" w:rsidP="004218A6">
      <w:pPr>
        <w:pStyle w:val="ListParagraph"/>
        <w:numPr>
          <w:ilvl w:val="0"/>
          <w:numId w:val="72"/>
        </w:numPr>
        <w:ind w:left="0" w:firstLine="0"/>
        <w:jc w:val="both"/>
        <w:rPr>
          <w:lang w:val="es-ES"/>
        </w:rPr>
      </w:pPr>
      <w:r w:rsidRPr="00D84A0D">
        <w:rPr>
          <w:lang w:val="es-ES"/>
        </w:rPr>
        <w:t>La utilización del presupuesto se ha mantenido dentro de los límites establecidos (40-60%) durante el primer año del bienio.</w:t>
      </w:r>
    </w:p>
    <w:p w:rsidR="004218A6" w:rsidRPr="00D84A0D" w:rsidRDefault="004218A6" w:rsidP="00230FAA">
      <w:pPr>
        <w:pStyle w:val="ListParagraph"/>
        <w:ind w:left="0"/>
        <w:jc w:val="both"/>
        <w:rPr>
          <w:lang w:val="es-ES"/>
        </w:rPr>
      </w:pPr>
    </w:p>
    <w:p w:rsidR="00EE1CCE" w:rsidRPr="00156844" w:rsidRDefault="004218A6" w:rsidP="00156844">
      <w:pPr>
        <w:pStyle w:val="ListParagraph"/>
        <w:numPr>
          <w:ilvl w:val="0"/>
          <w:numId w:val="72"/>
        </w:numPr>
        <w:ind w:left="0" w:firstLine="0"/>
        <w:jc w:val="both"/>
        <w:rPr>
          <w:lang w:val="es-ES"/>
        </w:rPr>
      </w:pPr>
      <w:r w:rsidRPr="00D84A0D">
        <w:rPr>
          <w:lang w:val="es-ES"/>
        </w:rPr>
        <w:t>El gasto en el marco del resultado previsto VIII.1 (Comunicación más eficaz con el público en general acerca de la P.I. y la función de la OMPI) guarda relación con el programa de Premios de la OMPI, transferido al programa “Gestión ejecutiva” (programa 21).</w:t>
      </w:r>
    </w:p>
    <w:p w:rsidR="00EE1CCE" w:rsidRPr="008F3D8D" w:rsidRDefault="00EE1CCE" w:rsidP="00425619">
      <w:pPr>
        <w:pStyle w:val="Heading2"/>
        <w:spacing w:before="0" w:after="0"/>
        <w:jc w:val="center"/>
        <w:rPr>
          <w:b/>
          <w:sz w:val="20"/>
          <w:szCs w:val="20"/>
        </w:rPr>
      </w:pPr>
      <w:bookmarkStart w:id="62" w:name="_Toc422210504"/>
      <w:bookmarkStart w:id="63" w:name="_Toc367350596"/>
      <w:bookmarkStart w:id="64" w:name="_Toc482711267"/>
      <w:r w:rsidRPr="008F3D8D">
        <w:rPr>
          <w:b/>
          <w:sz w:val="20"/>
          <w:szCs w:val="20"/>
          <w:lang w:val="es-ES_tradnl"/>
        </w:rPr>
        <w:lastRenderedPageBreak/>
        <w:t>META ESTRATÉGICA VII</w:t>
      </w:r>
      <w:bookmarkEnd w:id="64"/>
    </w:p>
    <w:p w:rsidR="00EE1CCE" w:rsidRPr="008F3D8D" w:rsidRDefault="00EE1CCE" w:rsidP="00425619">
      <w:pPr>
        <w:jc w:val="center"/>
        <w:rPr>
          <w:b/>
          <w:sz w:val="20"/>
        </w:rPr>
      </w:pPr>
    </w:p>
    <w:p w:rsidR="00EE1CCE" w:rsidRPr="008F3D8D" w:rsidRDefault="00EE1CCE" w:rsidP="00425619">
      <w:pPr>
        <w:jc w:val="center"/>
        <w:rPr>
          <w:b/>
          <w:sz w:val="20"/>
        </w:rPr>
      </w:pPr>
      <w:r w:rsidRPr="008F3D8D">
        <w:rPr>
          <w:b/>
          <w:sz w:val="20"/>
          <w:lang w:val="es-ES_tradnl"/>
        </w:rPr>
        <w:t>VÍNCULOS ENTRE LA P.I. Y LOS PROBLEMAS MUNDIALES DE POLÍTICA PÚBLICA</w:t>
      </w:r>
      <w:r w:rsidRPr="008F3D8D">
        <w:rPr>
          <w:b/>
          <w:sz w:val="20"/>
        </w:rPr>
        <w:t xml:space="preserve"> </w:t>
      </w:r>
    </w:p>
    <w:p w:rsidR="00EE1CCE" w:rsidRPr="008F3D8D" w:rsidRDefault="00EE1CCE" w:rsidP="00425619">
      <w:pPr>
        <w:rPr>
          <w:sz w:val="20"/>
        </w:rPr>
      </w:pPr>
    </w:p>
    <w:p w:rsidR="00EE1CCE" w:rsidRPr="008F3D8D" w:rsidRDefault="00EE1CCE" w:rsidP="00425619">
      <w:pPr>
        <w:jc w:val="center"/>
        <w:rPr>
          <w:b/>
          <w:sz w:val="20"/>
        </w:rPr>
      </w:pPr>
      <w:r w:rsidRPr="008F3D8D">
        <w:rPr>
          <w:b/>
          <w:sz w:val="20"/>
        </w:rPr>
        <w:t>Tablero de control del rendimiento a mediano plazo (2016)</w:t>
      </w:r>
    </w:p>
    <w:p w:rsidR="00EE1CCE" w:rsidRPr="008F3D8D" w:rsidRDefault="00EE1CCE" w:rsidP="00425619">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EE1CCE" w:rsidP="00EE1CCE">
      <w:pPr>
        <w:jc w:val="center"/>
      </w:pPr>
      <w:r w:rsidRPr="008F3D8D">
        <w:rPr>
          <w:noProof/>
          <w:lang w:val="en-US" w:eastAsia="en-US"/>
        </w:rPr>
        <w:drawing>
          <wp:inline distT="0" distB="0" distL="0" distR="0" wp14:anchorId="14580C6E" wp14:editId="10E19C60">
            <wp:extent cx="4165245" cy="251460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4170556" cy="2517806"/>
                    </a:xfrm>
                    <a:prstGeom prst="rect">
                      <a:avLst/>
                    </a:prstGeom>
                    <a:noFill/>
                    <a:ln>
                      <a:noFill/>
                    </a:ln>
                  </pic:spPr>
                </pic:pic>
              </a:graphicData>
            </a:graphic>
          </wp:inline>
        </w:drawing>
      </w:r>
    </w:p>
    <w:tbl>
      <w:tblPr>
        <w:tblW w:w="9208" w:type="dxa"/>
        <w:tblInd w:w="108" w:type="dxa"/>
        <w:tblLayout w:type="fixed"/>
        <w:tblLook w:val="0000" w:firstRow="0" w:lastRow="0" w:firstColumn="0" w:lastColumn="0" w:noHBand="0" w:noVBand="0"/>
      </w:tblPr>
      <w:tblGrid>
        <w:gridCol w:w="2722"/>
        <w:gridCol w:w="3854"/>
        <w:gridCol w:w="1586"/>
        <w:gridCol w:w="1046"/>
      </w:tblGrid>
      <w:tr w:rsidR="00EE1CCE" w:rsidRPr="008F3D8D" w:rsidTr="00A34E19">
        <w:trPr>
          <w:cantSplit/>
          <w:tblHeader/>
        </w:trPr>
        <w:tc>
          <w:tcPr>
            <w:tcW w:w="1478" w:type="pct"/>
            <w:shd w:val="clear" w:color="auto" w:fill="B8CCE4" w:themeFill="accent1" w:themeFillTint="66"/>
            <w:tcMar>
              <w:top w:w="113" w:type="dxa"/>
              <w:bottom w:w="85" w:type="dxa"/>
            </w:tcMar>
            <w:vAlign w:val="center"/>
          </w:tcPr>
          <w:p w:rsidR="00EE1CCE" w:rsidRPr="008F3D8D" w:rsidRDefault="00EE1CCE" w:rsidP="00A34E19">
            <w:pPr>
              <w:spacing w:after="120"/>
              <w:rPr>
                <w:b/>
                <w:bCs/>
                <w:sz w:val="18"/>
                <w:szCs w:val="18"/>
              </w:rPr>
            </w:pPr>
            <w:r w:rsidRPr="008F3D8D">
              <w:rPr>
                <w:b/>
                <w:bCs/>
                <w:sz w:val="18"/>
                <w:szCs w:val="18"/>
                <w:lang w:val="es-ES_tradnl"/>
              </w:rPr>
              <w:t>Resultado previsto</w:t>
            </w:r>
          </w:p>
        </w:tc>
        <w:tc>
          <w:tcPr>
            <w:tcW w:w="2093" w:type="pct"/>
            <w:shd w:val="clear" w:color="auto" w:fill="B8CCE4" w:themeFill="accent1" w:themeFillTint="66"/>
            <w:tcMar>
              <w:top w:w="113" w:type="dxa"/>
              <w:bottom w:w="85" w:type="dxa"/>
            </w:tcMar>
            <w:vAlign w:val="center"/>
          </w:tcPr>
          <w:p w:rsidR="00EE1CCE" w:rsidRPr="008F3D8D" w:rsidRDefault="00EE1CCE" w:rsidP="00A34E19">
            <w:pPr>
              <w:spacing w:after="120"/>
              <w:rPr>
                <w:b/>
                <w:sz w:val="18"/>
                <w:szCs w:val="18"/>
              </w:rPr>
            </w:pPr>
            <w:r w:rsidRPr="008F3D8D">
              <w:rPr>
                <w:b/>
                <w:sz w:val="18"/>
                <w:szCs w:val="18"/>
                <w:lang w:val="es-ES_tradnl"/>
              </w:rPr>
              <w:t>Indicadores de rendimiento</w:t>
            </w:r>
          </w:p>
        </w:tc>
        <w:tc>
          <w:tcPr>
            <w:tcW w:w="861" w:type="pct"/>
            <w:shd w:val="clear" w:color="auto" w:fill="B8CCE4" w:themeFill="accent1" w:themeFillTint="66"/>
            <w:tcMar>
              <w:top w:w="113" w:type="dxa"/>
              <w:bottom w:w="85" w:type="dxa"/>
            </w:tcMar>
            <w:vAlign w:val="center"/>
          </w:tcPr>
          <w:p w:rsidR="00EE1CCE" w:rsidRPr="008F3D8D" w:rsidRDefault="00EE1CCE" w:rsidP="00A34E19">
            <w:pPr>
              <w:spacing w:after="120"/>
              <w:ind w:left="85"/>
              <w:jc w:val="center"/>
              <w:rPr>
                <w:sz w:val="18"/>
                <w:szCs w:val="18"/>
              </w:rPr>
            </w:pPr>
            <w:r w:rsidRPr="008F3D8D">
              <w:rPr>
                <w:b/>
                <w:sz w:val="18"/>
                <w:szCs w:val="18"/>
                <w:lang w:val="es-ES_tradnl"/>
              </w:rPr>
              <w:t>Programas responsables</w:t>
            </w:r>
          </w:p>
        </w:tc>
        <w:tc>
          <w:tcPr>
            <w:tcW w:w="569" w:type="pct"/>
            <w:shd w:val="clear" w:color="auto" w:fill="B8CCE4" w:themeFill="accent1" w:themeFillTint="66"/>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Clave de colores</w:t>
            </w:r>
          </w:p>
        </w:tc>
      </w:tr>
      <w:tr w:rsidR="00EE1CCE" w:rsidRPr="008F3D8D" w:rsidTr="00A34E19">
        <w:trPr>
          <w:cantSplit/>
          <w:trHeight w:val="291"/>
        </w:trPr>
        <w:tc>
          <w:tcPr>
            <w:tcW w:w="1478"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VII.2  Plataformas y herramientas de P.I. utilizadas para la transferencia de conocimientos y la difusión y adaptación de tecnología de los países desarrollados a los países en desarrollo, en particular, a los menos adelantados, con el fin de atender los desafíos mundiales</w:t>
            </w: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Aumento del número de miembros de </w:t>
            </w:r>
            <w:r w:rsidRPr="008F3D8D">
              <w:rPr>
                <w:i/>
                <w:sz w:val="16"/>
                <w:szCs w:val="16"/>
                <w:lang w:val="es-ES_tradnl"/>
              </w:rPr>
              <w:t>WIPO Re:Search</w:t>
            </w:r>
            <w:r w:rsidRPr="008F3D8D">
              <w:rPr>
                <w:sz w:val="16"/>
                <w:szCs w:val="16"/>
                <w:lang w:val="es-ES_tradnl"/>
              </w:rPr>
              <w:t>, incluidos los procedentes de países en desarrollo y PMA</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r w:rsidRPr="008F3D8D">
              <w:rPr>
                <w:sz w:val="16"/>
                <w:szCs w:val="16"/>
                <w:lang w:bidi="th-TH"/>
              </w:rPr>
              <w:t xml:space="preserve"> </w:t>
            </w:r>
          </w:p>
        </w:tc>
        <w:tc>
          <w:tcPr>
            <w:tcW w:w="569"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A34E19">
        <w:trPr>
          <w:cantSplit/>
          <w:trHeight w:val="44"/>
        </w:trPr>
        <w:tc>
          <w:tcPr>
            <w:tcW w:w="1478" w:type="pct"/>
            <w:vMerge/>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N.º de contribuciones en la base de datos de </w:t>
            </w:r>
            <w:r w:rsidRPr="008F3D8D">
              <w:rPr>
                <w:i/>
                <w:sz w:val="16"/>
                <w:szCs w:val="16"/>
                <w:lang w:val="es-ES_tradnl"/>
              </w:rPr>
              <w:t>WIPO Re:Search</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r w:rsidRPr="008F3D8D">
              <w:rPr>
                <w:sz w:val="16"/>
                <w:szCs w:val="16"/>
                <w:lang w:bidi="th-TH"/>
              </w:rPr>
              <w:t xml:space="preserve"> </w:t>
            </w:r>
          </w:p>
        </w:tc>
        <w:tc>
          <w:tcPr>
            <w:tcW w:w="569" w:type="pct"/>
            <w:shd w:val="clear" w:color="auto" w:fill="FFFFFF"/>
          </w:tcPr>
          <w:p w:rsidR="00EE1CCE" w:rsidRPr="008F3D8D" w:rsidRDefault="00EE1CCE" w:rsidP="00A34E19">
            <w:pPr>
              <w:jc w:val="center"/>
            </w:pPr>
            <w:r w:rsidRPr="008F3D8D">
              <w:rPr>
                <w:color w:val="FF0000"/>
                <w:szCs w:val="22"/>
              </w:rPr>
              <w:sym w:font="Wingdings" w:char="F06C"/>
            </w:r>
          </w:p>
        </w:tc>
      </w:tr>
      <w:tr w:rsidR="00EE1CCE" w:rsidRPr="008F3D8D" w:rsidTr="00A34E19">
        <w:trPr>
          <w:cantSplit/>
          <w:trHeight w:val="164"/>
        </w:trPr>
        <w:tc>
          <w:tcPr>
            <w:tcW w:w="1478" w:type="pct"/>
            <w:vMerge/>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Aumento del número de acuerdos suscritos en el marco de </w:t>
            </w:r>
            <w:r w:rsidRPr="008F3D8D">
              <w:rPr>
                <w:i/>
                <w:sz w:val="16"/>
                <w:szCs w:val="16"/>
                <w:lang w:val="es-ES_tradnl"/>
              </w:rPr>
              <w:t>WIPO Re:Search</w:t>
            </w:r>
            <w:r w:rsidRPr="008F3D8D">
              <w:rPr>
                <w:sz w:val="16"/>
                <w:szCs w:val="16"/>
                <w:lang w:val="es-ES_tradnl"/>
              </w:rPr>
              <w:t xml:space="preserve"> que conducen a nuevas actividades de I+D, o a una intensificación de las mismas, en enfermedades tropicales desatendidas, paludismo y tuberculosis</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r w:rsidRPr="008F3D8D">
              <w:rPr>
                <w:sz w:val="16"/>
                <w:szCs w:val="16"/>
                <w:lang w:bidi="th-TH"/>
              </w:rPr>
              <w:t xml:space="preserve"> </w:t>
            </w:r>
          </w:p>
        </w:tc>
        <w:tc>
          <w:tcPr>
            <w:tcW w:w="569" w:type="pct"/>
            <w:shd w:val="clear" w:color="auto" w:fill="FFFFFF"/>
          </w:tcPr>
          <w:p w:rsidR="00EE1CCE" w:rsidRPr="008F3D8D" w:rsidRDefault="00EE1CCE" w:rsidP="00A34E19">
            <w:pPr>
              <w:jc w:val="center"/>
            </w:pPr>
            <w:r w:rsidRPr="008F3D8D">
              <w:rPr>
                <w:color w:val="00B050"/>
                <w:szCs w:val="22"/>
              </w:rPr>
              <w:sym w:font="Wingdings" w:char="F06C"/>
            </w:r>
            <w:r w:rsidRPr="008F3D8D">
              <w:rPr>
                <w:color w:val="FF0000"/>
                <w:szCs w:val="22"/>
              </w:rPr>
              <w:sym w:font="Wingdings" w:char="F06C"/>
            </w:r>
          </w:p>
        </w:tc>
      </w:tr>
      <w:tr w:rsidR="00EE1CCE" w:rsidRPr="008F3D8D" w:rsidTr="00A34E19">
        <w:trPr>
          <w:cantSplit/>
          <w:trHeight w:val="245"/>
        </w:trPr>
        <w:tc>
          <w:tcPr>
            <w:tcW w:w="1478" w:type="pct"/>
            <w:vMerge/>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N.º de miembros de </w:t>
            </w:r>
            <w:r w:rsidRPr="008F3D8D">
              <w:rPr>
                <w:i/>
                <w:sz w:val="16"/>
                <w:szCs w:val="16"/>
                <w:lang w:val="es-ES_tradnl"/>
              </w:rPr>
              <w:t>WIPO GREEN</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p>
        </w:tc>
        <w:tc>
          <w:tcPr>
            <w:tcW w:w="569"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20"/>
        </w:trPr>
        <w:tc>
          <w:tcPr>
            <w:tcW w:w="1478" w:type="pct"/>
            <w:vMerge/>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N.º de contribuciones en la base de datos de </w:t>
            </w:r>
            <w:r w:rsidRPr="008F3D8D">
              <w:rPr>
                <w:i/>
                <w:sz w:val="16"/>
                <w:szCs w:val="16"/>
                <w:lang w:val="es-ES_tradnl"/>
              </w:rPr>
              <w:t>WIPO GREEN</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p>
        </w:tc>
        <w:tc>
          <w:tcPr>
            <w:tcW w:w="569" w:type="pct"/>
            <w:shd w:val="clear" w:color="auto" w:fill="FFFFFF"/>
          </w:tcPr>
          <w:p w:rsidR="00EE1CCE" w:rsidRPr="008F3D8D" w:rsidRDefault="00EE1CCE" w:rsidP="00A34E19">
            <w:pPr>
              <w:jc w:val="center"/>
              <w:rPr>
                <w:color w:val="A6A6A6" w:themeColor="background1" w:themeShade="A6"/>
                <w:szCs w:val="22"/>
              </w:rPr>
            </w:pPr>
            <w:r w:rsidRPr="008F3D8D">
              <w:rPr>
                <w:color w:val="FF0000"/>
                <w:szCs w:val="22"/>
              </w:rPr>
              <w:sym w:font="Wingdings" w:char="F06C"/>
            </w:r>
          </w:p>
        </w:tc>
      </w:tr>
      <w:tr w:rsidR="00EE1CCE" w:rsidRPr="008F3D8D" w:rsidTr="00A34E19">
        <w:trPr>
          <w:cantSplit/>
          <w:trHeight w:val="296"/>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N.º de acuerdos catalizados por medio de </w:t>
            </w:r>
            <w:r w:rsidRPr="008F3D8D">
              <w:rPr>
                <w:i/>
                <w:sz w:val="16"/>
                <w:szCs w:val="16"/>
                <w:lang w:val="es-ES_tradnl"/>
              </w:rPr>
              <w:t>WIPO GREEN</w:t>
            </w:r>
            <w:r w:rsidRPr="008F3D8D">
              <w:rPr>
                <w:sz w:val="16"/>
                <w:szCs w:val="16"/>
                <w:lang w:val="es-ES_tradnl"/>
              </w:rPr>
              <w:t xml:space="preserve"> que facilitan la transferencia de conocimientos así como la adaptación, transferencia o difusión de tecnología</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p>
        </w:tc>
        <w:tc>
          <w:tcPr>
            <w:tcW w:w="569"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344"/>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Avances realizados en la creación de un marco internacional de colaboración para una contribución eficaz de la P.I. a la seguridad alimentaria mediante la creación de un proceso consultivo</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p>
        </w:tc>
        <w:tc>
          <w:tcPr>
            <w:tcW w:w="569"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A34E19">
        <w:trPr>
          <w:cantSplit/>
          <w:trHeight w:val="20"/>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visitas al sitio web de Desafíos Mundiales</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18</w:t>
            </w:r>
          </w:p>
        </w:tc>
        <w:tc>
          <w:tcPr>
            <w:tcW w:w="569" w:type="pct"/>
            <w:shd w:val="clear" w:color="auto" w:fill="FFFFFF"/>
          </w:tcPr>
          <w:p w:rsidR="00EE1CCE" w:rsidRPr="008F3D8D" w:rsidRDefault="00EE1CCE" w:rsidP="00A34E19">
            <w:pPr>
              <w:jc w:val="center"/>
              <w:rPr>
                <w:color w:val="00B050"/>
                <w:szCs w:val="22"/>
              </w:rPr>
            </w:pPr>
            <w:r w:rsidRPr="008F3D8D">
              <w:rPr>
                <w:color w:val="FF000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rPr>
                <w:color w:val="008000"/>
                <w:szCs w:val="22"/>
              </w:rPr>
            </w:pPr>
            <w:r w:rsidRPr="008F3D8D">
              <w:rPr>
                <w:color w:val="FF000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602"/>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Participación de las partes interesadas en plataformas de la OMPI como </w:t>
            </w:r>
            <w:r w:rsidRPr="008F3D8D">
              <w:rPr>
                <w:i/>
                <w:sz w:val="16"/>
                <w:szCs w:val="16"/>
                <w:lang w:val="es-ES_tradnl"/>
              </w:rPr>
              <w:t>WIPO GREEN</w:t>
            </w:r>
            <w:r w:rsidRPr="008F3D8D">
              <w:rPr>
                <w:sz w:val="16"/>
                <w:szCs w:val="16"/>
                <w:lang w:val="es-ES_tradnl"/>
              </w:rPr>
              <w:t xml:space="preserve"> y </w:t>
            </w:r>
            <w:r w:rsidRPr="008F3D8D">
              <w:rPr>
                <w:i/>
                <w:sz w:val="16"/>
                <w:szCs w:val="16"/>
                <w:lang w:val="es-ES_tradnl"/>
              </w:rPr>
              <w:t>WIPO Re:Search</w:t>
            </w:r>
          </w:p>
        </w:tc>
        <w:tc>
          <w:tcPr>
            <w:tcW w:w="861"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9" w:type="pct"/>
            <w:shd w:val="clear" w:color="auto" w:fill="FFFFFF"/>
          </w:tcPr>
          <w:p w:rsidR="00EE1CCE" w:rsidRPr="008F3D8D" w:rsidRDefault="00EE1CCE" w:rsidP="00A34E19">
            <w:pPr>
              <w:jc w:val="center"/>
              <w:rPr>
                <w:color w:val="00B050"/>
                <w:szCs w:val="22"/>
              </w:rPr>
            </w:pPr>
            <w:r w:rsidRPr="008F3D8D">
              <w:rPr>
                <w:color w:val="00B050"/>
                <w:szCs w:val="22"/>
              </w:rPr>
              <w:sym w:font="Wingdings" w:char="F06C"/>
            </w:r>
            <w:r w:rsidRPr="008F3D8D">
              <w:rPr>
                <w:color w:val="FF0000"/>
                <w:szCs w:val="22"/>
              </w:rPr>
              <w:sym w:font="Wingdings" w:char="F06C"/>
            </w:r>
            <w:r w:rsidRPr="008F3D8D">
              <w:rPr>
                <w:color w:val="FF0000"/>
                <w:szCs w:val="22"/>
              </w:rPr>
              <w:sym w:font="Wingdings" w:char="F06C"/>
            </w:r>
            <w:r w:rsidRPr="008F3D8D">
              <w:rPr>
                <w:color w:val="A6A6A6" w:themeColor="background1" w:themeShade="A6"/>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A6A6A6" w:themeColor="background1" w:themeShade="A6"/>
                <w:szCs w:val="22"/>
              </w:rPr>
              <w:sym w:font="Wingdings" w:char="F06C"/>
            </w:r>
            <w:r w:rsidRPr="008F3D8D">
              <w:rPr>
                <w:color w:val="00B050"/>
                <w:szCs w:val="22"/>
              </w:rPr>
              <w:sym w:font="Wingdings" w:char="F06C"/>
            </w:r>
          </w:p>
          <w:p w:rsidR="00EE1CCE" w:rsidRPr="008F3D8D" w:rsidRDefault="00EE1CCE" w:rsidP="00A34E19">
            <w:pPr>
              <w:jc w:val="center"/>
            </w:pPr>
          </w:p>
        </w:tc>
      </w:tr>
      <w:bookmarkEnd w:id="62"/>
      <w:bookmarkEnd w:id="63"/>
    </w:tbl>
    <w:p w:rsidR="00BB3ABC" w:rsidRDefault="00BB3ABC">
      <w:pPr>
        <w:rPr>
          <w:color w:val="000000"/>
          <w:sz w:val="20"/>
        </w:rPr>
      </w:pPr>
      <w:r>
        <w:rPr>
          <w:color w:val="000000"/>
          <w:sz w:val="20"/>
        </w:rPr>
        <w:br w:type="page"/>
      </w:r>
    </w:p>
    <w:p w:rsidR="00BB3ABC" w:rsidRPr="00542895" w:rsidRDefault="00BB3ABC" w:rsidP="00B1479B">
      <w:pPr>
        <w:keepNext/>
        <w:tabs>
          <w:tab w:val="left" w:pos="2410"/>
          <w:tab w:val="right" w:pos="9072"/>
        </w:tabs>
        <w:outlineLvl w:val="1"/>
        <w:rPr>
          <w:b/>
          <w:bCs/>
          <w:iCs/>
        </w:rPr>
      </w:pPr>
      <w:bookmarkStart w:id="65" w:name="_Toc482711268"/>
      <w:r w:rsidRPr="00542895">
        <w:rPr>
          <w:b/>
          <w:bCs/>
          <w:iCs/>
        </w:rPr>
        <w:lastRenderedPageBreak/>
        <w:t>PROGRAMA 18</w:t>
      </w:r>
      <w:r w:rsidRPr="00542895">
        <w:rPr>
          <w:b/>
          <w:bCs/>
          <w:iCs/>
        </w:rPr>
        <w:tab/>
        <w:t>LA P.I. Y LOS DESAFÍOS MUNDIALES</w:t>
      </w:r>
      <w:bookmarkEnd w:id="65"/>
    </w:p>
    <w:p w:rsidR="00BB3ABC" w:rsidRPr="00542895" w:rsidRDefault="00BB3ABC" w:rsidP="00230FAA">
      <w:pPr>
        <w:rPr>
          <w:rFonts w:cs="Times New Roman"/>
          <w:sz w:val="20"/>
        </w:rPr>
      </w:pPr>
    </w:p>
    <w:p w:rsidR="00BB3ABC" w:rsidRPr="00542895" w:rsidRDefault="00BB3ABC" w:rsidP="00B1479B">
      <w:pPr>
        <w:tabs>
          <w:tab w:val="left" w:pos="2410"/>
        </w:tabs>
        <w:rPr>
          <w:rFonts w:cs="Times New Roman"/>
          <w:b/>
          <w:sz w:val="20"/>
        </w:rPr>
      </w:pPr>
      <w:r w:rsidRPr="00542895">
        <w:rPr>
          <w:rFonts w:cs="Times New Roman"/>
          <w:b/>
          <w:sz w:val="20"/>
        </w:rPr>
        <w:t>Director de programa</w:t>
      </w:r>
      <w:r w:rsidRPr="00542895">
        <w:rPr>
          <w:rFonts w:cs="Times New Roman"/>
          <w:sz w:val="20"/>
        </w:rPr>
        <w:tab/>
      </w:r>
      <w:r w:rsidRPr="00542895">
        <w:rPr>
          <w:rFonts w:cs="Times New Roman"/>
          <w:b/>
          <w:sz w:val="20"/>
        </w:rPr>
        <w:t>Sr. M. A. Getahun</w:t>
      </w:r>
    </w:p>
    <w:p w:rsidR="00BB3ABC" w:rsidRPr="00542895" w:rsidRDefault="00BB3ABC" w:rsidP="00230FAA">
      <w:pPr>
        <w:jc w:val="center"/>
        <w:rPr>
          <w:rFonts w:cs="Times New Roman"/>
          <w:sz w:val="20"/>
        </w:rPr>
      </w:pPr>
      <w:r w:rsidRPr="00503A47">
        <w:rPr>
          <w:noProof/>
          <w:lang w:val="en-US" w:eastAsia="en-US"/>
        </w:rPr>
        <w:drawing>
          <wp:inline distT="0" distB="0" distL="0" distR="0">
            <wp:extent cx="4827181" cy="2623827"/>
            <wp:effectExtent l="0" t="0" r="0" b="5080"/>
            <wp:docPr id="112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4837585" cy="2629482"/>
                    </a:xfrm>
                    <a:prstGeom prst="rect">
                      <a:avLst/>
                    </a:prstGeom>
                    <a:noFill/>
                    <a:ln>
                      <a:noFill/>
                    </a:ln>
                  </pic:spPr>
                </pic:pic>
              </a:graphicData>
            </a:graphic>
          </wp:inline>
        </w:drawing>
      </w:r>
      <w:r w:rsidRPr="00542895">
        <w:t xml:space="preserve"> </w:t>
      </w:r>
    </w:p>
    <w:tbl>
      <w:tblPr>
        <w:tblW w:w="5015" w:type="pct"/>
        <w:tblInd w:w="58" w:type="dxa"/>
        <w:tblLayout w:type="fixed"/>
        <w:tblCellMar>
          <w:left w:w="115" w:type="dxa"/>
          <w:right w:w="115" w:type="dxa"/>
        </w:tblCellMar>
        <w:tblLook w:val="0000" w:firstRow="0" w:lastRow="0" w:firstColumn="0" w:lastColumn="0" w:noHBand="0" w:noVBand="0"/>
      </w:tblPr>
      <w:tblGrid>
        <w:gridCol w:w="1974"/>
        <w:gridCol w:w="2617"/>
        <w:gridCol w:w="1351"/>
        <w:gridCol w:w="2304"/>
        <w:gridCol w:w="969"/>
      </w:tblGrid>
      <w:tr w:rsidR="00BB3ABC" w:rsidRPr="00542895" w:rsidTr="00230FAA">
        <w:trPr>
          <w:trHeight w:val="562"/>
        </w:trPr>
        <w:tc>
          <w:tcPr>
            <w:tcW w:w="5000" w:type="pct"/>
            <w:gridSpan w:val="5"/>
            <w:shd w:val="clear" w:color="auto" w:fill="C6D9F1" w:themeFill="text2" w:themeFillTint="33"/>
            <w:tcMar>
              <w:left w:w="58" w:type="dxa"/>
              <w:right w:w="58" w:type="dxa"/>
            </w:tcMar>
            <w:vAlign w:val="center"/>
          </w:tcPr>
          <w:p w:rsidR="00BB3ABC" w:rsidRPr="00542895" w:rsidRDefault="00BB3ABC" w:rsidP="00230FAA">
            <w:pPr>
              <w:tabs>
                <w:tab w:val="left" w:pos="1452"/>
              </w:tabs>
              <w:ind w:left="1701" w:hanging="1701"/>
              <w:rPr>
                <w:bCs/>
                <w:sz w:val="16"/>
                <w:szCs w:val="16"/>
              </w:rPr>
            </w:pPr>
            <w:r w:rsidRPr="00542895">
              <w:rPr>
                <w:b/>
                <w:bCs/>
                <w:sz w:val="16"/>
                <w:szCs w:val="16"/>
              </w:rPr>
              <w:t>Resultado previsto:</w:t>
            </w:r>
            <w:r w:rsidRPr="00542895">
              <w:rPr>
                <w:b/>
                <w:bCs/>
                <w:sz w:val="16"/>
                <w:szCs w:val="16"/>
              </w:rPr>
              <w:tab/>
            </w:r>
            <w:r w:rsidRPr="00542895">
              <w:rPr>
                <w:rFonts w:cs="Times New Roman"/>
                <w:sz w:val="16"/>
                <w:szCs w:val="16"/>
              </w:rPr>
              <w:t xml:space="preserve">I.2  Marcos de P.I. adaptados y equilibrados en el ámbito legislativo, regulador y de política </w:t>
            </w:r>
          </w:p>
        </w:tc>
      </w:tr>
      <w:tr w:rsidR="00BB3ABC" w:rsidRPr="00542895" w:rsidTr="00230FAA">
        <w:trPr>
          <w:trHeight w:val="80"/>
        </w:trPr>
        <w:tc>
          <w:tcPr>
            <w:tcW w:w="1071" w:type="pct"/>
            <w:shd w:val="clear" w:color="auto" w:fill="auto"/>
            <w:tcMar>
              <w:left w:w="58" w:type="dxa"/>
              <w:right w:w="58" w:type="dxa"/>
            </w:tcMar>
          </w:tcPr>
          <w:p w:rsidR="00BB3ABC" w:rsidRPr="00542895" w:rsidRDefault="00BB3ABC" w:rsidP="00230FAA">
            <w:pPr>
              <w:rPr>
                <w:b/>
                <w:bCs/>
                <w:sz w:val="16"/>
                <w:szCs w:val="16"/>
              </w:rPr>
            </w:pPr>
            <w:r w:rsidRPr="00542895">
              <w:rPr>
                <w:b/>
                <w:bCs/>
                <w:sz w:val="16"/>
                <w:szCs w:val="16"/>
              </w:rPr>
              <w:t>Indicadores de rendimiento</w:t>
            </w:r>
          </w:p>
        </w:tc>
        <w:tc>
          <w:tcPr>
            <w:tcW w:w="1420" w:type="pct"/>
            <w:shd w:val="clear" w:color="auto" w:fill="auto"/>
            <w:tcMar>
              <w:left w:w="58" w:type="dxa"/>
              <w:right w:w="58" w:type="dxa"/>
            </w:tcMar>
            <w:vAlign w:val="center"/>
          </w:tcPr>
          <w:p w:rsidR="00BB3ABC" w:rsidRPr="00542895" w:rsidRDefault="00BB3ABC" w:rsidP="00230FAA">
            <w:pPr>
              <w:rPr>
                <w:b/>
                <w:bCs/>
                <w:sz w:val="16"/>
                <w:szCs w:val="16"/>
              </w:rPr>
            </w:pPr>
            <w:r w:rsidRPr="00542895">
              <w:rPr>
                <w:b/>
                <w:bCs/>
                <w:sz w:val="16"/>
                <w:szCs w:val="16"/>
              </w:rPr>
              <w:t>Referencias de base</w:t>
            </w:r>
          </w:p>
        </w:tc>
        <w:tc>
          <w:tcPr>
            <w:tcW w:w="733" w:type="pct"/>
            <w:shd w:val="clear" w:color="auto" w:fill="auto"/>
            <w:tcMar>
              <w:top w:w="110" w:type="dxa"/>
              <w:left w:w="58" w:type="dxa"/>
              <w:right w:w="58" w:type="dxa"/>
            </w:tcMar>
            <w:vAlign w:val="center"/>
          </w:tcPr>
          <w:p w:rsidR="00BB3ABC" w:rsidRPr="00542895" w:rsidRDefault="00BB3ABC" w:rsidP="00230FAA">
            <w:pPr>
              <w:tabs>
                <w:tab w:val="left" w:pos="290"/>
              </w:tabs>
              <w:rPr>
                <w:b/>
                <w:bCs/>
                <w:sz w:val="16"/>
                <w:szCs w:val="16"/>
              </w:rPr>
            </w:pPr>
            <w:r w:rsidRPr="00542895">
              <w:rPr>
                <w:b/>
                <w:bCs/>
                <w:sz w:val="16"/>
                <w:szCs w:val="16"/>
              </w:rPr>
              <w:t>Objetivos</w:t>
            </w:r>
          </w:p>
        </w:tc>
        <w:tc>
          <w:tcPr>
            <w:tcW w:w="1250" w:type="pct"/>
            <w:shd w:val="clear" w:color="auto" w:fill="FFFFFF"/>
            <w:tcMar>
              <w:top w:w="110" w:type="dxa"/>
              <w:left w:w="58" w:type="dxa"/>
              <w:right w:w="58" w:type="dxa"/>
            </w:tcMar>
            <w:vAlign w:val="center"/>
          </w:tcPr>
          <w:p w:rsidR="00BB3ABC" w:rsidRPr="00542895" w:rsidRDefault="00BB3ABC" w:rsidP="00230FAA">
            <w:pPr>
              <w:rPr>
                <w:b/>
                <w:bCs/>
                <w:sz w:val="16"/>
                <w:szCs w:val="16"/>
              </w:rPr>
            </w:pPr>
            <w:r w:rsidRPr="00542895">
              <w:rPr>
                <w:b/>
                <w:bCs/>
                <w:sz w:val="16"/>
                <w:szCs w:val="16"/>
              </w:rPr>
              <w:t>Datos sobre el rendimiento</w:t>
            </w:r>
          </w:p>
        </w:tc>
        <w:tc>
          <w:tcPr>
            <w:tcW w:w="526" w:type="pct"/>
            <w:shd w:val="clear" w:color="auto" w:fill="auto"/>
            <w:tcMar>
              <w:top w:w="110" w:type="dxa"/>
              <w:left w:w="58" w:type="dxa"/>
              <w:right w:w="58" w:type="dxa"/>
            </w:tcMar>
            <w:vAlign w:val="center"/>
          </w:tcPr>
          <w:p w:rsidR="00BB3ABC" w:rsidRPr="00542895" w:rsidRDefault="00BB3ABC" w:rsidP="00230FAA">
            <w:pPr>
              <w:jc w:val="center"/>
              <w:rPr>
                <w:b/>
                <w:bCs/>
                <w:sz w:val="16"/>
                <w:szCs w:val="16"/>
              </w:rPr>
            </w:pPr>
            <w:r w:rsidRPr="00542895">
              <w:rPr>
                <w:b/>
                <w:bCs/>
                <w:sz w:val="16"/>
                <w:szCs w:val="16"/>
              </w:rPr>
              <w:t>Clave de colores</w:t>
            </w:r>
          </w:p>
        </w:tc>
      </w:tr>
      <w:tr w:rsidR="00BB3ABC" w:rsidRPr="00542895" w:rsidTr="00230FAA">
        <w:trPr>
          <w:trHeight w:val="966"/>
        </w:trPr>
        <w:tc>
          <w:tcPr>
            <w:tcW w:w="1071" w:type="pct"/>
            <w:shd w:val="clear" w:color="auto" w:fill="auto"/>
            <w:tcMar>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N.º de países que han solicitado una contribución específica de P.I. con respecto a cuestiones relativas a la política en materia de competencia </w:t>
            </w: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rPr>
                <w:color w:val="002060"/>
                <w:sz w:val="16"/>
                <w:szCs w:val="16"/>
                <w:lang w:bidi="th-TH"/>
              </w:rPr>
            </w:pPr>
            <w:r w:rsidRPr="00457AC8">
              <w:rPr>
                <w:color w:val="002060"/>
                <w:sz w:val="16"/>
                <w:szCs w:val="16"/>
                <w:lang w:bidi="th-TH"/>
              </w:rPr>
              <w:t>16 países (2014/15)</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12 países (2014) </w:t>
            </w:r>
          </w:p>
        </w:tc>
        <w:tc>
          <w:tcPr>
            <w:tcW w:w="733" w:type="pct"/>
            <w:shd w:val="clear" w:color="auto" w:fill="auto"/>
            <w:tcMar>
              <w:top w:w="110" w:type="dxa"/>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12 países en 2016/17 </w:t>
            </w:r>
          </w:p>
        </w:tc>
        <w:tc>
          <w:tcPr>
            <w:tcW w:w="1250"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2 países (Perú y Filipinas)</w:t>
            </w:r>
          </w:p>
          <w:p w:rsidR="00BB3ABC" w:rsidRPr="00542895" w:rsidRDefault="00BB3ABC" w:rsidP="00230FAA">
            <w:pPr>
              <w:rPr>
                <w:sz w:val="16"/>
                <w:szCs w:val="16"/>
              </w:rPr>
            </w:pPr>
            <w:r w:rsidRPr="00542895">
              <w:rPr>
                <w:sz w:val="16"/>
                <w:szCs w:val="16"/>
              </w:rPr>
              <w:t>(18 en total)</w:t>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FF0000"/>
                <w:sz w:val="16"/>
                <w:szCs w:val="16"/>
              </w:rPr>
              <w:t>No avanza</w:t>
            </w:r>
          </w:p>
        </w:tc>
      </w:tr>
      <w:tr w:rsidR="00BB3ABC" w:rsidRPr="00542895" w:rsidTr="00230FAA">
        <w:trPr>
          <w:trHeight w:val="1414"/>
        </w:trPr>
        <w:tc>
          <w:tcPr>
            <w:tcW w:w="1071" w:type="pct"/>
            <w:shd w:val="clear" w:color="auto" w:fill="auto"/>
            <w:tcMar>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Nº y diversidad de sectores interesados (oficinas de P.I., administraciones competentes en materia de competencia, OIG y ONG) que entablan diálogo con la OMPI </w:t>
            </w: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rPr>
                <w:color w:val="002060"/>
                <w:sz w:val="16"/>
                <w:szCs w:val="16"/>
              </w:rPr>
            </w:pPr>
            <w:r w:rsidRPr="00457AC8">
              <w:rPr>
                <w:color w:val="002060"/>
                <w:sz w:val="16"/>
                <w:szCs w:val="16"/>
              </w:rPr>
              <w:t>77 entidades nacionales de P.I./competencia y 5 OII/ONG (en total)</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autoSpaceDE w:val="0"/>
              <w:autoSpaceDN w:val="0"/>
              <w:adjustRightInd w:val="0"/>
              <w:spacing w:after="240"/>
              <w:rPr>
                <w:rFonts w:eastAsia="Batang"/>
                <w:sz w:val="16"/>
                <w:szCs w:val="16"/>
                <w:lang w:eastAsia="ja-JP"/>
              </w:rPr>
            </w:pPr>
            <w:r w:rsidRPr="00542895">
              <w:rPr>
                <w:rFonts w:eastAsia="Batang"/>
                <w:sz w:val="16"/>
                <w:szCs w:val="16"/>
                <w:lang w:eastAsia="ja-JP"/>
              </w:rPr>
              <w:t xml:space="preserve">64 entidades nacionales de P.I./competencia y 5 OII/ONG (en total) </w:t>
            </w:r>
          </w:p>
        </w:tc>
        <w:tc>
          <w:tcPr>
            <w:tcW w:w="733" w:type="pct"/>
            <w:shd w:val="clear" w:color="auto" w:fill="auto"/>
            <w:tcMar>
              <w:top w:w="110" w:type="dxa"/>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26 entidades nacionales de P.I./competencia adicionales y 5 OII/ONG </w:t>
            </w:r>
          </w:p>
        </w:tc>
        <w:tc>
          <w:tcPr>
            <w:tcW w:w="1250" w:type="pct"/>
            <w:shd w:val="clear" w:color="auto" w:fill="FFFFFF"/>
            <w:tcMar>
              <w:top w:w="110" w:type="dxa"/>
              <w:left w:w="58" w:type="dxa"/>
              <w:right w:w="58" w:type="dxa"/>
            </w:tcMar>
          </w:tcPr>
          <w:p w:rsidR="00BB3ABC" w:rsidRPr="00542895" w:rsidRDefault="00BB3ABC">
            <w:pPr>
              <w:rPr>
                <w:rFonts w:eastAsiaTheme="minorHAnsi"/>
                <w:sz w:val="16"/>
                <w:szCs w:val="16"/>
              </w:rPr>
            </w:pPr>
            <w:r w:rsidRPr="00542895">
              <w:rPr>
                <w:sz w:val="16"/>
                <w:szCs w:val="16"/>
              </w:rPr>
              <w:t>23 entidades adicionales (100 en total) y</w:t>
            </w:r>
          </w:p>
          <w:p w:rsidR="00BB3ABC" w:rsidRPr="00542895" w:rsidRDefault="00BB3ABC" w:rsidP="00230FAA">
            <w:pPr>
              <w:rPr>
                <w:sz w:val="16"/>
                <w:szCs w:val="16"/>
              </w:rPr>
            </w:pPr>
            <w:r w:rsidRPr="00542895">
              <w:rPr>
                <w:sz w:val="16"/>
                <w:szCs w:val="16"/>
              </w:rPr>
              <w:t xml:space="preserve">5 OII/ONG (CUTS, ICN, OCDE, UNCTAD, OMC) </w:t>
            </w:r>
          </w:p>
          <w:p w:rsidR="00BB3ABC" w:rsidRPr="00542895" w:rsidRDefault="00BB3ABC" w:rsidP="00230FAA">
            <w:pPr>
              <w:rPr>
                <w:sz w:val="16"/>
                <w:szCs w:val="16"/>
              </w:rPr>
            </w:pP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00B050"/>
                <w:sz w:val="16"/>
                <w:szCs w:val="16"/>
              </w:rPr>
              <w:t>Avanza</w:t>
            </w:r>
          </w:p>
        </w:tc>
      </w:tr>
      <w:tr w:rsidR="00BB3ABC" w:rsidRPr="00542895" w:rsidTr="00230FAA">
        <w:trPr>
          <w:trHeight w:val="720"/>
        </w:trPr>
        <w:tc>
          <w:tcPr>
            <w:tcW w:w="5000" w:type="pct"/>
            <w:gridSpan w:val="5"/>
            <w:shd w:val="clear" w:color="auto" w:fill="C6D9F1" w:themeFill="text2" w:themeFillTint="33"/>
            <w:tcMar>
              <w:left w:w="58" w:type="dxa"/>
              <w:right w:w="58" w:type="dxa"/>
            </w:tcMar>
            <w:vAlign w:val="center"/>
          </w:tcPr>
          <w:p w:rsidR="00BB3ABC" w:rsidRPr="00542895" w:rsidRDefault="00BB3ABC" w:rsidP="00230FAA">
            <w:pPr>
              <w:tabs>
                <w:tab w:val="left" w:pos="1452"/>
              </w:tabs>
              <w:ind w:left="1701" w:right="-58" w:hanging="1701"/>
              <w:rPr>
                <w:rFonts w:cs="Times New Roman"/>
                <w:b/>
                <w:sz w:val="16"/>
                <w:szCs w:val="16"/>
              </w:rPr>
            </w:pPr>
            <w:r w:rsidRPr="00542895">
              <w:rPr>
                <w:b/>
                <w:bCs/>
                <w:sz w:val="16"/>
                <w:szCs w:val="16"/>
              </w:rPr>
              <w:t>Resultado previsto:</w:t>
            </w:r>
            <w:r w:rsidRPr="00542895">
              <w:rPr>
                <w:b/>
                <w:bCs/>
                <w:sz w:val="16"/>
                <w:szCs w:val="16"/>
              </w:rPr>
              <w:tab/>
            </w:r>
            <w:r w:rsidRPr="00542895">
              <w:rPr>
                <w:rFonts w:cs="Times New Roman"/>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BB3ABC" w:rsidRPr="00542895" w:rsidTr="00230FAA">
        <w:trPr>
          <w:trHeight w:val="74"/>
        </w:trPr>
        <w:tc>
          <w:tcPr>
            <w:tcW w:w="1071" w:type="pct"/>
            <w:shd w:val="clear" w:color="auto" w:fill="auto"/>
            <w:tcMar>
              <w:left w:w="58" w:type="dxa"/>
              <w:right w:w="58" w:type="dxa"/>
            </w:tcMar>
            <w:vAlign w:val="center"/>
          </w:tcPr>
          <w:p w:rsidR="00BB3ABC" w:rsidRPr="00542895" w:rsidRDefault="00BB3ABC" w:rsidP="00230FAA">
            <w:pPr>
              <w:rPr>
                <w:b/>
                <w:bCs/>
                <w:sz w:val="16"/>
                <w:szCs w:val="16"/>
              </w:rPr>
            </w:pPr>
            <w:r w:rsidRPr="00542895">
              <w:rPr>
                <w:b/>
                <w:bCs/>
                <w:sz w:val="16"/>
                <w:szCs w:val="16"/>
              </w:rPr>
              <w:t>Indicadores de rendimiento</w:t>
            </w:r>
          </w:p>
        </w:tc>
        <w:tc>
          <w:tcPr>
            <w:tcW w:w="1420" w:type="pct"/>
            <w:shd w:val="clear" w:color="auto" w:fill="auto"/>
            <w:tcMar>
              <w:left w:w="58" w:type="dxa"/>
              <w:right w:w="58" w:type="dxa"/>
            </w:tcMar>
            <w:vAlign w:val="center"/>
          </w:tcPr>
          <w:p w:rsidR="00BB3ABC" w:rsidRPr="00542895" w:rsidRDefault="00BB3ABC" w:rsidP="00230FAA">
            <w:pPr>
              <w:rPr>
                <w:b/>
                <w:bCs/>
                <w:sz w:val="16"/>
                <w:szCs w:val="16"/>
              </w:rPr>
            </w:pPr>
            <w:r w:rsidRPr="00542895">
              <w:rPr>
                <w:b/>
                <w:bCs/>
                <w:sz w:val="16"/>
                <w:szCs w:val="16"/>
              </w:rPr>
              <w:t>Referencias de base</w:t>
            </w:r>
          </w:p>
        </w:tc>
        <w:tc>
          <w:tcPr>
            <w:tcW w:w="733" w:type="pct"/>
            <w:shd w:val="clear" w:color="auto" w:fill="auto"/>
            <w:tcMar>
              <w:top w:w="110" w:type="dxa"/>
              <w:left w:w="58" w:type="dxa"/>
              <w:right w:w="58" w:type="dxa"/>
            </w:tcMar>
            <w:vAlign w:val="center"/>
          </w:tcPr>
          <w:p w:rsidR="00BB3ABC" w:rsidRPr="00542895" w:rsidRDefault="00BB3ABC" w:rsidP="00230FAA">
            <w:pPr>
              <w:rPr>
                <w:b/>
                <w:bCs/>
                <w:sz w:val="16"/>
                <w:szCs w:val="16"/>
              </w:rPr>
            </w:pPr>
            <w:r w:rsidRPr="00542895">
              <w:rPr>
                <w:b/>
                <w:bCs/>
                <w:sz w:val="16"/>
                <w:szCs w:val="16"/>
              </w:rPr>
              <w:t>Objetivos</w:t>
            </w:r>
          </w:p>
        </w:tc>
        <w:tc>
          <w:tcPr>
            <w:tcW w:w="1250" w:type="pct"/>
            <w:shd w:val="clear" w:color="auto" w:fill="FFFFFF"/>
            <w:tcMar>
              <w:top w:w="110" w:type="dxa"/>
              <w:left w:w="58" w:type="dxa"/>
              <w:right w:w="58" w:type="dxa"/>
            </w:tcMar>
            <w:vAlign w:val="center"/>
          </w:tcPr>
          <w:p w:rsidR="00BB3ABC" w:rsidRPr="00542895" w:rsidRDefault="00BB3ABC" w:rsidP="00230FAA">
            <w:pPr>
              <w:rPr>
                <w:b/>
                <w:bCs/>
                <w:sz w:val="16"/>
                <w:szCs w:val="16"/>
              </w:rPr>
            </w:pPr>
            <w:r w:rsidRPr="00542895">
              <w:rPr>
                <w:b/>
                <w:bCs/>
                <w:sz w:val="16"/>
                <w:szCs w:val="16"/>
              </w:rPr>
              <w:t>Datos sobre el rendimiento</w:t>
            </w:r>
          </w:p>
        </w:tc>
        <w:tc>
          <w:tcPr>
            <w:tcW w:w="526" w:type="pct"/>
            <w:shd w:val="clear" w:color="auto" w:fill="auto"/>
            <w:tcMar>
              <w:top w:w="110" w:type="dxa"/>
              <w:left w:w="58" w:type="dxa"/>
              <w:right w:w="58" w:type="dxa"/>
            </w:tcMar>
            <w:vAlign w:val="center"/>
          </w:tcPr>
          <w:p w:rsidR="00BB3ABC" w:rsidRPr="00542895" w:rsidRDefault="00BB3ABC" w:rsidP="00230FAA">
            <w:pPr>
              <w:ind w:right="-58"/>
              <w:jc w:val="center"/>
              <w:rPr>
                <w:b/>
                <w:bCs/>
                <w:sz w:val="16"/>
                <w:szCs w:val="16"/>
              </w:rPr>
            </w:pPr>
            <w:r w:rsidRPr="00542895">
              <w:rPr>
                <w:b/>
                <w:bCs/>
                <w:sz w:val="16"/>
                <w:szCs w:val="16"/>
              </w:rPr>
              <w:t>Clave de colores</w:t>
            </w:r>
          </w:p>
        </w:tc>
      </w:tr>
      <w:tr w:rsidR="00BB3ABC" w:rsidRPr="00542895" w:rsidTr="00230FAA">
        <w:trPr>
          <w:trHeight w:val="1191"/>
        </w:trPr>
        <w:tc>
          <w:tcPr>
            <w:tcW w:w="1071" w:type="pct"/>
            <w:shd w:val="clear" w:color="auto" w:fill="auto"/>
            <w:tcMar>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N.º de acuerdos de acogida de científicos de países en desarrollo </w:t>
            </w:r>
          </w:p>
          <w:p w:rsidR="00BB3ABC" w:rsidRPr="00542895" w:rsidRDefault="00BB3ABC" w:rsidP="00230FAA">
            <w:pPr>
              <w:autoSpaceDE w:val="0"/>
              <w:autoSpaceDN w:val="0"/>
              <w:adjustRightInd w:val="0"/>
              <w:rPr>
                <w:rFonts w:eastAsia="Batang"/>
                <w:sz w:val="16"/>
                <w:szCs w:val="16"/>
                <w:lang w:eastAsia="ja-JP"/>
              </w:rPr>
            </w:pP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rPr>
                <w:color w:val="002060"/>
                <w:sz w:val="16"/>
                <w:szCs w:val="16"/>
              </w:rPr>
            </w:pPr>
            <w:r w:rsidRPr="00457AC8">
              <w:rPr>
                <w:color w:val="002060"/>
                <w:sz w:val="16"/>
                <w:szCs w:val="16"/>
              </w:rPr>
              <w:t>6 acuerdos de acogida</w:t>
            </w:r>
            <w:r w:rsidRPr="00457AC8">
              <w:rPr>
                <w:i/>
                <w:color w:val="002060"/>
                <w:sz w:val="16"/>
                <w:szCs w:val="16"/>
              </w:rPr>
              <w:t xml:space="preserve"> </w:t>
            </w:r>
            <w:r w:rsidRPr="00457AC8">
              <w:rPr>
                <w:color w:val="002060"/>
                <w:sz w:val="16"/>
                <w:szCs w:val="16"/>
              </w:rPr>
              <w:t>(en total)</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sz w:val="16"/>
                <w:szCs w:val="16"/>
                <w:lang w:eastAsia="ja-JP"/>
              </w:rPr>
            </w:pPr>
            <w:r w:rsidRPr="00542895">
              <w:rPr>
                <w:rFonts w:eastAsia="Batang"/>
                <w:i/>
                <w:sz w:val="16"/>
                <w:szCs w:val="16"/>
                <w:lang w:eastAsia="ja-JP" w:bidi="th-TH"/>
              </w:rPr>
              <w:t xml:space="preserve">Referencia original en el presupuesto de 2016/17:  </w:t>
            </w:r>
            <w:r w:rsidRPr="00542895">
              <w:rPr>
                <w:rFonts w:eastAsia="Batang"/>
                <w:sz w:val="16"/>
                <w:szCs w:val="16"/>
                <w:lang w:eastAsia="ja-JP"/>
              </w:rPr>
              <w:t xml:space="preserve">5 </w:t>
            </w:r>
          </w:p>
        </w:tc>
        <w:tc>
          <w:tcPr>
            <w:tcW w:w="733" w:type="pct"/>
            <w:shd w:val="clear" w:color="auto" w:fill="auto"/>
            <w:tcMar>
              <w:top w:w="110" w:type="dxa"/>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2 nuevos acuerdos de acogida </w:t>
            </w:r>
          </w:p>
        </w:tc>
        <w:tc>
          <w:tcPr>
            <w:tcW w:w="1250" w:type="pct"/>
            <w:shd w:val="clear" w:color="auto" w:fill="FFFFFF"/>
            <w:tcMar>
              <w:top w:w="110" w:type="dxa"/>
              <w:left w:w="58" w:type="dxa"/>
              <w:right w:w="58" w:type="dxa"/>
            </w:tcMar>
          </w:tcPr>
          <w:p w:rsidR="00BB3ABC" w:rsidRPr="00542895" w:rsidRDefault="00BB3ABC" w:rsidP="00230FAA">
            <w:pPr>
              <w:rPr>
                <w:sz w:val="16"/>
                <w:szCs w:val="16"/>
              </w:rPr>
            </w:pPr>
            <w:r w:rsidRPr="00542895">
              <w:rPr>
                <w:sz w:val="16"/>
                <w:szCs w:val="16"/>
              </w:rPr>
              <w:t>Ningún acuerdo adicional de acogida</w:t>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FF0000"/>
                <w:sz w:val="16"/>
                <w:szCs w:val="16"/>
              </w:rPr>
              <w:t>No avanza</w:t>
            </w:r>
          </w:p>
        </w:tc>
      </w:tr>
      <w:tr w:rsidR="00BB3ABC" w:rsidRPr="00542895" w:rsidTr="00230FAA">
        <w:trPr>
          <w:trHeight w:val="507"/>
        </w:trPr>
        <w:tc>
          <w:tcPr>
            <w:tcW w:w="1071" w:type="pct"/>
            <w:shd w:val="clear" w:color="auto" w:fill="auto"/>
            <w:tcMar>
              <w:left w:w="58" w:type="dxa"/>
              <w:right w:w="58" w:type="dxa"/>
            </w:tcMar>
          </w:tcPr>
          <w:p w:rsidR="00BB3ABC" w:rsidRPr="00542895" w:rsidRDefault="00BB3ABC" w:rsidP="00230FAA">
            <w:pPr>
              <w:autoSpaceDE w:val="0"/>
              <w:autoSpaceDN w:val="0"/>
              <w:adjustRightInd w:val="0"/>
              <w:spacing w:after="240"/>
              <w:rPr>
                <w:rFonts w:eastAsia="Batang"/>
                <w:sz w:val="16"/>
                <w:szCs w:val="16"/>
                <w:lang w:eastAsia="ja-JP"/>
              </w:rPr>
            </w:pPr>
            <w:r w:rsidRPr="00542895">
              <w:rPr>
                <w:rFonts w:eastAsia="Batang"/>
                <w:sz w:val="16"/>
                <w:szCs w:val="16"/>
                <w:lang w:eastAsia="ja-JP"/>
              </w:rPr>
              <w:t xml:space="preserve">% de participantes en el módulo de enseñanza a distancia sobre P.I. y salud que declaran utilizar la P.I. para el desarrollo mediante la transferencia de conocimientos y la creación de aptitudes </w:t>
            </w:r>
          </w:p>
        </w:tc>
        <w:tc>
          <w:tcPr>
            <w:tcW w:w="1420" w:type="pct"/>
            <w:shd w:val="clear" w:color="auto" w:fill="auto"/>
            <w:tcMar>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n.d.</w:t>
            </w:r>
          </w:p>
        </w:tc>
        <w:tc>
          <w:tcPr>
            <w:tcW w:w="733" w:type="pct"/>
            <w:shd w:val="clear" w:color="auto" w:fill="auto"/>
            <w:tcMar>
              <w:top w:w="110" w:type="dxa"/>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Por lo menos el 70% de los encuestados </w:t>
            </w:r>
          </w:p>
        </w:tc>
        <w:tc>
          <w:tcPr>
            <w:tcW w:w="1250" w:type="pct"/>
            <w:shd w:val="clear" w:color="auto" w:fill="FFFFFF"/>
            <w:tcMar>
              <w:top w:w="110" w:type="dxa"/>
              <w:left w:w="58" w:type="dxa"/>
              <w:right w:w="58" w:type="dxa"/>
            </w:tcMar>
          </w:tcPr>
          <w:p w:rsidR="00BB3ABC" w:rsidRPr="00542895" w:rsidRDefault="00BB3ABC" w:rsidP="00230FAA">
            <w:pPr>
              <w:rPr>
                <w:sz w:val="16"/>
                <w:szCs w:val="16"/>
              </w:rPr>
            </w:pPr>
            <w:r w:rsidRPr="00542895">
              <w:rPr>
                <w:sz w:val="16"/>
                <w:szCs w:val="16"/>
              </w:rPr>
              <w:t xml:space="preserve">67%  </w:t>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00B050"/>
                <w:sz w:val="16"/>
                <w:szCs w:val="16"/>
              </w:rPr>
              <w:t>Avanza</w:t>
            </w:r>
            <w:r w:rsidRPr="00542895" w:rsidDel="00CD6861">
              <w:rPr>
                <w:b/>
                <w:sz w:val="16"/>
                <w:szCs w:val="16"/>
              </w:rPr>
              <w:t xml:space="preserve"> </w:t>
            </w:r>
          </w:p>
        </w:tc>
      </w:tr>
      <w:tr w:rsidR="00BB3ABC" w:rsidRPr="00542895" w:rsidTr="00230FAA">
        <w:trPr>
          <w:trHeight w:val="562"/>
        </w:trPr>
        <w:tc>
          <w:tcPr>
            <w:tcW w:w="5000" w:type="pct"/>
            <w:gridSpan w:val="5"/>
            <w:shd w:val="clear" w:color="auto" w:fill="C6D9F1" w:themeFill="text2" w:themeFillTint="33"/>
            <w:tcMar>
              <w:left w:w="58" w:type="dxa"/>
              <w:right w:w="58" w:type="dxa"/>
            </w:tcMar>
            <w:vAlign w:val="center"/>
          </w:tcPr>
          <w:p w:rsidR="00BB3ABC" w:rsidRPr="00542895" w:rsidRDefault="00BB3ABC" w:rsidP="00230FAA">
            <w:pPr>
              <w:keepNext/>
              <w:keepLines/>
              <w:tabs>
                <w:tab w:val="left" w:pos="1452"/>
              </w:tabs>
              <w:ind w:left="1701" w:right="-58" w:hanging="1701"/>
              <w:rPr>
                <w:b/>
                <w:bCs/>
                <w:sz w:val="16"/>
                <w:szCs w:val="16"/>
              </w:rPr>
            </w:pPr>
            <w:r w:rsidRPr="00542895">
              <w:rPr>
                <w:b/>
                <w:bCs/>
                <w:sz w:val="16"/>
                <w:szCs w:val="16"/>
              </w:rPr>
              <w:lastRenderedPageBreak/>
              <w:t>Resultado previsto:</w:t>
            </w:r>
            <w:r w:rsidRPr="00542895">
              <w:rPr>
                <w:b/>
                <w:bCs/>
                <w:sz w:val="16"/>
                <w:szCs w:val="16"/>
              </w:rPr>
              <w:tab/>
            </w:r>
            <w:r w:rsidRPr="00542895">
              <w:rPr>
                <w:bCs/>
                <w:sz w:val="16"/>
                <w:szCs w:val="16"/>
              </w:rPr>
              <w:t>VII.2  Plataformas y herramientas de P.I. utilizadas para la transferencia de conocimientos y la difusión y adaptación de tecnología de los países desarrollados a los países en desarrollo, en particular, a los menos adelantados, con el fin de atender los desafíos mundiales</w:t>
            </w:r>
          </w:p>
        </w:tc>
      </w:tr>
      <w:tr w:rsidR="00BB3ABC" w:rsidRPr="00542895" w:rsidTr="00230FAA">
        <w:trPr>
          <w:trHeight w:val="80"/>
        </w:trPr>
        <w:tc>
          <w:tcPr>
            <w:tcW w:w="1071" w:type="pct"/>
            <w:shd w:val="clear" w:color="auto" w:fill="auto"/>
            <w:tcMar>
              <w:left w:w="58" w:type="dxa"/>
              <w:right w:w="58" w:type="dxa"/>
            </w:tcMar>
            <w:vAlign w:val="center"/>
          </w:tcPr>
          <w:p w:rsidR="00BB3ABC" w:rsidRPr="00542895" w:rsidRDefault="00BB3ABC" w:rsidP="00230FAA">
            <w:pPr>
              <w:keepNext/>
              <w:keepLines/>
              <w:rPr>
                <w:b/>
                <w:bCs/>
                <w:sz w:val="16"/>
                <w:szCs w:val="16"/>
              </w:rPr>
            </w:pPr>
            <w:r w:rsidRPr="00542895">
              <w:rPr>
                <w:b/>
                <w:bCs/>
                <w:sz w:val="16"/>
                <w:szCs w:val="16"/>
              </w:rPr>
              <w:t>Indicadores de rendimiento</w:t>
            </w:r>
          </w:p>
        </w:tc>
        <w:tc>
          <w:tcPr>
            <w:tcW w:w="1420" w:type="pct"/>
            <w:shd w:val="clear" w:color="auto" w:fill="auto"/>
            <w:tcMar>
              <w:left w:w="58" w:type="dxa"/>
              <w:right w:w="58" w:type="dxa"/>
            </w:tcMar>
            <w:vAlign w:val="center"/>
          </w:tcPr>
          <w:p w:rsidR="00BB3ABC" w:rsidRPr="00542895" w:rsidRDefault="00BB3ABC" w:rsidP="00230FAA">
            <w:pPr>
              <w:keepNext/>
              <w:keepLines/>
              <w:rPr>
                <w:b/>
                <w:bCs/>
                <w:sz w:val="16"/>
                <w:szCs w:val="16"/>
              </w:rPr>
            </w:pPr>
            <w:r w:rsidRPr="00542895">
              <w:rPr>
                <w:b/>
                <w:bCs/>
                <w:sz w:val="16"/>
                <w:szCs w:val="16"/>
              </w:rPr>
              <w:t>Referencias de base</w:t>
            </w:r>
          </w:p>
        </w:tc>
        <w:tc>
          <w:tcPr>
            <w:tcW w:w="733" w:type="pct"/>
            <w:shd w:val="clear" w:color="auto" w:fill="auto"/>
            <w:tcMar>
              <w:top w:w="110" w:type="dxa"/>
              <w:left w:w="58" w:type="dxa"/>
              <w:right w:w="58" w:type="dxa"/>
            </w:tcMar>
            <w:vAlign w:val="center"/>
          </w:tcPr>
          <w:p w:rsidR="00BB3ABC" w:rsidRPr="00542895" w:rsidRDefault="00BB3ABC" w:rsidP="00230FAA">
            <w:pPr>
              <w:keepNext/>
              <w:keepLines/>
              <w:rPr>
                <w:b/>
                <w:bCs/>
                <w:sz w:val="16"/>
                <w:szCs w:val="16"/>
              </w:rPr>
            </w:pPr>
            <w:r w:rsidRPr="00542895">
              <w:rPr>
                <w:b/>
                <w:bCs/>
                <w:sz w:val="16"/>
                <w:szCs w:val="16"/>
              </w:rPr>
              <w:t>Objetivos</w:t>
            </w:r>
          </w:p>
        </w:tc>
        <w:tc>
          <w:tcPr>
            <w:tcW w:w="1250" w:type="pct"/>
            <w:shd w:val="clear" w:color="auto" w:fill="FFFFFF"/>
            <w:tcMar>
              <w:top w:w="110" w:type="dxa"/>
              <w:left w:w="58" w:type="dxa"/>
              <w:right w:w="58" w:type="dxa"/>
            </w:tcMar>
            <w:vAlign w:val="center"/>
          </w:tcPr>
          <w:p w:rsidR="00BB3ABC" w:rsidRPr="00542895" w:rsidRDefault="00BB3ABC" w:rsidP="00230FAA">
            <w:pPr>
              <w:keepNext/>
              <w:keepLines/>
              <w:rPr>
                <w:b/>
                <w:bCs/>
                <w:sz w:val="16"/>
                <w:szCs w:val="16"/>
              </w:rPr>
            </w:pPr>
            <w:r w:rsidRPr="00542895">
              <w:rPr>
                <w:b/>
                <w:bCs/>
                <w:sz w:val="16"/>
                <w:szCs w:val="16"/>
              </w:rPr>
              <w:t>Datos sobre el rendimiento</w:t>
            </w:r>
          </w:p>
        </w:tc>
        <w:tc>
          <w:tcPr>
            <w:tcW w:w="526" w:type="pct"/>
            <w:shd w:val="clear" w:color="auto" w:fill="auto"/>
            <w:tcMar>
              <w:top w:w="110" w:type="dxa"/>
              <w:left w:w="58" w:type="dxa"/>
              <w:right w:w="58" w:type="dxa"/>
            </w:tcMar>
            <w:vAlign w:val="center"/>
          </w:tcPr>
          <w:p w:rsidR="00BB3ABC" w:rsidRPr="00542895" w:rsidRDefault="00BB3ABC" w:rsidP="00230FAA">
            <w:pPr>
              <w:keepNext/>
              <w:keepLines/>
              <w:ind w:right="-58"/>
              <w:jc w:val="center"/>
              <w:rPr>
                <w:b/>
                <w:bCs/>
                <w:sz w:val="16"/>
                <w:szCs w:val="16"/>
              </w:rPr>
            </w:pPr>
            <w:r w:rsidRPr="00542895">
              <w:rPr>
                <w:b/>
                <w:bCs/>
                <w:sz w:val="16"/>
                <w:szCs w:val="16"/>
              </w:rPr>
              <w:t>Clave de colores</w:t>
            </w:r>
          </w:p>
        </w:tc>
      </w:tr>
      <w:tr w:rsidR="00BB3ABC" w:rsidRPr="00542895" w:rsidTr="00230FAA">
        <w:trPr>
          <w:trHeight w:val="1686"/>
        </w:trPr>
        <w:tc>
          <w:tcPr>
            <w:tcW w:w="1071" w:type="pct"/>
            <w:shd w:val="clear" w:color="auto" w:fill="auto"/>
            <w:tcMar>
              <w:left w:w="58" w:type="dxa"/>
              <w:right w:w="58" w:type="dxa"/>
            </w:tcMar>
          </w:tcPr>
          <w:p w:rsidR="00BB3ABC" w:rsidRPr="00542895" w:rsidRDefault="00BB3ABC" w:rsidP="00230FAA">
            <w:pPr>
              <w:keepNext/>
              <w:keepLines/>
              <w:autoSpaceDE w:val="0"/>
              <w:autoSpaceDN w:val="0"/>
              <w:adjustRightInd w:val="0"/>
              <w:rPr>
                <w:rFonts w:eastAsia="Batang"/>
                <w:sz w:val="16"/>
                <w:szCs w:val="16"/>
                <w:lang w:eastAsia="ja-JP"/>
              </w:rPr>
            </w:pPr>
            <w:r w:rsidRPr="00542895">
              <w:rPr>
                <w:rFonts w:eastAsia="Batang"/>
                <w:sz w:val="16"/>
                <w:szCs w:val="16"/>
                <w:lang w:eastAsia="ja-JP"/>
              </w:rPr>
              <w:t>Aumento del n.º de miembros de WIPO Re:Search, incluidos los procedentes de países en desarrollo y PMA</w:t>
            </w:r>
          </w:p>
        </w:tc>
        <w:tc>
          <w:tcPr>
            <w:tcW w:w="1420" w:type="pct"/>
            <w:shd w:val="clear" w:color="auto" w:fill="auto"/>
            <w:tcMar>
              <w:left w:w="58" w:type="dxa"/>
              <w:right w:w="58" w:type="dxa"/>
            </w:tcMar>
          </w:tcPr>
          <w:p w:rsidR="00BB3ABC" w:rsidRPr="00457AC8" w:rsidRDefault="00BB3ABC" w:rsidP="00230FAA">
            <w:pPr>
              <w:keepNext/>
              <w:keepLines/>
              <w:rPr>
                <w:i/>
                <w:color w:val="002060"/>
                <w:sz w:val="16"/>
                <w:szCs w:val="16"/>
              </w:rPr>
            </w:pPr>
            <w:r w:rsidRPr="00457AC8">
              <w:rPr>
                <w:i/>
                <w:color w:val="002060"/>
                <w:sz w:val="16"/>
                <w:szCs w:val="16"/>
              </w:rPr>
              <w:t xml:space="preserve">Referencia actualizada a fines de 2015:   </w:t>
            </w:r>
            <w:r w:rsidRPr="00457AC8">
              <w:rPr>
                <w:color w:val="002060"/>
                <w:sz w:val="16"/>
                <w:szCs w:val="16"/>
              </w:rPr>
              <w:br/>
              <w:t>100 miembros en total (de los que 36</w:t>
            </w:r>
            <w:r w:rsidRPr="00457AC8">
              <w:rPr>
                <w:rStyle w:val="FootnoteReference"/>
                <w:color w:val="002060"/>
              </w:rPr>
              <w:footnoteReference w:id="76"/>
            </w:r>
            <w:r w:rsidRPr="00457AC8">
              <w:rPr>
                <w:color w:val="002060"/>
                <w:sz w:val="16"/>
                <w:szCs w:val="16"/>
              </w:rPr>
              <w:t xml:space="preserve"> son de países en desarrollo / PMA)</w:t>
            </w:r>
            <w:r w:rsidRPr="00457AC8">
              <w:rPr>
                <w:i/>
                <w:color w:val="002060"/>
                <w:sz w:val="16"/>
                <w:szCs w:val="16"/>
              </w:rPr>
              <w:t xml:space="preserve"> </w:t>
            </w:r>
          </w:p>
          <w:p w:rsidR="00BB3ABC" w:rsidRPr="00BB3ABC" w:rsidRDefault="00BB3ABC" w:rsidP="00230FAA">
            <w:pPr>
              <w:keepNext/>
              <w:keepLines/>
              <w:rPr>
                <w:sz w:val="12"/>
                <w:szCs w:val="12"/>
              </w:rPr>
            </w:pPr>
          </w:p>
          <w:p w:rsidR="00BB3ABC" w:rsidRPr="00542895" w:rsidRDefault="00BB3ABC" w:rsidP="00230FAA">
            <w:pPr>
              <w:keepNext/>
              <w:keepLines/>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keepNext/>
              <w:keepLines/>
              <w:autoSpaceDE w:val="0"/>
              <w:autoSpaceDN w:val="0"/>
              <w:adjustRightInd w:val="0"/>
              <w:rPr>
                <w:rFonts w:eastAsia="Batang"/>
                <w:sz w:val="16"/>
                <w:szCs w:val="16"/>
                <w:lang w:eastAsia="ja-JP"/>
              </w:rPr>
            </w:pPr>
            <w:r w:rsidRPr="00542895">
              <w:rPr>
                <w:rFonts w:eastAsia="Batang"/>
                <w:sz w:val="16"/>
                <w:szCs w:val="16"/>
                <w:lang w:eastAsia="ja-JP"/>
              </w:rPr>
              <w:t>96 miembros; 27 de países en desarrollo (a fines de diciembre de 2014)</w:t>
            </w:r>
          </w:p>
        </w:tc>
        <w:tc>
          <w:tcPr>
            <w:tcW w:w="733" w:type="pct"/>
            <w:shd w:val="clear" w:color="auto" w:fill="auto"/>
            <w:tcMar>
              <w:top w:w="110" w:type="dxa"/>
              <w:left w:w="58" w:type="dxa"/>
              <w:right w:w="58" w:type="dxa"/>
            </w:tcMar>
          </w:tcPr>
          <w:p w:rsidR="00BB3ABC" w:rsidRPr="00542895" w:rsidRDefault="00BB3ABC" w:rsidP="00230FAA">
            <w:pPr>
              <w:keepNext/>
              <w:keepLines/>
              <w:rPr>
                <w:sz w:val="16"/>
                <w:szCs w:val="16"/>
              </w:rPr>
            </w:pPr>
            <w:r w:rsidRPr="00542895">
              <w:rPr>
                <w:sz w:val="16"/>
                <w:szCs w:val="16"/>
              </w:rPr>
              <w:t xml:space="preserve">8 nuevos miembros; </w:t>
            </w:r>
            <w:r w:rsidRPr="00542895">
              <w:rPr>
                <w:sz w:val="16"/>
                <w:szCs w:val="16"/>
              </w:rPr>
              <w:br/>
              <w:t>7 de países en desarrollo</w:t>
            </w:r>
          </w:p>
        </w:tc>
        <w:tc>
          <w:tcPr>
            <w:tcW w:w="1250" w:type="pct"/>
            <w:shd w:val="clear" w:color="auto" w:fill="FFFFFF"/>
            <w:tcMar>
              <w:top w:w="110" w:type="dxa"/>
              <w:left w:w="58" w:type="dxa"/>
              <w:right w:w="58" w:type="dxa"/>
            </w:tcMar>
          </w:tcPr>
          <w:p w:rsidR="00BB3ABC" w:rsidRPr="00542895" w:rsidRDefault="00BB3ABC" w:rsidP="00230FAA">
            <w:pPr>
              <w:keepNext/>
              <w:keepLines/>
              <w:rPr>
                <w:sz w:val="16"/>
                <w:szCs w:val="16"/>
              </w:rPr>
            </w:pPr>
            <w:r w:rsidRPr="00542895">
              <w:rPr>
                <w:sz w:val="16"/>
                <w:szCs w:val="16"/>
              </w:rPr>
              <w:t>8 nuevos miembros; 5 de países en desarrollo (en total, 108 miembros, 41 de los cuales proceden de países en desarrollo/PMA)</w:t>
            </w:r>
            <w:r w:rsidRPr="00542895">
              <w:rPr>
                <w:sz w:val="16"/>
                <w:szCs w:val="16"/>
              </w:rPr>
              <w:br/>
            </w:r>
          </w:p>
        </w:tc>
        <w:tc>
          <w:tcPr>
            <w:tcW w:w="526" w:type="pct"/>
            <w:shd w:val="clear" w:color="auto" w:fill="auto"/>
            <w:tcMar>
              <w:top w:w="110" w:type="dxa"/>
              <w:left w:w="58" w:type="dxa"/>
              <w:right w:w="58" w:type="dxa"/>
            </w:tcMar>
          </w:tcPr>
          <w:p w:rsidR="00BB3ABC" w:rsidRPr="00542895" w:rsidRDefault="00BB3ABC" w:rsidP="00230FAA">
            <w:pPr>
              <w:keepNext/>
              <w:keepLines/>
              <w:ind w:right="-58"/>
              <w:jc w:val="center"/>
              <w:rPr>
                <w:b/>
                <w:sz w:val="16"/>
                <w:szCs w:val="16"/>
              </w:rPr>
            </w:pPr>
            <w:r w:rsidRPr="00542895">
              <w:rPr>
                <w:b/>
                <w:color w:val="00B050"/>
                <w:sz w:val="16"/>
                <w:szCs w:val="16"/>
              </w:rPr>
              <w:t>Avanza</w:t>
            </w:r>
          </w:p>
        </w:tc>
      </w:tr>
      <w:tr w:rsidR="00BB3ABC" w:rsidRPr="00542895" w:rsidTr="00230FAA">
        <w:trPr>
          <w:trHeight w:val="574"/>
        </w:trPr>
        <w:tc>
          <w:tcPr>
            <w:tcW w:w="1071" w:type="pct"/>
            <w:shd w:val="clear" w:color="auto" w:fill="auto"/>
            <w:tcMar>
              <w:left w:w="58" w:type="dxa"/>
              <w:right w:w="58" w:type="dxa"/>
            </w:tcMar>
          </w:tcPr>
          <w:p w:rsidR="00BB3ABC" w:rsidRPr="00542895" w:rsidRDefault="00BB3ABC" w:rsidP="00230FAA">
            <w:pPr>
              <w:ind w:right="176"/>
              <w:rPr>
                <w:sz w:val="16"/>
                <w:szCs w:val="16"/>
              </w:rPr>
            </w:pPr>
            <w:r w:rsidRPr="00542895">
              <w:rPr>
                <w:sz w:val="16"/>
                <w:szCs w:val="16"/>
              </w:rPr>
              <w:t>N.º de registros en la base de datos de WIPO Re:Search</w:t>
            </w: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rPr>
                <w:color w:val="002060"/>
                <w:sz w:val="16"/>
                <w:szCs w:val="16"/>
              </w:rPr>
            </w:pPr>
            <w:r w:rsidRPr="00457AC8">
              <w:rPr>
                <w:color w:val="002060"/>
                <w:sz w:val="16"/>
                <w:szCs w:val="16"/>
              </w:rPr>
              <w:t>193 registros en la base de datos</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rPr>
                <w:sz w:val="16"/>
                <w:szCs w:val="16"/>
              </w:rPr>
            </w:pPr>
            <w:r w:rsidRPr="00542895">
              <w:rPr>
                <w:sz w:val="16"/>
                <w:szCs w:val="16"/>
              </w:rPr>
              <w:t>186 registros en la base de datos</w:t>
            </w:r>
          </w:p>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(al 24 de abril de 2015)</w:t>
            </w:r>
          </w:p>
        </w:tc>
        <w:tc>
          <w:tcPr>
            <w:tcW w:w="733"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300 registros en la base de datos en total</w:t>
            </w:r>
            <w:r w:rsidRPr="00542895">
              <w:rPr>
                <w:sz w:val="16"/>
                <w:szCs w:val="16"/>
              </w:rPr>
              <w:br/>
            </w:r>
          </w:p>
        </w:tc>
        <w:tc>
          <w:tcPr>
            <w:tcW w:w="1250" w:type="pct"/>
            <w:shd w:val="clear" w:color="auto" w:fill="FFFFFF"/>
            <w:tcMar>
              <w:top w:w="110" w:type="dxa"/>
              <w:left w:w="58" w:type="dxa"/>
              <w:right w:w="58" w:type="dxa"/>
            </w:tcMar>
          </w:tcPr>
          <w:p w:rsidR="00BB3ABC" w:rsidRPr="00542895" w:rsidRDefault="00BB3ABC" w:rsidP="00230FAA">
            <w:pPr>
              <w:rPr>
                <w:sz w:val="16"/>
                <w:szCs w:val="16"/>
              </w:rPr>
            </w:pPr>
            <w:r w:rsidRPr="00542895">
              <w:rPr>
                <w:sz w:val="16"/>
                <w:szCs w:val="16"/>
              </w:rPr>
              <w:t xml:space="preserve">No hay nuevos registros (en total, 193 registros en la base de datos) </w:t>
            </w:r>
          </w:p>
          <w:p w:rsidR="00BB3ABC" w:rsidRPr="00542895" w:rsidRDefault="00BB3ABC" w:rsidP="00230FAA">
            <w:pPr>
              <w:rPr>
                <w:sz w:val="16"/>
                <w:szCs w:val="16"/>
              </w:rPr>
            </w:pPr>
            <w:r w:rsidRPr="00542895">
              <w:rPr>
                <w:sz w:val="16"/>
                <w:szCs w:val="16"/>
              </w:rPr>
              <w:br/>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FF0000"/>
                <w:sz w:val="16"/>
                <w:szCs w:val="16"/>
              </w:rPr>
              <w:t>No avanza</w:t>
            </w:r>
          </w:p>
        </w:tc>
      </w:tr>
      <w:tr w:rsidR="00BB3ABC" w:rsidRPr="00542895" w:rsidTr="00230FAA">
        <w:trPr>
          <w:trHeight w:val="676"/>
        </w:trPr>
        <w:tc>
          <w:tcPr>
            <w:tcW w:w="1071" w:type="pct"/>
            <w:shd w:val="clear" w:color="auto" w:fill="auto"/>
            <w:tcMar>
              <w:left w:w="58" w:type="dxa"/>
              <w:right w:w="58" w:type="dxa"/>
            </w:tcMar>
          </w:tcPr>
          <w:p w:rsidR="00BB3ABC" w:rsidRPr="00542895" w:rsidRDefault="00BB3ABC" w:rsidP="00230FAA">
            <w:pPr>
              <w:ind w:right="176"/>
              <w:rPr>
                <w:sz w:val="16"/>
                <w:szCs w:val="16"/>
              </w:rPr>
            </w:pPr>
            <w:r w:rsidRPr="00542895">
              <w:rPr>
                <w:sz w:val="16"/>
                <w:szCs w:val="16"/>
              </w:rPr>
              <w:t>Aumento del n.º de acuerdos suscritos en el marco de WIPO Re:Search que conducen a nuevas actividades de I+D, o a un aceleramiento de las mismas, en enfermedades tropicales desatendidas, paludismo y tuberculosis</w:t>
            </w: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rPr>
                <w:color w:val="002060"/>
                <w:sz w:val="16"/>
                <w:szCs w:val="16"/>
              </w:rPr>
            </w:pPr>
            <w:r w:rsidRPr="00457AC8">
              <w:rPr>
                <w:color w:val="002060"/>
                <w:sz w:val="16"/>
                <w:szCs w:val="16"/>
              </w:rPr>
              <w:t>96 acuerdos en total</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rPr>
                <w:sz w:val="16"/>
                <w:szCs w:val="16"/>
              </w:rPr>
            </w:pPr>
            <w:r w:rsidRPr="00542895">
              <w:rPr>
                <w:sz w:val="16"/>
                <w:szCs w:val="16"/>
              </w:rPr>
              <w:t xml:space="preserve">90 acuerdos </w:t>
            </w:r>
          </w:p>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(al 9 de abril de 2015)</w:t>
            </w:r>
          </w:p>
        </w:tc>
        <w:tc>
          <w:tcPr>
            <w:tcW w:w="733"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30 nuevos acuerdos, de los cuales 20 son acuerdos de seguimiento</w:t>
            </w:r>
          </w:p>
        </w:tc>
        <w:tc>
          <w:tcPr>
            <w:tcW w:w="1250" w:type="pct"/>
            <w:shd w:val="clear" w:color="auto" w:fill="FFFFFF"/>
            <w:tcMar>
              <w:top w:w="110" w:type="dxa"/>
              <w:left w:w="58" w:type="dxa"/>
              <w:right w:w="58" w:type="dxa"/>
            </w:tcMar>
          </w:tcPr>
          <w:p w:rsidR="00BB3ABC" w:rsidRPr="00542895" w:rsidRDefault="00BB3ABC" w:rsidP="00230FAA">
            <w:pPr>
              <w:rPr>
                <w:sz w:val="16"/>
                <w:szCs w:val="16"/>
              </w:rPr>
            </w:pPr>
            <w:r w:rsidRPr="00542895">
              <w:rPr>
                <w:sz w:val="16"/>
                <w:szCs w:val="16"/>
              </w:rPr>
              <w:t>12 nuevos acuerdos</w:t>
            </w:r>
          </w:p>
          <w:p w:rsidR="00BB3ABC" w:rsidRPr="00542895" w:rsidRDefault="00BB3ABC" w:rsidP="00230FAA">
            <w:pPr>
              <w:rPr>
                <w:sz w:val="16"/>
                <w:szCs w:val="16"/>
              </w:rPr>
            </w:pPr>
            <w:r w:rsidRPr="00542895">
              <w:rPr>
                <w:sz w:val="16"/>
                <w:szCs w:val="16"/>
              </w:rPr>
              <w:t>(108 acuerdos en total)</w:t>
            </w:r>
          </w:p>
          <w:p w:rsidR="00BB3ABC" w:rsidRPr="00542895" w:rsidRDefault="00BB3ABC" w:rsidP="00230FAA">
            <w:pPr>
              <w:rPr>
                <w:sz w:val="16"/>
                <w:szCs w:val="16"/>
              </w:rPr>
            </w:pPr>
            <w:r w:rsidRPr="00542895">
              <w:rPr>
                <w:sz w:val="16"/>
                <w:szCs w:val="16"/>
              </w:rPr>
              <w:br/>
              <w:t>1 acuerdo de seguimiento</w:t>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00B050"/>
                <w:sz w:val="16"/>
                <w:szCs w:val="16"/>
              </w:rPr>
              <w:t>Avanza</w:t>
            </w:r>
          </w:p>
          <w:p w:rsidR="00BB3ABC" w:rsidRPr="00542895" w:rsidRDefault="00BB3ABC" w:rsidP="00230FAA">
            <w:pPr>
              <w:ind w:right="-58"/>
              <w:jc w:val="center"/>
              <w:rPr>
                <w:b/>
                <w:sz w:val="16"/>
                <w:szCs w:val="16"/>
              </w:rPr>
            </w:pPr>
          </w:p>
          <w:p w:rsidR="00BB3ABC" w:rsidRPr="00542895" w:rsidRDefault="00BB3ABC" w:rsidP="00230FAA">
            <w:pPr>
              <w:ind w:right="-58"/>
              <w:jc w:val="center"/>
              <w:rPr>
                <w:b/>
                <w:sz w:val="16"/>
                <w:szCs w:val="16"/>
              </w:rPr>
            </w:pPr>
            <w:r w:rsidRPr="00542895">
              <w:rPr>
                <w:b/>
                <w:color w:val="FF0000"/>
                <w:sz w:val="16"/>
                <w:szCs w:val="16"/>
              </w:rPr>
              <w:t>No avanza</w:t>
            </w:r>
          </w:p>
        </w:tc>
      </w:tr>
      <w:tr w:rsidR="00BB3ABC" w:rsidRPr="00542895" w:rsidTr="00230FAA">
        <w:trPr>
          <w:trHeight w:val="676"/>
        </w:trPr>
        <w:tc>
          <w:tcPr>
            <w:tcW w:w="1071" w:type="pct"/>
            <w:shd w:val="clear" w:color="auto" w:fill="auto"/>
            <w:tcMar>
              <w:left w:w="58" w:type="dxa"/>
              <w:right w:w="58" w:type="dxa"/>
            </w:tcMar>
          </w:tcPr>
          <w:p w:rsidR="00BB3ABC" w:rsidRPr="00542895" w:rsidRDefault="00BB3ABC" w:rsidP="00230FAA">
            <w:pPr>
              <w:ind w:right="176"/>
              <w:rPr>
                <w:sz w:val="16"/>
                <w:szCs w:val="16"/>
              </w:rPr>
            </w:pPr>
            <w:r w:rsidRPr="00542895">
              <w:rPr>
                <w:sz w:val="16"/>
                <w:szCs w:val="16"/>
              </w:rPr>
              <w:t>Número de miembros de WIPO GREEN</w:t>
            </w: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B1479B">
            <w:pPr>
              <w:pStyle w:val="ListParagraph"/>
              <w:numPr>
                <w:ilvl w:val="0"/>
                <w:numId w:val="74"/>
              </w:numPr>
              <w:ind w:left="236" w:hanging="236"/>
              <w:rPr>
                <w:color w:val="002060"/>
                <w:sz w:val="16"/>
                <w:szCs w:val="16"/>
                <w:lang w:val="es-ES"/>
              </w:rPr>
            </w:pPr>
            <w:r w:rsidRPr="00457AC8">
              <w:rPr>
                <w:color w:val="002060"/>
                <w:sz w:val="16"/>
                <w:szCs w:val="16"/>
                <w:lang w:val="es-ES"/>
              </w:rPr>
              <w:t xml:space="preserve">65 asociados en total  </w:t>
            </w:r>
          </w:p>
          <w:p w:rsidR="00BB3ABC" w:rsidRPr="00457AC8" w:rsidRDefault="00BB3ABC" w:rsidP="00B1479B">
            <w:pPr>
              <w:pStyle w:val="ListParagraph"/>
              <w:numPr>
                <w:ilvl w:val="0"/>
                <w:numId w:val="74"/>
              </w:numPr>
              <w:ind w:left="236" w:hanging="236"/>
              <w:rPr>
                <w:color w:val="002060"/>
                <w:sz w:val="16"/>
                <w:szCs w:val="16"/>
                <w:lang w:val="es-ES"/>
              </w:rPr>
            </w:pPr>
            <w:r w:rsidRPr="00457AC8">
              <w:rPr>
                <w:color w:val="002060"/>
                <w:sz w:val="16"/>
                <w:szCs w:val="16"/>
                <w:lang w:val="es-ES"/>
              </w:rPr>
              <w:t>490 usuarios en total</w:t>
            </w:r>
          </w:p>
          <w:p w:rsidR="00BB3ABC" w:rsidRPr="00BB3ABC" w:rsidRDefault="00BB3ABC" w:rsidP="00230FAA">
            <w:pPr>
              <w:rPr>
                <w:sz w:val="12"/>
                <w:szCs w:val="12"/>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rPr>
                <w:sz w:val="16"/>
                <w:szCs w:val="16"/>
              </w:rPr>
            </w:pPr>
            <w:r w:rsidRPr="00542895">
              <w:rPr>
                <w:sz w:val="16"/>
                <w:szCs w:val="16"/>
              </w:rPr>
              <w:t xml:space="preserve">57 asociados;  430 usuarios </w:t>
            </w:r>
          </w:p>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(al 24 de abril de 2015)</w:t>
            </w:r>
          </w:p>
        </w:tc>
        <w:tc>
          <w:tcPr>
            <w:tcW w:w="733"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 xml:space="preserve">14 asociados adicionales;  </w:t>
            </w:r>
          </w:p>
          <w:p w:rsidR="00BB3ABC" w:rsidRPr="00542895" w:rsidRDefault="00BB3ABC" w:rsidP="00230FAA">
            <w:pPr>
              <w:rPr>
                <w:sz w:val="16"/>
                <w:szCs w:val="16"/>
              </w:rPr>
            </w:pPr>
            <w:r w:rsidRPr="00542895">
              <w:rPr>
                <w:sz w:val="16"/>
                <w:szCs w:val="16"/>
              </w:rPr>
              <w:t>200 usuarios adicionales</w:t>
            </w:r>
          </w:p>
        </w:tc>
        <w:tc>
          <w:tcPr>
            <w:tcW w:w="1250" w:type="pct"/>
            <w:shd w:val="clear" w:color="auto" w:fill="FFFFFF"/>
            <w:tcMar>
              <w:top w:w="110" w:type="dxa"/>
              <w:left w:w="58" w:type="dxa"/>
              <w:right w:w="58" w:type="dxa"/>
            </w:tcMar>
          </w:tcPr>
          <w:p w:rsidR="00BB3ABC" w:rsidRPr="00542895" w:rsidRDefault="00BB3ABC" w:rsidP="00BB3ABC">
            <w:pPr>
              <w:pStyle w:val="ListParagraph"/>
              <w:numPr>
                <w:ilvl w:val="0"/>
                <w:numId w:val="74"/>
              </w:numPr>
              <w:rPr>
                <w:sz w:val="16"/>
                <w:szCs w:val="16"/>
                <w:lang w:val="es-ES"/>
              </w:rPr>
            </w:pPr>
            <w:r w:rsidRPr="00542895">
              <w:rPr>
                <w:sz w:val="16"/>
                <w:szCs w:val="16"/>
                <w:lang w:val="es-ES"/>
              </w:rPr>
              <w:t xml:space="preserve">9 nuevos asociados </w:t>
            </w:r>
          </w:p>
          <w:p w:rsidR="00BB3ABC" w:rsidRPr="00542895" w:rsidRDefault="00BB3ABC" w:rsidP="00BB3ABC">
            <w:pPr>
              <w:pStyle w:val="ListParagraph"/>
              <w:numPr>
                <w:ilvl w:val="0"/>
                <w:numId w:val="74"/>
              </w:numPr>
              <w:rPr>
                <w:sz w:val="16"/>
                <w:szCs w:val="16"/>
                <w:lang w:val="es-ES"/>
              </w:rPr>
            </w:pPr>
            <w:r w:rsidRPr="00542895">
              <w:rPr>
                <w:sz w:val="16"/>
                <w:szCs w:val="16"/>
                <w:lang w:val="es-ES"/>
              </w:rPr>
              <w:t>318 nuevos usuarios</w:t>
            </w:r>
          </w:p>
          <w:p w:rsidR="00BB3ABC" w:rsidRPr="00542895" w:rsidRDefault="00BB3ABC" w:rsidP="00230FAA">
            <w:pPr>
              <w:rPr>
                <w:sz w:val="16"/>
                <w:szCs w:val="16"/>
              </w:rPr>
            </w:pPr>
            <w:r w:rsidRPr="00542895">
              <w:rPr>
                <w:sz w:val="16"/>
                <w:szCs w:val="16"/>
              </w:rPr>
              <w:t>(en total, 74 asociados y 808 usuarios)</w:t>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00B050"/>
                <w:sz w:val="16"/>
                <w:szCs w:val="16"/>
              </w:rPr>
              <w:t>Avanza</w:t>
            </w:r>
          </w:p>
        </w:tc>
      </w:tr>
      <w:tr w:rsidR="00BB3ABC" w:rsidRPr="00542895" w:rsidTr="00230FAA">
        <w:trPr>
          <w:trHeight w:val="1173"/>
        </w:trPr>
        <w:tc>
          <w:tcPr>
            <w:tcW w:w="1071" w:type="pct"/>
            <w:shd w:val="clear" w:color="auto" w:fill="auto"/>
            <w:tcMar>
              <w:left w:w="58" w:type="dxa"/>
              <w:right w:w="58" w:type="dxa"/>
            </w:tcMar>
          </w:tcPr>
          <w:p w:rsidR="00BB3ABC" w:rsidRPr="00542895" w:rsidRDefault="00BB3ABC" w:rsidP="00230FAA">
            <w:pPr>
              <w:ind w:right="176"/>
              <w:rPr>
                <w:sz w:val="16"/>
                <w:szCs w:val="16"/>
              </w:rPr>
            </w:pPr>
            <w:r w:rsidRPr="00542895">
              <w:rPr>
                <w:sz w:val="16"/>
                <w:szCs w:val="16"/>
              </w:rPr>
              <w:t>N.º de registros en la base de datos de WIPO GREEN</w:t>
            </w: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rPr>
                <w:color w:val="002060"/>
                <w:sz w:val="16"/>
                <w:szCs w:val="16"/>
                <w:lang w:bidi="th-TH"/>
              </w:rPr>
            </w:pPr>
            <w:r w:rsidRPr="00457AC8">
              <w:rPr>
                <w:color w:val="002060"/>
                <w:sz w:val="16"/>
                <w:szCs w:val="16"/>
                <w:lang w:bidi="th-TH"/>
              </w:rPr>
              <w:t>2.181 en total</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rPr>
                <w:sz w:val="16"/>
                <w:szCs w:val="16"/>
              </w:rPr>
            </w:pPr>
            <w:r w:rsidRPr="00542895">
              <w:rPr>
                <w:sz w:val="16"/>
                <w:szCs w:val="16"/>
              </w:rPr>
              <w:t xml:space="preserve">2.050 registros </w:t>
            </w:r>
          </w:p>
          <w:p w:rsidR="00BB3ABC" w:rsidRPr="00542895" w:rsidRDefault="00BB3ABC" w:rsidP="00230FAA">
            <w:pPr>
              <w:rPr>
                <w:sz w:val="16"/>
                <w:szCs w:val="16"/>
              </w:rPr>
            </w:pPr>
            <w:r w:rsidRPr="00542895">
              <w:rPr>
                <w:sz w:val="16"/>
                <w:szCs w:val="16"/>
              </w:rPr>
              <w:t>(al 24 de abril de 2015)</w:t>
            </w:r>
          </w:p>
        </w:tc>
        <w:tc>
          <w:tcPr>
            <w:tcW w:w="733"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1.200 registros adicionales</w:t>
            </w:r>
          </w:p>
        </w:tc>
        <w:tc>
          <w:tcPr>
            <w:tcW w:w="1250" w:type="pct"/>
            <w:shd w:val="clear" w:color="auto" w:fill="FFFFFF"/>
            <w:tcMar>
              <w:top w:w="110" w:type="dxa"/>
              <w:left w:w="58" w:type="dxa"/>
              <w:right w:w="58" w:type="dxa"/>
            </w:tcMar>
          </w:tcPr>
          <w:p w:rsidR="00BB3ABC" w:rsidRPr="00542895" w:rsidRDefault="00BB3ABC" w:rsidP="00230FAA">
            <w:pPr>
              <w:rPr>
                <w:sz w:val="16"/>
                <w:szCs w:val="16"/>
              </w:rPr>
            </w:pPr>
            <w:r w:rsidRPr="00542895">
              <w:rPr>
                <w:sz w:val="16"/>
                <w:szCs w:val="16"/>
              </w:rPr>
              <w:t xml:space="preserve">440 registros adicionales </w:t>
            </w:r>
          </w:p>
          <w:p w:rsidR="00BB3ABC" w:rsidRPr="00542895" w:rsidRDefault="00BB3ABC" w:rsidP="00230FAA">
            <w:pPr>
              <w:rPr>
                <w:sz w:val="16"/>
                <w:szCs w:val="16"/>
              </w:rPr>
            </w:pPr>
            <w:r w:rsidRPr="00542895">
              <w:rPr>
                <w:sz w:val="16"/>
                <w:szCs w:val="16"/>
              </w:rPr>
              <w:t>(2.621 en total)</w:t>
            </w:r>
            <w:r w:rsidRPr="00542895">
              <w:rPr>
                <w:sz w:val="16"/>
                <w:szCs w:val="16"/>
              </w:rPr>
              <w:br/>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FF0000"/>
                <w:sz w:val="16"/>
                <w:szCs w:val="16"/>
              </w:rPr>
              <w:t>No avanza</w:t>
            </w:r>
          </w:p>
        </w:tc>
      </w:tr>
      <w:tr w:rsidR="00BB3ABC" w:rsidRPr="00542895" w:rsidTr="00230FAA">
        <w:trPr>
          <w:trHeight w:val="676"/>
        </w:trPr>
        <w:tc>
          <w:tcPr>
            <w:tcW w:w="1071" w:type="pct"/>
            <w:shd w:val="clear" w:color="auto" w:fill="auto"/>
            <w:tcMar>
              <w:left w:w="58" w:type="dxa"/>
              <w:right w:w="58" w:type="dxa"/>
            </w:tcMar>
          </w:tcPr>
          <w:p w:rsidR="00BB3ABC" w:rsidRPr="00542895" w:rsidRDefault="00BB3ABC" w:rsidP="00230FAA">
            <w:pPr>
              <w:ind w:right="176"/>
              <w:rPr>
                <w:sz w:val="16"/>
                <w:szCs w:val="16"/>
              </w:rPr>
            </w:pPr>
            <w:r w:rsidRPr="00542895">
              <w:rPr>
                <w:sz w:val="16"/>
                <w:szCs w:val="16"/>
              </w:rPr>
              <w:t xml:space="preserve">N.º de acuerdos catalizados por medio de </w:t>
            </w:r>
            <w:r w:rsidRPr="00542895">
              <w:rPr>
                <w:i/>
                <w:sz w:val="16"/>
                <w:szCs w:val="16"/>
              </w:rPr>
              <w:t>WIPO GREEN</w:t>
            </w:r>
            <w:r w:rsidRPr="00542895">
              <w:rPr>
                <w:sz w:val="16"/>
                <w:szCs w:val="16"/>
              </w:rPr>
              <w:t xml:space="preserve"> que facilitan la transferencia de conocimiento así como la adaptación, transferencia o difusión de tecnología</w:t>
            </w: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rPr>
                <w:color w:val="002060"/>
                <w:sz w:val="16"/>
                <w:szCs w:val="16"/>
              </w:rPr>
            </w:pPr>
            <w:r w:rsidRPr="00457AC8">
              <w:rPr>
                <w:color w:val="002060"/>
                <w:sz w:val="16"/>
                <w:szCs w:val="16"/>
              </w:rPr>
              <w:t>7 acuerdos (AUTM, DKPTO, EACIN, Eco-patent commons, KOTEC, Technologie Allianz, UNOSSC) (en total)</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rPr>
                <w:sz w:val="16"/>
                <w:szCs w:val="16"/>
              </w:rPr>
            </w:pPr>
            <w:r w:rsidRPr="00542895">
              <w:rPr>
                <w:sz w:val="16"/>
                <w:szCs w:val="16"/>
              </w:rPr>
              <w:t xml:space="preserve">7 acuerdos (AUTM, DKPTO, EACIN, Eco-patent commons, KOTEC, Technologies Allianz, UNOSSC) </w:t>
            </w:r>
          </w:p>
          <w:p w:rsidR="00BB3ABC" w:rsidRPr="00542895" w:rsidRDefault="00BB3ABC" w:rsidP="00230FAA">
            <w:pPr>
              <w:rPr>
                <w:sz w:val="16"/>
                <w:szCs w:val="16"/>
              </w:rPr>
            </w:pPr>
            <w:r w:rsidRPr="00542895">
              <w:rPr>
                <w:sz w:val="16"/>
                <w:szCs w:val="16"/>
              </w:rPr>
              <w:t>(al 24 de abril de 2015)</w:t>
            </w:r>
          </w:p>
        </w:tc>
        <w:tc>
          <w:tcPr>
            <w:tcW w:w="733"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10 acuerdos (en total)</w:t>
            </w:r>
          </w:p>
        </w:tc>
        <w:tc>
          <w:tcPr>
            <w:tcW w:w="1250" w:type="pct"/>
            <w:shd w:val="clear" w:color="auto" w:fill="FFFFFF"/>
            <w:tcMar>
              <w:top w:w="110" w:type="dxa"/>
              <w:left w:w="58" w:type="dxa"/>
              <w:right w:w="58" w:type="dxa"/>
            </w:tcMar>
          </w:tcPr>
          <w:p w:rsidR="00BB3ABC" w:rsidRPr="00542895" w:rsidRDefault="00BB3ABC" w:rsidP="00230FAA">
            <w:pPr>
              <w:rPr>
                <w:sz w:val="16"/>
                <w:szCs w:val="16"/>
              </w:rPr>
            </w:pPr>
            <w:r w:rsidRPr="00542895">
              <w:rPr>
                <w:sz w:val="16"/>
                <w:szCs w:val="16"/>
              </w:rPr>
              <w:t xml:space="preserve">2 nuevos acuerdos para el intercambio de datos:  Ministerio de Economía de Israel, FLC) </w:t>
            </w:r>
          </w:p>
          <w:p w:rsidR="00BB3ABC" w:rsidRPr="00542895" w:rsidRDefault="00BB3ABC" w:rsidP="00230FAA">
            <w:pPr>
              <w:rPr>
                <w:sz w:val="16"/>
                <w:szCs w:val="16"/>
              </w:rPr>
            </w:pPr>
            <w:r w:rsidRPr="00542895">
              <w:rPr>
                <w:sz w:val="16"/>
                <w:szCs w:val="16"/>
              </w:rPr>
              <w:t>(en total, 9 acuerdos)</w:t>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00B050"/>
                <w:sz w:val="16"/>
                <w:szCs w:val="16"/>
              </w:rPr>
              <w:t>Avanza</w:t>
            </w:r>
          </w:p>
        </w:tc>
      </w:tr>
      <w:tr w:rsidR="00BB3ABC" w:rsidRPr="00542895" w:rsidTr="00230FAA">
        <w:trPr>
          <w:trHeight w:val="1326"/>
        </w:trPr>
        <w:tc>
          <w:tcPr>
            <w:tcW w:w="1071" w:type="pct"/>
            <w:shd w:val="clear" w:color="auto" w:fill="auto"/>
            <w:tcMar>
              <w:left w:w="58" w:type="dxa"/>
              <w:right w:w="58" w:type="dxa"/>
            </w:tcMar>
          </w:tcPr>
          <w:p w:rsidR="00BB3ABC" w:rsidRPr="00542895" w:rsidRDefault="00BB3ABC" w:rsidP="00230FAA">
            <w:pPr>
              <w:ind w:right="176"/>
              <w:rPr>
                <w:sz w:val="16"/>
                <w:szCs w:val="16"/>
              </w:rPr>
            </w:pPr>
            <w:r w:rsidRPr="00542895">
              <w:rPr>
                <w:sz w:val="16"/>
                <w:szCs w:val="16"/>
              </w:rPr>
              <w:lastRenderedPageBreak/>
              <w:t>Avances realizados en la creación de un marco internacional de colaboración para una contribución eficaz de la P.I. a la seguridad alimentaria mediante un proceso consultivo</w:t>
            </w:r>
          </w:p>
        </w:tc>
        <w:tc>
          <w:tcPr>
            <w:tcW w:w="1420" w:type="pct"/>
            <w:shd w:val="clear" w:color="auto" w:fill="auto"/>
            <w:tcMar>
              <w:left w:w="58" w:type="dxa"/>
              <w:right w:w="58" w:type="dxa"/>
            </w:tcMar>
          </w:tcPr>
          <w:p w:rsidR="00BB3ABC" w:rsidRPr="00542895" w:rsidRDefault="00BB3ABC" w:rsidP="00230FAA">
            <w:pPr>
              <w:rPr>
                <w:sz w:val="16"/>
                <w:szCs w:val="16"/>
              </w:rPr>
            </w:pPr>
            <w:r w:rsidRPr="00542895">
              <w:rPr>
                <w:sz w:val="16"/>
                <w:szCs w:val="16"/>
              </w:rPr>
              <w:t>n.d. - No hay un proyecto de marco</w:t>
            </w:r>
          </w:p>
        </w:tc>
        <w:tc>
          <w:tcPr>
            <w:tcW w:w="733"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Se elabora un proyecto de marco general</w:t>
            </w:r>
          </w:p>
        </w:tc>
        <w:tc>
          <w:tcPr>
            <w:tcW w:w="1250" w:type="pct"/>
            <w:shd w:val="clear" w:color="auto" w:fill="FFFFFF"/>
            <w:tcMar>
              <w:top w:w="110" w:type="dxa"/>
              <w:left w:w="58" w:type="dxa"/>
              <w:right w:w="58" w:type="dxa"/>
            </w:tcMar>
          </w:tcPr>
          <w:p w:rsidR="00BB3ABC" w:rsidRPr="00542895" w:rsidRDefault="00BB3ABC" w:rsidP="00230FAA">
            <w:pPr>
              <w:rPr>
                <w:sz w:val="16"/>
                <w:szCs w:val="16"/>
              </w:rPr>
            </w:pPr>
            <w:r w:rsidRPr="00542895">
              <w:rPr>
                <w:sz w:val="16"/>
                <w:szCs w:val="16"/>
              </w:rPr>
              <w:t>Se elabora un documento de debate</w:t>
            </w: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r w:rsidRPr="00542895">
              <w:rPr>
                <w:b/>
                <w:color w:val="00B050"/>
                <w:sz w:val="16"/>
                <w:szCs w:val="16"/>
              </w:rPr>
              <w:t>Avanza</w:t>
            </w:r>
          </w:p>
        </w:tc>
      </w:tr>
      <w:tr w:rsidR="00BB3ABC" w:rsidRPr="00542895" w:rsidTr="00230FAA">
        <w:trPr>
          <w:trHeight w:val="676"/>
        </w:trPr>
        <w:tc>
          <w:tcPr>
            <w:tcW w:w="1071" w:type="pct"/>
            <w:shd w:val="clear" w:color="auto" w:fill="auto"/>
            <w:tcMar>
              <w:left w:w="58" w:type="dxa"/>
              <w:right w:w="58" w:type="dxa"/>
            </w:tcMar>
          </w:tcPr>
          <w:p w:rsidR="00BB3ABC" w:rsidRPr="00542895" w:rsidRDefault="00BB3ABC" w:rsidP="00230FAA">
            <w:pPr>
              <w:autoSpaceDE w:val="0"/>
              <w:autoSpaceDN w:val="0"/>
              <w:adjustRightInd w:val="0"/>
              <w:rPr>
                <w:rFonts w:eastAsia="Batang"/>
                <w:sz w:val="16"/>
                <w:szCs w:val="16"/>
                <w:lang w:eastAsia="ja-JP"/>
              </w:rPr>
            </w:pPr>
            <w:r w:rsidRPr="00542895">
              <w:rPr>
                <w:rFonts w:eastAsia="Batang"/>
                <w:sz w:val="16"/>
                <w:szCs w:val="16"/>
                <w:lang w:eastAsia="ja-JP"/>
              </w:rPr>
              <w:t xml:space="preserve">N.º de visitas al sitio web de Desafíos Mundiales </w:t>
            </w:r>
          </w:p>
          <w:p w:rsidR="00BB3ABC" w:rsidRPr="00542895" w:rsidRDefault="00BB3ABC" w:rsidP="00230FAA">
            <w:pPr>
              <w:ind w:right="176"/>
              <w:rPr>
                <w:sz w:val="16"/>
                <w:szCs w:val="16"/>
              </w:rPr>
            </w:pPr>
          </w:p>
        </w:tc>
        <w:tc>
          <w:tcPr>
            <w:tcW w:w="1420" w:type="pct"/>
            <w:shd w:val="clear" w:color="auto" w:fill="auto"/>
            <w:tcMar>
              <w:left w:w="58" w:type="dxa"/>
              <w:right w:w="58" w:type="dxa"/>
            </w:tcMar>
          </w:tcPr>
          <w:p w:rsidR="00BB3ABC" w:rsidRPr="00457AC8" w:rsidRDefault="00BB3ABC" w:rsidP="00230FAA">
            <w:pPr>
              <w:rPr>
                <w:i/>
                <w:color w:val="002060"/>
                <w:sz w:val="16"/>
                <w:szCs w:val="16"/>
              </w:rPr>
            </w:pPr>
            <w:r w:rsidRPr="00457AC8">
              <w:rPr>
                <w:i/>
                <w:color w:val="002060"/>
                <w:sz w:val="16"/>
                <w:szCs w:val="16"/>
              </w:rPr>
              <w:t xml:space="preserve">Referencia actualizada a fines de 2015:  </w:t>
            </w:r>
          </w:p>
          <w:p w:rsidR="00BB3ABC" w:rsidRPr="00457AC8" w:rsidRDefault="00BB3ABC" w:rsidP="00230FAA">
            <w:pPr>
              <w:pStyle w:val="ListParagraph"/>
              <w:ind w:left="26"/>
              <w:rPr>
                <w:rFonts w:cs="Arial"/>
                <w:color w:val="002060"/>
                <w:sz w:val="16"/>
                <w:szCs w:val="16"/>
                <w:lang w:val="es-ES" w:bidi="th-TH"/>
              </w:rPr>
            </w:pPr>
            <w:r w:rsidRPr="00457AC8">
              <w:rPr>
                <w:rFonts w:cs="Arial"/>
                <w:color w:val="002060"/>
                <w:sz w:val="16"/>
                <w:szCs w:val="16"/>
                <w:lang w:val="es-ES" w:bidi="th-TH"/>
              </w:rPr>
              <w:t xml:space="preserve">N.º de páginas vistas en 2014/15:  </w:t>
            </w:r>
          </w:p>
          <w:p w:rsidR="00BB3ABC" w:rsidRPr="00457AC8" w:rsidRDefault="00BB3ABC" w:rsidP="00BB3ABC">
            <w:pPr>
              <w:pStyle w:val="ListParagraph"/>
              <w:numPr>
                <w:ilvl w:val="0"/>
                <w:numId w:val="73"/>
              </w:numPr>
              <w:ind w:left="118" w:hanging="118"/>
              <w:rPr>
                <w:rFonts w:cs="Arial"/>
                <w:color w:val="002060"/>
                <w:sz w:val="16"/>
                <w:szCs w:val="16"/>
                <w:lang w:val="es-ES" w:bidi="th-TH"/>
              </w:rPr>
            </w:pPr>
            <w:r w:rsidRPr="00457AC8">
              <w:rPr>
                <w:rFonts w:cs="Arial"/>
                <w:color w:val="002060"/>
                <w:sz w:val="16"/>
                <w:szCs w:val="16"/>
                <w:lang w:val="es-ES" w:bidi="th-TH"/>
              </w:rPr>
              <w:t>GCD (División de Desafíos Mundiales):  2.693</w:t>
            </w:r>
          </w:p>
          <w:p w:rsidR="00BB3ABC" w:rsidRPr="00457AC8" w:rsidRDefault="00BB3ABC" w:rsidP="00BB3ABC">
            <w:pPr>
              <w:pStyle w:val="ListParagraph"/>
              <w:numPr>
                <w:ilvl w:val="0"/>
                <w:numId w:val="73"/>
              </w:numPr>
              <w:ind w:left="118" w:hanging="118"/>
              <w:rPr>
                <w:rFonts w:cs="Arial"/>
                <w:color w:val="002060"/>
                <w:sz w:val="16"/>
                <w:szCs w:val="16"/>
                <w:lang w:val="es-ES" w:bidi="th-TH"/>
              </w:rPr>
            </w:pPr>
            <w:r w:rsidRPr="00457AC8">
              <w:rPr>
                <w:color w:val="002060"/>
                <w:sz w:val="16"/>
                <w:szCs w:val="16"/>
                <w:lang w:val="es-ES"/>
              </w:rPr>
              <w:t>Salud mundial y la P.I.:</w:t>
            </w:r>
            <w:r w:rsidRPr="00457AC8">
              <w:rPr>
                <w:rFonts w:cs="Arial"/>
                <w:color w:val="002060"/>
                <w:sz w:val="16"/>
                <w:szCs w:val="16"/>
                <w:lang w:val="es-ES" w:bidi="th-TH"/>
              </w:rPr>
              <w:t xml:space="preserve">  9.233</w:t>
            </w:r>
            <w:r w:rsidRPr="00457AC8">
              <w:rPr>
                <w:rStyle w:val="FootnoteReference"/>
                <w:color w:val="002060"/>
                <w:lang w:val="es-ES" w:bidi="th-TH"/>
              </w:rPr>
              <w:footnoteReference w:id="77"/>
            </w:r>
          </w:p>
          <w:p w:rsidR="00BB3ABC" w:rsidRPr="00457AC8" w:rsidRDefault="00BB3ABC" w:rsidP="00BB3ABC">
            <w:pPr>
              <w:pStyle w:val="ListParagraph"/>
              <w:numPr>
                <w:ilvl w:val="0"/>
                <w:numId w:val="73"/>
              </w:numPr>
              <w:ind w:left="118" w:hanging="118"/>
              <w:rPr>
                <w:rFonts w:cs="Arial"/>
                <w:color w:val="002060"/>
                <w:sz w:val="16"/>
                <w:szCs w:val="16"/>
                <w:lang w:val="es-ES" w:bidi="th-TH"/>
              </w:rPr>
            </w:pPr>
            <w:r w:rsidRPr="00457AC8">
              <w:rPr>
                <w:rFonts w:cs="Arial"/>
                <w:color w:val="002060"/>
                <w:sz w:val="16"/>
                <w:szCs w:val="16"/>
                <w:lang w:val="es-ES" w:bidi="th-TH"/>
              </w:rPr>
              <w:t>Cambio climático y P.I.:  4.952</w:t>
            </w:r>
          </w:p>
          <w:p w:rsidR="00BB3ABC" w:rsidRPr="00457AC8" w:rsidRDefault="00BB3ABC" w:rsidP="00BB3ABC">
            <w:pPr>
              <w:pStyle w:val="ListParagraph"/>
              <w:numPr>
                <w:ilvl w:val="0"/>
                <w:numId w:val="73"/>
              </w:numPr>
              <w:ind w:left="118" w:hanging="118"/>
              <w:rPr>
                <w:rFonts w:cs="Arial"/>
                <w:color w:val="002060"/>
                <w:sz w:val="16"/>
                <w:szCs w:val="16"/>
                <w:lang w:val="es-ES" w:bidi="th-TH"/>
              </w:rPr>
            </w:pPr>
            <w:r w:rsidRPr="00457AC8">
              <w:rPr>
                <w:rFonts w:cs="Arial"/>
                <w:color w:val="002060"/>
                <w:sz w:val="16"/>
                <w:szCs w:val="16"/>
                <w:lang w:val="es-ES" w:bidi="th-TH"/>
              </w:rPr>
              <w:t>WIPO Re:Search: 62.118</w:t>
            </w:r>
          </w:p>
          <w:p w:rsidR="00BB3ABC" w:rsidRPr="00457AC8" w:rsidRDefault="00BB3ABC" w:rsidP="00BB3ABC">
            <w:pPr>
              <w:pStyle w:val="ListParagraph"/>
              <w:numPr>
                <w:ilvl w:val="0"/>
                <w:numId w:val="73"/>
              </w:numPr>
              <w:ind w:left="118" w:hanging="118"/>
              <w:rPr>
                <w:rFonts w:cs="Arial"/>
                <w:color w:val="002060"/>
                <w:sz w:val="16"/>
                <w:szCs w:val="16"/>
                <w:lang w:val="es-ES" w:bidi="th-TH"/>
              </w:rPr>
            </w:pPr>
            <w:r w:rsidRPr="00457AC8">
              <w:rPr>
                <w:rFonts w:cs="Arial"/>
                <w:color w:val="002060"/>
                <w:sz w:val="16"/>
                <w:szCs w:val="16"/>
                <w:lang w:val="es-ES" w:bidi="th-TH"/>
              </w:rPr>
              <w:t>WIPO GREEN:  207.716</w:t>
            </w:r>
          </w:p>
          <w:p w:rsidR="00BB3ABC" w:rsidRPr="00457AC8" w:rsidRDefault="00BB3ABC" w:rsidP="00BB3ABC">
            <w:pPr>
              <w:pStyle w:val="ListParagraph"/>
              <w:numPr>
                <w:ilvl w:val="0"/>
                <w:numId w:val="73"/>
              </w:numPr>
              <w:ind w:left="118" w:hanging="118"/>
              <w:rPr>
                <w:color w:val="002060"/>
                <w:sz w:val="16"/>
                <w:szCs w:val="16"/>
                <w:lang w:val="es-ES" w:bidi="th-TH"/>
              </w:rPr>
            </w:pPr>
            <w:r w:rsidRPr="00457AC8">
              <w:rPr>
                <w:color w:val="002060"/>
                <w:sz w:val="16"/>
                <w:szCs w:val="16"/>
                <w:lang w:val="es-ES" w:bidi="th-TH"/>
              </w:rPr>
              <w:t>Descargas de archivos en formato pdf:  42.253</w:t>
            </w:r>
          </w:p>
          <w:p w:rsidR="00BB3ABC" w:rsidRPr="00542895" w:rsidRDefault="00BB3ABC" w:rsidP="00230FAA">
            <w:pPr>
              <w:rPr>
                <w:sz w:val="16"/>
                <w:szCs w:val="16"/>
              </w:rPr>
            </w:pPr>
          </w:p>
          <w:p w:rsidR="00BB3ABC" w:rsidRPr="00542895" w:rsidRDefault="00BB3ABC" w:rsidP="00230FAA">
            <w:pPr>
              <w:autoSpaceDE w:val="0"/>
              <w:autoSpaceDN w:val="0"/>
              <w:adjustRightInd w:val="0"/>
              <w:rPr>
                <w:rFonts w:eastAsia="Batang"/>
                <w:i/>
                <w:sz w:val="16"/>
                <w:szCs w:val="16"/>
                <w:lang w:eastAsia="ja-JP" w:bidi="th-TH"/>
              </w:rPr>
            </w:pPr>
            <w:r w:rsidRPr="00542895">
              <w:rPr>
                <w:rFonts w:eastAsia="Batang"/>
                <w:i/>
                <w:sz w:val="16"/>
                <w:szCs w:val="16"/>
                <w:lang w:eastAsia="ja-JP" w:bidi="th-TH"/>
              </w:rPr>
              <w:t xml:space="preserve">Referencia original en el presupuesto de 2016/17:  </w:t>
            </w:r>
          </w:p>
          <w:p w:rsidR="00BB3ABC" w:rsidRPr="00542895" w:rsidRDefault="00BB3ABC" w:rsidP="00230FAA">
            <w:pPr>
              <w:rPr>
                <w:sz w:val="16"/>
                <w:szCs w:val="16"/>
              </w:rPr>
            </w:pPr>
            <w:r w:rsidRPr="00542895">
              <w:rPr>
                <w:sz w:val="16"/>
                <w:szCs w:val="16"/>
              </w:rPr>
              <w:t>N.º de páginas vistas:</w:t>
            </w:r>
          </w:p>
          <w:p w:rsidR="00BB3ABC" w:rsidRPr="00542895" w:rsidRDefault="00BB3ABC" w:rsidP="00230FAA">
            <w:pPr>
              <w:rPr>
                <w:sz w:val="16"/>
                <w:szCs w:val="16"/>
              </w:rPr>
            </w:pPr>
            <w:r w:rsidRPr="00542895">
              <w:rPr>
                <w:sz w:val="16"/>
                <w:szCs w:val="16"/>
              </w:rPr>
              <w:t>- GCD:  1.353</w:t>
            </w:r>
          </w:p>
          <w:p w:rsidR="00BB3ABC" w:rsidRPr="00542895" w:rsidRDefault="00BB3ABC" w:rsidP="00230FAA">
            <w:pPr>
              <w:rPr>
                <w:sz w:val="16"/>
                <w:szCs w:val="16"/>
              </w:rPr>
            </w:pPr>
            <w:r w:rsidRPr="00542895">
              <w:rPr>
                <w:sz w:val="16"/>
                <w:szCs w:val="16"/>
              </w:rPr>
              <w:t>- Salud mundial y la P.I.:  4.778</w:t>
            </w:r>
          </w:p>
          <w:p w:rsidR="00BB3ABC" w:rsidRPr="00542895" w:rsidRDefault="00BB3ABC" w:rsidP="00230FAA">
            <w:pPr>
              <w:spacing w:after="240"/>
              <w:rPr>
                <w:sz w:val="16"/>
                <w:szCs w:val="16"/>
              </w:rPr>
            </w:pPr>
            <w:r w:rsidRPr="00542895">
              <w:rPr>
                <w:sz w:val="16"/>
                <w:szCs w:val="16"/>
              </w:rPr>
              <w:t xml:space="preserve">- Cambio climático y P.I.:  </w:t>
            </w:r>
            <w:r w:rsidRPr="00542895">
              <w:rPr>
                <w:rFonts w:eastAsia="Batang"/>
                <w:sz w:val="16"/>
                <w:szCs w:val="16"/>
                <w:lang w:eastAsia="ja-JP"/>
              </w:rPr>
              <w:t xml:space="preserve">2.462 </w:t>
            </w:r>
            <w:r w:rsidRPr="00542895">
              <w:rPr>
                <w:rFonts w:eastAsia="Batang"/>
                <w:sz w:val="16"/>
                <w:szCs w:val="16"/>
                <w:lang w:eastAsia="ja-JP"/>
              </w:rPr>
              <w:br/>
              <w:t xml:space="preserve">- WIPO Re:Search:  38.852 </w:t>
            </w:r>
            <w:r w:rsidRPr="00542895">
              <w:rPr>
                <w:rFonts w:eastAsia="Batang"/>
                <w:sz w:val="16"/>
                <w:szCs w:val="16"/>
                <w:lang w:eastAsia="ja-JP"/>
              </w:rPr>
              <w:br/>
              <w:t>- WIPO GREEN:  77.752</w:t>
            </w:r>
          </w:p>
        </w:tc>
        <w:tc>
          <w:tcPr>
            <w:tcW w:w="733" w:type="pct"/>
            <w:shd w:val="clear" w:color="auto" w:fill="auto"/>
            <w:tcMar>
              <w:top w:w="110" w:type="dxa"/>
              <w:left w:w="58" w:type="dxa"/>
              <w:right w:w="58" w:type="dxa"/>
            </w:tcMar>
          </w:tcPr>
          <w:p w:rsidR="00BB3ABC" w:rsidRPr="00542895" w:rsidRDefault="00BB3ABC" w:rsidP="00230FAA">
            <w:pPr>
              <w:rPr>
                <w:sz w:val="16"/>
                <w:szCs w:val="16"/>
              </w:rPr>
            </w:pPr>
            <w:r w:rsidRPr="00542895">
              <w:rPr>
                <w:sz w:val="16"/>
                <w:szCs w:val="16"/>
              </w:rPr>
              <w:t>10% de aumento</w:t>
            </w:r>
          </w:p>
        </w:tc>
        <w:tc>
          <w:tcPr>
            <w:tcW w:w="1250" w:type="pct"/>
            <w:shd w:val="clear" w:color="auto" w:fill="FFFFFF"/>
            <w:tcMar>
              <w:top w:w="110" w:type="dxa"/>
              <w:left w:w="58" w:type="dxa"/>
              <w:right w:w="58" w:type="dxa"/>
            </w:tcMar>
          </w:tcPr>
          <w:p w:rsidR="00BB3ABC" w:rsidRPr="00542895" w:rsidRDefault="00BB3ABC" w:rsidP="00230FAA">
            <w:pPr>
              <w:rPr>
                <w:sz w:val="16"/>
                <w:szCs w:val="16"/>
                <w:lang w:bidi="th-TH"/>
              </w:rPr>
            </w:pPr>
            <w:r w:rsidRPr="00542895">
              <w:rPr>
                <w:sz w:val="16"/>
                <w:szCs w:val="16"/>
                <w:lang w:bidi="th-TH"/>
              </w:rPr>
              <w:t>Número de páginas vistas:</w:t>
            </w:r>
          </w:p>
          <w:p w:rsidR="00BB3ABC" w:rsidRPr="00542895" w:rsidRDefault="00BB3ABC" w:rsidP="00230FAA">
            <w:pPr>
              <w:rPr>
                <w:sz w:val="16"/>
                <w:szCs w:val="16"/>
                <w:lang w:bidi="th-TH"/>
              </w:rPr>
            </w:pPr>
          </w:p>
          <w:p w:rsidR="00BB3ABC" w:rsidRPr="00542895" w:rsidRDefault="00BB3ABC" w:rsidP="00230FAA">
            <w:pPr>
              <w:rPr>
                <w:sz w:val="16"/>
                <w:szCs w:val="16"/>
                <w:lang w:bidi="th-TH"/>
              </w:rPr>
            </w:pPr>
            <w:r w:rsidRPr="00542895">
              <w:rPr>
                <w:sz w:val="16"/>
                <w:szCs w:val="16"/>
                <w:lang w:bidi="th-TH"/>
              </w:rPr>
              <w:t>GCD:  742</w:t>
            </w:r>
          </w:p>
          <w:p w:rsidR="00BB3ABC" w:rsidRPr="00542895" w:rsidRDefault="00BB3ABC" w:rsidP="00230FAA">
            <w:pPr>
              <w:pStyle w:val="ListParagraph"/>
              <w:ind w:left="118"/>
              <w:rPr>
                <w:rFonts w:cs="Arial"/>
                <w:sz w:val="16"/>
                <w:szCs w:val="16"/>
                <w:lang w:val="es-ES" w:bidi="th-TH"/>
              </w:rPr>
            </w:pPr>
          </w:p>
          <w:p w:rsidR="00BB3ABC" w:rsidRPr="00542895" w:rsidRDefault="00BB3ABC" w:rsidP="00230FAA">
            <w:pPr>
              <w:rPr>
                <w:sz w:val="16"/>
                <w:szCs w:val="16"/>
                <w:lang w:bidi="th-TH"/>
              </w:rPr>
            </w:pPr>
            <w:r w:rsidRPr="00542895">
              <w:rPr>
                <w:sz w:val="16"/>
                <w:szCs w:val="16"/>
                <w:lang w:bidi="th-TH"/>
              </w:rPr>
              <w:t>Salud mundial y P.I.:  4.566</w:t>
            </w:r>
            <w:r w:rsidRPr="00542895">
              <w:rPr>
                <w:sz w:val="16"/>
                <w:szCs w:val="16"/>
                <w:lang w:bidi="th-TH"/>
              </w:rPr>
              <w:br/>
            </w:r>
          </w:p>
          <w:p w:rsidR="00BB3ABC" w:rsidRPr="00542895" w:rsidRDefault="00BB3ABC" w:rsidP="00230FAA">
            <w:pPr>
              <w:rPr>
                <w:sz w:val="16"/>
                <w:szCs w:val="16"/>
                <w:lang w:bidi="th-TH"/>
              </w:rPr>
            </w:pPr>
            <w:r w:rsidRPr="00542895">
              <w:rPr>
                <w:sz w:val="16"/>
                <w:szCs w:val="16"/>
                <w:lang w:bidi="th-TH"/>
              </w:rPr>
              <w:t>Cambio climático y P.I.:  2.709</w:t>
            </w:r>
          </w:p>
          <w:p w:rsidR="00BB3ABC" w:rsidRPr="00542895" w:rsidRDefault="00BB3ABC" w:rsidP="00230FAA">
            <w:pPr>
              <w:rPr>
                <w:sz w:val="16"/>
                <w:szCs w:val="16"/>
                <w:lang w:bidi="th-TH"/>
              </w:rPr>
            </w:pPr>
          </w:p>
          <w:p w:rsidR="00BB3ABC" w:rsidRPr="002F663B" w:rsidRDefault="00BB3ABC" w:rsidP="00230FAA">
            <w:pPr>
              <w:rPr>
                <w:sz w:val="16"/>
                <w:szCs w:val="16"/>
                <w:lang w:val="en-US" w:bidi="th-TH"/>
              </w:rPr>
            </w:pPr>
            <w:r w:rsidRPr="002F663B">
              <w:rPr>
                <w:sz w:val="16"/>
                <w:szCs w:val="16"/>
                <w:lang w:val="en-US" w:bidi="th-TH"/>
              </w:rPr>
              <w:t xml:space="preserve">WIPO </w:t>
            </w:r>
            <w:proofErr w:type="spellStart"/>
            <w:r w:rsidRPr="002F663B">
              <w:rPr>
                <w:sz w:val="16"/>
                <w:szCs w:val="16"/>
                <w:lang w:val="en-US" w:bidi="th-TH"/>
              </w:rPr>
              <w:t>Re:Search</w:t>
            </w:r>
            <w:proofErr w:type="spellEnd"/>
            <w:r w:rsidRPr="002F663B">
              <w:rPr>
                <w:sz w:val="16"/>
                <w:szCs w:val="16"/>
                <w:lang w:val="en-US" w:bidi="th-TH"/>
              </w:rPr>
              <w:t>:  18.345</w:t>
            </w:r>
          </w:p>
          <w:p w:rsidR="00BB3ABC" w:rsidRPr="002F663B" w:rsidRDefault="00BB3ABC" w:rsidP="00230FAA">
            <w:pPr>
              <w:pStyle w:val="ListParagraph"/>
              <w:ind w:left="118"/>
              <w:rPr>
                <w:rFonts w:cs="Arial"/>
                <w:sz w:val="16"/>
                <w:szCs w:val="16"/>
                <w:lang w:bidi="th-TH"/>
              </w:rPr>
            </w:pPr>
          </w:p>
          <w:p w:rsidR="00BB3ABC" w:rsidRPr="002F663B" w:rsidRDefault="00BB3ABC" w:rsidP="00230FAA">
            <w:pPr>
              <w:rPr>
                <w:sz w:val="16"/>
                <w:szCs w:val="16"/>
                <w:lang w:val="en-US" w:bidi="th-TH"/>
              </w:rPr>
            </w:pPr>
            <w:r w:rsidRPr="002F663B">
              <w:rPr>
                <w:sz w:val="16"/>
                <w:szCs w:val="16"/>
                <w:lang w:val="en-US" w:bidi="th-TH"/>
              </w:rPr>
              <w:t>WIPO GREEN:  117.176</w:t>
            </w:r>
          </w:p>
          <w:p w:rsidR="00BB3ABC" w:rsidRPr="002F663B" w:rsidRDefault="00BB3ABC" w:rsidP="00230FAA">
            <w:pPr>
              <w:pStyle w:val="ListParagraph"/>
              <w:ind w:left="118"/>
              <w:rPr>
                <w:rFonts w:cs="Arial"/>
                <w:sz w:val="16"/>
                <w:szCs w:val="16"/>
                <w:lang w:bidi="th-TH"/>
              </w:rPr>
            </w:pPr>
          </w:p>
          <w:p w:rsidR="00BB3ABC" w:rsidRPr="00542895" w:rsidRDefault="00BB3ABC" w:rsidP="00230FAA">
            <w:pPr>
              <w:rPr>
                <w:sz w:val="16"/>
                <w:szCs w:val="16"/>
              </w:rPr>
            </w:pPr>
            <w:r w:rsidRPr="00542895">
              <w:rPr>
                <w:sz w:val="16"/>
                <w:szCs w:val="16"/>
              </w:rPr>
              <w:t>Descargas de archivos en formato pdf:  37.868</w:t>
            </w:r>
            <w:r w:rsidRPr="00542895">
              <w:rPr>
                <w:rStyle w:val="FootnoteReference"/>
                <w:szCs w:val="16"/>
              </w:rPr>
              <w:footnoteReference w:id="78"/>
            </w:r>
          </w:p>
          <w:p w:rsidR="00BB3ABC" w:rsidRPr="00542895" w:rsidRDefault="00BB3ABC" w:rsidP="00230FAA">
            <w:pPr>
              <w:rPr>
                <w:sz w:val="16"/>
                <w:szCs w:val="16"/>
              </w:rPr>
            </w:pPr>
          </w:p>
        </w:tc>
        <w:tc>
          <w:tcPr>
            <w:tcW w:w="526" w:type="pct"/>
            <w:shd w:val="clear" w:color="auto" w:fill="auto"/>
            <w:tcMar>
              <w:top w:w="110" w:type="dxa"/>
              <w:left w:w="58" w:type="dxa"/>
              <w:right w:w="58" w:type="dxa"/>
            </w:tcMar>
          </w:tcPr>
          <w:p w:rsidR="00BB3ABC" w:rsidRPr="00542895" w:rsidRDefault="00BB3ABC" w:rsidP="00230FAA">
            <w:pPr>
              <w:ind w:right="-58"/>
              <w:jc w:val="center"/>
              <w:rPr>
                <w:b/>
                <w:sz w:val="16"/>
                <w:szCs w:val="16"/>
              </w:rPr>
            </w:pPr>
          </w:p>
          <w:p w:rsidR="00BB3ABC" w:rsidRPr="00542895" w:rsidRDefault="00BB3ABC" w:rsidP="00230FAA">
            <w:pPr>
              <w:ind w:right="-58"/>
              <w:jc w:val="center"/>
              <w:rPr>
                <w:b/>
                <w:sz w:val="16"/>
                <w:szCs w:val="16"/>
              </w:rPr>
            </w:pPr>
          </w:p>
          <w:p w:rsidR="00BB3ABC" w:rsidRPr="00542895" w:rsidRDefault="00BB3ABC" w:rsidP="00230FAA">
            <w:pPr>
              <w:ind w:right="-58"/>
              <w:jc w:val="center"/>
              <w:rPr>
                <w:b/>
                <w:sz w:val="16"/>
                <w:szCs w:val="16"/>
              </w:rPr>
            </w:pPr>
            <w:r w:rsidRPr="00542895">
              <w:rPr>
                <w:b/>
                <w:color w:val="FF0000"/>
                <w:sz w:val="16"/>
                <w:szCs w:val="16"/>
              </w:rPr>
              <w:t>No avanza</w:t>
            </w:r>
            <w:r w:rsidRPr="00542895">
              <w:rPr>
                <w:b/>
                <w:sz w:val="16"/>
                <w:szCs w:val="16"/>
              </w:rPr>
              <w:br/>
            </w:r>
          </w:p>
          <w:p w:rsidR="00BB3ABC" w:rsidRPr="00542895" w:rsidRDefault="00BB3ABC" w:rsidP="00230FAA">
            <w:pPr>
              <w:ind w:right="-58"/>
              <w:jc w:val="center"/>
              <w:rPr>
                <w:b/>
                <w:sz w:val="16"/>
                <w:szCs w:val="16"/>
              </w:rPr>
            </w:pPr>
            <w:r w:rsidRPr="00542895">
              <w:rPr>
                <w:b/>
                <w:color w:val="00B050"/>
                <w:sz w:val="16"/>
                <w:szCs w:val="16"/>
              </w:rPr>
              <w:t>Avanza</w:t>
            </w:r>
            <w:r w:rsidRPr="00542895">
              <w:rPr>
                <w:b/>
                <w:sz w:val="16"/>
                <w:szCs w:val="16"/>
              </w:rPr>
              <w:br/>
            </w:r>
          </w:p>
          <w:p w:rsidR="00BB3ABC" w:rsidRPr="00542895" w:rsidRDefault="00BB3ABC" w:rsidP="00230FAA">
            <w:pPr>
              <w:ind w:right="-58"/>
              <w:jc w:val="center"/>
              <w:rPr>
                <w:b/>
                <w:sz w:val="16"/>
                <w:szCs w:val="16"/>
              </w:rPr>
            </w:pPr>
            <w:r w:rsidRPr="00542895">
              <w:rPr>
                <w:b/>
                <w:color w:val="00B050"/>
                <w:sz w:val="16"/>
                <w:szCs w:val="16"/>
              </w:rPr>
              <w:t>Avanza</w:t>
            </w:r>
            <w:r w:rsidRPr="00542895">
              <w:rPr>
                <w:b/>
                <w:sz w:val="16"/>
                <w:szCs w:val="16"/>
              </w:rPr>
              <w:br/>
            </w:r>
          </w:p>
          <w:p w:rsidR="00BB3ABC" w:rsidRPr="00542895" w:rsidRDefault="00BB3ABC" w:rsidP="00230FAA">
            <w:pPr>
              <w:ind w:right="-58"/>
              <w:jc w:val="center"/>
              <w:rPr>
                <w:b/>
                <w:sz w:val="16"/>
                <w:szCs w:val="16"/>
              </w:rPr>
            </w:pPr>
            <w:r w:rsidRPr="00542895">
              <w:rPr>
                <w:b/>
                <w:color w:val="FF0000"/>
                <w:sz w:val="16"/>
                <w:szCs w:val="16"/>
              </w:rPr>
              <w:t>No avanza</w:t>
            </w:r>
          </w:p>
          <w:p w:rsidR="00BB3ABC" w:rsidRPr="00542895" w:rsidRDefault="00BB3ABC" w:rsidP="00230FAA">
            <w:pPr>
              <w:ind w:right="-58"/>
              <w:jc w:val="center"/>
              <w:rPr>
                <w:b/>
                <w:sz w:val="16"/>
                <w:szCs w:val="16"/>
              </w:rPr>
            </w:pPr>
          </w:p>
          <w:p w:rsidR="00BB3ABC" w:rsidRPr="00542895" w:rsidRDefault="00BB3ABC" w:rsidP="00230FAA">
            <w:pPr>
              <w:ind w:right="-58"/>
              <w:jc w:val="center"/>
              <w:rPr>
                <w:b/>
                <w:sz w:val="16"/>
                <w:szCs w:val="16"/>
              </w:rPr>
            </w:pPr>
            <w:r w:rsidRPr="00542895">
              <w:rPr>
                <w:b/>
                <w:color w:val="00B050"/>
                <w:sz w:val="16"/>
                <w:szCs w:val="16"/>
              </w:rPr>
              <w:t>Avanza</w:t>
            </w:r>
            <w:r w:rsidRPr="00542895">
              <w:rPr>
                <w:b/>
                <w:sz w:val="16"/>
                <w:szCs w:val="16"/>
              </w:rPr>
              <w:br/>
            </w:r>
          </w:p>
          <w:p w:rsidR="00BB3ABC" w:rsidRPr="00542895" w:rsidRDefault="00BB3ABC" w:rsidP="00230FAA">
            <w:pPr>
              <w:ind w:right="-58"/>
              <w:jc w:val="center"/>
              <w:rPr>
                <w:b/>
                <w:sz w:val="16"/>
                <w:szCs w:val="16"/>
              </w:rPr>
            </w:pPr>
            <w:r w:rsidRPr="00542895">
              <w:rPr>
                <w:b/>
                <w:color w:val="00B050"/>
                <w:sz w:val="16"/>
                <w:szCs w:val="16"/>
              </w:rPr>
              <w:t>Avanza</w:t>
            </w:r>
          </w:p>
          <w:p w:rsidR="00BB3ABC" w:rsidRPr="00542895" w:rsidRDefault="00BB3ABC" w:rsidP="00230FAA">
            <w:pPr>
              <w:ind w:right="-58"/>
              <w:jc w:val="center"/>
              <w:rPr>
                <w:b/>
                <w:sz w:val="16"/>
                <w:szCs w:val="16"/>
              </w:rPr>
            </w:pPr>
          </w:p>
        </w:tc>
      </w:tr>
    </w:tbl>
    <w:p w:rsidR="00BB3ABC" w:rsidRPr="00542895" w:rsidRDefault="00BB3ABC" w:rsidP="00230FAA">
      <w:pPr>
        <w:rPr>
          <w:sz w:val="20"/>
        </w:rPr>
      </w:pPr>
    </w:p>
    <w:p w:rsidR="00BB3ABC" w:rsidRPr="00542895" w:rsidRDefault="00BB3ABC">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BB3ABC" w:rsidRPr="00542895" w:rsidTr="00230FAA">
        <w:trPr>
          <w:trHeight w:val="423"/>
          <w:jc w:val="center"/>
        </w:trPr>
        <w:tc>
          <w:tcPr>
            <w:tcW w:w="9571" w:type="dxa"/>
            <w:shd w:val="clear" w:color="auto" w:fill="C6D9F1" w:themeFill="text2" w:themeFillTint="33"/>
            <w:vAlign w:val="center"/>
          </w:tcPr>
          <w:p w:rsidR="00BB3ABC" w:rsidRPr="00542895" w:rsidRDefault="00BB3ABC" w:rsidP="00230FAA">
            <w:pPr>
              <w:keepNext/>
              <w:keepLines/>
              <w:jc w:val="center"/>
              <w:rPr>
                <w:b/>
                <w:sz w:val="20"/>
              </w:rPr>
            </w:pPr>
            <w:r w:rsidRPr="00542895">
              <w:rPr>
                <w:b/>
                <w:sz w:val="20"/>
              </w:rPr>
              <w:br w:type="page"/>
              <w:t>Utilización de los recursos del programa 18</w:t>
            </w:r>
          </w:p>
        </w:tc>
      </w:tr>
    </w:tbl>
    <w:p w:rsidR="00BB3ABC" w:rsidRDefault="00BB3ABC" w:rsidP="00230FAA">
      <w:pPr>
        <w:jc w:val="center"/>
        <w:rPr>
          <w:sz w:val="20"/>
        </w:rPr>
      </w:pPr>
    </w:p>
    <w:p w:rsidR="00156844" w:rsidRPr="00542895" w:rsidRDefault="00156844" w:rsidP="00156844">
      <w:pPr>
        <w:pStyle w:val="NormalWeb"/>
        <w:spacing w:before="0" w:beforeAutospacing="0" w:after="0" w:afterAutospacing="0"/>
        <w:jc w:val="center"/>
        <w:rPr>
          <w:lang w:val="es-ES"/>
        </w:rPr>
      </w:pPr>
      <w:r w:rsidRPr="00542895">
        <w:rPr>
          <w:lang w:val="es-ES"/>
        </w:rPr>
        <w:t>Presupuesto y gastos reales (de personal y no relativos a personal)</w:t>
      </w:r>
    </w:p>
    <w:p w:rsidR="00156844" w:rsidRPr="00542895" w:rsidRDefault="00156844" w:rsidP="00156844">
      <w:pPr>
        <w:pStyle w:val="NormalWeb"/>
        <w:spacing w:before="0" w:beforeAutospacing="0" w:after="0" w:afterAutospacing="0"/>
        <w:jc w:val="center"/>
        <w:rPr>
          <w:i/>
          <w:iCs/>
          <w:sz w:val="16"/>
          <w:szCs w:val="16"/>
          <w:lang w:val="es-ES"/>
        </w:rPr>
      </w:pPr>
      <w:r w:rsidRPr="00542895">
        <w:rPr>
          <w:i/>
          <w:iCs/>
          <w:sz w:val="16"/>
          <w:szCs w:val="16"/>
          <w:lang w:val="es-ES"/>
        </w:rPr>
        <w:t>(en miles de francos suizos)</w:t>
      </w:r>
    </w:p>
    <w:p w:rsidR="00156844" w:rsidRPr="00542895" w:rsidRDefault="00156844" w:rsidP="00156844">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156844" w:rsidRPr="00542895" w:rsidTr="00B705C2">
        <w:trPr>
          <w:trHeight w:val="720"/>
          <w:jc w:val="center"/>
        </w:trPr>
        <w:tc>
          <w:tcPr>
            <w:tcW w:w="2440" w:type="dxa"/>
            <w:tcBorders>
              <w:top w:val="nil"/>
              <w:left w:val="nil"/>
              <w:bottom w:val="nil"/>
              <w:right w:val="nil"/>
            </w:tcBorders>
            <w:shd w:val="clear" w:color="000000" w:fill="C5D9F1"/>
            <w:noWrap/>
            <w:vAlign w:val="center"/>
            <w:hideMark/>
          </w:tcPr>
          <w:p w:rsidR="00156844" w:rsidRPr="00542895" w:rsidRDefault="00156844" w:rsidP="00156844">
            <w:pPr>
              <w:rPr>
                <w:sz w:val="16"/>
                <w:szCs w:val="16"/>
              </w:rPr>
            </w:pPr>
            <w:r w:rsidRPr="00542895">
              <w:rPr>
                <w:sz w:val="16"/>
                <w:szCs w:val="16"/>
              </w:rPr>
              <w:t> </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Gastos en 2016*</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Índice de utilización (%)</w:t>
            </w:r>
          </w:p>
        </w:tc>
      </w:tr>
      <w:tr w:rsidR="00156844" w:rsidRPr="00542895" w:rsidTr="00B705C2">
        <w:trPr>
          <w:trHeight w:val="315"/>
          <w:jc w:val="center"/>
        </w:trPr>
        <w:tc>
          <w:tcPr>
            <w:tcW w:w="2440" w:type="dxa"/>
            <w:tcBorders>
              <w:top w:val="nil"/>
              <w:left w:val="nil"/>
              <w:bottom w:val="nil"/>
              <w:right w:val="nil"/>
            </w:tcBorders>
            <w:shd w:val="clear" w:color="auto" w:fill="auto"/>
            <w:noWrap/>
            <w:vAlign w:val="center"/>
            <w:hideMark/>
          </w:tcPr>
          <w:p w:rsidR="00156844" w:rsidRPr="00542895" w:rsidRDefault="00156844" w:rsidP="00156844">
            <w:pPr>
              <w:rPr>
                <w:sz w:val="16"/>
                <w:szCs w:val="16"/>
              </w:rPr>
            </w:pPr>
            <w:r w:rsidRPr="00542895">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 xml:space="preserve">5.545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 xml:space="preserve">5.076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 xml:space="preserve">2.505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49%</w:t>
            </w:r>
          </w:p>
        </w:tc>
      </w:tr>
      <w:tr w:rsidR="00156844" w:rsidRPr="00542895" w:rsidTr="00B705C2">
        <w:trPr>
          <w:trHeight w:val="315"/>
          <w:jc w:val="center"/>
        </w:trPr>
        <w:tc>
          <w:tcPr>
            <w:tcW w:w="2440" w:type="dxa"/>
            <w:tcBorders>
              <w:top w:val="nil"/>
              <w:left w:val="nil"/>
              <w:bottom w:val="nil"/>
              <w:right w:val="nil"/>
            </w:tcBorders>
            <w:shd w:val="clear" w:color="auto" w:fill="auto"/>
            <w:noWrap/>
            <w:vAlign w:val="center"/>
            <w:hideMark/>
          </w:tcPr>
          <w:p w:rsidR="00156844" w:rsidRPr="00542895" w:rsidRDefault="00156844" w:rsidP="00156844">
            <w:pPr>
              <w:rPr>
                <w:sz w:val="16"/>
                <w:szCs w:val="16"/>
              </w:rPr>
            </w:pPr>
            <w:r w:rsidRPr="00542895">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 xml:space="preserve">778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 xml:space="preserve">947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 xml:space="preserve">366 </w:t>
            </w:r>
          </w:p>
        </w:tc>
        <w:tc>
          <w:tcPr>
            <w:tcW w:w="1420" w:type="dxa"/>
            <w:tcBorders>
              <w:top w:val="nil"/>
              <w:left w:val="nil"/>
              <w:bottom w:val="nil"/>
              <w:right w:val="nil"/>
            </w:tcBorders>
            <w:shd w:val="clear" w:color="auto" w:fill="auto"/>
            <w:vAlign w:val="center"/>
            <w:hideMark/>
          </w:tcPr>
          <w:p w:rsidR="00156844" w:rsidRPr="00542895" w:rsidRDefault="00156844" w:rsidP="00156844">
            <w:pPr>
              <w:jc w:val="center"/>
              <w:rPr>
                <w:sz w:val="16"/>
                <w:szCs w:val="16"/>
              </w:rPr>
            </w:pPr>
            <w:r w:rsidRPr="00542895">
              <w:rPr>
                <w:sz w:val="16"/>
                <w:szCs w:val="16"/>
              </w:rPr>
              <w:t>39%</w:t>
            </w:r>
          </w:p>
        </w:tc>
      </w:tr>
      <w:tr w:rsidR="00156844" w:rsidRPr="00542895" w:rsidTr="00B705C2">
        <w:trPr>
          <w:trHeight w:val="225"/>
          <w:jc w:val="center"/>
        </w:trPr>
        <w:tc>
          <w:tcPr>
            <w:tcW w:w="2440" w:type="dxa"/>
            <w:tcBorders>
              <w:top w:val="nil"/>
              <w:left w:val="nil"/>
              <w:bottom w:val="nil"/>
              <w:right w:val="nil"/>
            </w:tcBorders>
            <w:shd w:val="clear" w:color="000000" w:fill="C5D9F1"/>
            <w:noWrap/>
            <w:vAlign w:val="center"/>
            <w:hideMark/>
          </w:tcPr>
          <w:p w:rsidR="00156844" w:rsidRPr="00542895" w:rsidRDefault="00156844" w:rsidP="00156844">
            <w:pPr>
              <w:jc w:val="right"/>
              <w:rPr>
                <w:b/>
                <w:bCs/>
                <w:sz w:val="16"/>
                <w:szCs w:val="16"/>
              </w:rPr>
            </w:pPr>
            <w:r w:rsidRPr="00542895">
              <w:rPr>
                <w:b/>
                <w:bCs/>
                <w:sz w:val="16"/>
                <w:szCs w:val="16"/>
              </w:rPr>
              <w:t xml:space="preserve"> Total </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 xml:space="preserve">6.323 </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 xml:space="preserve">6.023 </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 xml:space="preserve">2.871 </w:t>
            </w:r>
          </w:p>
        </w:tc>
        <w:tc>
          <w:tcPr>
            <w:tcW w:w="1420" w:type="dxa"/>
            <w:tcBorders>
              <w:top w:val="nil"/>
              <w:left w:val="nil"/>
              <w:bottom w:val="nil"/>
              <w:right w:val="nil"/>
            </w:tcBorders>
            <w:shd w:val="clear" w:color="000000" w:fill="C5D9F1"/>
            <w:vAlign w:val="center"/>
            <w:hideMark/>
          </w:tcPr>
          <w:p w:rsidR="00156844" w:rsidRPr="00542895" w:rsidRDefault="00156844" w:rsidP="00156844">
            <w:pPr>
              <w:jc w:val="center"/>
              <w:rPr>
                <w:b/>
                <w:bCs/>
                <w:sz w:val="16"/>
                <w:szCs w:val="16"/>
              </w:rPr>
            </w:pPr>
            <w:r w:rsidRPr="00542895">
              <w:rPr>
                <w:b/>
                <w:bCs/>
                <w:sz w:val="16"/>
                <w:szCs w:val="16"/>
              </w:rPr>
              <w:t>48%</w:t>
            </w:r>
          </w:p>
        </w:tc>
      </w:tr>
      <w:tr w:rsidR="00156844" w:rsidRPr="00542895" w:rsidTr="00B705C2">
        <w:trPr>
          <w:trHeight w:val="300"/>
          <w:jc w:val="center"/>
        </w:trPr>
        <w:tc>
          <w:tcPr>
            <w:tcW w:w="8120" w:type="dxa"/>
            <w:gridSpan w:val="5"/>
            <w:tcBorders>
              <w:top w:val="nil"/>
              <w:left w:val="nil"/>
              <w:bottom w:val="nil"/>
              <w:right w:val="nil"/>
            </w:tcBorders>
            <w:shd w:val="clear" w:color="auto" w:fill="auto"/>
            <w:noWrap/>
            <w:vAlign w:val="center"/>
            <w:hideMark/>
          </w:tcPr>
          <w:p w:rsidR="00156844" w:rsidRPr="00542895" w:rsidRDefault="00156844" w:rsidP="00156844">
            <w:pPr>
              <w:rPr>
                <w:i/>
                <w:iCs/>
                <w:sz w:val="16"/>
                <w:szCs w:val="16"/>
              </w:rPr>
            </w:pPr>
            <w:r w:rsidRPr="00542895">
              <w:rPr>
                <w:i/>
                <w:iCs/>
                <w:sz w:val="16"/>
                <w:szCs w:val="16"/>
              </w:rPr>
              <w:t xml:space="preserve"> *Las cifras de gastos en 2016 son preliminares, a reserva de verificación por el Auditor Externo.</w:t>
            </w:r>
          </w:p>
        </w:tc>
      </w:tr>
    </w:tbl>
    <w:p w:rsidR="00156844" w:rsidRPr="00542895" w:rsidRDefault="00156844" w:rsidP="00156844">
      <w:pPr>
        <w:jc w:val="center"/>
      </w:pPr>
    </w:p>
    <w:p w:rsidR="00156844" w:rsidRPr="00542895" w:rsidRDefault="00156844" w:rsidP="00156844">
      <w:pPr>
        <w:ind w:left="567" w:right="282"/>
        <w:rPr>
          <w:i/>
          <w:sz w:val="16"/>
          <w:szCs w:val="16"/>
        </w:rPr>
      </w:pPr>
      <w:r w:rsidRPr="00542895">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156844" w:rsidRPr="00542895" w:rsidRDefault="00156844" w:rsidP="00156844">
      <w:pPr>
        <w:jc w:val="center"/>
        <w:rPr>
          <w:sz w:val="20"/>
        </w:rPr>
      </w:pPr>
    </w:p>
    <w:p w:rsidR="00BB3ABC" w:rsidRPr="00542895" w:rsidRDefault="00BB3ABC" w:rsidP="00156844">
      <w:pPr>
        <w:pStyle w:val="NormalWeb"/>
        <w:keepNext/>
        <w:keepLines/>
        <w:spacing w:before="0" w:beforeAutospacing="0" w:after="0" w:afterAutospacing="0"/>
        <w:jc w:val="center"/>
        <w:rPr>
          <w:lang w:val="es-ES"/>
        </w:rPr>
      </w:pPr>
      <w:r w:rsidRPr="00542895">
        <w:rPr>
          <w:lang w:val="es-ES"/>
        </w:rPr>
        <w:lastRenderedPageBreak/>
        <w:t>Presupuesto y gastos reales (por resultado)</w:t>
      </w:r>
    </w:p>
    <w:p w:rsidR="00BB3ABC" w:rsidRPr="00542895" w:rsidRDefault="00BB3ABC" w:rsidP="00156844">
      <w:pPr>
        <w:pStyle w:val="NormalWeb"/>
        <w:keepNext/>
        <w:keepLines/>
        <w:spacing w:before="0" w:beforeAutospacing="0" w:after="0" w:afterAutospacing="0"/>
        <w:jc w:val="center"/>
        <w:rPr>
          <w:i/>
          <w:iCs/>
          <w:sz w:val="16"/>
          <w:szCs w:val="16"/>
          <w:lang w:val="es-ES"/>
        </w:rPr>
      </w:pPr>
      <w:r w:rsidRPr="00542895">
        <w:rPr>
          <w:i/>
          <w:iCs/>
          <w:sz w:val="16"/>
          <w:szCs w:val="16"/>
          <w:lang w:val="es-ES"/>
        </w:rPr>
        <w:t>(en miles de francos suizos)</w:t>
      </w:r>
    </w:p>
    <w:p w:rsidR="00BB3ABC" w:rsidRPr="00542895" w:rsidRDefault="00BB3ABC" w:rsidP="00156844">
      <w:pPr>
        <w:keepNext/>
        <w:keepLines/>
        <w:rPr>
          <w:sz w:val="20"/>
        </w:rPr>
      </w:pPr>
    </w:p>
    <w:tbl>
      <w:tblPr>
        <w:tblW w:w="8278" w:type="dxa"/>
        <w:jc w:val="center"/>
        <w:tblLayout w:type="fixed"/>
        <w:tblLook w:val="04A0" w:firstRow="1" w:lastRow="0" w:firstColumn="1" w:lastColumn="0" w:noHBand="0" w:noVBand="1"/>
      </w:tblPr>
      <w:tblGrid>
        <w:gridCol w:w="590"/>
        <w:gridCol w:w="4117"/>
        <w:gridCol w:w="1271"/>
        <w:gridCol w:w="1281"/>
        <w:gridCol w:w="1019"/>
      </w:tblGrid>
      <w:tr w:rsidR="00BB3ABC" w:rsidRPr="00542895" w:rsidTr="00230FAA">
        <w:trPr>
          <w:trHeight w:val="825"/>
          <w:jc w:val="center"/>
        </w:trPr>
        <w:tc>
          <w:tcPr>
            <w:tcW w:w="4707" w:type="dxa"/>
            <w:gridSpan w:val="2"/>
            <w:tcBorders>
              <w:top w:val="nil"/>
              <w:left w:val="nil"/>
              <w:bottom w:val="nil"/>
              <w:right w:val="nil"/>
            </w:tcBorders>
            <w:shd w:val="clear" w:color="000000" w:fill="C5D9F1"/>
            <w:noWrap/>
            <w:vAlign w:val="center"/>
            <w:hideMark/>
          </w:tcPr>
          <w:p w:rsidR="00BB3ABC" w:rsidRPr="00542895" w:rsidRDefault="00BB3ABC" w:rsidP="00156844">
            <w:pPr>
              <w:keepNext/>
              <w:keepLines/>
              <w:jc w:val="center"/>
              <w:rPr>
                <w:b/>
                <w:bCs/>
                <w:sz w:val="16"/>
                <w:szCs w:val="16"/>
              </w:rPr>
            </w:pPr>
            <w:r w:rsidRPr="00542895">
              <w:rPr>
                <w:b/>
                <w:bCs/>
                <w:sz w:val="16"/>
                <w:szCs w:val="16"/>
              </w:rPr>
              <w:t xml:space="preserve">Número del resultado previsto y descripción </w:t>
            </w:r>
          </w:p>
        </w:tc>
        <w:tc>
          <w:tcPr>
            <w:tcW w:w="1271" w:type="dxa"/>
            <w:tcBorders>
              <w:top w:val="nil"/>
              <w:left w:val="nil"/>
              <w:bottom w:val="nil"/>
              <w:right w:val="nil"/>
            </w:tcBorders>
            <w:shd w:val="clear" w:color="000000" w:fill="C5D9F1"/>
            <w:vAlign w:val="center"/>
            <w:hideMark/>
          </w:tcPr>
          <w:p w:rsidR="00BB3ABC" w:rsidRPr="00542895" w:rsidRDefault="00BB3ABC" w:rsidP="00156844">
            <w:pPr>
              <w:keepNext/>
              <w:keepLines/>
              <w:jc w:val="center"/>
              <w:rPr>
                <w:b/>
                <w:bCs/>
                <w:sz w:val="16"/>
                <w:szCs w:val="16"/>
              </w:rPr>
            </w:pPr>
            <w:r w:rsidRPr="00542895">
              <w:rPr>
                <w:b/>
                <w:bCs/>
                <w:sz w:val="16"/>
                <w:szCs w:val="16"/>
              </w:rPr>
              <w:t xml:space="preserve"> Presupuesto aprobado de 2016/17 </w:t>
            </w:r>
          </w:p>
        </w:tc>
        <w:tc>
          <w:tcPr>
            <w:tcW w:w="1281" w:type="dxa"/>
            <w:tcBorders>
              <w:top w:val="nil"/>
              <w:left w:val="nil"/>
              <w:bottom w:val="nil"/>
              <w:right w:val="nil"/>
            </w:tcBorders>
            <w:shd w:val="clear" w:color="000000" w:fill="C5D9F1"/>
            <w:vAlign w:val="center"/>
            <w:hideMark/>
          </w:tcPr>
          <w:p w:rsidR="00BB3ABC" w:rsidRPr="00542895" w:rsidRDefault="00BB3ABC" w:rsidP="00156844">
            <w:pPr>
              <w:keepNext/>
              <w:keepLines/>
              <w:ind w:right="-96"/>
              <w:jc w:val="center"/>
              <w:rPr>
                <w:b/>
                <w:bCs/>
                <w:sz w:val="16"/>
                <w:szCs w:val="16"/>
              </w:rPr>
            </w:pPr>
            <w:r w:rsidRPr="00542895">
              <w:rPr>
                <w:b/>
                <w:bCs/>
                <w:sz w:val="16"/>
                <w:szCs w:val="16"/>
              </w:rPr>
              <w:t xml:space="preserve"> Presupuesto de 2016/17 tras las transferencias </w:t>
            </w:r>
          </w:p>
        </w:tc>
        <w:tc>
          <w:tcPr>
            <w:tcW w:w="1019" w:type="dxa"/>
            <w:tcBorders>
              <w:top w:val="nil"/>
              <w:left w:val="nil"/>
              <w:bottom w:val="nil"/>
              <w:right w:val="nil"/>
            </w:tcBorders>
            <w:shd w:val="clear" w:color="000000" w:fill="C5D9F1"/>
            <w:vAlign w:val="center"/>
            <w:hideMark/>
          </w:tcPr>
          <w:p w:rsidR="00BB3ABC" w:rsidRPr="00542895" w:rsidRDefault="00BB3ABC" w:rsidP="00156844">
            <w:pPr>
              <w:keepNext/>
              <w:keepLines/>
              <w:jc w:val="center"/>
              <w:rPr>
                <w:b/>
                <w:bCs/>
                <w:sz w:val="16"/>
                <w:szCs w:val="16"/>
              </w:rPr>
            </w:pPr>
            <w:r w:rsidRPr="00542895">
              <w:rPr>
                <w:b/>
                <w:bCs/>
                <w:sz w:val="16"/>
                <w:szCs w:val="16"/>
              </w:rPr>
              <w:t xml:space="preserve"> Gastos en 2016* </w:t>
            </w:r>
          </w:p>
        </w:tc>
      </w:tr>
      <w:tr w:rsidR="00BB3ABC" w:rsidRPr="00542895" w:rsidTr="00230FAA">
        <w:trPr>
          <w:trHeight w:val="675"/>
          <w:jc w:val="center"/>
        </w:trPr>
        <w:tc>
          <w:tcPr>
            <w:tcW w:w="590"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r w:rsidRPr="00542895">
              <w:rPr>
                <w:sz w:val="16"/>
                <w:szCs w:val="16"/>
              </w:rPr>
              <w:t>I.1</w:t>
            </w:r>
          </w:p>
        </w:tc>
        <w:tc>
          <w:tcPr>
            <w:tcW w:w="4117" w:type="dxa"/>
            <w:tcBorders>
              <w:top w:val="nil"/>
              <w:left w:val="nil"/>
              <w:bottom w:val="nil"/>
              <w:right w:val="nil"/>
            </w:tcBorders>
            <w:shd w:val="clear" w:color="auto" w:fill="auto"/>
            <w:vAlign w:val="center"/>
            <w:hideMark/>
          </w:tcPr>
          <w:p w:rsidR="00BB3ABC" w:rsidRPr="00542895" w:rsidRDefault="00BB3ABC" w:rsidP="00156844">
            <w:pPr>
              <w:keepNext/>
              <w:keepLines/>
              <w:rPr>
                <w:sz w:val="16"/>
                <w:szCs w:val="16"/>
              </w:rPr>
            </w:pPr>
            <w:r w:rsidRPr="00542895">
              <w:rPr>
                <w:sz w:val="16"/>
                <w:szCs w:val="16"/>
              </w:rPr>
              <w:t xml:space="preserve">Mayor cooperación entre los Estados miembros en la elaboración de marcos normativos internacionales de P.I. equilibrados </w:t>
            </w:r>
          </w:p>
        </w:tc>
        <w:tc>
          <w:tcPr>
            <w:tcW w:w="127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387</w:t>
            </w:r>
          </w:p>
        </w:tc>
        <w:tc>
          <w:tcPr>
            <w:tcW w:w="128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389</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181</w:t>
            </w:r>
          </w:p>
        </w:tc>
      </w:tr>
      <w:tr w:rsidR="00BB3ABC" w:rsidRPr="00542895" w:rsidTr="00230FAA">
        <w:trPr>
          <w:trHeight w:val="525"/>
          <w:jc w:val="center"/>
        </w:trPr>
        <w:tc>
          <w:tcPr>
            <w:tcW w:w="590"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r w:rsidRPr="00542895">
              <w:rPr>
                <w:sz w:val="16"/>
                <w:szCs w:val="16"/>
              </w:rPr>
              <w:t>I.2</w:t>
            </w:r>
          </w:p>
        </w:tc>
        <w:tc>
          <w:tcPr>
            <w:tcW w:w="4117" w:type="dxa"/>
            <w:tcBorders>
              <w:top w:val="nil"/>
              <w:left w:val="nil"/>
              <w:bottom w:val="nil"/>
              <w:right w:val="nil"/>
            </w:tcBorders>
            <w:shd w:val="clear" w:color="auto" w:fill="auto"/>
            <w:vAlign w:val="center"/>
            <w:hideMark/>
          </w:tcPr>
          <w:p w:rsidR="00BB3ABC" w:rsidRPr="00542895" w:rsidRDefault="00BB3ABC" w:rsidP="00156844">
            <w:pPr>
              <w:keepNext/>
              <w:keepLines/>
              <w:rPr>
                <w:sz w:val="16"/>
                <w:szCs w:val="16"/>
              </w:rPr>
            </w:pPr>
            <w:r w:rsidRPr="00542895">
              <w:rPr>
                <w:sz w:val="16"/>
                <w:szCs w:val="16"/>
              </w:rPr>
              <w:t>Marcos de P.I. adaptados y equilibrados en el ámbito legislativo, regulador y de política</w:t>
            </w:r>
          </w:p>
        </w:tc>
        <w:tc>
          <w:tcPr>
            <w:tcW w:w="127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1.500</w:t>
            </w:r>
          </w:p>
        </w:tc>
        <w:tc>
          <w:tcPr>
            <w:tcW w:w="128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202</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142</w:t>
            </w:r>
          </w:p>
        </w:tc>
      </w:tr>
      <w:tr w:rsidR="00BB3ABC" w:rsidRPr="00542895" w:rsidTr="00230FAA">
        <w:trPr>
          <w:trHeight w:val="1080"/>
          <w:jc w:val="center"/>
        </w:trPr>
        <w:tc>
          <w:tcPr>
            <w:tcW w:w="590"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r w:rsidRPr="00542895">
              <w:rPr>
                <w:sz w:val="16"/>
                <w:szCs w:val="16"/>
              </w:rPr>
              <w:t>III.2</w:t>
            </w:r>
          </w:p>
        </w:tc>
        <w:tc>
          <w:tcPr>
            <w:tcW w:w="4117" w:type="dxa"/>
            <w:tcBorders>
              <w:top w:val="nil"/>
              <w:left w:val="nil"/>
              <w:bottom w:val="nil"/>
              <w:right w:val="nil"/>
            </w:tcBorders>
            <w:shd w:val="clear" w:color="auto" w:fill="auto"/>
            <w:vAlign w:val="center"/>
            <w:hideMark/>
          </w:tcPr>
          <w:p w:rsidR="00BB3ABC" w:rsidRPr="00542895" w:rsidRDefault="00BB3ABC" w:rsidP="00156844">
            <w:pPr>
              <w:keepNext/>
              <w:keepLines/>
              <w:rPr>
                <w:sz w:val="16"/>
                <w:szCs w:val="16"/>
              </w:rPr>
            </w:pPr>
            <w:r w:rsidRPr="00542895">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27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145</w:t>
            </w:r>
          </w:p>
        </w:tc>
        <w:tc>
          <w:tcPr>
            <w:tcW w:w="128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436</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218</w:t>
            </w:r>
          </w:p>
        </w:tc>
      </w:tr>
      <w:tr w:rsidR="00BB3ABC" w:rsidRPr="00542895" w:rsidTr="00230FAA">
        <w:trPr>
          <w:trHeight w:val="900"/>
          <w:jc w:val="center"/>
        </w:trPr>
        <w:tc>
          <w:tcPr>
            <w:tcW w:w="590"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r w:rsidRPr="00542895">
              <w:rPr>
                <w:sz w:val="16"/>
                <w:szCs w:val="16"/>
              </w:rPr>
              <w:t>VI.1</w:t>
            </w:r>
          </w:p>
        </w:tc>
        <w:tc>
          <w:tcPr>
            <w:tcW w:w="4117" w:type="dxa"/>
            <w:tcBorders>
              <w:top w:val="nil"/>
              <w:left w:val="nil"/>
              <w:bottom w:val="nil"/>
              <w:right w:val="nil"/>
            </w:tcBorders>
            <w:shd w:val="clear" w:color="auto" w:fill="auto"/>
            <w:vAlign w:val="center"/>
            <w:hideMark/>
          </w:tcPr>
          <w:p w:rsidR="00BB3ABC" w:rsidRPr="00542895" w:rsidRDefault="00BB3ABC" w:rsidP="00156844">
            <w:pPr>
              <w:keepNext/>
              <w:keepLines/>
              <w:rPr>
                <w:sz w:val="16"/>
                <w:szCs w:val="16"/>
              </w:rPr>
            </w:pPr>
            <w:r w:rsidRPr="00542895">
              <w:rPr>
                <w:sz w:val="16"/>
                <w:szCs w:val="16"/>
              </w:rPr>
              <w:t>Avances en el diálogo internacional sobre políticas entre los Estados miembros de la OMPI para fomentar el respeto por la P.I. sobre la base de la recomendación 45 de la Agenda de la OMPI para el Desarrollo</w:t>
            </w:r>
          </w:p>
        </w:tc>
        <w:tc>
          <w:tcPr>
            <w:tcW w:w="127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187</w:t>
            </w:r>
          </w:p>
        </w:tc>
        <w:tc>
          <w:tcPr>
            <w:tcW w:w="128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375</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180</w:t>
            </w:r>
          </w:p>
        </w:tc>
      </w:tr>
      <w:tr w:rsidR="00BB3ABC" w:rsidRPr="00542895" w:rsidTr="00230FAA">
        <w:trPr>
          <w:trHeight w:val="900"/>
          <w:jc w:val="center"/>
        </w:trPr>
        <w:tc>
          <w:tcPr>
            <w:tcW w:w="590"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r w:rsidRPr="00542895">
              <w:rPr>
                <w:sz w:val="16"/>
                <w:szCs w:val="16"/>
              </w:rPr>
              <w:t>VI.2</w:t>
            </w:r>
          </w:p>
        </w:tc>
        <w:tc>
          <w:tcPr>
            <w:tcW w:w="4117" w:type="dxa"/>
            <w:tcBorders>
              <w:top w:val="nil"/>
              <w:left w:val="nil"/>
              <w:bottom w:val="nil"/>
              <w:right w:val="nil"/>
            </w:tcBorders>
            <w:shd w:val="clear" w:color="auto" w:fill="auto"/>
            <w:vAlign w:val="center"/>
            <w:hideMark/>
          </w:tcPr>
          <w:p w:rsidR="00BB3ABC" w:rsidRPr="00542895" w:rsidRDefault="00BB3ABC" w:rsidP="00156844">
            <w:pPr>
              <w:keepNext/>
              <w:keepLines/>
              <w:rPr>
                <w:sz w:val="16"/>
                <w:szCs w:val="16"/>
              </w:rPr>
            </w:pPr>
            <w:r w:rsidRPr="00542895">
              <w:rPr>
                <w:sz w:val="16"/>
                <w:szCs w:val="16"/>
              </w:rPr>
              <w:t>Cooperación y coordinación sistemáticas, eficaces y transparentes entre la OMPI y otras organizaciones internacionales en el fomento del respeto por la P.I.</w:t>
            </w:r>
          </w:p>
        </w:tc>
        <w:tc>
          <w:tcPr>
            <w:tcW w:w="127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197</w:t>
            </w:r>
          </w:p>
        </w:tc>
        <w:tc>
          <w:tcPr>
            <w:tcW w:w="128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216</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105</w:t>
            </w:r>
          </w:p>
        </w:tc>
      </w:tr>
      <w:tr w:rsidR="00BB3ABC" w:rsidRPr="00542895" w:rsidTr="00230FAA">
        <w:trPr>
          <w:trHeight w:val="975"/>
          <w:jc w:val="center"/>
        </w:trPr>
        <w:tc>
          <w:tcPr>
            <w:tcW w:w="590"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r w:rsidRPr="00542895">
              <w:rPr>
                <w:sz w:val="16"/>
                <w:szCs w:val="16"/>
              </w:rPr>
              <w:t>VII.2</w:t>
            </w:r>
          </w:p>
        </w:tc>
        <w:tc>
          <w:tcPr>
            <w:tcW w:w="4117" w:type="dxa"/>
            <w:tcBorders>
              <w:top w:val="nil"/>
              <w:left w:val="nil"/>
              <w:bottom w:val="nil"/>
              <w:right w:val="nil"/>
            </w:tcBorders>
            <w:shd w:val="clear" w:color="auto" w:fill="auto"/>
            <w:vAlign w:val="center"/>
            <w:hideMark/>
          </w:tcPr>
          <w:p w:rsidR="00BB3ABC" w:rsidRPr="00542895" w:rsidRDefault="00BB3ABC" w:rsidP="00156844">
            <w:pPr>
              <w:keepNext/>
              <w:keepLines/>
              <w:rPr>
                <w:sz w:val="16"/>
                <w:szCs w:val="16"/>
              </w:rPr>
            </w:pPr>
            <w:r w:rsidRPr="00542895">
              <w:rPr>
                <w:sz w:val="16"/>
                <w:szCs w:val="16"/>
              </w:rPr>
              <w:t>Plataformas y herramientas de P.I. utilizadas para la transferencia de conocimientos y la difusión y adaptación de tecnología de los países desarrollados a los países en desarrollo, en particular, a los menos adelantados, con el fin de atender los desafíos mundiales</w:t>
            </w:r>
          </w:p>
        </w:tc>
        <w:tc>
          <w:tcPr>
            <w:tcW w:w="127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3.497</w:t>
            </w:r>
          </w:p>
        </w:tc>
        <w:tc>
          <w:tcPr>
            <w:tcW w:w="128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4.005</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1.845</w:t>
            </w:r>
          </w:p>
        </w:tc>
      </w:tr>
      <w:tr w:rsidR="00BB3ABC" w:rsidRPr="00542895" w:rsidTr="00230FAA">
        <w:trPr>
          <w:trHeight w:val="780"/>
          <w:jc w:val="center"/>
        </w:trPr>
        <w:tc>
          <w:tcPr>
            <w:tcW w:w="590"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r w:rsidRPr="00542895">
              <w:rPr>
                <w:sz w:val="16"/>
                <w:szCs w:val="16"/>
              </w:rPr>
              <w:t>VIII.5</w:t>
            </w:r>
          </w:p>
        </w:tc>
        <w:tc>
          <w:tcPr>
            <w:tcW w:w="4117" w:type="dxa"/>
            <w:tcBorders>
              <w:top w:val="nil"/>
              <w:left w:val="nil"/>
              <w:bottom w:val="nil"/>
              <w:right w:val="nil"/>
            </w:tcBorders>
            <w:shd w:val="clear" w:color="auto" w:fill="auto"/>
            <w:vAlign w:val="center"/>
            <w:hideMark/>
          </w:tcPr>
          <w:p w:rsidR="00BB3ABC" w:rsidRPr="00542895" w:rsidRDefault="00BB3ABC" w:rsidP="00156844">
            <w:pPr>
              <w:keepNext/>
              <w:keepLines/>
              <w:rPr>
                <w:sz w:val="16"/>
                <w:szCs w:val="16"/>
              </w:rPr>
            </w:pPr>
            <w:r w:rsidRPr="00542895">
              <w:rPr>
                <w:sz w:val="16"/>
                <w:szCs w:val="16"/>
              </w:rPr>
              <w:t>La OMPI participa y colabora eficazmente en los procesos y negociaciones de la ONU y otras OIG</w:t>
            </w:r>
          </w:p>
        </w:tc>
        <w:tc>
          <w:tcPr>
            <w:tcW w:w="127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410</w:t>
            </w:r>
          </w:p>
        </w:tc>
        <w:tc>
          <w:tcPr>
            <w:tcW w:w="1281"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400</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jc w:val="center"/>
              <w:rPr>
                <w:sz w:val="16"/>
                <w:szCs w:val="16"/>
              </w:rPr>
            </w:pPr>
            <w:r w:rsidRPr="00542895">
              <w:rPr>
                <w:sz w:val="16"/>
                <w:szCs w:val="16"/>
              </w:rPr>
              <w:t>200</w:t>
            </w:r>
          </w:p>
        </w:tc>
      </w:tr>
      <w:tr w:rsidR="00BB3ABC" w:rsidRPr="00542895" w:rsidTr="00230FAA">
        <w:trPr>
          <w:trHeight w:val="225"/>
          <w:jc w:val="center"/>
        </w:trPr>
        <w:tc>
          <w:tcPr>
            <w:tcW w:w="590" w:type="dxa"/>
            <w:tcBorders>
              <w:top w:val="nil"/>
              <w:left w:val="nil"/>
              <w:bottom w:val="nil"/>
              <w:right w:val="nil"/>
            </w:tcBorders>
            <w:shd w:val="clear" w:color="000000" w:fill="C5D9F1"/>
            <w:noWrap/>
            <w:vAlign w:val="bottom"/>
            <w:hideMark/>
          </w:tcPr>
          <w:p w:rsidR="00BB3ABC" w:rsidRPr="00542895" w:rsidRDefault="00BB3ABC" w:rsidP="00156844">
            <w:pPr>
              <w:keepNext/>
              <w:keepLines/>
              <w:rPr>
                <w:sz w:val="16"/>
                <w:szCs w:val="16"/>
              </w:rPr>
            </w:pPr>
            <w:r w:rsidRPr="00542895">
              <w:rPr>
                <w:sz w:val="16"/>
                <w:szCs w:val="16"/>
              </w:rPr>
              <w:t> </w:t>
            </w:r>
          </w:p>
        </w:tc>
        <w:tc>
          <w:tcPr>
            <w:tcW w:w="4117" w:type="dxa"/>
            <w:tcBorders>
              <w:top w:val="nil"/>
              <w:left w:val="nil"/>
              <w:bottom w:val="nil"/>
              <w:right w:val="nil"/>
            </w:tcBorders>
            <w:shd w:val="clear" w:color="000000" w:fill="C5D9F1"/>
            <w:noWrap/>
            <w:vAlign w:val="bottom"/>
            <w:hideMark/>
          </w:tcPr>
          <w:p w:rsidR="00BB3ABC" w:rsidRPr="00542895" w:rsidRDefault="00BB3ABC" w:rsidP="00156844">
            <w:pPr>
              <w:keepNext/>
              <w:keepLines/>
              <w:jc w:val="right"/>
              <w:rPr>
                <w:b/>
                <w:bCs/>
                <w:sz w:val="16"/>
                <w:szCs w:val="16"/>
              </w:rPr>
            </w:pPr>
            <w:r w:rsidRPr="00542895">
              <w:rPr>
                <w:b/>
                <w:bCs/>
                <w:sz w:val="16"/>
                <w:szCs w:val="16"/>
              </w:rPr>
              <w:t>Total</w:t>
            </w:r>
          </w:p>
        </w:tc>
        <w:tc>
          <w:tcPr>
            <w:tcW w:w="1271" w:type="dxa"/>
            <w:tcBorders>
              <w:top w:val="nil"/>
              <w:left w:val="nil"/>
              <w:bottom w:val="nil"/>
              <w:right w:val="nil"/>
            </w:tcBorders>
            <w:shd w:val="clear" w:color="000000" w:fill="C5D9F1"/>
            <w:noWrap/>
            <w:vAlign w:val="center"/>
            <w:hideMark/>
          </w:tcPr>
          <w:p w:rsidR="00BB3ABC" w:rsidRPr="00542895" w:rsidRDefault="00BB3ABC" w:rsidP="00156844">
            <w:pPr>
              <w:keepNext/>
              <w:keepLines/>
              <w:jc w:val="center"/>
              <w:rPr>
                <w:sz w:val="16"/>
                <w:szCs w:val="16"/>
              </w:rPr>
            </w:pPr>
            <w:r w:rsidRPr="00542895">
              <w:rPr>
                <w:sz w:val="16"/>
                <w:szCs w:val="16"/>
              </w:rPr>
              <w:t>6.323</w:t>
            </w:r>
          </w:p>
        </w:tc>
        <w:tc>
          <w:tcPr>
            <w:tcW w:w="1281" w:type="dxa"/>
            <w:tcBorders>
              <w:top w:val="nil"/>
              <w:left w:val="nil"/>
              <w:bottom w:val="nil"/>
              <w:right w:val="nil"/>
            </w:tcBorders>
            <w:shd w:val="clear" w:color="000000" w:fill="C5D9F1"/>
            <w:noWrap/>
            <w:vAlign w:val="center"/>
            <w:hideMark/>
          </w:tcPr>
          <w:p w:rsidR="00BB3ABC" w:rsidRPr="00542895" w:rsidRDefault="00BB3ABC" w:rsidP="00156844">
            <w:pPr>
              <w:keepNext/>
              <w:keepLines/>
              <w:jc w:val="center"/>
              <w:rPr>
                <w:sz w:val="16"/>
                <w:szCs w:val="16"/>
              </w:rPr>
            </w:pPr>
            <w:r w:rsidRPr="00542895">
              <w:rPr>
                <w:sz w:val="16"/>
                <w:szCs w:val="16"/>
              </w:rPr>
              <w:t>6.023</w:t>
            </w:r>
          </w:p>
        </w:tc>
        <w:tc>
          <w:tcPr>
            <w:tcW w:w="1019" w:type="dxa"/>
            <w:tcBorders>
              <w:top w:val="nil"/>
              <w:left w:val="nil"/>
              <w:bottom w:val="nil"/>
              <w:right w:val="nil"/>
            </w:tcBorders>
            <w:shd w:val="clear" w:color="000000" w:fill="C5D9F1"/>
            <w:noWrap/>
            <w:vAlign w:val="center"/>
            <w:hideMark/>
          </w:tcPr>
          <w:p w:rsidR="00BB3ABC" w:rsidRPr="00542895" w:rsidRDefault="00BB3ABC" w:rsidP="00156844">
            <w:pPr>
              <w:keepNext/>
              <w:keepLines/>
              <w:jc w:val="center"/>
              <w:rPr>
                <w:sz w:val="16"/>
                <w:szCs w:val="16"/>
              </w:rPr>
            </w:pPr>
            <w:r w:rsidRPr="00542895">
              <w:rPr>
                <w:sz w:val="16"/>
                <w:szCs w:val="16"/>
              </w:rPr>
              <w:t>2.871</w:t>
            </w:r>
          </w:p>
        </w:tc>
      </w:tr>
      <w:tr w:rsidR="00BB3ABC" w:rsidRPr="00542895" w:rsidTr="00230FAA">
        <w:trPr>
          <w:trHeight w:val="330"/>
          <w:jc w:val="center"/>
        </w:trPr>
        <w:tc>
          <w:tcPr>
            <w:tcW w:w="7259" w:type="dxa"/>
            <w:gridSpan w:val="4"/>
            <w:tcBorders>
              <w:top w:val="nil"/>
              <w:left w:val="nil"/>
              <w:bottom w:val="nil"/>
              <w:right w:val="nil"/>
            </w:tcBorders>
            <w:shd w:val="clear" w:color="auto" w:fill="auto"/>
            <w:noWrap/>
            <w:vAlign w:val="center"/>
            <w:hideMark/>
          </w:tcPr>
          <w:p w:rsidR="00BB3ABC" w:rsidRPr="00542895" w:rsidRDefault="00BB3ABC" w:rsidP="00156844">
            <w:pPr>
              <w:keepNext/>
              <w:keepLines/>
              <w:rPr>
                <w:i/>
                <w:iCs/>
                <w:sz w:val="16"/>
                <w:szCs w:val="16"/>
              </w:rPr>
            </w:pPr>
            <w:r w:rsidRPr="00542895">
              <w:rPr>
                <w:i/>
                <w:iCs/>
                <w:sz w:val="16"/>
                <w:szCs w:val="16"/>
              </w:rPr>
              <w:t>*Las cifras de gastos en 2016 son preliminares, a reserva de verificación por el Auditor Externo.</w:t>
            </w:r>
          </w:p>
        </w:tc>
        <w:tc>
          <w:tcPr>
            <w:tcW w:w="1019" w:type="dxa"/>
            <w:tcBorders>
              <w:top w:val="nil"/>
              <w:left w:val="nil"/>
              <w:bottom w:val="nil"/>
              <w:right w:val="nil"/>
            </w:tcBorders>
            <w:shd w:val="clear" w:color="auto" w:fill="auto"/>
            <w:noWrap/>
            <w:vAlign w:val="center"/>
            <w:hideMark/>
          </w:tcPr>
          <w:p w:rsidR="00BB3ABC" w:rsidRPr="00542895" w:rsidRDefault="00BB3ABC" w:rsidP="00156844">
            <w:pPr>
              <w:keepNext/>
              <w:keepLines/>
              <w:rPr>
                <w:sz w:val="16"/>
                <w:szCs w:val="16"/>
              </w:rPr>
            </w:pPr>
          </w:p>
        </w:tc>
      </w:tr>
    </w:tbl>
    <w:p w:rsidR="00BB3ABC" w:rsidRPr="00542895" w:rsidRDefault="00BB3ABC" w:rsidP="00230FAA">
      <w:pPr>
        <w:rPr>
          <w:sz w:val="20"/>
        </w:rPr>
      </w:pPr>
    </w:p>
    <w:p w:rsidR="00BB3ABC" w:rsidRPr="00BB3ABC" w:rsidRDefault="00BB3ABC" w:rsidP="00230FAA">
      <w:pPr>
        <w:rPr>
          <w:sz w:val="20"/>
        </w:rPr>
      </w:pPr>
    </w:p>
    <w:p w:rsidR="00BB3ABC" w:rsidRPr="00BB3ABC" w:rsidRDefault="00BB3ABC" w:rsidP="00230FAA">
      <w:pPr>
        <w:jc w:val="both"/>
        <w:rPr>
          <w:sz w:val="20"/>
          <w:u w:val="single"/>
        </w:rPr>
      </w:pPr>
      <w:r w:rsidRPr="00BB3ABC">
        <w:rPr>
          <w:sz w:val="20"/>
        </w:rPr>
        <w:t>A.</w:t>
      </w:r>
      <w:r w:rsidRPr="00BB3ABC">
        <w:rPr>
          <w:sz w:val="20"/>
        </w:rPr>
        <w:tab/>
      </w:r>
      <w:r w:rsidRPr="00BB3ABC">
        <w:rPr>
          <w:sz w:val="20"/>
          <w:u w:val="single"/>
        </w:rPr>
        <w:t>Presupuesto de 2016/17 tras las transferencias</w:t>
      </w:r>
    </w:p>
    <w:p w:rsidR="00BB3ABC" w:rsidRPr="00BB3ABC" w:rsidRDefault="00BB3ABC" w:rsidP="00230FAA">
      <w:pPr>
        <w:jc w:val="both"/>
        <w:rPr>
          <w:sz w:val="20"/>
        </w:rPr>
      </w:pPr>
    </w:p>
    <w:p w:rsidR="00BB3ABC" w:rsidRPr="00BB3ABC" w:rsidRDefault="00BB3ABC" w:rsidP="00BB3ABC">
      <w:pPr>
        <w:pStyle w:val="ListParagraph"/>
        <w:numPr>
          <w:ilvl w:val="0"/>
          <w:numId w:val="75"/>
        </w:numPr>
        <w:tabs>
          <w:tab w:val="left" w:pos="0"/>
          <w:tab w:val="left" w:pos="709"/>
        </w:tabs>
        <w:autoSpaceDE w:val="0"/>
        <w:autoSpaceDN w:val="0"/>
        <w:ind w:left="0" w:firstLine="0"/>
        <w:contextualSpacing/>
        <w:jc w:val="both"/>
        <w:rPr>
          <w:rFonts w:eastAsiaTheme="minorEastAsia" w:cs="Arial"/>
          <w:szCs w:val="22"/>
          <w:lang w:val="es-ES" w:eastAsia="zh-CN"/>
        </w:rPr>
      </w:pPr>
      <w:r w:rsidRPr="00BB3ABC">
        <w:rPr>
          <w:rFonts w:eastAsiaTheme="minorEastAsia" w:cs="Arial"/>
          <w:szCs w:val="22"/>
          <w:lang w:val="es-ES" w:eastAsia="zh-CN"/>
        </w:rPr>
        <w:t xml:space="preserve">El aumento de recursos no relativos a personal se debió principalmente a la transferencia de fondos a fin de dar apoyo a:  i) la mejora de las plataformas WIPO Re:Search y WIPO GREEN en el resultado previsto VII.2 (Plataformas y herramientas de P.I.);  ii) la labor en materia de P.I. y política de competencia, como se refleja en el resultado previsto I.2 (Asesoramiento legislativo);  y iii) la finalización de la segunda edición de la publicación </w:t>
      </w:r>
      <w:r w:rsidRPr="00BB3ABC">
        <w:rPr>
          <w:rFonts w:eastAsiaTheme="minorEastAsia" w:cs="Arial"/>
          <w:i/>
          <w:szCs w:val="22"/>
          <w:lang w:val="es-ES" w:eastAsia="zh-CN"/>
        </w:rPr>
        <w:t>Introduction to IP, Theory and Practice</w:t>
      </w:r>
      <w:r w:rsidRPr="00BB3ABC">
        <w:rPr>
          <w:rFonts w:eastAsiaTheme="minorEastAsia" w:cs="Arial"/>
          <w:szCs w:val="22"/>
          <w:lang w:val="es-ES" w:eastAsia="zh-CN"/>
        </w:rPr>
        <w:t>, como se refleja en el resultado previsto VIII.5 (La OMPI participa y colabora eficazmente en los procesos y negociaciones de la ONU y otras OIG).</w:t>
      </w:r>
    </w:p>
    <w:p w:rsidR="00BB3ABC" w:rsidRPr="00BB3ABC" w:rsidRDefault="00BB3ABC" w:rsidP="00230FAA">
      <w:pPr>
        <w:jc w:val="both"/>
        <w:rPr>
          <w:sz w:val="20"/>
        </w:rPr>
      </w:pPr>
    </w:p>
    <w:p w:rsidR="00BB3ABC" w:rsidRPr="00BB3ABC" w:rsidRDefault="00BB3ABC" w:rsidP="00BB3ABC">
      <w:pPr>
        <w:pStyle w:val="ListParagraph"/>
        <w:numPr>
          <w:ilvl w:val="0"/>
          <w:numId w:val="75"/>
        </w:numPr>
        <w:tabs>
          <w:tab w:val="left" w:pos="0"/>
          <w:tab w:val="left" w:pos="709"/>
        </w:tabs>
        <w:autoSpaceDE w:val="0"/>
        <w:autoSpaceDN w:val="0"/>
        <w:ind w:left="0" w:firstLine="0"/>
        <w:contextualSpacing/>
        <w:jc w:val="both"/>
        <w:rPr>
          <w:rFonts w:eastAsiaTheme="minorEastAsia" w:cs="Arial"/>
          <w:szCs w:val="22"/>
          <w:lang w:val="es-ES" w:eastAsia="zh-CN"/>
        </w:rPr>
      </w:pPr>
      <w:r w:rsidRPr="00BB3ABC">
        <w:rPr>
          <w:rFonts w:eastAsiaTheme="minorEastAsia" w:cs="Arial"/>
          <w:szCs w:val="22"/>
          <w:lang w:val="es-ES" w:eastAsia="zh-CN"/>
        </w:rPr>
        <w:t>La disminución de los recursos no relativos a personal reflejada en el resultado previsto I.2 (Asesoramiento legislativo) se debió a:  i) la transferencia de un miembro del personal al Departamento de Conocimientos Tradicionales y Desafíos Mundiales (programa 4) a fin de mejorar la coordinación y gestión en general de ambos ámbitos;  y ii) la transferencia de un puesto para dar apoyo a las prioridades en materia de derecho de autor e industrias creativas (programa 3).</w:t>
      </w:r>
    </w:p>
    <w:p w:rsidR="00BB3ABC" w:rsidRPr="00BB3ABC" w:rsidRDefault="00BB3ABC" w:rsidP="00230FAA">
      <w:pPr>
        <w:jc w:val="both"/>
        <w:rPr>
          <w:sz w:val="20"/>
        </w:rPr>
      </w:pPr>
    </w:p>
    <w:p w:rsidR="00BB3ABC" w:rsidRPr="00BB3ABC" w:rsidRDefault="00BB3ABC" w:rsidP="00230FAA">
      <w:pPr>
        <w:jc w:val="both"/>
        <w:rPr>
          <w:sz w:val="20"/>
          <w:u w:val="single"/>
        </w:rPr>
      </w:pPr>
      <w:r w:rsidRPr="00BB3ABC">
        <w:rPr>
          <w:sz w:val="20"/>
        </w:rPr>
        <w:t>B.</w:t>
      </w:r>
      <w:r w:rsidRPr="00BB3ABC">
        <w:rPr>
          <w:sz w:val="20"/>
        </w:rPr>
        <w:tab/>
      </w:r>
      <w:r w:rsidRPr="00BB3ABC">
        <w:rPr>
          <w:sz w:val="20"/>
          <w:u w:val="single"/>
        </w:rPr>
        <w:t>Utilización del presupuesto en 2016/17</w:t>
      </w:r>
    </w:p>
    <w:p w:rsidR="00BB3ABC" w:rsidRPr="00BB3ABC" w:rsidRDefault="00BB3ABC" w:rsidP="00230FAA">
      <w:pPr>
        <w:jc w:val="both"/>
        <w:rPr>
          <w:sz w:val="20"/>
        </w:rPr>
      </w:pPr>
    </w:p>
    <w:p w:rsidR="00BB3ABC" w:rsidRPr="00BB3ABC" w:rsidRDefault="00BB3ABC" w:rsidP="00BB3ABC">
      <w:pPr>
        <w:pStyle w:val="ListParagraph"/>
        <w:numPr>
          <w:ilvl w:val="0"/>
          <w:numId w:val="75"/>
        </w:numPr>
        <w:tabs>
          <w:tab w:val="left" w:pos="0"/>
          <w:tab w:val="left" w:pos="709"/>
        </w:tabs>
        <w:autoSpaceDE w:val="0"/>
        <w:autoSpaceDN w:val="0"/>
        <w:ind w:left="0" w:firstLine="0"/>
        <w:contextualSpacing/>
        <w:jc w:val="both"/>
        <w:rPr>
          <w:rFonts w:eastAsiaTheme="minorEastAsia" w:cs="Arial"/>
          <w:szCs w:val="22"/>
          <w:lang w:val="es-ES" w:eastAsia="zh-CN"/>
        </w:rPr>
      </w:pPr>
      <w:r w:rsidRPr="00BB3ABC">
        <w:rPr>
          <w:rFonts w:eastAsiaTheme="minorEastAsia" w:cs="Arial"/>
          <w:szCs w:val="22"/>
          <w:lang w:val="es-ES" w:eastAsia="zh-CN"/>
        </w:rPr>
        <w:t>La ligera disminución de los recursos no relativos a personal (38</w:t>
      </w:r>
      <w:r w:rsidR="00B1479B">
        <w:rPr>
          <w:rFonts w:eastAsiaTheme="minorEastAsia" w:cs="Arial"/>
          <w:szCs w:val="22"/>
          <w:lang w:val="es-ES" w:eastAsia="zh-CN"/>
        </w:rPr>
        <w:t>%</w:t>
      </w:r>
      <w:r w:rsidRPr="00BB3ABC">
        <w:rPr>
          <w:rFonts w:eastAsiaTheme="minorEastAsia" w:cs="Arial"/>
          <w:szCs w:val="22"/>
          <w:lang w:val="es-ES" w:eastAsia="zh-CN"/>
        </w:rPr>
        <w:t>) se debió principalmente al aplazamiento de ciertas actividades relacionadas con WIPO Re:Search a la espera de la actualización del estudio trilateral de la OMS, la OMPI y la OMC.</w:t>
      </w:r>
    </w:p>
    <w:p w:rsidR="00BB3ABC" w:rsidRPr="00BB3ABC" w:rsidRDefault="00BB3ABC" w:rsidP="00230FAA">
      <w:pPr>
        <w:rPr>
          <w:sz w:val="20"/>
        </w:rPr>
      </w:pPr>
    </w:p>
    <w:p w:rsidR="00BB3ABC" w:rsidRPr="00BB3ABC" w:rsidRDefault="00BB3ABC">
      <w:pPr>
        <w:rPr>
          <w:color w:val="000000"/>
          <w:sz w:val="20"/>
        </w:rPr>
      </w:pPr>
    </w:p>
    <w:p w:rsidR="00EE1CCE" w:rsidRPr="00BB3ABC" w:rsidRDefault="00EE1CCE" w:rsidP="00EE1CCE">
      <w:pPr>
        <w:jc w:val="both"/>
        <w:rPr>
          <w:color w:val="000000"/>
          <w:sz w:val="20"/>
        </w:rPr>
      </w:pPr>
      <w:r w:rsidRPr="00BB3ABC">
        <w:rPr>
          <w:color w:val="000000"/>
          <w:sz w:val="20"/>
        </w:rPr>
        <w:br w:type="page"/>
      </w:r>
    </w:p>
    <w:p w:rsidR="00EE1CCE" w:rsidRPr="008F3D8D" w:rsidRDefault="00EE1CCE" w:rsidP="00425619">
      <w:pPr>
        <w:pStyle w:val="Heading2"/>
        <w:spacing w:before="0" w:after="0"/>
        <w:jc w:val="center"/>
        <w:rPr>
          <w:b/>
          <w:sz w:val="20"/>
          <w:szCs w:val="20"/>
        </w:rPr>
      </w:pPr>
      <w:bookmarkStart w:id="66" w:name="_Toc482711269"/>
      <w:bookmarkStart w:id="67" w:name="_Toc422210506"/>
      <w:bookmarkStart w:id="68" w:name="_Toc367350598"/>
      <w:r w:rsidRPr="008F3D8D">
        <w:rPr>
          <w:b/>
          <w:sz w:val="20"/>
          <w:szCs w:val="20"/>
          <w:lang w:val="es-ES_tradnl"/>
        </w:rPr>
        <w:lastRenderedPageBreak/>
        <w:t>META ESTRATÉGICA VIII</w:t>
      </w:r>
      <w:bookmarkEnd w:id="66"/>
    </w:p>
    <w:p w:rsidR="00EE1CCE" w:rsidRPr="008F3D8D" w:rsidRDefault="00EE1CCE" w:rsidP="00425619">
      <w:pPr>
        <w:jc w:val="center"/>
        <w:rPr>
          <w:b/>
          <w:sz w:val="20"/>
        </w:rPr>
      </w:pPr>
    </w:p>
    <w:p w:rsidR="00EE1CCE" w:rsidRPr="008F3D8D" w:rsidRDefault="00EE1CCE" w:rsidP="00425619">
      <w:pPr>
        <w:jc w:val="center"/>
        <w:rPr>
          <w:b/>
          <w:sz w:val="20"/>
        </w:rPr>
      </w:pPr>
      <w:r w:rsidRPr="008F3D8D">
        <w:rPr>
          <w:b/>
          <w:sz w:val="20"/>
          <w:lang w:val="es-ES_tradnl"/>
        </w:rPr>
        <w:t xml:space="preserve">COMUNICACIÓN EFICAZ ENTRE LA OMPI, SUS ESTADOS MIEMBROS Y TODAS </w:t>
      </w:r>
      <w:r w:rsidRPr="008F3D8D">
        <w:rPr>
          <w:sz w:val="20"/>
          <w:lang w:val="es-ES_tradnl"/>
        </w:rPr>
        <w:t xml:space="preserve"> </w:t>
      </w:r>
      <w:r w:rsidRPr="008F3D8D">
        <w:rPr>
          <w:b/>
          <w:sz w:val="20"/>
          <w:lang w:val="es-ES_tradnl"/>
        </w:rPr>
        <w:t>LAS PARTES INTERESADAS</w:t>
      </w:r>
      <w:r w:rsidRPr="008F3D8D">
        <w:rPr>
          <w:b/>
          <w:sz w:val="20"/>
        </w:rPr>
        <w:t xml:space="preserve"> </w:t>
      </w:r>
    </w:p>
    <w:p w:rsidR="00EE1CCE" w:rsidRPr="008F3D8D" w:rsidRDefault="00EE1CCE" w:rsidP="00425619">
      <w:pPr>
        <w:rPr>
          <w:sz w:val="20"/>
        </w:rPr>
      </w:pPr>
    </w:p>
    <w:p w:rsidR="00EE1CCE" w:rsidRPr="008F3D8D" w:rsidRDefault="00EE1CCE" w:rsidP="00425619">
      <w:pPr>
        <w:jc w:val="center"/>
        <w:rPr>
          <w:b/>
          <w:sz w:val="20"/>
        </w:rPr>
      </w:pPr>
      <w:r w:rsidRPr="008F3D8D">
        <w:rPr>
          <w:b/>
          <w:sz w:val="20"/>
        </w:rPr>
        <w:t>Tablero de control del rendimiento a mediano plazo (2016)</w:t>
      </w:r>
    </w:p>
    <w:p w:rsidR="00EE1CCE" w:rsidRPr="008F3D8D" w:rsidRDefault="00EE1CCE" w:rsidP="00EE1CCE">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EE1CCE" w:rsidP="00EE1CCE">
      <w:pPr>
        <w:jc w:val="center"/>
        <w:rPr>
          <w:sz w:val="20"/>
        </w:rPr>
      </w:pPr>
      <w:r w:rsidRPr="008F3D8D">
        <w:rPr>
          <w:noProof/>
          <w:lang w:val="en-US" w:eastAsia="en-US"/>
        </w:rPr>
        <w:drawing>
          <wp:inline distT="0" distB="0" distL="0" distR="0" wp14:anchorId="0A06BEA9" wp14:editId="3FCD2167">
            <wp:extent cx="4200525" cy="2616488"/>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200513" cy="2616481"/>
                    </a:xfrm>
                    <a:prstGeom prst="rect">
                      <a:avLst/>
                    </a:prstGeom>
                    <a:noFill/>
                    <a:ln>
                      <a:noFill/>
                    </a:ln>
                  </pic:spPr>
                </pic:pic>
              </a:graphicData>
            </a:graphic>
          </wp:inline>
        </w:drawing>
      </w:r>
    </w:p>
    <w:tbl>
      <w:tblPr>
        <w:tblW w:w="9210" w:type="dxa"/>
        <w:tblInd w:w="108" w:type="dxa"/>
        <w:tblLayout w:type="fixed"/>
        <w:tblLook w:val="0000" w:firstRow="0" w:lastRow="0" w:firstColumn="0" w:lastColumn="0" w:noHBand="0" w:noVBand="0"/>
      </w:tblPr>
      <w:tblGrid>
        <w:gridCol w:w="2723"/>
        <w:gridCol w:w="3855"/>
        <w:gridCol w:w="1588"/>
        <w:gridCol w:w="1044"/>
      </w:tblGrid>
      <w:tr w:rsidR="00EE1CCE" w:rsidRPr="008F3D8D" w:rsidTr="00A34E19">
        <w:trPr>
          <w:cantSplit/>
          <w:trHeight w:val="383"/>
          <w:tblHeader/>
        </w:trPr>
        <w:tc>
          <w:tcPr>
            <w:tcW w:w="1478" w:type="pct"/>
            <w:shd w:val="clear" w:color="auto" w:fill="B8CCE4" w:themeFill="accent1" w:themeFillTint="66"/>
            <w:tcMar>
              <w:top w:w="113" w:type="dxa"/>
              <w:bottom w:w="85" w:type="dxa"/>
            </w:tcMar>
            <w:vAlign w:val="center"/>
          </w:tcPr>
          <w:p w:rsidR="00EE1CCE" w:rsidRPr="008F3D8D" w:rsidRDefault="00EE1CCE" w:rsidP="00A34E19">
            <w:pPr>
              <w:spacing w:after="120"/>
              <w:jc w:val="center"/>
              <w:rPr>
                <w:b/>
                <w:bCs/>
                <w:sz w:val="18"/>
                <w:szCs w:val="18"/>
              </w:rPr>
            </w:pPr>
            <w:r w:rsidRPr="008F3D8D">
              <w:rPr>
                <w:b/>
                <w:bCs/>
                <w:sz w:val="18"/>
                <w:szCs w:val="18"/>
                <w:lang w:val="es-ES_tradnl"/>
              </w:rPr>
              <w:t>Resultado previsto:</w:t>
            </w:r>
          </w:p>
        </w:tc>
        <w:tc>
          <w:tcPr>
            <w:tcW w:w="2093" w:type="pct"/>
            <w:shd w:val="clear" w:color="auto" w:fill="B8CCE4" w:themeFill="accent1" w:themeFillTint="66"/>
            <w:tcMar>
              <w:top w:w="113" w:type="dxa"/>
              <w:bottom w:w="85" w:type="dxa"/>
            </w:tcMar>
            <w:vAlign w:val="center"/>
          </w:tcPr>
          <w:p w:rsidR="00EE1CCE" w:rsidRPr="008F3D8D" w:rsidRDefault="00EE1CCE" w:rsidP="00A34E19">
            <w:pPr>
              <w:spacing w:after="120"/>
              <w:jc w:val="center"/>
              <w:rPr>
                <w:b/>
                <w:sz w:val="18"/>
                <w:szCs w:val="18"/>
              </w:rPr>
            </w:pPr>
            <w:r w:rsidRPr="008F3D8D">
              <w:rPr>
                <w:b/>
                <w:sz w:val="18"/>
                <w:szCs w:val="18"/>
                <w:lang w:val="es-ES_tradnl"/>
              </w:rPr>
              <w:t>Indicadores de rendimiento</w:t>
            </w:r>
          </w:p>
        </w:tc>
        <w:tc>
          <w:tcPr>
            <w:tcW w:w="862" w:type="pct"/>
            <w:shd w:val="clear" w:color="auto" w:fill="B8CCE4" w:themeFill="accent1" w:themeFillTint="66"/>
            <w:tcMar>
              <w:top w:w="113" w:type="dxa"/>
              <w:bottom w:w="85" w:type="dxa"/>
            </w:tcMar>
            <w:vAlign w:val="center"/>
          </w:tcPr>
          <w:p w:rsidR="00EE1CCE" w:rsidRPr="008F3D8D" w:rsidRDefault="00EE1CCE" w:rsidP="00A34E19">
            <w:pPr>
              <w:spacing w:after="120"/>
              <w:ind w:left="85"/>
              <w:jc w:val="center"/>
              <w:rPr>
                <w:sz w:val="18"/>
                <w:szCs w:val="18"/>
              </w:rPr>
            </w:pPr>
            <w:r w:rsidRPr="008F3D8D">
              <w:rPr>
                <w:b/>
                <w:sz w:val="18"/>
                <w:szCs w:val="18"/>
                <w:lang w:val="es-ES_tradnl"/>
              </w:rPr>
              <w:t>Programas responsables</w:t>
            </w:r>
          </w:p>
        </w:tc>
        <w:tc>
          <w:tcPr>
            <w:tcW w:w="568" w:type="pct"/>
            <w:shd w:val="clear" w:color="auto" w:fill="B8CCE4" w:themeFill="accent1" w:themeFillTint="66"/>
          </w:tcPr>
          <w:p w:rsidR="00EE1CCE" w:rsidRPr="008F3D8D" w:rsidRDefault="00EE1CCE" w:rsidP="00A34E19">
            <w:pPr>
              <w:spacing w:after="120"/>
              <w:ind w:left="85"/>
              <w:jc w:val="center"/>
              <w:rPr>
                <w:b/>
                <w:bCs/>
                <w:sz w:val="18"/>
                <w:szCs w:val="18"/>
              </w:rPr>
            </w:pPr>
            <w:r w:rsidRPr="008F3D8D">
              <w:rPr>
                <w:b/>
                <w:bCs/>
                <w:sz w:val="18"/>
                <w:szCs w:val="18"/>
                <w:lang w:val="es-ES_tradnl"/>
              </w:rPr>
              <w:t>Clave de colores</w:t>
            </w:r>
          </w:p>
        </w:tc>
      </w:tr>
      <w:tr w:rsidR="00EE1CCE" w:rsidRPr="008F3D8D" w:rsidTr="00A34E19">
        <w:trPr>
          <w:cantSplit/>
          <w:trHeight w:val="379"/>
        </w:trPr>
        <w:tc>
          <w:tcPr>
            <w:tcW w:w="1478"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VIII.1  Comunicación más eficaz con el público en general acerca de la P.I. y la función de la OMPI</w:t>
            </w: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Estados miembros participantes en el programa de Premios de la OMPI</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17</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514"/>
        </w:trPr>
        <w:tc>
          <w:tcPr>
            <w:tcW w:w="1478" w:type="pct"/>
            <w:vMerge/>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Sectores interesados con una percepción positiva de la reputación de la OMPI;  aumento de la valoración de la marca de la OMPI</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314"/>
        </w:trPr>
        <w:tc>
          <w:tcPr>
            <w:tcW w:w="1478" w:type="pct"/>
            <w:vMerge/>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personas que consultan los contenidos sobre los principales eventos, logros y actividades de la OMPI</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180"/>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Participación mundial en la campaña del Día Mundial de la P.I.</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353"/>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Tráfico de visitas en Internet al sitio de publicaciones y el sitio de la revista de la OMPI</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rPr>
                <w:color w:val="0070C0"/>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330"/>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Visitas de los contenidos fotográficos, de video y de prensa de la OMPI</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20"/>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Menos usuarios que dejan el sitio web de la OMPI directamente desde el portal y las principales páginas de acceso</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p w:rsidR="00EE1CCE" w:rsidRPr="008F3D8D" w:rsidRDefault="00EE1CCE" w:rsidP="00A34E19">
            <w:pPr>
              <w:jc w:val="center"/>
            </w:pPr>
            <w:r w:rsidRPr="008F3D8D">
              <w:rPr>
                <w:color w:val="00B050"/>
                <w:szCs w:val="22"/>
              </w:rPr>
              <w:sym w:font="Wingdings" w:char="F06C"/>
            </w:r>
            <w:r w:rsidRPr="008F3D8D">
              <w:rPr>
                <w:color w:val="FF0000"/>
                <w:szCs w:val="22"/>
              </w:rPr>
              <w:sym w:font="Wingdings" w:char="F06C"/>
            </w:r>
            <w:r w:rsidRPr="008F3D8D">
              <w:rPr>
                <w:color w:val="FF0000"/>
                <w:szCs w:val="22"/>
              </w:rPr>
              <w:sym w:font="Wingdings" w:char="F06C"/>
            </w:r>
          </w:p>
        </w:tc>
      </w:tr>
      <w:tr w:rsidR="00EE1CCE" w:rsidRPr="008F3D8D" w:rsidTr="00A34E19">
        <w:trPr>
          <w:cantSplit/>
          <w:trHeight w:val="335"/>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Influencia de la OMPI y participación de los sectores interesados en las redes sociales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385"/>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Aumento del tráfico en el sitio web de las Oficinas de la OMPI en el exterior</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8" w:type="pct"/>
            <w:shd w:val="clear" w:color="auto" w:fill="FFFFFF"/>
          </w:tcPr>
          <w:p w:rsidR="00EE1CCE" w:rsidRPr="008F3D8D" w:rsidRDefault="00EE1CCE" w:rsidP="00A34E19">
            <w:pPr>
              <w:jc w:val="cente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p>
        </w:tc>
      </w:tr>
      <w:tr w:rsidR="00EE1CCE" w:rsidRPr="008F3D8D" w:rsidTr="00A34E19">
        <w:trPr>
          <w:cantSplit/>
          <w:trHeight w:val="172"/>
        </w:trPr>
        <w:tc>
          <w:tcPr>
            <w:tcW w:w="1478"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VIII.2  Mejora en la prestación de servicios y la atención de consultas</w:t>
            </w: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Satisfacción de los usuarios con los servicios de biblioteca</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rPr>
                <w:color w:val="00B050"/>
                <w:szCs w:val="22"/>
              </w:rPr>
            </w:pPr>
            <w:r w:rsidRPr="008F3D8D">
              <w:rPr>
                <w:color w:val="00B050"/>
                <w:szCs w:val="22"/>
              </w:rPr>
              <w:sym w:font="Wingdings" w:char="F06C"/>
            </w:r>
          </w:p>
        </w:tc>
      </w:tr>
      <w:tr w:rsidR="00EE1CCE" w:rsidRPr="008F3D8D" w:rsidTr="00A34E19">
        <w:trPr>
          <w:cantSplit/>
          <w:trHeight w:val="20"/>
        </w:trPr>
        <w:tc>
          <w:tcPr>
            <w:tcW w:w="1478" w:type="pct"/>
            <w:vMerge/>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Índice de satisfacción de los clientes/partes interesadas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rPr>
                <w:color w:val="00B050"/>
                <w:szCs w:val="22"/>
              </w:rPr>
            </w:pPr>
            <w:r w:rsidRPr="008F3D8D">
              <w:rPr>
                <w:color w:val="0070C0"/>
                <w:szCs w:val="22"/>
              </w:rPr>
              <w:sym w:font="Wingdings" w:char="F06C"/>
            </w:r>
            <w:r w:rsidRPr="008F3D8D">
              <w:rPr>
                <w:color w:val="A6A6A6" w:themeColor="background1" w:themeShade="A6"/>
                <w:szCs w:val="22"/>
              </w:rPr>
              <w:sym w:font="Wingdings" w:char="F06C"/>
            </w:r>
          </w:p>
        </w:tc>
      </w:tr>
      <w:tr w:rsidR="00EE1CCE" w:rsidRPr="008F3D8D" w:rsidTr="00A34E19">
        <w:trPr>
          <w:cantSplit/>
          <w:trHeight w:val="20"/>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Normas de servicio del servicio de la OMPI de atención al cliente</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19</w:t>
            </w:r>
          </w:p>
        </w:tc>
        <w:tc>
          <w:tcPr>
            <w:tcW w:w="568" w:type="pct"/>
            <w:shd w:val="clear" w:color="auto" w:fill="FFFFFF"/>
          </w:tcPr>
          <w:p w:rsidR="00EE1CCE" w:rsidRPr="008F3D8D" w:rsidRDefault="00EE1CCE" w:rsidP="00A34E19">
            <w:pPr>
              <w:jc w:val="center"/>
              <w:rPr>
                <w:color w:val="00B050"/>
                <w:szCs w:val="22"/>
              </w:rPr>
            </w:pPr>
            <w:r w:rsidRPr="008F3D8D">
              <w:rPr>
                <w:color w:val="0070C0"/>
                <w:szCs w:val="22"/>
              </w:rPr>
              <w:sym w:font="Wingdings" w:char="F06C"/>
            </w:r>
            <w:r w:rsidRPr="008F3D8D">
              <w:rPr>
                <w:color w:val="00B050"/>
                <w:szCs w:val="22"/>
              </w:rPr>
              <w:sym w:font="Wingdings" w:char="F06C"/>
            </w:r>
          </w:p>
        </w:tc>
      </w:tr>
      <w:tr w:rsidR="00EE1CCE" w:rsidRPr="008F3D8D" w:rsidTr="00A34E19">
        <w:trPr>
          <w:cantSplit/>
          <w:trHeight w:val="16"/>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Tiempo de tramitación de las consultas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8" w:type="pct"/>
            <w:shd w:val="clear" w:color="auto" w:fill="FFFFFF"/>
          </w:tcPr>
          <w:p w:rsidR="00EE1CCE" w:rsidRPr="008F3D8D" w:rsidRDefault="00EE1CCE" w:rsidP="00A34E19">
            <w:pPr>
              <w:jc w:val="center"/>
            </w:pPr>
            <w:r w:rsidRPr="008F3D8D">
              <w:rPr>
                <w:color w:val="A6A6A6" w:themeColor="background1" w:themeShade="A6"/>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A34E19">
        <w:trPr>
          <w:cantSplit/>
          <w:trHeight w:val="124"/>
        </w:trPr>
        <w:tc>
          <w:tcPr>
            <w:tcW w:w="1478"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VIII.3  Atención eficaz a los Estados miembros</w:t>
            </w: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sesiones de Comités precedidas de reuniones informativas para los Estados miembros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259"/>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notificaciones de adhesión y otras medidas relacionadas con los tratados tramitadas de manera puntual</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8"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A34E19">
        <w:trPr>
          <w:cantSplit/>
          <w:trHeight w:val="20"/>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Publicación puntual de los documentos de las Asambleas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20"/>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Índice de satisfacción de los Estados miembros y otras partes interesadas con la organización de reuniones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58"/>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Nivel de satisfacción de los delegados con la organización de las Asambleas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8"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A34E19">
        <w:trPr>
          <w:cantSplit/>
          <w:trHeight w:val="207"/>
        </w:trPr>
        <w:tc>
          <w:tcPr>
            <w:tcW w:w="1478"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VIII.4  Intercambios abiertos, transparentes y dinámicos con las partes interesadas no gubernamentales</w:t>
            </w:r>
          </w:p>
        </w:tc>
        <w:tc>
          <w:tcPr>
            <w:tcW w:w="2093" w:type="pct"/>
            <w:shd w:val="clear" w:color="auto" w:fill="auto"/>
            <w:tcMar>
              <w:top w:w="113" w:type="dxa"/>
              <w:bottom w:w="85" w:type="dxa"/>
            </w:tcMar>
          </w:tcPr>
          <w:p w:rsidR="00EE1CCE" w:rsidRPr="008F3D8D" w:rsidRDefault="00EE1CCE" w:rsidP="00A34E19">
            <w:pPr>
              <w:rPr>
                <w:sz w:val="16"/>
                <w:szCs w:val="16"/>
                <w:lang w:val="es-ES_tradnl"/>
              </w:rPr>
            </w:pPr>
            <w:r w:rsidRPr="008F3D8D">
              <w:rPr>
                <w:sz w:val="16"/>
                <w:szCs w:val="16"/>
                <w:lang w:val="es-ES_tradnl"/>
              </w:rPr>
              <w:t>N.º de ONG con calidad de observador permanente que participan en las actividades de la OMPI y vice versa</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431"/>
        </w:trPr>
        <w:tc>
          <w:tcPr>
            <w:tcW w:w="1478"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VIII.5  La OMPI participa y colabora eficazmente en los procesos y negociaciones de la ONU y otras OIG</w:t>
            </w:r>
          </w:p>
        </w:tc>
        <w:tc>
          <w:tcPr>
            <w:tcW w:w="2093" w:type="pct"/>
            <w:shd w:val="clear" w:color="auto" w:fill="auto"/>
            <w:tcMar>
              <w:top w:w="113" w:type="dxa"/>
              <w:bottom w:w="85" w:type="dxa"/>
            </w:tcMar>
          </w:tcPr>
          <w:p w:rsidR="00EE1CCE" w:rsidRPr="008F3D8D" w:rsidRDefault="00EE1CCE" w:rsidP="00A34E19">
            <w:pPr>
              <w:jc w:val="both"/>
              <w:rPr>
                <w:sz w:val="16"/>
                <w:szCs w:val="16"/>
              </w:rPr>
            </w:pPr>
            <w:r w:rsidRPr="008F3D8D">
              <w:rPr>
                <w:sz w:val="16"/>
                <w:szCs w:val="16"/>
                <w:lang w:val="es-ES_tradnl"/>
              </w:rPr>
              <w:t>Las contribuciones de la OMPI quedan reflejadas en informes, resoluciones y documentos de procesos relevantes de la ONU y otras OIG</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372"/>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iniciativas de la OMPI en colaboración con la ONU y otras OIG para conseguir los ODS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p>
        </w:tc>
        <w:tc>
          <w:tcPr>
            <w:tcW w:w="568" w:type="pct"/>
            <w:shd w:val="clear" w:color="auto" w:fill="FFFFFF"/>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A34E19">
        <w:trPr>
          <w:cantSplit/>
          <w:trHeight w:val="238"/>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actividades comunes con la Secretaría de la ASEAN, ECAP/OAMI, Fundación Asia/Europa, AANZFTA</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20</w:t>
            </w:r>
            <w:r w:rsidRPr="008F3D8D">
              <w:rPr>
                <w:sz w:val="16"/>
                <w:szCs w:val="16"/>
                <w:lang w:bidi="th-TH"/>
              </w:rPr>
              <w:t xml:space="preserve"> </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16"/>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Nuevas iniciativas conjuntas llevadas a cabo con otros organismos de la ONU/OIG</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383"/>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bCs/>
                <w:sz w:val="16"/>
                <w:szCs w:val="16"/>
              </w:rPr>
            </w:pPr>
            <w:r w:rsidRPr="008F3D8D">
              <w:rPr>
                <w:bCs/>
                <w:sz w:val="16"/>
                <w:szCs w:val="16"/>
                <w:lang w:val="es-ES_tradnl"/>
              </w:rPr>
              <w:t>% de productos y servicios contratados y adquiridos a nivel local en comparación con el importe total de los adquiridos para actividades de desarrollo</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tr w:rsidR="00EE1CCE" w:rsidRPr="008F3D8D" w:rsidTr="00A34E19">
        <w:trPr>
          <w:cantSplit/>
          <w:trHeight w:val="515"/>
        </w:trPr>
        <w:tc>
          <w:tcPr>
            <w:tcW w:w="1478" w:type="pct"/>
            <w:shd w:val="clear" w:color="auto" w:fill="auto"/>
            <w:tcMar>
              <w:top w:w="113" w:type="dxa"/>
              <w:bottom w:w="85" w:type="dxa"/>
            </w:tcMar>
          </w:tcPr>
          <w:p w:rsidR="00EE1CCE" w:rsidRPr="008F3D8D" w:rsidRDefault="00EE1CCE" w:rsidP="00A34E19">
            <w:pPr>
              <w:rPr>
                <w:sz w:val="16"/>
                <w:szCs w:val="16"/>
              </w:rPr>
            </w:pPr>
          </w:p>
        </w:tc>
        <w:tc>
          <w:tcPr>
            <w:tcW w:w="2093"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gastos efectuados con arreglo a las prácticas vigentes en la ONU (licitaciones comunes o aprovechamiento de los contratos)</w:t>
            </w:r>
          </w:p>
        </w:tc>
        <w:tc>
          <w:tcPr>
            <w:tcW w:w="862"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8" w:type="pct"/>
            <w:shd w:val="clear" w:color="auto" w:fill="FFFFFF"/>
          </w:tcPr>
          <w:p w:rsidR="00EE1CCE" w:rsidRPr="008F3D8D" w:rsidRDefault="00EE1CCE" w:rsidP="00A34E19">
            <w:pPr>
              <w:jc w:val="center"/>
            </w:pPr>
            <w:r w:rsidRPr="008F3D8D">
              <w:rPr>
                <w:color w:val="00B050"/>
                <w:szCs w:val="22"/>
              </w:rPr>
              <w:sym w:font="Wingdings" w:char="F06C"/>
            </w:r>
          </w:p>
        </w:tc>
      </w:tr>
      <w:bookmarkEnd w:id="67"/>
      <w:bookmarkEnd w:id="68"/>
    </w:tbl>
    <w:p w:rsidR="00EE1CCE" w:rsidRPr="008F3D8D" w:rsidRDefault="00EE1CCE" w:rsidP="00EE1CCE">
      <w:pPr>
        <w:jc w:val="both"/>
        <w:rPr>
          <w:color w:val="000000"/>
          <w:sz w:val="20"/>
        </w:rPr>
      </w:pPr>
    </w:p>
    <w:p w:rsidR="00EE1CCE" w:rsidRPr="008F3D8D" w:rsidRDefault="00EE1CCE" w:rsidP="00EE1CCE">
      <w:pPr>
        <w:jc w:val="both"/>
        <w:rPr>
          <w:color w:val="000000"/>
          <w:sz w:val="20"/>
        </w:rPr>
      </w:pPr>
    </w:p>
    <w:p w:rsidR="00230FAA" w:rsidRDefault="00230FAA">
      <w:pPr>
        <w:rPr>
          <w:rFonts w:eastAsia="Times New Roman"/>
          <w:sz w:val="20"/>
          <w:szCs w:val="24"/>
          <w:lang w:eastAsia="en-US"/>
        </w:rPr>
      </w:pPr>
      <w:r>
        <w:rPr>
          <w:rFonts w:eastAsia="Times New Roman"/>
          <w:sz w:val="20"/>
          <w:szCs w:val="24"/>
          <w:lang w:eastAsia="en-US"/>
        </w:rPr>
        <w:br w:type="page"/>
      </w:r>
    </w:p>
    <w:p w:rsidR="00230FAA" w:rsidRPr="00850AF5" w:rsidRDefault="00230FAA" w:rsidP="00230FAA">
      <w:pPr>
        <w:keepNext/>
        <w:tabs>
          <w:tab w:val="left" w:pos="2410"/>
          <w:tab w:val="right" w:pos="9072"/>
        </w:tabs>
        <w:jc w:val="both"/>
        <w:outlineLvl w:val="1"/>
        <w:rPr>
          <w:b/>
          <w:bCs/>
          <w:iCs/>
          <w:szCs w:val="28"/>
        </w:rPr>
      </w:pPr>
      <w:bookmarkStart w:id="69" w:name="_Toc482711270"/>
      <w:r w:rsidRPr="00850AF5">
        <w:rPr>
          <w:b/>
          <w:bCs/>
          <w:iCs/>
          <w:szCs w:val="28"/>
        </w:rPr>
        <w:lastRenderedPageBreak/>
        <w:t>PROGRAMA 19</w:t>
      </w:r>
      <w:r w:rsidRPr="00850AF5">
        <w:rPr>
          <w:bCs/>
          <w:iCs/>
          <w:szCs w:val="28"/>
        </w:rPr>
        <w:tab/>
      </w:r>
      <w:r w:rsidRPr="00850AF5">
        <w:rPr>
          <w:b/>
          <w:bCs/>
          <w:iCs/>
          <w:szCs w:val="28"/>
        </w:rPr>
        <w:t>COMUNICACIONES</w:t>
      </w:r>
      <w:bookmarkEnd w:id="69"/>
    </w:p>
    <w:p w:rsidR="00230FAA" w:rsidRPr="00850AF5" w:rsidRDefault="00230FAA" w:rsidP="00230FAA">
      <w:pPr>
        <w:tabs>
          <w:tab w:val="left" w:pos="1985"/>
        </w:tabs>
        <w:jc w:val="both"/>
        <w:rPr>
          <w:rFonts w:cs="Times New Roman"/>
          <w:sz w:val="20"/>
        </w:rPr>
      </w:pPr>
    </w:p>
    <w:p w:rsidR="00230FAA" w:rsidRPr="00850AF5" w:rsidRDefault="00230FAA" w:rsidP="00230FAA">
      <w:pPr>
        <w:tabs>
          <w:tab w:val="left" w:pos="2410"/>
        </w:tabs>
        <w:jc w:val="both"/>
        <w:rPr>
          <w:rFonts w:cs="Times New Roman"/>
          <w:b/>
          <w:sz w:val="20"/>
          <w:szCs w:val="22"/>
        </w:rPr>
      </w:pPr>
      <w:r w:rsidRPr="00850AF5">
        <w:rPr>
          <w:rFonts w:cs="Times New Roman"/>
          <w:b/>
          <w:sz w:val="20"/>
          <w:szCs w:val="22"/>
        </w:rPr>
        <w:t>Directora de programa</w:t>
      </w:r>
      <w:r w:rsidRPr="00850AF5">
        <w:rPr>
          <w:rFonts w:cs="Times New Roman"/>
          <w:b/>
          <w:sz w:val="20"/>
          <w:szCs w:val="22"/>
        </w:rPr>
        <w:tab/>
        <w:t>Sra. S. Forbin</w:t>
      </w:r>
    </w:p>
    <w:p w:rsidR="00230FAA" w:rsidRPr="00850AF5" w:rsidRDefault="00230FAA" w:rsidP="00230FAA">
      <w:pPr>
        <w:jc w:val="center"/>
        <w:rPr>
          <w:rFonts w:cs="Times New Roman"/>
          <w:b/>
          <w:sz w:val="20"/>
        </w:rPr>
      </w:pPr>
      <w:r w:rsidRPr="00850AF5">
        <w:rPr>
          <w:noProof/>
          <w:lang w:val="en-US" w:eastAsia="en-US"/>
        </w:rPr>
        <w:drawing>
          <wp:inline distT="0" distB="0" distL="0" distR="0" wp14:anchorId="7F87871D" wp14:editId="10DF0E31">
            <wp:extent cx="5215614" cy="2661973"/>
            <wp:effectExtent l="0" t="0" r="4445" b="5080"/>
            <wp:docPr id="112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5215761" cy="2662048"/>
                    </a:xfrm>
                    <a:prstGeom prst="rect">
                      <a:avLst/>
                    </a:prstGeom>
                    <a:noFill/>
                    <a:ln>
                      <a:noFill/>
                    </a:ln>
                  </pic:spPr>
                </pic:pic>
              </a:graphicData>
            </a:graphic>
          </wp:inline>
        </w:drawing>
      </w:r>
    </w:p>
    <w:tbl>
      <w:tblPr>
        <w:tblpPr w:leftFromText="180" w:rightFromText="180" w:vertAnchor="text" w:tblpY="109"/>
        <w:tblW w:w="9272" w:type="dxa"/>
        <w:tblCellMar>
          <w:left w:w="115" w:type="dxa"/>
          <w:right w:w="115" w:type="dxa"/>
        </w:tblCellMar>
        <w:tblLook w:val="0000" w:firstRow="0" w:lastRow="0" w:firstColumn="0" w:lastColumn="0" w:noHBand="0" w:noVBand="0"/>
      </w:tblPr>
      <w:tblGrid>
        <w:gridCol w:w="1848"/>
        <w:gridCol w:w="2416"/>
        <w:gridCol w:w="1610"/>
        <w:gridCol w:w="2057"/>
        <w:gridCol w:w="1341"/>
      </w:tblGrid>
      <w:tr w:rsidR="00230FAA" w:rsidRPr="00850AF5" w:rsidTr="00230FAA">
        <w:trPr>
          <w:trHeight w:val="565"/>
        </w:trPr>
        <w:tc>
          <w:tcPr>
            <w:tcW w:w="5000" w:type="pct"/>
            <w:gridSpan w:val="5"/>
            <w:shd w:val="clear" w:color="auto" w:fill="C6D9F1" w:themeFill="text2" w:themeFillTint="33"/>
            <w:tcMar>
              <w:left w:w="58" w:type="dxa"/>
              <w:right w:w="58" w:type="dxa"/>
            </w:tcMar>
            <w:vAlign w:val="center"/>
          </w:tcPr>
          <w:p w:rsidR="00230FAA" w:rsidRPr="00850AF5" w:rsidRDefault="00230FAA" w:rsidP="00230FAA">
            <w:pPr>
              <w:keepNext/>
              <w:keepLines/>
              <w:tabs>
                <w:tab w:val="left" w:pos="1452"/>
              </w:tabs>
              <w:ind w:left="1701" w:hanging="1701"/>
              <w:rPr>
                <w:b/>
                <w:bCs/>
                <w:sz w:val="16"/>
                <w:szCs w:val="16"/>
              </w:rPr>
            </w:pPr>
            <w:r w:rsidRPr="00850AF5">
              <w:rPr>
                <w:b/>
                <w:bCs/>
                <w:sz w:val="16"/>
                <w:szCs w:val="16"/>
              </w:rPr>
              <w:t>Resultado previsto:</w:t>
            </w:r>
            <w:r w:rsidRPr="00850AF5">
              <w:rPr>
                <w:b/>
                <w:bCs/>
                <w:sz w:val="16"/>
                <w:szCs w:val="16"/>
              </w:rPr>
              <w:tab/>
            </w:r>
            <w:r w:rsidRPr="00850AF5">
              <w:rPr>
                <w:bCs/>
                <w:sz w:val="16"/>
                <w:szCs w:val="16"/>
              </w:rPr>
              <w:t>VIII.1  Comunicación más eficaz con el público en general acerca de la P.I. y la función de la OMPI</w:t>
            </w:r>
          </w:p>
        </w:tc>
      </w:tr>
      <w:tr w:rsidR="00230FAA" w:rsidRPr="00850AF5" w:rsidTr="00230FAA">
        <w:tc>
          <w:tcPr>
            <w:tcW w:w="997" w:type="pct"/>
            <w:shd w:val="clear" w:color="auto" w:fill="auto"/>
            <w:tcMar>
              <w:left w:w="58" w:type="dxa"/>
              <w:right w:w="58" w:type="dxa"/>
            </w:tcMar>
            <w:vAlign w:val="center"/>
          </w:tcPr>
          <w:p w:rsidR="00230FAA" w:rsidRPr="00850AF5" w:rsidRDefault="00230FAA" w:rsidP="00230FAA">
            <w:pPr>
              <w:ind w:right="-58"/>
              <w:rPr>
                <w:b/>
                <w:bCs/>
                <w:sz w:val="16"/>
                <w:szCs w:val="16"/>
              </w:rPr>
            </w:pPr>
            <w:r w:rsidRPr="00850AF5">
              <w:rPr>
                <w:b/>
                <w:bCs/>
                <w:sz w:val="16"/>
                <w:szCs w:val="16"/>
              </w:rPr>
              <w:t>Indicadores de rendimiento</w:t>
            </w:r>
          </w:p>
        </w:tc>
        <w:tc>
          <w:tcPr>
            <w:tcW w:w="1303" w:type="pct"/>
            <w:shd w:val="clear" w:color="auto" w:fill="auto"/>
            <w:tcMar>
              <w:left w:w="58" w:type="dxa"/>
              <w:right w:w="58" w:type="dxa"/>
            </w:tcMar>
            <w:vAlign w:val="center"/>
          </w:tcPr>
          <w:p w:rsidR="00230FAA" w:rsidRPr="00850AF5" w:rsidRDefault="00230FAA" w:rsidP="00230FAA">
            <w:pPr>
              <w:rPr>
                <w:b/>
                <w:bCs/>
                <w:sz w:val="16"/>
                <w:szCs w:val="16"/>
              </w:rPr>
            </w:pPr>
            <w:r w:rsidRPr="00850AF5">
              <w:rPr>
                <w:b/>
                <w:bCs/>
                <w:sz w:val="16"/>
                <w:szCs w:val="16"/>
              </w:rPr>
              <w:t>Referencias de base</w:t>
            </w:r>
          </w:p>
        </w:tc>
        <w:tc>
          <w:tcPr>
            <w:tcW w:w="868" w:type="pct"/>
            <w:shd w:val="clear" w:color="auto" w:fill="auto"/>
            <w:tcMar>
              <w:top w:w="110" w:type="dxa"/>
              <w:left w:w="58" w:type="dxa"/>
              <w:right w:w="58" w:type="dxa"/>
            </w:tcMar>
            <w:vAlign w:val="center"/>
          </w:tcPr>
          <w:p w:rsidR="00230FAA" w:rsidRPr="00850AF5" w:rsidRDefault="00230FAA" w:rsidP="00230FAA">
            <w:pPr>
              <w:tabs>
                <w:tab w:val="left" w:pos="290"/>
              </w:tabs>
              <w:rPr>
                <w:b/>
                <w:bCs/>
                <w:sz w:val="16"/>
                <w:szCs w:val="16"/>
              </w:rPr>
            </w:pPr>
            <w:r w:rsidRPr="00850AF5">
              <w:rPr>
                <w:b/>
                <w:bCs/>
                <w:sz w:val="16"/>
                <w:szCs w:val="16"/>
              </w:rPr>
              <w:t>Objetivos</w:t>
            </w:r>
          </w:p>
        </w:tc>
        <w:tc>
          <w:tcPr>
            <w:tcW w:w="1109" w:type="pct"/>
            <w:shd w:val="clear" w:color="auto" w:fill="FFFFFF"/>
            <w:tcMar>
              <w:top w:w="110" w:type="dxa"/>
              <w:left w:w="58" w:type="dxa"/>
              <w:right w:w="58" w:type="dxa"/>
            </w:tcMar>
            <w:vAlign w:val="center"/>
          </w:tcPr>
          <w:p w:rsidR="00230FAA" w:rsidRPr="00850AF5" w:rsidRDefault="00230FAA" w:rsidP="00230FAA">
            <w:pPr>
              <w:rPr>
                <w:b/>
                <w:bCs/>
                <w:sz w:val="16"/>
                <w:szCs w:val="16"/>
              </w:rPr>
            </w:pPr>
            <w:r w:rsidRPr="00850AF5">
              <w:rPr>
                <w:b/>
                <w:bCs/>
                <w:sz w:val="16"/>
                <w:szCs w:val="16"/>
              </w:rPr>
              <w:t>Datos sobre el rendimiento</w:t>
            </w:r>
          </w:p>
        </w:tc>
        <w:tc>
          <w:tcPr>
            <w:tcW w:w="723" w:type="pct"/>
            <w:shd w:val="clear" w:color="auto" w:fill="auto"/>
            <w:tcMar>
              <w:top w:w="110" w:type="dxa"/>
              <w:left w:w="58" w:type="dxa"/>
              <w:right w:w="58" w:type="dxa"/>
            </w:tcMar>
            <w:vAlign w:val="center"/>
          </w:tcPr>
          <w:p w:rsidR="00230FAA" w:rsidRPr="00850AF5" w:rsidRDefault="00230FAA" w:rsidP="00230FAA">
            <w:pPr>
              <w:keepNext/>
              <w:keepLines/>
              <w:jc w:val="center"/>
              <w:rPr>
                <w:b/>
                <w:bCs/>
                <w:sz w:val="16"/>
                <w:szCs w:val="16"/>
              </w:rPr>
            </w:pPr>
            <w:r w:rsidRPr="00850AF5">
              <w:rPr>
                <w:b/>
                <w:bCs/>
                <w:sz w:val="16"/>
                <w:szCs w:val="16"/>
              </w:rPr>
              <w:t>Clave de colores</w:t>
            </w:r>
          </w:p>
        </w:tc>
      </w:tr>
      <w:tr w:rsidR="00230FAA" w:rsidRPr="00850AF5" w:rsidTr="00230FAA">
        <w:trPr>
          <w:trHeight w:val="1465"/>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t>Sectores interesados con una percepción positiva de la reputación de la OMPI y una mayor valoración de la imagen de marca de la OMPI</w:t>
            </w:r>
          </w:p>
        </w:tc>
        <w:tc>
          <w:tcPr>
            <w:tcW w:w="1303"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t>El 85,3% de los encuestados está de acuerdo/muy de acuerdo en que la OMPI tiene buena reputación en general.  El 70,2% de los encuestados considera que la OMPI es el foro mundial de la P.I. (encuesta sobre las impresiones que acerca de la OMPI tienen los sectores interesados, junio de 2014).</w:t>
            </w:r>
          </w:p>
        </w:tc>
        <w:tc>
          <w:tcPr>
            <w:tcW w:w="868" w:type="pct"/>
            <w:shd w:val="clear" w:color="auto" w:fill="auto"/>
            <w:tcMar>
              <w:top w:w="110" w:type="dxa"/>
              <w:left w:w="58" w:type="dxa"/>
              <w:right w:w="58" w:type="dxa"/>
            </w:tcMar>
          </w:tcPr>
          <w:p w:rsidR="00230FAA" w:rsidRPr="00850AF5" w:rsidRDefault="00230FAA" w:rsidP="00230FAA">
            <w:pPr>
              <w:rPr>
                <w:sz w:val="16"/>
                <w:szCs w:val="16"/>
              </w:rPr>
            </w:pPr>
            <w:r w:rsidRPr="00850AF5">
              <w:rPr>
                <w:sz w:val="16"/>
                <w:szCs w:val="16"/>
              </w:rPr>
              <w:t xml:space="preserve">El 85% tiene una percepción positiva de la reputación de la OMPI </w:t>
            </w:r>
          </w:p>
          <w:p w:rsidR="00230FAA" w:rsidRPr="00850AF5" w:rsidRDefault="00230FAA" w:rsidP="00230FAA">
            <w:pPr>
              <w:rPr>
                <w:sz w:val="16"/>
                <w:szCs w:val="16"/>
              </w:rPr>
            </w:pPr>
          </w:p>
          <w:p w:rsidR="00230FAA" w:rsidRPr="00850AF5" w:rsidRDefault="00230FAA" w:rsidP="00230FAA">
            <w:pPr>
              <w:rPr>
                <w:sz w:val="16"/>
                <w:szCs w:val="16"/>
              </w:rPr>
            </w:pPr>
          </w:p>
          <w:p w:rsidR="00230FAA" w:rsidRPr="00850AF5" w:rsidRDefault="00230FAA" w:rsidP="00230FAA">
            <w:pPr>
              <w:rPr>
                <w:sz w:val="16"/>
                <w:szCs w:val="16"/>
              </w:rPr>
            </w:pPr>
          </w:p>
          <w:p w:rsidR="00230FAA" w:rsidRPr="00850AF5" w:rsidRDefault="00230FAA" w:rsidP="00230FAA">
            <w:pPr>
              <w:spacing w:after="240"/>
              <w:rPr>
                <w:sz w:val="16"/>
                <w:szCs w:val="16"/>
              </w:rPr>
            </w:pPr>
            <w:r w:rsidRPr="00850AF5">
              <w:rPr>
                <w:sz w:val="16"/>
                <w:szCs w:val="16"/>
              </w:rPr>
              <w:t xml:space="preserve">El 75% reconoce que la OMPI es el foro mundial de la P.I. </w:t>
            </w:r>
          </w:p>
        </w:tc>
        <w:tc>
          <w:tcPr>
            <w:tcW w:w="1109" w:type="pct"/>
            <w:shd w:val="clear" w:color="auto" w:fill="FFFFFF"/>
            <w:tcMar>
              <w:top w:w="110" w:type="dxa"/>
              <w:left w:w="58" w:type="dxa"/>
              <w:right w:w="58" w:type="dxa"/>
            </w:tcMar>
          </w:tcPr>
          <w:p w:rsidR="00230FAA" w:rsidRPr="00850AF5" w:rsidRDefault="00230FAA" w:rsidP="00230FAA">
            <w:pPr>
              <w:rPr>
                <w:sz w:val="16"/>
                <w:szCs w:val="16"/>
              </w:rPr>
            </w:pPr>
            <w:r w:rsidRPr="00850AF5">
              <w:rPr>
                <w:sz w:val="16"/>
                <w:szCs w:val="16"/>
              </w:rPr>
              <w:t>El 84%  está de acuerdo/muy de acuerdo en que la OMPI tiene buena reputación en general (encuesta sobre las impresiones que acerca de la OMPI tienen los sectores interesados, 2016)</w:t>
            </w:r>
          </w:p>
          <w:p w:rsidR="00230FAA" w:rsidRPr="00850AF5" w:rsidRDefault="00230FAA" w:rsidP="00230FAA">
            <w:pPr>
              <w:rPr>
                <w:sz w:val="16"/>
                <w:szCs w:val="16"/>
              </w:rPr>
            </w:pPr>
          </w:p>
          <w:p w:rsidR="00230FAA" w:rsidRPr="00850AF5" w:rsidRDefault="00230FAA" w:rsidP="00230FAA">
            <w:pPr>
              <w:spacing w:after="60"/>
              <w:rPr>
                <w:sz w:val="16"/>
                <w:szCs w:val="16"/>
              </w:rPr>
            </w:pPr>
            <w:r w:rsidRPr="00850AF5">
              <w:rPr>
                <w:sz w:val="16"/>
                <w:szCs w:val="16"/>
              </w:rPr>
              <w:t>El 74%</w:t>
            </w:r>
            <w:r w:rsidRPr="00850AF5">
              <w:t xml:space="preserve"> </w:t>
            </w:r>
            <w:r w:rsidRPr="00850AF5">
              <w:rPr>
                <w:sz w:val="16"/>
                <w:szCs w:val="16"/>
              </w:rPr>
              <w:t xml:space="preserve"> de los encuestados considera que la OMPI es el foro mundial de la P.I.  (encuesta sobre las impresiones que acerca de la OMPI tienen los sectores interesados, 2016) </w:t>
            </w:r>
          </w:p>
        </w:tc>
        <w:tc>
          <w:tcPr>
            <w:tcW w:w="723" w:type="pct"/>
            <w:shd w:val="clear" w:color="auto" w:fill="auto"/>
            <w:tcMar>
              <w:top w:w="110" w:type="dxa"/>
              <w:left w:w="58" w:type="dxa"/>
              <w:right w:w="58" w:type="dxa"/>
            </w:tcMar>
          </w:tcPr>
          <w:p w:rsidR="00230FAA" w:rsidRPr="00850AF5" w:rsidRDefault="00230FAA" w:rsidP="00230FAA">
            <w:pPr>
              <w:keepNext/>
              <w:keepLines/>
              <w:jc w:val="center"/>
              <w:rPr>
                <w:b/>
                <w:sz w:val="16"/>
                <w:szCs w:val="16"/>
              </w:rPr>
            </w:pPr>
            <w:r w:rsidRPr="00850AF5">
              <w:rPr>
                <w:b/>
                <w:color w:val="00B050"/>
                <w:sz w:val="16"/>
                <w:szCs w:val="16"/>
              </w:rPr>
              <w:t>Avanza</w:t>
            </w: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sz w:val="16"/>
                <w:szCs w:val="16"/>
              </w:rPr>
            </w:pPr>
            <w:r w:rsidRPr="00850AF5">
              <w:rPr>
                <w:b/>
                <w:color w:val="00B050"/>
                <w:sz w:val="16"/>
                <w:szCs w:val="16"/>
              </w:rPr>
              <w:t>Avanza</w:t>
            </w:r>
          </w:p>
        </w:tc>
      </w:tr>
      <w:tr w:rsidR="00230FAA" w:rsidRPr="00850AF5" w:rsidTr="00230FAA">
        <w:trPr>
          <w:trHeight w:val="1142"/>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t>N.º de personas que consultan los contenidos sobre los principales eventos, logros y actividades de la OMPI</w:t>
            </w:r>
          </w:p>
        </w:tc>
        <w:tc>
          <w:tcPr>
            <w:tcW w:w="1303" w:type="pct"/>
            <w:shd w:val="clear" w:color="auto" w:fill="auto"/>
            <w:tcMar>
              <w:left w:w="58" w:type="dxa"/>
              <w:right w:w="58" w:type="dxa"/>
            </w:tcMar>
          </w:tcPr>
          <w:p w:rsidR="00230FAA" w:rsidRPr="00A90F4C" w:rsidRDefault="00230FAA" w:rsidP="00230FAA">
            <w:pPr>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rPr>
                <w:color w:val="002060"/>
                <w:sz w:val="16"/>
                <w:szCs w:val="16"/>
              </w:rPr>
            </w:pPr>
            <w:r w:rsidRPr="00A90F4C">
              <w:rPr>
                <w:color w:val="002060"/>
                <w:sz w:val="16"/>
                <w:szCs w:val="16"/>
              </w:rPr>
              <w:t>Tasa media de consulta en 2015:  33,1%</w:t>
            </w:r>
          </w:p>
          <w:p w:rsidR="00230FAA" w:rsidRPr="00850AF5" w:rsidRDefault="00230FAA" w:rsidP="00230FAA">
            <w:pPr>
              <w:rPr>
                <w:sz w:val="16"/>
                <w:szCs w:val="16"/>
              </w:rPr>
            </w:pPr>
          </w:p>
          <w:p w:rsidR="00230FAA" w:rsidRPr="00850AF5" w:rsidRDefault="00230FAA" w:rsidP="00230FAA">
            <w:pPr>
              <w:spacing w:after="60"/>
              <w:rPr>
                <w:sz w:val="16"/>
                <w:szCs w:val="16"/>
              </w:rPr>
            </w:pPr>
            <w:r w:rsidRPr="00850AF5">
              <w:rPr>
                <w:i/>
                <w:sz w:val="16"/>
                <w:szCs w:val="16"/>
              </w:rPr>
              <w:t>Referencia original en el presupuesto de 2016/17:</w:t>
            </w:r>
            <w:r w:rsidRPr="00850AF5">
              <w:rPr>
                <w:i/>
                <w:sz w:val="16"/>
                <w:szCs w:val="16"/>
              </w:rPr>
              <w:br/>
            </w:r>
            <w:r w:rsidRPr="00850AF5">
              <w:rPr>
                <w:sz w:val="16"/>
                <w:szCs w:val="16"/>
              </w:rPr>
              <w:t>Por determinar</w:t>
            </w:r>
          </w:p>
        </w:tc>
        <w:tc>
          <w:tcPr>
            <w:tcW w:w="868" w:type="pct"/>
            <w:shd w:val="clear" w:color="auto" w:fill="auto"/>
            <w:tcMar>
              <w:top w:w="110" w:type="dxa"/>
              <w:left w:w="58" w:type="dxa"/>
              <w:right w:w="58" w:type="dxa"/>
            </w:tcMar>
          </w:tcPr>
          <w:p w:rsidR="00230FAA" w:rsidRPr="00850AF5" w:rsidRDefault="00230FAA" w:rsidP="00230FAA">
            <w:pPr>
              <w:rPr>
                <w:sz w:val="16"/>
                <w:szCs w:val="16"/>
              </w:rPr>
            </w:pPr>
            <w:r w:rsidRPr="00850AF5">
              <w:rPr>
                <w:sz w:val="16"/>
                <w:szCs w:val="16"/>
              </w:rPr>
              <w:t>≥ del 23% de los destinatarios del boletín informativo WIPO Wire consulta su contenido</w:t>
            </w:r>
            <w:r w:rsidRPr="00850AF5">
              <w:rPr>
                <w:rStyle w:val="FootnoteReference"/>
              </w:rPr>
              <w:footnoteReference w:id="79"/>
            </w:r>
          </w:p>
        </w:tc>
        <w:tc>
          <w:tcPr>
            <w:tcW w:w="1109" w:type="pct"/>
            <w:shd w:val="clear" w:color="auto" w:fill="FFFFFF"/>
            <w:tcMar>
              <w:top w:w="110" w:type="dxa"/>
              <w:left w:w="58" w:type="dxa"/>
              <w:right w:w="58" w:type="dxa"/>
            </w:tcMar>
          </w:tcPr>
          <w:p w:rsidR="00230FAA" w:rsidRPr="00850AF5" w:rsidRDefault="00230FAA" w:rsidP="00230FAA">
            <w:pPr>
              <w:keepNext/>
              <w:keepLines/>
              <w:rPr>
                <w:sz w:val="16"/>
                <w:szCs w:val="16"/>
              </w:rPr>
            </w:pPr>
            <w:r w:rsidRPr="00850AF5">
              <w:rPr>
                <w:sz w:val="16"/>
                <w:szCs w:val="16"/>
              </w:rPr>
              <w:t>El 26,4% de los destinatarios del boletín informativo WIPO Wire consulta su contenido</w:t>
            </w:r>
          </w:p>
        </w:tc>
        <w:tc>
          <w:tcPr>
            <w:tcW w:w="723" w:type="pct"/>
            <w:shd w:val="clear" w:color="auto" w:fill="auto"/>
            <w:tcMar>
              <w:top w:w="110" w:type="dxa"/>
              <w:left w:w="58" w:type="dxa"/>
              <w:right w:w="58" w:type="dxa"/>
            </w:tcMar>
          </w:tcPr>
          <w:p w:rsidR="00230FAA" w:rsidRPr="00850AF5" w:rsidRDefault="00230FAA" w:rsidP="00230FAA">
            <w:pPr>
              <w:keepNext/>
              <w:keepLines/>
              <w:jc w:val="center"/>
              <w:rPr>
                <w:sz w:val="16"/>
                <w:szCs w:val="16"/>
              </w:rPr>
            </w:pPr>
            <w:r w:rsidRPr="00850AF5">
              <w:rPr>
                <w:b/>
                <w:color w:val="00B050"/>
                <w:sz w:val="16"/>
                <w:szCs w:val="16"/>
              </w:rPr>
              <w:t>Avanza</w:t>
            </w:r>
          </w:p>
        </w:tc>
      </w:tr>
      <w:tr w:rsidR="00230FAA" w:rsidRPr="00850AF5" w:rsidTr="00230FAA">
        <w:trPr>
          <w:trHeight w:val="883"/>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t>Participación mundial en la campaña del Día Mundial de la P.I.</w:t>
            </w:r>
          </w:p>
        </w:tc>
        <w:tc>
          <w:tcPr>
            <w:tcW w:w="1303" w:type="pct"/>
            <w:shd w:val="clear" w:color="auto" w:fill="auto"/>
            <w:tcMar>
              <w:left w:w="58" w:type="dxa"/>
              <w:right w:w="58" w:type="dxa"/>
            </w:tcMar>
          </w:tcPr>
          <w:p w:rsidR="00230FAA" w:rsidRPr="00A90F4C" w:rsidRDefault="00230FAA" w:rsidP="00230FAA">
            <w:pPr>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rPr>
                <w:color w:val="002060"/>
                <w:sz w:val="16"/>
                <w:szCs w:val="16"/>
              </w:rPr>
            </w:pPr>
            <w:r w:rsidRPr="00A90F4C">
              <w:rPr>
                <w:color w:val="002060"/>
                <w:sz w:val="16"/>
                <w:szCs w:val="16"/>
              </w:rPr>
              <w:t>En el mapa de eventos del Día Mundial de la P.I. de 2015 se publicaron los eventos celebrados en 105 países.</w:t>
            </w:r>
          </w:p>
          <w:p w:rsidR="00230FAA" w:rsidRPr="00850AF5" w:rsidRDefault="00230FAA" w:rsidP="00230FAA">
            <w:pPr>
              <w:rPr>
                <w:i/>
                <w:sz w:val="16"/>
                <w:szCs w:val="16"/>
                <w:lang w:bidi="th-TH"/>
              </w:rPr>
            </w:pPr>
          </w:p>
          <w:p w:rsidR="00230FAA" w:rsidRPr="00850AF5" w:rsidRDefault="00230FAA" w:rsidP="00230FAA">
            <w:pPr>
              <w:rPr>
                <w:i/>
                <w:sz w:val="16"/>
                <w:szCs w:val="16"/>
                <w:lang w:bidi="th-TH"/>
              </w:rPr>
            </w:pPr>
            <w:r w:rsidRPr="00850AF5">
              <w:rPr>
                <w:i/>
                <w:sz w:val="16"/>
                <w:szCs w:val="16"/>
                <w:lang w:bidi="th-TH"/>
              </w:rPr>
              <w:t xml:space="preserve">Referencia original en el presupuesto de 2016/17:  </w:t>
            </w:r>
          </w:p>
          <w:p w:rsidR="00230FAA" w:rsidRPr="00850AF5" w:rsidRDefault="00230FAA" w:rsidP="00230FAA">
            <w:pPr>
              <w:rPr>
                <w:sz w:val="16"/>
                <w:szCs w:val="16"/>
                <w:lang w:bidi="th-TH"/>
              </w:rPr>
            </w:pPr>
            <w:r w:rsidRPr="00850AF5">
              <w:rPr>
                <w:sz w:val="16"/>
                <w:szCs w:val="16"/>
                <w:lang w:bidi="th-TH"/>
              </w:rPr>
              <w:t xml:space="preserve">En el mapa de eventos del Día </w:t>
            </w:r>
            <w:r w:rsidRPr="00850AF5">
              <w:rPr>
                <w:sz w:val="16"/>
                <w:szCs w:val="16"/>
                <w:lang w:bidi="th-TH"/>
              </w:rPr>
              <w:lastRenderedPageBreak/>
              <w:t>Mundial de la P.I. de 2014 se publicaron los eventos celebrados en 110 países.</w:t>
            </w:r>
          </w:p>
        </w:tc>
        <w:tc>
          <w:tcPr>
            <w:tcW w:w="868" w:type="pct"/>
            <w:shd w:val="clear" w:color="auto" w:fill="auto"/>
            <w:tcMar>
              <w:top w:w="110" w:type="dxa"/>
              <w:left w:w="58" w:type="dxa"/>
              <w:right w:w="58" w:type="dxa"/>
            </w:tcMar>
          </w:tcPr>
          <w:p w:rsidR="00230FAA" w:rsidRPr="00A90F4C" w:rsidRDefault="00230FAA" w:rsidP="00230FAA">
            <w:pPr>
              <w:rPr>
                <w:i/>
                <w:color w:val="002060"/>
                <w:sz w:val="16"/>
                <w:szCs w:val="16"/>
              </w:rPr>
            </w:pPr>
            <w:r w:rsidRPr="00A90F4C">
              <w:rPr>
                <w:i/>
                <w:color w:val="002060"/>
                <w:sz w:val="16"/>
                <w:szCs w:val="16"/>
              </w:rPr>
              <w:lastRenderedPageBreak/>
              <w:t xml:space="preserve">Objetivo actualizado:  </w:t>
            </w:r>
          </w:p>
          <w:p w:rsidR="00230FAA" w:rsidRPr="00A90F4C" w:rsidRDefault="00230FAA" w:rsidP="00230FAA">
            <w:pPr>
              <w:keepNext/>
              <w:keepLines/>
              <w:rPr>
                <w:color w:val="002060"/>
                <w:sz w:val="16"/>
                <w:szCs w:val="16"/>
              </w:rPr>
            </w:pPr>
            <w:r w:rsidRPr="00A90F4C">
              <w:rPr>
                <w:color w:val="002060"/>
                <w:sz w:val="16"/>
                <w:szCs w:val="16"/>
              </w:rPr>
              <w:t>Eventos en ≥ 105 países publicados en el mapa de eventos del Día Mundial de la P.I.</w:t>
            </w:r>
            <w:r w:rsidRPr="00A90F4C" w:rsidDel="00C66F03">
              <w:rPr>
                <w:color w:val="002060"/>
                <w:sz w:val="16"/>
                <w:szCs w:val="16"/>
              </w:rPr>
              <w:t xml:space="preserve"> </w:t>
            </w:r>
          </w:p>
          <w:p w:rsidR="00230FAA" w:rsidRPr="00850AF5" w:rsidRDefault="00230FAA" w:rsidP="00230FAA">
            <w:pPr>
              <w:rPr>
                <w:i/>
                <w:sz w:val="16"/>
                <w:szCs w:val="16"/>
                <w:lang w:bidi="th-TH"/>
              </w:rPr>
            </w:pPr>
          </w:p>
          <w:p w:rsidR="00230FAA" w:rsidRPr="00850AF5" w:rsidRDefault="00230FAA" w:rsidP="00230FAA">
            <w:pPr>
              <w:rPr>
                <w:i/>
                <w:sz w:val="16"/>
                <w:szCs w:val="16"/>
                <w:lang w:bidi="th-TH"/>
              </w:rPr>
            </w:pPr>
            <w:r w:rsidRPr="00850AF5">
              <w:rPr>
                <w:i/>
                <w:sz w:val="16"/>
                <w:szCs w:val="16"/>
                <w:lang w:bidi="th-TH"/>
              </w:rPr>
              <w:t xml:space="preserve">Objetivo original en el presupuesto 2016/17:  </w:t>
            </w:r>
          </w:p>
          <w:p w:rsidR="00230FAA" w:rsidRPr="00850AF5" w:rsidRDefault="00230FAA" w:rsidP="00230FAA">
            <w:pPr>
              <w:spacing w:after="60"/>
              <w:rPr>
                <w:sz w:val="16"/>
                <w:szCs w:val="16"/>
              </w:rPr>
            </w:pPr>
            <w:r w:rsidRPr="00850AF5">
              <w:rPr>
                <w:sz w:val="16"/>
                <w:szCs w:val="16"/>
              </w:rPr>
              <w:lastRenderedPageBreak/>
              <w:t>Eventos en ≥ 100 países publicados en el mapa de eventos del Día Mundial de la P.I.</w:t>
            </w:r>
          </w:p>
        </w:tc>
        <w:tc>
          <w:tcPr>
            <w:tcW w:w="1109" w:type="pct"/>
            <w:shd w:val="clear" w:color="auto" w:fill="FFFFFF"/>
            <w:tcMar>
              <w:top w:w="110" w:type="dxa"/>
              <w:left w:w="58" w:type="dxa"/>
              <w:right w:w="58" w:type="dxa"/>
            </w:tcMar>
          </w:tcPr>
          <w:p w:rsidR="00230FAA" w:rsidRPr="00850AF5" w:rsidRDefault="00230FAA" w:rsidP="00230FAA">
            <w:pPr>
              <w:keepNext/>
              <w:keepLines/>
              <w:rPr>
                <w:sz w:val="16"/>
                <w:szCs w:val="16"/>
              </w:rPr>
            </w:pPr>
            <w:r w:rsidRPr="00850AF5">
              <w:rPr>
                <w:sz w:val="16"/>
                <w:szCs w:val="16"/>
              </w:rPr>
              <w:lastRenderedPageBreak/>
              <w:t xml:space="preserve">Se notificaron 450 eventos en 122 países </w:t>
            </w:r>
          </w:p>
        </w:tc>
        <w:tc>
          <w:tcPr>
            <w:tcW w:w="723" w:type="pct"/>
            <w:shd w:val="clear" w:color="auto" w:fill="auto"/>
            <w:tcMar>
              <w:top w:w="110" w:type="dxa"/>
              <w:left w:w="58" w:type="dxa"/>
              <w:right w:w="58" w:type="dxa"/>
            </w:tcMar>
          </w:tcPr>
          <w:p w:rsidR="00230FAA" w:rsidRPr="00850AF5" w:rsidRDefault="00230FAA" w:rsidP="00230FAA">
            <w:pPr>
              <w:keepNext/>
              <w:keepLines/>
              <w:jc w:val="center"/>
              <w:rPr>
                <w:sz w:val="16"/>
                <w:szCs w:val="16"/>
              </w:rPr>
            </w:pPr>
            <w:r w:rsidRPr="00850AF5">
              <w:rPr>
                <w:b/>
                <w:color w:val="00B050"/>
                <w:sz w:val="16"/>
                <w:szCs w:val="16"/>
              </w:rPr>
              <w:t>Avanza</w:t>
            </w:r>
          </w:p>
        </w:tc>
      </w:tr>
      <w:tr w:rsidR="00230FAA" w:rsidRPr="00850AF5" w:rsidTr="00230FAA">
        <w:trPr>
          <w:trHeight w:val="1213"/>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lastRenderedPageBreak/>
              <w:t>Tráfico de visitas al sitio web de publicaciones y al de la Revista de la OMPI</w:t>
            </w:r>
          </w:p>
        </w:tc>
        <w:tc>
          <w:tcPr>
            <w:tcW w:w="1303" w:type="pct"/>
            <w:shd w:val="clear" w:color="auto" w:fill="auto"/>
            <w:tcMar>
              <w:left w:w="58" w:type="dxa"/>
              <w:right w:w="58" w:type="dxa"/>
            </w:tcMar>
          </w:tcPr>
          <w:p w:rsidR="00230FAA" w:rsidRPr="00A90F4C" w:rsidRDefault="00230FAA" w:rsidP="00230FAA">
            <w:pPr>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rPr>
                <w:color w:val="002060"/>
                <w:sz w:val="16"/>
                <w:szCs w:val="16"/>
              </w:rPr>
            </w:pPr>
            <w:r w:rsidRPr="00A90F4C">
              <w:rPr>
                <w:color w:val="002060"/>
                <w:sz w:val="16"/>
                <w:szCs w:val="16"/>
              </w:rPr>
              <w:t>i)</w:t>
            </w:r>
            <w:r w:rsidRPr="00A90F4C">
              <w:rPr>
                <w:i/>
                <w:color w:val="002060"/>
                <w:sz w:val="16"/>
                <w:szCs w:val="16"/>
              </w:rPr>
              <w:t xml:space="preserve"> </w:t>
            </w:r>
            <w:r w:rsidRPr="00A90F4C">
              <w:rPr>
                <w:color w:val="002060"/>
                <w:sz w:val="16"/>
                <w:szCs w:val="16"/>
              </w:rPr>
              <w:t>217.600 visitantes diferentes en el sitio de Publicaciones de la OMPI en 2014/15</w:t>
            </w:r>
          </w:p>
          <w:p w:rsidR="00230FAA" w:rsidRPr="00A90F4C" w:rsidRDefault="00230FAA" w:rsidP="00230FAA">
            <w:pPr>
              <w:rPr>
                <w:i/>
                <w:color w:val="002060"/>
                <w:sz w:val="16"/>
                <w:szCs w:val="16"/>
              </w:rPr>
            </w:pPr>
            <w:r w:rsidRPr="00A90F4C">
              <w:rPr>
                <w:color w:val="002060"/>
                <w:sz w:val="16"/>
                <w:szCs w:val="16"/>
              </w:rPr>
              <w:t xml:space="preserve">ii) </w:t>
            </w:r>
            <w:r w:rsidRPr="00A90F4C">
              <w:rPr>
                <w:iCs/>
                <w:color w:val="002060"/>
                <w:sz w:val="16"/>
                <w:szCs w:val="16"/>
              </w:rPr>
              <w:t>1.024.790 visitantes diferentes en el sitio de la Revista de la OMPI durante 2014/15</w:t>
            </w:r>
          </w:p>
          <w:p w:rsidR="00230FAA" w:rsidRPr="00850AF5" w:rsidRDefault="00230FAA" w:rsidP="00230FAA">
            <w:pPr>
              <w:rPr>
                <w:sz w:val="16"/>
                <w:szCs w:val="16"/>
              </w:rPr>
            </w:pPr>
          </w:p>
          <w:p w:rsidR="00230FAA" w:rsidRPr="00850AF5" w:rsidRDefault="00230FAA" w:rsidP="00230FAA">
            <w:pPr>
              <w:rPr>
                <w:i/>
                <w:sz w:val="16"/>
                <w:szCs w:val="16"/>
                <w:lang w:bidi="th-TH"/>
              </w:rPr>
            </w:pPr>
            <w:r w:rsidRPr="00850AF5">
              <w:rPr>
                <w:i/>
                <w:sz w:val="16"/>
                <w:szCs w:val="16"/>
                <w:lang w:bidi="th-TH"/>
              </w:rPr>
              <w:t xml:space="preserve">Referencia original en el presupuesto de 2016/17:  </w:t>
            </w:r>
          </w:p>
          <w:p w:rsidR="00230FAA" w:rsidRPr="00850AF5" w:rsidRDefault="00230FAA" w:rsidP="00230FAA">
            <w:pPr>
              <w:rPr>
                <w:sz w:val="16"/>
                <w:szCs w:val="16"/>
              </w:rPr>
            </w:pPr>
            <w:r w:rsidRPr="00850AF5">
              <w:rPr>
                <w:sz w:val="16"/>
                <w:szCs w:val="16"/>
              </w:rPr>
              <w:t xml:space="preserve">i) 97.804 visitantes diferentes en el sitio web de las publicaciones;  </w:t>
            </w:r>
          </w:p>
          <w:p w:rsidR="00230FAA" w:rsidRPr="00850AF5" w:rsidRDefault="00230FAA" w:rsidP="00230FAA">
            <w:pPr>
              <w:spacing w:after="60"/>
              <w:rPr>
                <w:sz w:val="16"/>
                <w:szCs w:val="16"/>
              </w:rPr>
            </w:pPr>
            <w:r w:rsidRPr="00850AF5">
              <w:rPr>
                <w:sz w:val="16"/>
                <w:szCs w:val="16"/>
              </w:rPr>
              <w:t>ii) 432.342 visitantes diferentes en el sitio web de la Revista de la OMPI en 2014</w:t>
            </w:r>
          </w:p>
        </w:tc>
        <w:tc>
          <w:tcPr>
            <w:tcW w:w="868" w:type="pct"/>
            <w:shd w:val="clear" w:color="auto" w:fill="auto"/>
            <w:tcMar>
              <w:top w:w="110" w:type="dxa"/>
              <w:left w:w="58" w:type="dxa"/>
              <w:right w:w="58" w:type="dxa"/>
            </w:tcMar>
          </w:tcPr>
          <w:p w:rsidR="00230FAA" w:rsidRPr="00850AF5" w:rsidRDefault="00230FAA" w:rsidP="00230FAA">
            <w:pPr>
              <w:rPr>
                <w:sz w:val="16"/>
                <w:szCs w:val="16"/>
              </w:rPr>
            </w:pPr>
            <w:r w:rsidRPr="00850AF5">
              <w:rPr>
                <w:sz w:val="16"/>
                <w:szCs w:val="16"/>
              </w:rPr>
              <w:t xml:space="preserve">i) 20% de aumento en visitantes diferentes en el sitio web de las publicaciones;  </w:t>
            </w:r>
          </w:p>
          <w:p w:rsidR="00230FAA" w:rsidRPr="00850AF5" w:rsidRDefault="00230FAA" w:rsidP="00230FAA">
            <w:pPr>
              <w:rPr>
                <w:sz w:val="16"/>
                <w:szCs w:val="16"/>
              </w:rPr>
            </w:pPr>
          </w:p>
          <w:p w:rsidR="00230FAA" w:rsidRPr="00850AF5" w:rsidRDefault="00230FAA" w:rsidP="00230FAA">
            <w:pPr>
              <w:rPr>
                <w:sz w:val="16"/>
                <w:szCs w:val="16"/>
              </w:rPr>
            </w:pPr>
            <w:r w:rsidRPr="00850AF5">
              <w:rPr>
                <w:sz w:val="16"/>
                <w:szCs w:val="16"/>
              </w:rPr>
              <w:t xml:space="preserve">ii) 10% de aumento en visitantes diferentes en el sitio web de la Revista </w:t>
            </w:r>
          </w:p>
        </w:tc>
        <w:tc>
          <w:tcPr>
            <w:tcW w:w="1109" w:type="pct"/>
            <w:shd w:val="clear" w:color="auto" w:fill="FFFFFF"/>
            <w:tcMar>
              <w:top w:w="110" w:type="dxa"/>
              <w:left w:w="58" w:type="dxa"/>
              <w:right w:w="58" w:type="dxa"/>
            </w:tcMar>
          </w:tcPr>
          <w:p w:rsidR="00230FAA" w:rsidRPr="00850AF5" w:rsidRDefault="00230FAA" w:rsidP="00230FAA">
            <w:pPr>
              <w:keepNext/>
              <w:keepLines/>
              <w:rPr>
                <w:sz w:val="16"/>
              </w:rPr>
            </w:pPr>
            <w:r w:rsidRPr="00850AF5">
              <w:rPr>
                <w:sz w:val="16"/>
              </w:rPr>
              <w:t xml:space="preserve">i) 139.011 </w:t>
            </w:r>
            <w:r w:rsidRPr="00850AF5">
              <w:rPr>
                <w:sz w:val="16"/>
                <w:szCs w:val="16"/>
              </w:rPr>
              <w:t xml:space="preserve"> visitas únicas al sitio web de las publicaciones</w:t>
            </w:r>
            <w:r w:rsidRPr="00850AF5">
              <w:rPr>
                <w:sz w:val="16"/>
              </w:rPr>
              <w:t xml:space="preserve">  </w:t>
            </w:r>
          </w:p>
          <w:p w:rsidR="00230FAA" w:rsidRPr="00850AF5" w:rsidRDefault="00230FAA" w:rsidP="00230FAA">
            <w:pPr>
              <w:keepNext/>
              <w:keepLines/>
              <w:rPr>
                <w:sz w:val="16"/>
              </w:rPr>
            </w:pPr>
          </w:p>
          <w:p w:rsidR="00230FAA" w:rsidRPr="00850AF5" w:rsidRDefault="00230FAA" w:rsidP="00230FAA">
            <w:pPr>
              <w:keepNext/>
              <w:keepLines/>
              <w:rPr>
                <w:sz w:val="16"/>
              </w:rPr>
            </w:pPr>
          </w:p>
          <w:p w:rsidR="00230FAA" w:rsidRPr="00850AF5" w:rsidRDefault="00230FAA" w:rsidP="00230FAA">
            <w:pPr>
              <w:keepNext/>
              <w:keepLines/>
              <w:rPr>
                <w:sz w:val="16"/>
              </w:rPr>
            </w:pPr>
            <w:r w:rsidRPr="00850AF5">
              <w:rPr>
                <w:sz w:val="16"/>
              </w:rPr>
              <w:t>ii) 735.200 visitas únicas al sitio web de la Revista de la OMPI</w:t>
            </w:r>
          </w:p>
        </w:tc>
        <w:tc>
          <w:tcPr>
            <w:tcW w:w="723" w:type="pct"/>
            <w:shd w:val="clear" w:color="auto" w:fill="auto"/>
            <w:tcMar>
              <w:top w:w="110" w:type="dxa"/>
              <w:left w:w="58" w:type="dxa"/>
              <w:right w:w="58" w:type="dxa"/>
            </w:tcMar>
          </w:tcPr>
          <w:p w:rsidR="00230FAA" w:rsidRPr="00850AF5" w:rsidRDefault="00230FAA" w:rsidP="00230FAA">
            <w:pPr>
              <w:keepNext/>
              <w:keepLines/>
              <w:jc w:val="center"/>
              <w:rPr>
                <w:b/>
                <w:sz w:val="16"/>
                <w:szCs w:val="16"/>
              </w:rPr>
            </w:pPr>
            <w:r w:rsidRPr="00850AF5">
              <w:rPr>
                <w:b/>
                <w:color w:val="00B050"/>
                <w:sz w:val="16"/>
                <w:szCs w:val="16"/>
              </w:rPr>
              <w:t>Avanza</w:t>
            </w: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rPr>
                <w:b/>
                <w:sz w:val="16"/>
                <w:szCs w:val="16"/>
              </w:rPr>
            </w:pPr>
          </w:p>
          <w:p w:rsidR="00230FAA" w:rsidRPr="00850AF5" w:rsidRDefault="00230FAA" w:rsidP="00230FAA">
            <w:pPr>
              <w:keepNext/>
              <w:keepLines/>
              <w:rPr>
                <w:b/>
                <w:sz w:val="16"/>
                <w:szCs w:val="16"/>
              </w:rPr>
            </w:pPr>
          </w:p>
          <w:p w:rsidR="00230FAA" w:rsidRPr="00850AF5" w:rsidRDefault="00230FAA" w:rsidP="00230FAA">
            <w:pPr>
              <w:keepNext/>
              <w:keepLines/>
              <w:jc w:val="center"/>
              <w:rPr>
                <w:sz w:val="16"/>
                <w:szCs w:val="16"/>
              </w:rPr>
            </w:pPr>
            <w:r w:rsidRPr="00850AF5">
              <w:rPr>
                <w:b/>
                <w:color w:val="00B050"/>
                <w:sz w:val="16"/>
                <w:szCs w:val="16"/>
              </w:rPr>
              <w:t>Avanza</w:t>
            </w:r>
          </w:p>
        </w:tc>
      </w:tr>
      <w:tr w:rsidR="00230FAA" w:rsidRPr="00850AF5" w:rsidTr="00230FAA">
        <w:trPr>
          <w:trHeight w:val="4053"/>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t>Visitas a los contenidos fotográficos, de video y de prensa de la OMPI</w:t>
            </w:r>
          </w:p>
        </w:tc>
        <w:tc>
          <w:tcPr>
            <w:tcW w:w="1303" w:type="pct"/>
            <w:shd w:val="clear" w:color="auto" w:fill="auto"/>
            <w:tcMar>
              <w:left w:w="58" w:type="dxa"/>
              <w:right w:w="58" w:type="dxa"/>
            </w:tcMar>
          </w:tcPr>
          <w:p w:rsidR="00230FAA" w:rsidRPr="00A90F4C" w:rsidRDefault="00230FAA" w:rsidP="00230FAA">
            <w:pPr>
              <w:rPr>
                <w:i/>
                <w:color w:val="002060"/>
                <w:sz w:val="16"/>
                <w:szCs w:val="16"/>
              </w:rPr>
            </w:pPr>
            <w:r w:rsidRPr="00A90F4C">
              <w:rPr>
                <w:i/>
                <w:color w:val="002060"/>
                <w:sz w:val="16"/>
                <w:szCs w:val="16"/>
              </w:rPr>
              <w:t>Referencia actualizada a fines de 2015:</w:t>
            </w:r>
          </w:p>
          <w:p w:rsidR="00230FAA" w:rsidRPr="00A90F4C" w:rsidRDefault="00230FAA" w:rsidP="00230FAA">
            <w:pPr>
              <w:rPr>
                <w:color w:val="002060"/>
                <w:sz w:val="16"/>
                <w:szCs w:val="16"/>
              </w:rPr>
            </w:pPr>
            <w:r w:rsidRPr="00A90F4C">
              <w:rPr>
                <w:color w:val="002060"/>
                <w:sz w:val="16"/>
                <w:szCs w:val="16"/>
              </w:rPr>
              <w:t xml:space="preserve">i) 503.120 visitantes diferentes del contenido del sitio web del </w:t>
            </w:r>
            <w:r w:rsidRPr="00A90F4C">
              <w:rPr>
                <w:color w:val="002060"/>
              </w:rPr>
              <w:t xml:space="preserve"> </w:t>
            </w:r>
            <w:r w:rsidRPr="00A90F4C">
              <w:rPr>
                <w:color w:val="002060"/>
                <w:sz w:val="16"/>
                <w:szCs w:val="16"/>
              </w:rPr>
              <w:t>Centro de Medios de Comunicación (en todas las lenguas) en 2014/15</w:t>
            </w:r>
          </w:p>
          <w:p w:rsidR="00230FAA" w:rsidRPr="00A90F4C" w:rsidRDefault="00230FAA" w:rsidP="00230FAA">
            <w:pPr>
              <w:rPr>
                <w:color w:val="002060"/>
                <w:sz w:val="16"/>
                <w:szCs w:val="16"/>
              </w:rPr>
            </w:pPr>
            <w:r w:rsidRPr="00A90F4C">
              <w:rPr>
                <w:color w:val="002060"/>
                <w:sz w:val="16"/>
                <w:szCs w:val="16"/>
              </w:rPr>
              <w:t>ii) 473.360 visitas al canal de la OMPI en YouTube en 2014/15 (excl. preescolares)</w:t>
            </w:r>
          </w:p>
          <w:p w:rsidR="00230FAA" w:rsidRPr="00A90F4C" w:rsidRDefault="00230FAA" w:rsidP="00230FAA">
            <w:pPr>
              <w:rPr>
                <w:color w:val="002060"/>
                <w:sz w:val="16"/>
                <w:szCs w:val="16"/>
              </w:rPr>
            </w:pPr>
            <w:r w:rsidRPr="00A90F4C">
              <w:rPr>
                <w:color w:val="002060"/>
                <w:sz w:val="16"/>
                <w:szCs w:val="16"/>
              </w:rPr>
              <w:t>iii) 2,54 millones de visualizaciones de fotografías en Flickr en 2014/15 (3,44 millones de visualizaciones a fines de 2015)</w:t>
            </w:r>
          </w:p>
          <w:p w:rsidR="00230FAA" w:rsidRPr="00850AF5" w:rsidRDefault="00230FAA" w:rsidP="00230FAA">
            <w:pPr>
              <w:rPr>
                <w:sz w:val="16"/>
                <w:szCs w:val="16"/>
              </w:rPr>
            </w:pPr>
          </w:p>
          <w:p w:rsidR="00230FAA" w:rsidRPr="00850AF5" w:rsidRDefault="00230FAA" w:rsidP="00230FAA">
            <w:pPr>
              <w:rPr>
                <w:i/>
                <w:sz w:val="16"/>
                <w:szCs w:val="16"/>
                <w:lang w:bidi="th-TH"/>
              </w:rPr>
            </w:pPr>
            <w:r w:rsidRPr="00850AF5">
              <w:rPr>
                <w:i/>
                <w:sz w:val="16"/>
                <w:szCs w:val="16"/>
                <w:lang w:bidi="th-TH"/>
              </w:rPr>
              <w:t xml:space="preserve">Referencia original en el presupuesto de 2016/17:  </w:t>
            </w:r>
          </w:p>
          <w:p w:rsidR="00230FAA" w:rsidRPr="00850AF5" w:rsidRDefault="00230FAA" w:rsidP="00230FAA">
            <w:pPr>
              <w:spacing w:after="60"/>
              <w:rPr>
                <w:sz w:val="16"/>
                <w:szCs w:val="16"/>
              </w:rPr>
            </w:pPr>
            <w:r w:rsidRPr="00850AF5">
              <w:rPr>
                <w:sz w:val="16"/>
                <w:szCs w:val="16"/>
              </w:rPr>
              <w:t xml:space="preserve">i) 250.000  visitas únicas al contenido del sitio web del </w:t>
            </w:r>
            <w:r w:rsidRPr="00850AF5">
              <w:t xml:space="preserve"> </w:t>
            </w:r>
            <w:r w:rsidRPr="00850AF5">
              <w:rPr>
                <w:sz w:val="16"/>
                <w:szCs w:val="16"/>
              </w:rPr>
              <w:t xml:space="preserve">Centro de Medios de Comunicación (en todas las lenguas) en 2014 </w:t>
            </w:r>
            <w:r w:rsidRPr="00850AF5">
              <w:rPr>
                <w:sz w:val="16"/>
                <w:szCs w:val="16"/>
              </w:rPr>
              <w:br/>
              <w:t>ii) 467.180  visitas al canal de la OMPI en YouTube en 2013/14 (excl. preescolares)</w:t>
            </w:r>
            <w:r w:rsidRPr="00850AF5">
              <w:rPr>
                <w:sz w:val="16"/>
                <w:szCs w:val="16"/>
              </w:rPr>
              <w:br/>
              <w:t>iii) 1,44  millones más de visualizaciones de fotografías en Flickr en 2014 (2,41  millones de visualizaciones a fines de 2014)</w:t>
            </w:r>
          </w:p>
        </w:tc>
        <w:tc>
          <w:tcPr>
            <w:tcW w:w="868" w:type="pct"/>
            <w:shd w:val="clear" w:color="auto" w:fill="auto"/>
            <w:tcMar>
              <w:top w:w="110" w:type="dxa"/>
              <w:left w:w="58" w:type="dxa"/>
              <w:right w:w="58" w:type="dxa"/>
            </w:tcMar>
          </w:tcPr>
          <w:p w:rsidR="00230FAA" w:rsidRPr="00850AF5" w:rsidRDefault="00230FAA" w:rsidP="00230FAA">
            <w:pPr>
              <w:rPr>
                <w:sz w:val="16"/>
                <w:szCs w:val="16"/>
              </w:rPr>
            </w:pPr>
            <w:r w:rsidRPr="00850AF5">
              <w:rPr>
                <w:sz w:val="16"/>
                <w:szCs w:val="16"/>
              </w:rPr>
              <w:t xml:space="preserve">i) 10% de aumento de visitantes diferentes del contenido del sitio web del </w:t>
            </w:r>
            <w:r w:rsidRPr="00850AF5">
              <w:t xml:space="preserve"> </w:t>
            </w:r>
            <w:r w:rsidRPr="00850AF5">
              <w:rPr>
                <w:sz w:val="16"/>
                <w:szCs w:val="16"/>
              </w:rPr>
              <w:t xml:space="preserve">Centro de Medios de Comunicación </w:t>
            </w:r>
            <w:r w:rsidRPr="00850AF5">
              <w:rPr>
                <w:sz w:val="16"/>
                <w:szCs w:val="16"/>
              </w:rPr>
              <w:br/>
              <w:t xml:space="preserve">ii) 10% de aumento de las  visitas al canal de la OMPI en YouTube en 2013/14 (excl. preescolares) </w:t>
            </w:r>
            <w:r w:rsidRPr="00850AF5">
              <w:rPr>
                <w:sz w:val="16"/>
                <w:szCs w:val="16"/>
              </w:rPr>
              <w:br/>
              <w:t>iii) 2.5 millones de visualizaciones de fotografías en Flickr en 2016/17 (i.e. 5,94 millones de visualizaciones a fines de 2017)</w:t>
            </w:r>
          </w:p>
        </w:tc>
        <w:tc>
          <w:tcPr>
            <w:tcW w:w="1109" w:type="pct"/>
            <w:shd w:val="clear" w:color="auto" w:fill="FFFFFF"/>
            <w:tcMar>
              <w:top w:w="110" w:type="dxa"/>
              <w:left w:w="58" w:type="dxa"/>
              <w:right w:w="58" w:type="dxa"/>
            </w:tcMar>
          </w:tcPr>
          <w:p w:rsidR="00230FAA" w:rsidRPr="00850AF5" w:rsidRDefault="00230FAA" w:rsidP="00230FAA">
            <w:pPr>
              <w:keepNext/>
              <w:keepLines/>
              <w:rPr>
                <w:sz w:val="16"/>
                <w:szCs w:val="16"/>
              </w:rPr>
            </w:pPr>
            <w:r w:rsidRPr="00850AF5">
              <w:rPr>
                <w:sz w:val="16"/>
                <w:szCs w:val="16"/>
              </w:rPr>
              <w:t xml:space="preserve">i) 309.959  visitantes diferentes del contenido del sitio web del </w:t>
            </w:r>
            <w:r w:rsidRPr="00850AF5">
              <w:t xml:space="preserve"> </w:t>
            </w:r>
            <w:r w:rsidRPr="00850AF5">
              <w:rPr>
                <w:sz w:val="16"/>
                <w:szCs w:val="16"/>
              </w:rPr>
              <w:t xml:space="preserve">Centro de Medios de Comunicación  (en todas las lenguas) </w:t>
            </w: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r w:rsidRPr="00850AF5">
              <w:rPr>
                <w:sz w:val="16"/>
                <w:szCs w:val="16"/>
              </w:rPr>
              <w:t>ii)</w:t>
            </w:r>
            <w:r w:rsidRPr="00850AF5">
              <w:t xml:space="preserve"> </w:t>
            </w:r>
            <w:r w:rsidRPr="00850AF5">
              <w:rPr>
                <w:sz w:val="16"/>
                <w:szCs w:val="16"/>
              </w:rPr>
              <w:t xml:space="preserve">238.734  visitas al canal de la OMPI en YouTube (excl. preescolares) </w:t>
            </w: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r w:rsidRPr="00850AF5">
              <w:rPr>
                <w:sz w:val="16"/>
                <w:szCs w:val="16"/>
              </w:rPr>
              <w:t>iii)  1.284.855  visualizaciones de fotografías en Flickr  (4.646.055  visualizaciones a fines de 2016)</w:t>
            </w: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p>
        </w:tc>
        <w:tc>
          <w:tcPr>
            <w:tcW w:w="723" w:type="pct"/>
            <w:shd w:val="clear" w:color="auto" w:fill="auto"/>
            <w:tcMar>
              <w:top w:w="110" w:type="dxa"/>
              <w:left w:w="58" w:type="dxa"/>
              <w:right w:w="58" w:type="dxa"/>
            </w:tcMar>
          </w:tcPr>
          <w:p w:rsidR="00230FAA" w:rsidRPr="00850AF5" w:rsidRDefault="00230FAA" w:rsidP="00230FAA">
            <w:pPr>
              <w:keepNext/>
              <w:keepLines/>
              <w:jc w:val="center"/>
              <w:rPr>
                <w:b/>
                <w:sz w:val="16"/>
                <w:szCs w:val="16"/>
              </w:rPr>
            </w:pPr>
            <w:r w:rsidRPr="00850AF5">
              <w:rPr>
                <w:b/>
                <w:color w:val="00B050"/>
                <w:sz w:val="16"/>
                <w:szCs w:val="16"/>
              </w:rPr>
              <w:t>Avanza</w:t>
            </w: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r w:rsidRPr="00850AF5">
              <w:rPr>
                <w:b/>
                <w:color w:val="00B050"/>
                <w:sz w:val="16"/>
                <w:szCs w:val="16"/>
              </w:rPr>
              <w:t>Avanza</w:t>
            </w:r>
          </w:p>
          <w:p w:rsidR="00230FAA" w:rsidRPr="00850AF5" w:rsidRDefault="00230FAA" w:rsidP="00230FAA">
            <w:pPr>
              <w:keepNext/>
              <w:keepLines/>
              <w:jc w:val="center"/>
              <w:rPr>
                <w:b/>
                <w:sz w:val="16"/>
                <w:szCs w:val="16"/>
              </w:rPr>
            </w:pPr>
          </w:p>
          <w:p w:rsidR="00230FAA" w:rsidRPr="00850AF5" w:rsidRDefault="00230FAA" w:rsidP="00230FAA">
            <w:pPr>
              <w:keepNext/>
              <w:keepLines/>
              <w:rPr>
                <w:b/>
                <w:sz w:val="16"/>
                <w:szCs w:val="16"/>
              </w:rPr>
            </w:pPr>
          </w:p>
          <w:p w:rsidR="00230FAA" w:rsidRPr="00850AF5" w:rsidRDefault="00230FAA" w:rsidP="00230FAA">
            <w:pPr>
              <w:keepNext/>
              <w:keepLines/>
              <w:rPr>
                <w:b/>
                <w:sz w:val="16"/>
                <w:szCs w:val="16"/>
              </w:rPr>
            </w:pPr>
          </w:p>
          <w:p w:rsidR="00230FAA" w:rsidRPr="00850AF5" w:rsidRDefault="00230FAA" w:rsidP="00230FAA">
            <w:pPr>
              <w:keepNext/>
              <w:keepLines/>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sz w:val="16"/>
                <w:szCs w:val="16"/>
              </w:rPr>
            </w:pPr>
            <w:r w:rsidRPr="00850AF5">
              <w:rPr>
                <w:b/>
                <w:color w:val="00B050"/>
                <w:sz w:val="16"/>
                <w:szCs w:val="16"/>
              </w:rPr>
              <w:t>Avanza</w:t>
            </w:r>
          </w:p>
        </w:tc>
      </w:tr>
      <w:tr w:rsidR="00230FAA" w:rsidRPr="00850AF5" w:rsidTr="00230FAA">
        <w:trPr>
          <w:trHeight w:val="746"/>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t>Menos usuarios que dejan el sitio web de la OMPI directamente desde el portal y las principales páginas de acceso</w:t>
            </w:r>
          </w:p>
        </w:tc>
        <w:tc>
          <w:tcPr>
            <w:tcW w:w="1303" w:type="pct"/>
            <w:shd w:val="clear" w:color="auto" w:fill="auto"/>
            <w:tcMar>
              <w:left w:w="58" w:type="dxa"/>
              <w:right w:w="58" w:type="dxa"/>
            </w:tcMar>
          </w:tcPr>
          <w:p w:rsidR="00230FAA" w:rsidRPr="00A90F4C" w:rsidRDefault="00230FAA" w:rsidP="00230FAA">
            <w:pPr>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rPr>
                <w:color w:val="002060"/>
                <w:sz w:val="16"/>
                <w:szCs w:val="16"/>
              </w:rPr>
            </w:pPr>
            <w:r w:rsidRPr="00A90F4C">
              <w:rPr>
                <w:color w:val="002060"/>
                <w:sz w:val="16"/>
                <w:szCs w:val="16"/>
              </w:rPr>
              <w:t xml:space="preserve">i) Tasa de rebotes del portal 29.8% </w:t>
            </w:r>
          </w:p>
          <w:p w:rsidR="00230FAA" w:rsidRPr="00A90F4C" w:rsidRDefault="00230FAA" w:rsidP="00230FAA">
            <w:pPr>
              <w:rPr>
                <w:color w:val="002060"/>
                <w:sz w:val="16"/>
                <w:szCs w:val="16"/>
              </w:rPr>
            </w:pPr>
            <w:r w:rsidRPr="00A90F4C">
              <w:rPr>
                <w:color w:val="002060"/>
                <w:sz w:val="16"/>
                <w:szCs w:val="16"/>
              </w:rPr>
              <w:t xml:space="preserve">ii) Tasa de salidas desde las páginas de acceso (EN):  </w:t>
            </w:r>
          </w:p>
          <w:p w:rsidR="00230FAA" w:rsidRPr="00A90F4C" w:rsidRDefault="00230FAA" w:rsidP="00230FAA">
            <w:pPr>
              <w:rPr>
                <w:color w:val="002060"/>
                <w:sz w:val="16"/>
                <w:szCs w:val="16"/>
              </w:rPr>
            </w:pPr>
            <w:r w:rsidRPr="00A90F4C">
              <w:rPr>
                <w:color w:val="002060"/>
                <w:sz w:val="16"/>
                <w:szCs w:val="16"/>
              </w:rPr>
              <w:t>- Servicios:  16,6%</w:t>
            </w:r>
          </w:p>
          <w:p w:rsidR="00230FAA" w:rsidRPr="00A90F4C" w:rsidRDefault="00230FAA" w:rsidP="00230FAA">
            <w:pPr>
              <w:rPr>
                <w:color w:val="002060"/>
                <w:sz w:val="16"/>
                <w:szCs w:val="16"/>
              </w:rPr>
            </w:pPr>
            <w:r w:rsidRPr="00A90F4C">
              <w:rPr>
                <w:color w:val="002060"/>
                <w:sz w:val="16"/>
                <w:szCs w:val="16"/>
              </w:rPr>
              <w:t>- Política:  27,2%</w:t>
            </w:r>
          </w:p>
          <w:p w:rsidR="00230FAA" w:rsidRPr="00A90F4C" w:rsidRDefault="00230FAA" w:rsidP="00230FAA">
            <w:pPr>
              <w:rPr>
                <w:color w:val="002060"/>
                <w:sz w:val="16"/>
                <w:szCs w:val="16"/>
              </w:rPr>
            </w:pPr>
            <w:r w:rsidRPr="00A90F4C">
              <w:rPr>
                <w:color w:val="002060"/>
                <w:sz w:val="16"/>
                <w:szCs w:val="16"/>
              </w:rPr>
              <w:t>- Cooperación:  20,1%</w:t>
            </w:r>
          </w:p>
          <w:p w:rsidR="00230FAA" w:rsidRPr="00A90F4C" w:rsidRDefault="00230FAA" w:rsidP="00230FAA">
            <w:pPr>
              <w:rPr>
                <w:color w:val="002060"/>
                <w:sz w:val="16"/>
                <w:szCs w:val="16"/>
              </w:rPr>
            </w:pPr>
            <w:r w:rsidRPr="00A90F4C">
              <w:rPr>
                <w:color w:val="002060"/>
                <w:sz w:val="16"/>
                <w:szCs w:val="16"/>
              </w:rPr>
              <w:t>- Referencias:  29,1%</w:t>
            </w:r>
          </w:p>
          <w:p w:rsidR="00230FAA" w:rsidRPr="00A90F4C" w:rsidRDefault="00230FAA" w:rsidP="00230FAA">
            <w:pPr>
              <w:rPr>
                <w:color w:val="002060"/>
                <w:sz w:val="16"/>
                <w:szCs w:val="16"/>
              </w:rPr>
            </w:pPr>
            <w:r w:rsidRPr="00A90F4C">
              <w:rPr>
                <w:color w:val="002060"/>
                <w:sz w:val="16"/>
                <w:szCs w:val="16"/>
              </w:rPr>
              <w:t>- Sobre la P.I.:  59,9%</w:t>
            </w:r>
          </w:p>
          <w:p w:rsidR="00230FAA" w:rsidRPr="00A90F4C" w:rsidRDefault="00230FAA" w:rsidP="00230FAA">
            <w:pPr>
              <w:rPr>
                <w:color w:val="002060"/>
                <w:sz w:val="16"/>
                <w:szCs w:val="16"/>
              </w:rPr>
            </w:pPr>
            <w:r w:rsidRPr="00A90F4C">
              <w:rPr>
                <w:color w:val="002060"/>
                <w:sz w:val="16"/>
                <w:szCs w:val="16"/>
              </w:rPr>
              <w:t>- La OMPI por dentro:  26,1%</w:t>
            </w:r>
          </w:p>
          <w:p w:rsidR="00230FAA" w:rsidRPr="00850AF5" w:rsidRDefault="00230FAA" w:rsidP="00230FAA">
            <w:pPr>
              <w:rPr>
                <w:sz w:val="16"/>
                <w:szCs w:val="16"/>
              </w:rPr>
            </w:pPr>
          </w:p>
          <w:p w:rsidR="00230FAA" w:rsidRPr="00850AF5" w:rsidRDefault="00230FAA" w:rsidP="00230FAA">
            <w:pPr>
              <w:rPr>
                <w:i/>
                <w:sz w:val="16"/>
                <w:szCs w:val="16"/>
                <w:lang w:bidi="th-TH"/>
              </w:rPr>
            </w:pPr>
            <w:r w:rsidRPr="00850AF5">
              <w:rPr>
                <w:i/>
                <w:sz w:val="16"/>
                <w:szCs w:val="16"/>
                <w:lang w:bidi="th-TH"/>
              </w:rPr>
              <w:t xml:space="preserve">Referencia original en el presupuesto de 2016/17:  </w:t>
            </w:r>
          </w:p>
          <w:p w:rsidR="00230FAA" w:rsidRPr="00850AF5" w:rsidRDefault="00230FAA" w:rsidP="00230FAA">
            <w:pPr>
              <w:rPr>
                <w:sz w:val="16"/>
                <w:szCs w:val="16"/>
              </w:rPr>
            </w:pPr>
            <w:r w:rsidRPr="00850AF5">
              <w:rPr>
                <w:sz w:val="16"/>
                <w:szCs w:val="16"/>
              </w:rPr>
              <w:t>i)  Tasa de rebotes del portal 25,1%</w:t>
            </w:r>
          </w:p>
          <w:p w:rsidR="00230FAA" w:rsidRPr="00850AF5" w:rsidRDefault="00230FAA" w:rsidP="00230FAA">
            <w:pPr>
              <w:rPr>
                <w:sz w:val="16"/>
                <w:szCs w:val="16"/>
              </w:rPr>
            </w:pPr>
            <w:r w:rsidRPr="00850AF5">
              <w:rPr>
                <w:sz w:val="16"/>
                <w:szCs w:val="16"/>
              </w:rPr>
              <w:t xml:space="preserve">ii) Tasas de salidas desde las páginas de acceso:  </w:t>
            </w:r>
          </w:p>
          <w:p w:rsidR="00230FAA" w:rsidRPr="00850AF5" w:rsidRDefault="00230FAA" w:rsidP="00230FAA">
            <w:pPr>
              <w:rPr>
                <w:sz w:val="16"/>
                <w:szCs w:val="16"/>
              </w:rPr>
            </w:pPr>
            <w:r w:rsidRPr="00850AF5">
              <w:rPr>
                <w:sz w:val="16"/>
                <w:szCs w:val="16"/>
              </w:rPr>
              <w:lastRenderedPageBreak/>
              <w:t xml:space="preserve">Servicios:  13%;  </w:t>
            </w:r>
          </w:p>
          <w:p w:rsidR="00230FAA" w:rsidRPr="00850AF5" w:rsidRDefault="00230FAA" w:rsidP="00230FAA">
            <w:pPr>
              <w:rPr>
                <w:sz w:val="16"/>
                <w:szCs w:val="16"/>
              </w:rPr>
            </w:pPr>
            <w:r w:rsidRPr="00850AF5">
              <w:rPr>
                <w:sz w:val="16"/>
                <w:szCs w:val="16"/>
              </w:rPr>
              <w:t xml:space="preserve">Política:  16,9%;  </w:t>
            </w:r>
          </w:p>
          <w:p w:rsidR="00230FAA" w:rsidRPr="00850AF5" w:rsidRDefault="00230FAA" w:rsidP="00230FAA">
            <w:pPr>
              <w:rPr>
                <w:sz w:val="16"/>
                <w:szCs w:val="16"/>
              </w:rPr>
            </w:pPr>
            <w:r w:rsidRPr="00850AF5">
              <w:rPr>
                <w:sz w:val="16"/>
                <w:szCs w:val="16"/>
              </w:rPr>
              <w:t xml:space="preserve">Cooperación:  15,3%;  Referencias:  19,1%;  </w:t>
            </w:r>
          </w:p>
          <w:p w:rsidR="00230FAA" w:rsidRPr="00850AF5" w:rsidRDefault="00230FAA" w:rsidP="00230FAA">
            <w:pPr>
              <w:rPr>
                <w:sz w:val="16"/>
                <w:szCs w:val="16"/>
              </w:rPr>
            </w:pPr>
            <w:r w:rsidRPr="00850AF5">
              <w:rPr>
                <w:sz w:val="16"/>
                <w:szCs w:val="16"/>
              </w:rPr>
              <w:t xml:space="preserve">Sobre la P.I.:  55,1%; </w:t>
            </w:r>
          </w:p>
          <w:p w:rsidR="00230FAA" w:rsidRPr="00850AF5" w:rsidRDefault="00230FAA" w:rsidP="00230FAA">
            <w:pPr>
              <w:spacing w:after="60"/>
              <w:rPr>
                <w:sz w:val="16"/>
                <w:szCs w:val="16"/>
              </w:rPr>
            </w:pPr>
            <w:r w:rsidRPr="00850AF5">
              <w:rPr>
                <w:sz w:val="16"/>
                <w:szCs w:val="16"/>
              </w:rPr>
              <w:t>La OMPI por dentro:  23,5%</w:t>
            </w:r>
          </w:p>
        </w:tc>
        <w:tc>
          <w:tcPr>
            <w:tcW w:w="868" w:type="pct"/>
            <w:shd w:val="clear" w:color="auto" w:fill="auto"/>
            <w:tcMar>
              <w:top w:w="110" w:type="dxa"/>
              <w:left w:w="58" w:type="dxa"/>
              <w:right w:w="58" w:type="dxa"/>
            </w:tcMar>
          </w:tcPr>
          <w:p w:rsidR="00230FAA" w:rsidRPr="00850AF5" w:rsidRDefault="00230FAA" w:rsidP="00230FAA">
            <w:pPr>
              <w:rPr>
                <w:sz w:val="16"/>
                <w:szCs w:val="16"/>
              </w:rPr>
            </w:pPr>
            <w:r w:rsidRPr="00850AF5">
              <w:rPr>
                <w:sz w:val="16"/>
                <w:szCs w:val="16"/>
              </w:rPr>
              <w:lastRenderedPageBreak/>
              <w:t xml:space="preserve">i)  tasa estable de rebotes del portal;  </w:t>
            </w:r>
          </w:p>
          <w:p w:rsidR="00230FAA" w:rsidRPr="00850AF5" w:rsidRDefault="00230FAA" w:rsidP="00230FAA">
            <w:pPr>
              <w:rPr>
                <w:sz w:val="16"/>
                <w:szCs w:val="16"/>
              </w:rPr>
            </w:pPr>
          </w:p>
          <w:p w:rsidR="00230FAA" w:rsidRPr="00850AF5" w:rsidRDefault="00230FAA" w:rsidP="00230FAA">
            <w:pPr>
              <w:rPr>
                <w:sz w:val="16"/>
                <w:szCs w:val="16"/>
              </w:rPr>
            </w:pPr>
            <w:r w:rsidRPr="00850AF5">
              <w:rPr>
                <w:sz w:val="16"/>
                <w:szCs w:val="16"/>
              </w:rPr>
              <w:t>ii)  tasa estable de salidas desde la página de acceso por cada uno de los 6 principales ámbitos del sitio web (Servicios de P.I., Política, Cooperación, Referencias, Sobre la P.I., La OMPI por dentro)</w:t>
            </w:r>
          </w:p>
        </w:tc>
        <w:tc>
          <w:tcPr>
            <w:tcW w:w="1109" w:type="pct"/>
            <w:shd w:val="clear" w:color="auto" w:fill="FFFFFF"/>
            <w:tcMar>
              <w:top w:w="110" w:type="dxa"/>
              <w:left w:w="58" w:type="dxa"/>
              <w:right w:w="58" w:type="dxa"/>
            </w:tcMar>
          </w:tcPr>
          <w:p w:rsidR="00230FAA" w:rsidRPr="00850AF5" w:rsidRDefault="00230FAA" w:rsidP="00230FAA">
            <w:pPr>
              <w:keepNext/>
              <w:keepLines/>
              <w:rPr>
                <w:sz w:val="16"/>
                <w:szCs w:val="16"/>
              </w:rPr>
            </w:pPr>
            <w:r w:rsidRPr="00850AF5">
              <w:rPr>
                <w:sz w:val="16"/>
                <w:szCs w:val="16"/>
              </w:rPr>
              <w:t>i)  Tasa de rebotes del portal: 29,1% (EN)</w:t>
            </w: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r w:rsidRPr="00850AF5">
              <w:rPr>
                <w:sz w:val="16"/>
                <w:szCs w:val="16"/>
              </w:rPr>
              <w:t>ii)  Tasa de salidas desde las principales páginas de acceso:</w:t>
            </w:r>
          </w:p>
          <w:p w:rsidR="00230FAA" w:rsidRPr="00850AF5" w:rsidRDefault="00230FAA" w:rsidP="00230FAA">
            <w:pPr>
              <w:keepNext/>
              <w:keepLines/>
              <w:rPr>
                <w:sz w:val="16"/>
                <w:szCs w:val="16"/>
              </w:rPr>
            </w:pPr>
          </w:p>
          <w:p w:rsidR="00230FAA" w:rsidRPr="00850AF5" w:rsidRDefault="00230FAA" w:rsidP="00230FAA">
            <w:pPr>
              <w:keepNext/>
              <w:keepLines/>
              <w:spacing w:after="120"/>
              <w:rPr>
                <w:sz w:val="16"/>
                <w:szCs w:val="16"/>
              </w:rPr>
            </w:pPr>
            <w:r w:rsidRPr="00850AF5">
              <w:rPr>
                <w:sz w:val="16"/>
                <w:szCs w:val="16"/>
              </w:rPr>
              <w:t>- Servicios:  14,9%</w:t>
            </w:r>
          </w:p>
          <w:p w:rsidR="00230FAA" w:rsidRPr="00850AF5" w:rsidRDefault="00230FAA" w:rsidP="00230FAA">
            <w:pPr>
              <w:keepNext/>
              <w:keepLines/>
              <w:spacing w:after="120"/>
              <w:rPr>
                <w:sz w:val="16"/>
                <w:szCs w:val="16"/>
              </w:rPr>
            </w:pPr>
            <w:r w:rsidRPr="00850AF5">
              <w:rPr>
                <w:sz w:val="16"/>
                <w:szCs w:val="16"/>
              </w:rPr>
              <w:t>- Política:  18,4%</w:t>
            </w:r>
          </w:p>
          <w:p w:rsidR="00230FAA" w:rsidRPr="00850AF5" w:rsidRDefault="00230FAA" w:rsidP="00230FAA">
            <w:pPr>
              <w:keepNext/>
              <w:keepLines/>
              <w:spacing w:after="120"/>
              <w:rPr>
                <w:sz w:val="16"/>
                <w:szCs w:val="16"/>
              </w:rPr>
            </w:pPr>
            <w:r w:rsidRPr="00850AF5">
              <w:rPr>
                <w:sz w:val="16"/>
                <w:szCs w:val="16"/>
              </w:rPr>
              <w:t>- Cooperación:  17,8%</w:t>
            </w:r>
          </w:p>
          <w:p w:rsidR="00230FAA" w:rsidRPr="00850AF5" w:rsidRDefault="00230FAA" w:rsidP="00230FAA">
            <w:pPr>
              <w:keepNext/>
              <w:keepLines/>
              <w:spacing w:after="120"/>
              <w:rPr>
                <w:sz w:val="16"/>
                <w:szCs w:val="16"/>
              </w:rPr>
            </w:pPr>
            <w:r w:rsidRPr="00850AF5">
              <w:rPr>
                <w:sz w:val="16"/>
                <w:szCs w:val="16"/>
              </w:rPr>
              <w:t>- Referencias:  15,6%</w:t>
            </w:r>
          </w:p>
          <w:p w:rsidR="00230FAA" w:rsidRPr="00850AF5" w:rsidRDefault="00230FAA" w:rsidP="00230FAA">
            <w:pPr>
              <w:keepNext/>
              <w:keepLines/>
              <w:spacing w:after="120"/>
              <w:rPr>
                <w:sz w:val="16"/>
                <w:szCs w:val="16"/>
              </w:rPr>
            </w:pPr>
            <w:r w:rsidRPr="00850AF5">
              <w:rPr>
                <w:sz w:val="16"/>
                <w:szCs w:val="16"/>
              </w:rPr>
              <w:t>- Sobre la P.I.:  64%</w:t>
            </w:r>
          </w:p>
          <w:p w:rsidR="00230FAA" w:rsidRPr="00850AF5" w:rsidRDefault="00230FAA" w:rsidP="00230FAA">
            <w:pPr>
              <w:keepNext/>
              <w:keepLines/>
              <w:rPr>
                <w:sz w:val="16"/>
                <w:szCs w:val="16"/>
              </w:rPr>
            </w:pPr>
            <w:r w:rsidRPr="00850AF5">
              <w:rPr>
                <w:sz w:val="16"/>
                <w:szCs w:val="16"/>
              </w:rPr>
              <w:t>- La OMPI por dentro:  32,8%</w:t>
            </w: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p>
        </w:tc>
        <w:tc>
          <w:tcPr>
            <w:tcW w:w="723" w:type="pct"/>
            <w:shd w:val="clear" w:color="auto" w:fill="auto"/>
            <w:tcMar>
              <w:top w:w="110" w:type="dxa"/>
              <w:left w:w="58" w:type="dxa"/>
              <w:right w:w="58" w:type="dxa"/>
            </w:tcMar>
          </w:tcPr>
          <w:p w:rsidR="00230FAA" w:rsidRPr="00850AF5" w:rsidRDefault="00230FAA" w:rsidP="00230FAA">
            <w:pPr>
              <w:keepNext/>
              <w:keepLines/>
              <w:jc w:val="center"/>
              <w:rPr>
                <w:b/>
                <w:sz w:val="16"/>
                <w:szCs w:val="16"/>
              </w:rPr>
            </w:pPr>
            <w:r w:rsidRPr="00850AF5">
              <w:rPr>
                <w:b/>
                <w:color w:val="00B050"/>
                <w:sz w:val="16"/>
                <w:szCs w:val="16"/>
              </w:rPr>
              <w:t>Avanza</w:t>
            </w: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spacing w:after="120"/>
              <w:jc w:val="center"/>
              <w:rPr>
                <w:b/>
                <w:sz w:val="16"/>
                <w:szCs w:val="16"/>
              </w:rPr>
            </w:pPr>
          </w:p>
          <w:p w:rsidR="00230FAA" w:rsidRPr="00850AF5" w:rsidRDefault="00230FAA" w:rsidP="00230FAA">
            <w:pPr>
              <w:keepNext/>
              <w:keepLines/>
              <w:spacing w:after="120"/>
              <w:jc w:val="center"/>
              <w:rPr>
                <w:b/>
                <w:sz w:val="16"/>
                <w:szCs w:val="16"/>
              </w:rPr>
            </w:pPr>
            <w:r w:rsidRPr="00850AF5">
              <w:rPr>
                <w:b/>
                <w:color w:val="00B050"/>
                <w:sz w:val="16"/>
                <w:szCs w:val="16"/>
              </w:rPr>
              <w:t>Avanza</w:t>
            </w:r>
          </w:p>
          <w:p w:rsidR="00230FAA" w:rsidRPr="00850AF5" w:rsidRDefault="00230FAA" w:rsidP="00230FAA">
            <w:pPr>
              <w:keepNext/>
              <w:keepLines/>
              <w:spacing w:after="120"/>
              <w:jc w:val="center"/>
              <w:rPr>
                <w:b/>
                <w:sz w:val="16"/>
                <w:szCs w:val="16"/>
              </w:rPr>
            </w:pPr>
            <w:r w:rsidRPr="00850AF5">
              <w:rPr>
                <w:b/>
                <w:color w:val="00B050"/>
                <w:sz w:val="16"/>
                <w:szCs w:val="16"/>
              </w:rPr>
              <w:t>Avanza</w:t>
            </w:r>
          </w:p>
          <w:p w:rsidR="00230FAA" w:rsidRPr="00850AF5" w:rsidRDefault="00230FAA" w:rsidP="00230FAA">
            <w:pPr>
              <w:keepNext/>
              <w:keepLines/>
              <w:spacing w:after="120"/>
              <w:jc w:val="center"/>
              <w:rPr>
                <w:b/>
                <w:sz w:val="16"/>
                <w:szCs w:val="16"/>
              </w:rPr>
            </w:pPr>
            <w:r w:rsidRPr="00850AF5">
              <w:rPr>
                <w:b/>
                <w:color w:val="00B050"/>
                <w:sz w:val="16"/>
                <w:szCs w:val="16"/>
              </w:rPr>
              <w:t>Avanza</w:t>
            </w:r>
          </w:p>
          <w:p w:rsidR="00230FAA" w:rsidRPr="00850AF5" w:rsidRDefault="00230FAA" w:rsidP="00230FAA">
            <w:pPr>
              <w:keepNext/>
              <w:keepLines/>
              <w:spacing w:after="120"/>
              <w:jc w:val="center"/>
              <w:rPr>
                <w:b/>
                <w:sz w:val="16"/>
                <w:szCs w:val="16"/>
              </w:rPr>
            </w:pPr>
            <w:r w:rsidRPr="00850AF5">
              <w:rPr>
                <w:b/>
                <w:color w:val="00B050"/>
                <w:sz w:val="16"/>
                <w:szCs w:val="16"/>
              </w:rPr>
              <w:t>Avanza</w:t>
            </w:r>
            <w:r w:rsidR="00710EF9">
              <w:rPr>
                <w:b/>
                <w:color w:val="00B050"/>
                <w:sz w:val="16"/>
                <w:szCs w:val="16"/>
              </w:rPr>
              <w:br/>
            </w:r>
            <w:r w:rsidR="00710EF9">
              <w:rPr>
                <w:b/>
                <w:color w:val="FF0000"/>
                <w:sz w:val="16"/>
                <w:szCs w:val="16"/>
              </w:rPr>
              <w:br/>
            </w:r>
            <w:r w:rsidRPr="00850AF5">
              <w:rPr>
                <w:b/>
                <w:color w:val="FF0000"/>
                <w:sz w:val="16"/>
                <w:szCs w:val="16"/>
              </w:rPr>
              <w:t>No avanza</w:t>
            </w:r>
          </w:p>
          <w:p w:rsidR="00230FAA" w:rsidRPr="00850AF5" w:rsidRDefault="00230FAA" w:rsidP="00230FAA">
            <w:pPr>
              <w:keepNext/>
              <w:keepLines/>
              <w:jc w:val="center"/>
              <w:rPr>
                <w:b/>
                <w:sz w:val="16"/>
                <w:szCs w:val="16"/>
              </w:rPr>
            </w:pPr>
            <w:r w:rsidRPr="00850AF5">
              <w:rPr>
                <w:b/>
                <w:color w:val="FF0000"/>
                <w:sz w:val="16"/>
                <w:szCs w:val="16"/>
              </w:rPr>
              <w:t>No avanza</w:t>
            </w:r>
          </w:p>
          <w:p w:rsidR="00230FAA" w:rsidRPr="00850AF5" w:rsidRDefault="00230FAA" w:rsidP="00230FAA">
            <w:pPr>
              <w:keepNext/>
              <w:keepLines/>
              <w:jc w:val="center"/>
              <w:rPr>
                <w:b/>
                <w:sz w:val="16"/>
                <w:szCs w:val="16"/>
              </w:rPr>
            </w:pPr>
          </w:p>
        </w:tc>
      </w:tr>
      <w:tr w:rsidR="00230FAA" w:rsidRPr="00850AF5" w:rsidTr="00230FAA">
        <w:trPr>
          <w:trHeight w:val="2680"/>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lastRenderedPageBreak/>
              <w:t>Influencia de la OMPI y participación de los sectores interesados en las redes sociales</w:t>
            </w:r>
          </w:p>
        </w:tc>
        <w:tc>
          <w:tcPr>
            <w:tcW w:w="1303" w:type="pct"/>
            <w:shd w:val="clear" w:color="auto" w:fill="auto"/>
            <w:tcMar>
              <w:left w:w="58" w:type="dxa"/>
              <w:right w:w="58" w:type="dxa"/>
            </w:tcMar>
          </w:tcPr>
          <w:p w:rsidR="00230FAA" w:rsidRPr="00A90F4C" w:rsidRDefault="00230FAA" w:rsidP="00230FAA">
            <w:pPr>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rPr>
                <w:color w:val="002060"/>
                <w:sz w:val="16"/>
                <w:szCs w:val="16"/>
              </w:rPr>
            </w:pPr>
            <w:r w:rsidRPr="00A90F4C">
              <w:rPr>
                <w:color w:val="002060"/>
                <w:sz w:val="16"/>
                <w:szCs w:val="16"/>
              </w:rPr>
              <w:t>i) número de favoritos en 2015:  6.420 (2014 = 5.121)</w:t>
            </w:r>
          </w:p>
          <w:p w:rsidR="00230FAA" w:rsidRPr="00A90F4C" w:rsidRDefault="00230FAA" w:rsidP="00230FAA">
            <w:pPr>
              <w:ind w:right="-58"/>
              <w:rPr>
                <w:color w:val="002060"/>
                <w:sz w:val="16"/>
                <w:szCs w:val="16"/>
              </w:rPr>
            </w:pPr>
            <w:r w:rsidRPr="00A90F4C">
              <w:rPr>
                <w:color w:val="002060"/>
                <w:sz w:val="16"/>
                <w:szCs w:val="16"/>
              </w:rPr>
              <w:t>Promedio anual 2014/15 = 5.770</w:t>
            </w:r>
          </w:p>
          <w:p w:rsidR="00230FAA" w:rsidRPr="00A90F4C" w:rsidRDefault="00230FAA" w:rsidP="00230FAA">
            <w:pPr>
              <w:rPr>
                <w:color w:val="002060"/>
                <w:sz w:val="16"/>
                <w:szCs w:val="16"/>
              </w:rPr>
            </w:pPr>
            <w:r w:rsidRPr="00A90F4C">
              <w:rPr>
                <w:color w:val="002060"/>
                <w:sz w:val="16"/>
                <w:szCs w:val="16"/>
              </w:rPr>
              <w:t>ii) total de retuiteos en 2015:  14.820 (2014 = 11.920)</w:t>
            </w:r>
          </w:p>
          <w:p w:rsidR="00230FAA" w:rsidRPr="00A90F4C" w:rsidRDefault="00230FAA" w:rsidP="00230FAA">
            <w:pPr>
              <w:rPr>
                <w:color w:val="002060"/>
                <w:sz w:val="16"/>
                <w:szCs w:val="16"/>
              </w:rPr>
            </w:pPr>
            <w:r w:rsidRPr="00A90F4C">
              <w:rPr>
                <w:color w:val="002060"/>
                <w:sz w:val="16"/>
                <w:szCs w:val="16"/>
              </w:rPr>
              <w:t>Promedio anual 2014/15 = 13.370</w:t>
            </w:r>
          </w:p>
          <w:p w:rsidR="00230FAA" w:rsidRPr="00850AF5" w:rsidRDefault="00230FAA" w:rsidP="00230FAA">
            <w:pPr>
              <w:rPr>
                <w:i/>
                <w:sz w:val="16"/>
                <w:szCs w:val="16"/>
                <w:lang w:bidi="th-TH"/>
              </w:rPr>
            </w:pPr>
          </w:p>
          <w:p w:rsidR="00230FAA" w:rsidRPr="00850AF5" w:rsidRDefault="00230FAA" w:rsidP="00230FAA">
            <w:pPr>
              <w:rPr>
                <w:i/>
                <w:sz w:val="16"/>
                <w:szCs w:val="16"/>
                <w:lang w:bidi="th-TH"/>
              </w:rPr>
            </w:pPr>
            <w:r w:rsidRPr="00850AF5">
              <w:rPr>
                <w:i/>
                <w:sz w:val="16"/>
                <w:szCs w:val="16"/>
                <w:lang w:bidi="th-TH"/>
              </w:rPr>
              <w:t xml:space="preserve">Referencia original en el presupuesto de 2016/17:  </w:t>
            </w:r>
          </w:p>
          <w:p w:rsidR="00230FAA" w:rsidRPr="00850AF5" w:rsidRDefault="00230FAA" w:rsidP="00230FAA">
            <w:pPr>
              <w:rPr>
                <w:sz w:val="16"/>
                <w:szCs w:val="16"/>
              </w:rPr>
            </w:pPr>
            <w:r w:rsidRPr="00850AF5">
              <w:rPr>
                <w:sz w:val="16"/>
                <w:szCs w:val="16"/>
              </w:rPr>
              <w:t xml:space="preserve">i) número de favoritos </w:t>
            </w:r>
          </w:p>
          <w:p w:rsidR="00230FAA" w:rsidRPr="00850AF5" w:rsidRDefault="00230FAA" w:rsidP="00230FAA">
            <w:pPr>
              <w:rPr>
                <w:sz w:val="16"/>
                <w:szCs w:val="16"/>
              </w:rPr>
            </w:pPr>
            <w:r w:rsidRPr="00850AF5">
              <w:rPr>
                <w:sz w:val="16"/>
                <w:szCs w:val="16"/>
              </w:rPr>
              <w:t>(2014 = 5.121)</w:t>
            </w:r>
            <w:r w:rsidRPr="00850AF5">
              <w:rPr>
                <w:sz w:val="16"/>
                <w:szCs w:val="16"/>
              </w:rPr>
              <w:br/>
              <w:t>ii) total de retuiteos</w:t>
            </w:r>
          </w:p>
          <w:p w:rsidR="00230FAA" w:rsidRPr="00850AF5" w:rsidRDefault="00230FAA" w:rsidP="00230FAA">
            <w:pPr>
              <w:spacing w:after="60"/>
            </w:pPr>
            <w:r w:rsidRPr="00850AF5">
              <w:rPr>
                <w:sz w:val="16"/>
                <w:szCs w:val="16"/>
              </w:rPr>
              <w:t>(2014 = 11.920)</w:t>
            </w:r>
          </w:p>
        </w:tc>
        <w:tc>
          <w:tcPr>
            <w:tcW w:w="868" w:type="pct"/>
            <w:shd w:val="clear" w:color="auto" w:fill="auto"/>
            <w:tcMar>
              <w:top w:w="110" w:type="dxa"/>
              <w:left w:w="58" w:type="dxa"/>
              <w:right w:w="58" w:type="dxa"/>
            </w:tcMar>
          </w:tcPr>
          <w:p w:rsidR="00230FAA" w:rsidRPr="00850AF5" w:rsidRDefault="00230FAA" w:rsidP="00230FAA">
            <w:pPr>
              <w:rPr>
                <w:sz w:val="16"/>
                <w:szCs w:val="16"/>
              </w:rPr>
            </w:pPr>
            <w:r w:rsidRPr="00850AF5">
              <w:rPr>
                <w:sz w:val="16"/>
                <w:szCs w:val="16"/>
              </w:rPr>
              <w:t>i) Incremento del 25% en el nº anual de tuiteos de la OMPI marcados como “favoritos”</w:t>
            </w:r>
            <w:r w:rsidRPr="00850AF5">
              <w:rPr>
                <w:sz w:val="16"/>
                <w:szCs w:val="16"/>
              </w:rPr>
              <w:br/>
            </w:r>
          </w:p>
          <w:p w:rsidR="00230FAA" w:rsidRPr="00850AF5" w:rsidRDefault="00230FAA" w:rsidP="00230FAA">
            <w:pPr>
              <w:rPr>
                <w:sz w:val="16"/>
                <w:szCs w:val="16"/>
              </w:rPr>
            </w:pPr>
            <w:r w:rsidRPr="00850AF5">
              <w:rPr>
                <w:sz w:val="16"/>
                <w:szCs w:val="16"/>
              </w:rPr>
              <w:t>ii) 15% de aumento en el número total de retuiteos anuales</w:t>
            </w:r>
          </w:p>
        </w:tc>
        <w:tc>
          <w:tcPr>
            <w:tcW w:w="1109" w:type="pct"/>
            <w:shd w:val="clear" w:color="auto" w:fill="FFFFFF"/>
            <w:tcMar>
              <w:top w:w="110" w:type="dxa"/>
              <w:left w:w="58" w:type="dxa"/>
              <w:right w:w="58" w:type="dxa"/>
            </w:tcMar>
          </w:tcPr>
          <w:p w:rsidR="00230FAA" w:rsidRPr="00850AF5" w:rsidRDefault="00230FAA" w:rsidP="00230FAA">
            <w:pPr>
              <w:keepNext/>
              <w:keepLines/>
              <w:rPr>
                <w:sz w:val="16"/>
                <w:szCs w:val="16"/>
              </w:rPr>
            </w:pPr>
            <w:r w:rsidRPr="00850AF5">
              <w:rPr>
                <w:sz w:val="16"/>
                <w:szCs w:val="16"/>
              </w:rPr>
              <w:t>i) 13.289 “me gusta</w:t>
            </w:r>
            <w:r w:rsidRPr="00850AF5">
              <w:rPr>
                <w:rStyle w:val="FootnoteReference"/>
              </w:rPr>
              <w:footnoteReference w:id="80"/>
            </w:r>
            <w:r w:rsidRPr="00850AF5">
              <w:rPr>
                <w:sz w:val="16"/>
                <w:szCs w:val="16"/>
              </w:rPr>
              <w:t xml:space="preserve">” </w:t>
            </w:r>
          </w:p>
          <w:p w:rsidR="00230FAA" w:rsidRPr="00850AF5" w:rsidRDefault="00230FAA" w:rsidP="00230FAA">
            <w:pPr>
              <w:keepNext/>
              <w:keepLines/>
              <w:rPr>
                <w:sz w:val="16"/>
                <w:szCs w:val="16"/>
              </w:rPr>
            </w:pPr>
            <w:r w:rsidRPr="00850AF5">
              <w:rPr>
                <w:sz w:val="16"/>
                <w:szCs w:val="16"/>
              </w:rPr>
              <w:t>(aumento del 107% en comparación con 2015)</w:t>
            </w: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r w:rsidRPr="00850AF5">
              <w:rPr>
                <w:sz w:val="16"/>
                <w:szCs w:val="16"/>
              </w:rPr>
              <w:t xml:space="preserve">(ii) 19.715 retuiteos </w:t>
            </w:r>
          </w:p>
          <w:p w:rsidR="00230FAA" w:rsidRPr="00850AF5" w:rsidRDefault="00230FAA" w:rsidP="00230FAA">
            <w:pPr>
              <w:keepNext/>
              <w:keepLines/>
              <w:rPr>
                <w:sz w:val="16"/>
                <w:szCs w:val="16"/>
              </w:rPr>
            </w:pPr>
            <w:r w:rsidRPr="00850AF5">
              <w:rPr>
                <w:sz w:val="16"/>
                <w:szCs w:val="16"/>
              </w:rPr>
              <w:t>(aumento del 33% en comparación con 2015)</w:t>
            </w:r>
          </w:p>
        </w:tc>
        <w:tc>
          <w:tcPr>
            <w:tcW w:w="723" w:type="pct"/>
            <w:shd w:val="clear" w:color="auto" w:fill="auto"/>
            <w:tcMar>
              <w:top w:w="110" w:type="dxa"/>
              <w:left w:w="58" w:type="dxa"/>
              <w:right w:w="58" w:type="dxa"/>
            </w:tcMar>
          </w:tcPr>
          <w:p w:rsidR="00230FAA" w:rsidRPr="00850AF5" w:rsidRDefault="00230FAA" w:rsidP="00230FAA">
            <w:pPr>
              <w:keepNext/>
              <w:keepLines/>
              <w:jc w:val="center"/>
              <w:rPr>
                <w:b/>
                <w:sz w:val="16"/>
                <w:szCs w:val="16"/>
              </w:rPr>
            </w:pPr>
            <w:r w:rsidRPr="00850AF5">
              <w:rPr>
                <w:b/>
                <w:color w:val="00B050"/>
                <w:sz w:val="16"/>
                <w:szCs w:val="16"/>
              </w:rPr>
              <w:t>Avanza</w:t>
            </w: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rPr>
                <w:b/>
                <w:sz w:val="16"/>
                <w:szCs w:val="16"/>
              </w:rPr>
            </w:pPr>
          </w:p>
          <w:p w:rsidR="00230FAA" w:rsidRPr="00850AF5" w:rsidRDefault="00230FAA" w:rsidP="00230FAA">
            <w:pPr>
              <w:keepNext/>
              <w:keepLines/>
              <w:jc w:val="center"/>
              <w:rPr>
                <w:sz w:val="16"/>
                <w:szCs w:val="16"/>
              </w:rPr>
            </w:pPr>
            <w:r w:rsidRPr="00850AF5">
              <w:rPr>
                <w:b/>
                <w:color w:val="00B050"/>
                <w:sz w:val="16"/>
                <w:szCs w:val="16"/>
              </w:rPr>
              <w:t>Avanza</w:t>
            </w:r>
          </w:p>
        </w:tc>
      </w:tr>
      <w:tr w:rsidR="00230FAA" w:rsidRPr="00850AF5" w:rsidTr="00230FAA">
        <w:trPr>
          <w:trHeight w:val="565"/>
        </w:trPr>
        <w:tc>
          <w:tcPr>
            <w:tcW w:w="5000" w:type="pct"/>
            <w:gridSpan w:val="5"/>
            <w:shd w:val="clear" w:color="auto" w:fill="C6D9F1" w:themeFill="text2" w:themeFillTint="33"/>
            <w:tcMar>
              <w:left w:w="58" w:type="dxa"/>
              <w:right w:w="58" w:type="dxa"/>
            </w:tcMar>
            <w:vAlign w:val="center"/>
          </w:tcPr>
          <w:p w:rsidR="00230FAA" w:rsidRPr="00850AF5" w:rsidRDefault="00230FAA" w:rsidP="00230FAA">
            <w:pPr>
              <w:keepNext/>
              <w:keepLines/>
              <w:tabs>
                <w:tab w:val="left" w:pos="1452"/>
              </w:tabs>
              <w:ind w:left="1701" w:right="-58" w:hanging="1701"/>
              <w:rPr>
                <w:b/>
                <w:bCs/>
                <w:sz w:val="16"/>
                <w:szCs w:val="16"/>
              </w:rPr>
            </w:pPr>
            <w:r w:rsidRPr="00850AF5">
              <w:rPr>
                <w:b/>
                <w:bCs/>
                <w:sz w:val="16"/>
                <w:szCs w:val="16"/>
              </w:rPr>
              <w:t>Resultado previsto:</w:t>
            </w:r>
            <w:r w:rsidRPr="00850AF5">
              <w:rPr>
                <w:b/>
                <w:bCs/>
                <w:sz w:val="16"/>
                <w:szCs w:val="16"/>
              </w:rPr>
              <w:tab/>
            </w:r>
            <w:r w:rsidRPr="00850AF5">
              <w:rPr>
                <w:bCs/>
                <w:sz w:val="16"/>
                <w:szCs w:val="16"/>
              </w:rPr>
              <w:t>VIII.2  Mejora en la prestación de servicios y la atención de consultas</w:t>
            </w:r>
          </w:p>
        </w:tc>
      </w:tr>
      <w:tr w:rsidR="00230FAA" w:rsidRPr="00850AF5" w:rsidTr="00230FAA">
        <w:tc>
          <w:tcPr>
            <w:tcW w:w="997" w:type="pct"/>
            <w:shd w:val="clear" w:color="auto" w:fill="auto"/>
            <w:tcMar>
              <w:left w:w="58" w:type="dxa"/>
              <w:right w:w="58" w:type="dxa"/>
            </w:tcMar>
            <w:vAlign w:val="center"/>
          </w:tcPr>
          <w:p w:rsidR="00230FAA" w:rsidRPr="00850AF5" w:rsidRDefault="00230FAA" w:rsidP="00230FAA">
            <w:pPr>
              <w:keepNext/>
              <w:keepLines/>
              <w:ind w:right="-58"/>
              <w:rPr>
                <w:b/>
                <w:bCs/>
                <w:sz w:val="16"/>
                <w:szCs w:val="16"/>
              </w:rPr>
            </w:pPr>
            <w:r w:rsidRPr="00850AF5">
              <w:rPr>
                <w:b/>
                <w:bCs/>
                <w:sz w:val="16"/>
                <w:szCs w:val="16"/>
              </w:rPr>
              <w:t>Indicadores de rendimiento</w:t>
            </w:r>
          </w:p>
        </w:tc>
        <w:tc>
          <w:tcPr>
            <w:tcW w:w="1303" w:type="pct"/>
            <w:shd w:val="clear" w:color="auto" w:fill="auto"/>
            <w:tcMar>
              <w:left w:w="58" w:type="dxa"/>
              <w:right w:w="58" w:type="dxa"/>
            </w:tcMar>
            <w:vAlign w:val="center"/>
          </w:tcPr>
          <w:p w:rsidR="00230FAA" w:rsidRPr="00850AF5" w:rsidRDefault="00230FAA" w:rsidP="00230FAA">
            <w:pPr>
              <w:keepNext/>
              <w:keepLines/>
              <w:rPr>
                <w:b/>
                <w:bCs/>
                <w:sz w:val="16"/>
                <w:szCs w:val="16"/>
              </w:rPr>
            </w:pPr>
            <w:r w:rsidRPr="00850AF5">
              <w:rPr>
                <w:b/>
                <w:bCs/>
                <w:sz w:val="16"/>
                <w:szCs w:val="16"/>
              </w:rPr>
              <w:t>Referencias de base</w:t>
            </w:r>
          </w:p>
        </w:tc>
        <w:tc>
          <w:tcPr>
            <w:tcW w:w="868" w:type="pct"/>
            <w:shd w:val="clear" w:color="auto" w:fill="auto"/>
            <w:tcMar>
              <w:top w:w="110" w:type="dxa"/>
              <w:left w:w="58" w:type="dxa"/>
              <w:right w:w="58" w:type="dxa"/>
            </w:tcMar>
            <w:vAlign w:val="center"/>
          </w:tcPr>
          <w:p w:rsidR="00230FAA" w:rsidRPr="00850AF5" w:rsidRDefault="00230FAA" w:rsidP="00230FAA">
            <w:pPr>
              <w:keepNext/>
              <w:keepLines/>
              <w:rPr>
                <w:b/>
                <w:bCs/>
                <w:sz w:val="16"/>
                <w:szCs w:val="16"/>
              </w:rPr>
            </w:pPr>
            <w:r w:rsidRPr="00850AF5">
              <w:rPr>
                <w:b/>
                <w:bCs/>
                <w:sz w:val="16"/>
                <w:szCs w:val="16"/>
              </w:rPr>
              <w:t>Objetivos</w:t>
            </w:r>
          </w:p>
        </w:tc>
        <w:tc>
          <w:tcPr>
            <w:tcW w:w="1109" w:type="pct"/>
            <w:shd w:val="clear" w:color="auto" w:fill="FFFFFF"/>
            <w:tcMar>
              <w:top w:w="110" w:type="dxa"/>
              <w:left w:w="58" w:type="dxa"/>
              <w:right w:w="58" w:type="dxa"/>
            </w:tcMar>
            <w:vAlign w:val="center"/>
          </w:tcPr>
          <w:p w:rsidR="00230FAA" w:rsidRPr="00850AF5" w:rsidRDefault="00230FAA" w:rsidP="00230FAA">
            <w:pPr>
              <w:keepNext/>
              <w:keepLines/>
              <w:rPr>
                <w:b/>
                <w:bCs/>
                <w:sz w:val="16"/>
                <w:szCs w:val="16"/>
              </w:rPr>
            </w:pPr>
            <w:r w:rsidRPr="00850AF5">
              <w:rPr>
                <w:b/>
                <w:bCs/>
                <w:sz w:val="16"/>
                <w:szCs w:val="16"/>
              </w:rPr>
              <w:t>Datos sobre el rendimiento</w:t>
            </w:r>
          </w:p>
        </w:tc>
        <w:tc>
          <w:tcPr>
            <w:tcW w:w="723" w:type="pct"/>
            <w:shd w:val="clear" w:color="auto" w:fill="auto"/>
            <w:tcMar>
              <w:top w:w="110" w:type="dxa"/>
              <w:left w:w="58" w:type="dxa"/>
              <w:right w:w="58" w:type="dxa"/>
            </w:tcMar>
            <w:vAlign w:val="center"/>
          </w:tcPr>
          <w:p w:rsidR="00230FAA" w:rsidRPr="00850AF5" w:rsidRDefault="00230FAA" w:rsidP="00230FAA">
            <w:pPr>
              <w:keepNext/>
              <w:keepLines/>
              <w:jc w:val="center"/>
              <w:rPr>
                <w:b/>
                <w:bCs/>
                <w:sz w:val="16"/>
                <w:szCs w:val="16"/>
              </w:rPr>
            </w:pPr>
            <w:r w:rsidRPr="00850AF5">
              <w:rPr>
                <w:b/>
                <w:bCs/>
                <w:sz w:val="16"/>
                <w:szCs w:val="16"/>
              </w:rPr>
              <w:t>Clave de colores</w:t>
            </w:r>
          </w:p>
        </w:tc>
      </w:tr>
      <w:tr w:rsidR="00230FAA" w:rsidRPr="00850AF5" w:rsidTr="00230FAA">
        <w:trPr>
          <w:trHeight w:val="697"/>
        </w:trPr>
        <w:tc>
          <w:tcPr>
            <w:tcW w:w="997" w:type="pct"/>
            <w:shd w:val="clear" w:color="auto" w:fill="auto"/>
            <w:tcMar>
              <w:left w:w="58" w:type="dxa"/>
              <w:right w:w="58" w:type="dxa"/>
            </w:tcMar>
          </w:tcPr>
          <w:p w:rsidR="00230FAA" w:rsidRPr="00850AF5" w:rsidRDefault="00230FAA" w:rsidP="00230FAA">
            <w:pPr>
              <w:keepNext/>
              <w:keepLines/>
              <w:ind w:right="-58"/>
              <w:rPr>
                <w:sz w:val="16"/>
                <w:szCs w:val="16"/>
              </w:rPr>
            </w:pPr>
            <w:r w:rsidRPr="00850AF5">
              <w:rPr>
                <w:sz w:val="16"/>
                <w:szCs w:val="16"/>
              </w:rPr>
              <w:t>Satisfacción de los usuarios con los servicios de biblioteca</w:t>
            </w:r>
          </w:p>
        </w:tc>
        <w:tc>
          <w:tcPr>
            <w:tcW w:w="1303" w:type="pct"/>
            <w:shd w:val="clear" w:color="auto" w:fill="auto"/>
            <w:tcMar>
              <w:left w:w="58" w:type="dxa"/>
              <w:right w:w="58" w:type="dxa"/>
            </w:tcMar>
          </w:tcPr>
          <w:p w:rsidR="00230FAA" w:rsidRPr="00A90F4C" w:rsidRDefault="00230FAA" w:rsidP="00230FAA">
            <w:pPr>
              <w:keepNext/>
              <w:keepLines/>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keepNext/>
              <w:keepLines/>
              <w:rPr>
                <w:color w:val="002060"/>
                <w:sz w:val="16"/>
                <w:szCs w:val="16"/>
              </w:rPr>
            </w:pPr>
            <w:r w:rsidRPr="00A90F4C">
              <w:rPr>
                <w:color w:val="002060"/>
                <w:sz w:val="16"/>
                <w:szCs w:val="16"/>
              </w:rPr>
              <w:t>El 70% de encuestados que respondieron al cuestionario dirigido a los usuarios de los servicios de biblioteca estaban muy satisfechos (100% satisfechos o muy satisfechos)</w:t>
            </w:r>
          </w:p>
          <w:p w:rsidR="00230FAA" w:rsidRPr="00850AF5" w:rsidRDefault="00230FAA" w:rsidP="00230FAA">
            <w:pPr>
              <w:keepNext/>
              <w:keepLines/>
              <w:rPr>
                <w:sz w:val="16"/>
                <w:szCs w:val="16"/>
              </w:rPr>
            </w:pPr>
          </w:p>
          <w:p w:rsidR="00230FAA" w:rsidRPr="00850AF5" w:rsidRDefault="00230FAA" w:rsidP="00230FAA">
            <w:pPr>
              <w:keepNext/>
              <w:keepLines/>
              <w:rPr>
                <w:i/>
                <w:sz w:val="16"/>
                <w:szCs w:val="16"/>
                <w:lang w:bidi="th-TH"/>
              </w:rPr>
            </w:pPr>
            <w:r w:rsidRPr="00850AF5">
              <w:rPr>
                <w:i/>
                <w:sz w:val="16"/>
                <w:szCs w:val="16"/>
                <w:lang w:bidi="th-TH"/>
              </w:rPr>
              <w:t xml:space="preserve">Referencia original en el presupuesto de 2016/17:  </w:t>
            </w:r>
          </w:p>
          <w:p w:rsidR="00230FAA" w:rsidRPr="00850AF5" w:rsidRDefault="00230FAA" w:rsidP="00230FAA">
            <w:pPr>
              <w:keepNext/>
              <w:keepLines/>
              <w:rPr>
                <w:sz w:val="16"/>
                <w:szCs w:val="16"/>
              </w:rPr>
            </w:pPr>
            <w:r w:rsidRPr="00850AF5">
              <w:rPr>
                <w:sz w:val="16"/>
                <w:szCs w:val="16"/>
              </w:rPr>
              <w:t xml:space="preserve">El 72,2% de encuestados que respondieron al cuestionario dirigido a los usuarios de los servicios de biblioteca en 2014 estaban muy satisfechos. </w:t>
            </w:r>
          </w:p>
        </w:tc>
        <w:tc>
          <w:tcPr>
            <w:tcW w:w="868" w:type="pct"/>
            <w:shd w:val="clear" w:color="auto" w:fill="auto"/>
            <w:tcMar>
              <w:top w:w="110" w:type="dxa"/>
              <w:left w:w="58" w:type="dxa"/>
              <w:right w:w="58" w:type="dxa"/>
            </w:tcMar>
          </w:tcPr>
          <w:p w:rsidR="00230FAA" w:rsidRPr="00850AF5" w:rsidRDefault="00230FAA" w:rsidP="00230FAA">
            <w:pPr>
              <w:keepNext/>
              <w:keepLines/>
              <w:rPr>
                <w:sz w:val="16"/>
                <w:szCs w:val="16"/>
              </w:rPr>
            </w:pPr>
            <w:r w:rsidRPr="00850AF5">
              <w:rPr>
                <w:sz w:val="16"/>
                <w:szCs w:val="16"/>
              </w:rPr>
              <w:t>≥ 70% de los visitantes y clientes de Internet muy satisfechos</w:t>
            </w:r>
          </w:p>
        </w:tc>
        <w:tc>
          <w:tcPr>
            <w:tcW w:w="1109" w:type="pct"/>
            <w:shd w:val="clear" w:color="auto" w:fill="FFFFFF"/>
            <w:tcMar>
              <w:top w:w="110" w:type="dxa"/>
              <w:left w:w="58" w:type="dxa"/>
              <w:right w:w="58" w:type="dxa"/>
            </w:tcMar>
          </w:tcPr>
          <w:p w:rsidR="00230FAA" w:rsidRPr="00850AF5" w:rsidRDefault="00230FAA" w:rsidP="00230FAA">
            <w:pPr>
              <w:keepNext/>
              <w:keepLines/>
              <w:rPr>
                <w:sz w:val="16"/>
                <w:szCs w:val="16"/>
              </w:rPr>
            </w:pPr>
            <w:r w:rsidRPr="00850AF5">
              <w:rPr>
                <w:sz w:val="16"/>
              </w:rPr>
              <w:t xml:space="preserve">El 70% de los clientes se mostraron muy satisfechos ( “excelente”) </w:t>
            </w:r>
          </w:p>
        </w:tc>
        <w:tc>
          <w:tcPr>
            <w:tcW w:w="723" w:type="pct"/>
            <w:shd w:val="clear" w:color="auto" w:fill="auto"/>
            <w:tcMar>
              <w:top w:w="110" w:type="dxa"/>
              <w:left w:w="58" w:type="dxa"/>
              <w:right w:w="58" w:type="dxa"/>
            </w:tcMar>
          </w:tcPr>
          <w:p w:rsidR="00230FAA" w:rsidRPr="00850AF5" w:rsidRDefault="00230FAA" w:rsidP="00230FAA">
            <w:pPr>
              <w:keepNext/>
              <w:keepLines/>
              <w:jc w:val="center"/>
              <w:rPr>
                <w:sz w:val="16"/>
                <w:szCs w:val="16"/>
              </w:rPr>
            </w:pPr>
            <w:r w:rsidRPr="00850AF5">
              <w:rPr>
                <w:b/>
                <w:color w:val="00B050"/>
                <w:sz w:val="16"/>
                <w:szCs w:val="16"/>
              </w:rPr>
              <w:t>Avanza</w:t>
            </w:r>
          </w:p>
        </w:tc>
      </w:tr>
      <w:tr w:rsidR="00230FAA" w:rsidRPr="00850AF5" w:rsidTr="00230FAA">
        <w:trPr>
          <w:trHeight w:val="1186"/>
        </w:trPr>
        <w:tc>
          <w:tcPr>
            <w:tcW w:w="997" w:type="pct"/>
            <w:shd w:val="clear" w:color="auto" w:fill="auto"/>
            <w:tcMar>
              <w:left w:w="58" w:type="dxa"/>
              <w:right w:w="58" w:type="dxa"/>
            </w:tcMar>
          </w:tcPr>
          <w:p w:rsidR="00230FAA" w:rsidRPr="00850AF5" w:rsidRDefault="00230FAA" w:rsidP="00230FAA">
            <w:pPr>
              <w:keepNext/>
              <w:keepLines/>
              <w:ind w:right="-58"/>
              <w:rPr>
                <w:sz w:val="16"/>
                <w:szCs w:val="16"/>
              </w:rPr>
            </w:pPr>
            <w:r w:rsidRPr="00850AF5">
              <w:rPr>
                <w:sz w:val="16"/>
                <w:szCs w:val="16"/>
              </w:rPr>
              <w:t>Índice de satisfacción de los clientes y partes interesadas.</w:t>
            </w:r>
          </w:p>
        </w:tc>
        <w:tc>
          <w:tcPr>
            <w:tcW w:w="1303" w:type="pct"/>
            <w:shd w:val="clear" w:color="auto" w:fill="auto"/>
            <w:tcMar>
              <w:left w:w="58" w:type="dxa"/>
              <w:right w:w="58" w:type="dxa"/>
            </w:tcMar>
          </w:tcPr>
          <w:p w:rsidR="00230FAA" w:rsidRPr="00A90F4C" w:rsidRDefault="00230FAA" w:rsidP="00230FAA">
            <w:pPr>
              <w:keepNext/>
              <w:keepLines/>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keepNext/>
              <w:keepLines/>
              <w:rPr>
                <w:color w:val="002060"/>
                <w:sz w:val="16"/>
                <w:szCs w:val="16"/>
              </w:rPr>
            </w:pPr>
            <w:r w:rsidRPr="00A90F4C">
              <w:rPr>
                <w:color w:val="002060"/>
                <w:sz w:val="16"/>
                <w:szCs w:val="16"/>
              </w:rPr>
              <w:t xml:space="preserve">En general el 85% de los usuarios de los Sistemas del PCT y de Madrid estaban satisfechos o muy satisfechos  </w:t>
            </w:r>
          </w:p>
          <w:p w:rsidR="00230FAA" w:rsidRPr="00A90F4C" w:rsidRDefault="00230FAA" w:rsidP="00230FAA">
            <w:pPr>
              <w:keepNext/>
              <w:keepLines/>
              <w:rPr>
                <w:color w:val="002060"/>
                <w:sz w:val="16"/>
                <w:szCs w:val="16"/>
              </w:rPr>
            </w:pPr>
            <w:r w:rsidRPr="00A90F4C">
              <w:rPr>
                <w:color w:val="002060"/>
                <w:sz w:val="16"/>
                <w:szCs w:val="16"/>
              </w:rPr>
              <w:t>PCT= 89%</w:t>
            </w:r>
          </w:p>
          <w:p w:rsidR="00230FAA" w:rsidRPr="00A90F4C" w:rsidRDefault="00230FAA" w:rsidP="00230FAA">
            <w:pPr>
              <w:keepNext/>
              <w:keepLines/>
              <w:rPr>
                <w:color w:val="002060"/>
                <w:sz w:val="16"/>
                <w:szCs w:val="16"/>
              </w:rPr>
            </w:pPr>
            <w:r w:rsidRPr="00A90F4C">
              <w:rPr>
                <w:color w:val="002060"/>
                <w:sz w:val="16"/>
                <w:szCs w:val="16"/>
              </w:rPr>
              <w:t>Madrid= 81%</w:t>
            </w:r>
          </w:p>
          <w:p w:rsidR="00230FAA" w:rsidRPr="00A90F4C" w:rsidRDefault="00230FAA" w:rsidP="00230FAA">
            <w:pPr>
              <w:keepNext/>
              <w:keepLines/>
              <w:rPr>
                <w:color w:val="002060"/>
                <w:sz w:val="16"/>
                <w:szCs w:val="16"/>
              </w:rPr>
            </w:pPr>
            <w:r w:rsidRPr="00A90F4C">
              <w:rPr>
                <w:color w:val="002060"/>
                <w:sz w:val="16"/>
                <w:szCs w:val="16"/>
              </w:rPr>
              <w:t>En 2014/15 no se evaluó la satisfacción de los usuarios del Sistema de la Haya</w:t>
            </w:r>
          </w:p>
          <w:p w:rsidR="00230FAA" w:rsidRPr="00850AF5" w:rsidRDefault="00230FAA" w:rsidP="00230FAA">
            <w:pPr>
              <w:keepNext/>
              <w:keepLines/>
              <w:rPr>
                <w:sz w:val="16"/>
                <w:szCs w:val="16"/>
              </w:rPr>
            </w:pPr>
          </w:p>
          <w:p w:rsidR="00230FAA" w:rsidRPr="00850AF5" w:rsidRDefault="00230FAA" w:rsidP="00230FAA">
            <w:pPr>
              <w:keepNext/>
              <w:keepLines/>
              <w:rPr>
                <w:i/>
                <w:sz w:val="16"/>
                <w:szCs w:val="16"/>
                <w:lang w:bidi="th-TH"/>
              </w:rPr>
            </w:pPr>
            <w:r w:rsidRPr="00850AF5">
              <w:rPr>
                <w:i/>
                <w:sz w:val="16"/>
                <w:szCs w:val="16"/>
                <w:lang w:bidi="th-TH"/>
              </w:rPr>
              <w:t xml:space="preserve">Referencia original en el presupuesto de 2016/17:  </w:t>
            </w:r>
          </w:p>
          <w:p w:rsidR="00230FAA" w:rsidRPr="00850AF5" w:rsidRDefault="00230FAA" w:rsidP="00230FAA">
            <w:pPr>
              <w:keepNext/>
              <w:keepLines/>
              <w:rPr>
                <w:sz w:val="16"/>
                <w:szCs w:val="16"/>
              </w:rPr>
            </w:pPr>
            <w:r w:rsidRPr="00850AF5">
              <w:rPr>
                <w:sz w:val="16"/>
                <w:szCs w:val="16"/>
              </w:rPr>
              <w:t>El 86% de los clientes de los Sistemas de Madrid y de La Haya satisfechos o muy satisfechos (encuesta de 2013).</w:t>
            </w:r>
          </w:p>
        </w:tc>
        <w:tc>
          <w:tcPr>
            <w:tcW w:w="868" w:type="pct"/>
            <w:shd w:val="clear" w:color="auto" w:fill="auto"/>
            <w:tcMar>
              <w:top w:w="110" w:type="dxa"/>
              <w:left w:w="58" w:type="dxa"/>
              <w:right w:w="58" w:type="dxa"/>
            </w:tcMar>
          </w:tcPr>
          <w:p w:rsidR="00230FAA" w:rsidRPr="00850AF5" w:rsidRDefault="00230FAA" w:rsidP="00230FAA">
            <w:pPr>
              <w:keepNext/>
              <w:keepLines/>
              <w:rPr>
                <w:sz w:val="16"/>
                <w:szCs w:val="16"/>
              </w:rPr>
            </w:pPr>
            <w:r w:rsidRPr="00850AF5">
              <w:rPr>
                <w:sz w:val="16"/>
                <w:szCs w:val="16"/>
              </w:rPr>
              <w:t>≥ 90% satisfechos o muy satisfechos</w:t>
            </w:r>
          </w:p>
        </w:tc>
        <w:tc>
          <w:tcPr>
            <w:tcW w:w="1109" w:type="pct"/>
            <w:shd w:val="clear" w:color="auto" w:fill="FFFFFF"/>
            <w:tcMar>
              <w:top w:w="110" w:type="dxa"/>
              <w:left w:w="58" w:type="dxa"/>
              <w:right w:w="58" w:type="dxa"/>
            </w:tcMar>
          </w:tcPr>
          <w:p w:rsidR="00230FAA" w:rsidRPr="00850AF5" w:rsidRDefault="00230FAA" w:rsidP="00230FAA">
            <w:pPr>
              <w:keepNext/>
              <w:keepLines/>
              <w:rPr>
                <w:sz w:val="16"/>
                <w:szCs w:val="16"/>
              </w:rPr>
            </w:pPr>
            <w:r w:rsidRPr="00850AF5">
              <w:rPr>
                <w:sz w:val="16"/>
                <w:szCs w:val="16"/>
              </w:rPr>
              <w:t xml:space="preserve">En 2017 se esperan las encuestas de los clientes de los Sistemas de Madrid y de La Haya </w:t>
            </w:r>
          </w:p>
          <w:p w:rsidR="00230FAA" w:rsidRPr="00850AF5" w:rsidRDefault="00230FAA" w:rsidP="00230FAA">
            <w:pPr>
              <w:keepNext/>
              <w:keepLines/>
              <w:rPr>
                <w:sz w:val="16"/>
                <w:szCs w:val="16"/>
              </w:rPr>
            </w:pPr>
          </w:p>
          <w:p w:rsidR="00230FAA" w:rsidRPr="00850AF5" w:rsidRDefault="00230FAA" w:rsidP="00230FAA">
            <w:pPr>
              <w:keepNext/>
              <w:keepLines/>
              <w:rPr>
                <w:sz w:val="16"/>
                <w:szCs w:val="16"/>
              </w:rPr>
            </w:pPr>
            <w:r w:rsidRPr="00850AF5">
              <w:rPr>
                <w:sz w:val="16"/>
                <w:szCs w:val="16"/>
              </w:rPr>
              <w:t xml:space="preserve">Índice general de satisfacción de los clientes de la OMPI: 51% </w:t>
            </w:r>
          </w:p>
          <w:p w:rsidR="00230FAA" w:rsidRPr="00850AF5" w:rsidRDefault="00230FAA" w:rsidP="00230FAA">
            <w:pPr>
              <w:keepNext/>
              <w:keepLines/>
              <w:rPr>
                <w:sz w:val="16"/>
                <w:szCs w:val="16"/>
              </w:rPr>
            </w:pPr>
            <w:r w:rsidRPr="00850AF5">
              <w:rPr>
                <w:sz w:val="16"/>
                <w:szCs w:val="16"/>
              </w:rPr>
              <w:t xml:space="preserve"> </w:t>
            </w:r>
          </w:p>
          <w:p w:rsidR="00230FAA" w:rsidRPr="00850AF5" w:rsidRDefault="00230FAA" w:rsidP="00230FAA">
            <w:pPr>
              <w:keepNext/>
              <w:keepLines/>
              <w:rPr>
                <w:sz w:val="16"/>
                <w:szCs w:val="16"/>
              </w:rPr>
            </w:pPr>
          </w:p>
        </w:tc>
        <w:tc>
          <w:tcPr>
            <w:tcW w:w="723" w:type="pct"/>
            <w:shd w:val="clear" w:color="auto" w:fill="auto"/>
            <w:tcMar>
              <w:top w:w="110" w:type="dxa"/>
              <w:left w:w="58" w:type="dxa"/>
              <w:right w:w="58" w:type="dxa"/>
            </w:tcMar>
          </w:tcPr>
          <w:p w:rsidR="00230FAA" w:rsidRPr="00850AF5" w:rsidRDefault="00230FAA" w:rsidP="00230FAA">
            <w:pPr>
              <w:keepNext/>
              <w:keepLines/>
              <w:jc w:val="center"/>
              <w:rPr>
                <w:b/>
                <w:sz w:val="16"/>
                <w:szCs w:val="16"/>
              </w:rPr>
            </w:pPr>
            <w:r w:rsidRPr="00850AF5">
              <w:rPr>
                <w:b/>
                <w:color w:val="0070C0"/>
                <w:sz w:val="16"/>
                <w:szCs w:val="16"/>
              </w:rPr>
              <w:t>No disponible en 2016</w:t>
            </w: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b/>
                <w:sz w:val="16"/>
                <w:szCs w:val="16"/>
              </w:rPr>
            </w:pPr>
          </w:p>
          <w:p w:rsidR="00230FAA" w:rsidRPr="00850AF5" w:rsidRDefault="00230FAA" w:rsidP="00230FAA">
            <w:pPr>
              <w:keepNext/>
              <w:keepLines/>
              <w:jc w:val="center"/>
              <w:rPr>
                <w:sz w:val="16"/>
                <w:szCs w:val="16"/>
              </w:rPr>
            </w:pPr>
            <w:r w:rsidRPr="00850AF5">
              <w:rPr>
                <w:b/>
                <w:color w:val="808080"/>
                <w:sz w:val="16"/>
                <w:szCs w:val="16"/>
              </w:rPr>
              <w:t>No mensurable</w:t>
            </w:r>
            <w:r w:rsidR="00710EF9" w:rsidRPr="00850AF5">
              <w:rPr>
                <w:rStyle w:val="FootnoteReference"/>
              </w:rPr>
              <w:footnoteReference w:id="81"/>
            </w:r>
          </w:p>
        </w:tc>
      </w:tr>
      <w:tr w:rsidR="00230FAA" w:rsidRPr="00850AF5" w:rsidTr="00156844">
        <w:trPr>
          <w:trHeight w:val="1727"/>
        </w:trPr>
        <w:tc>
          <w:tcPr>
            <w:tcW w:w="997" w:type="pct"/>
            <w:shd w:val="clear" w:color="auto" w:fill="auto"/>
            <w:tcMar>
              <w:left w:w="58" w:type="dxa"/>
              <w:right w:w="58" w:type="dxa"/>
            </w:tcMar>
          </w:tcPr>
          <w:p w:rsidR="00230FAA" w:rsidRPr="00850AF5" w:rsidRDefault="00230FAA" w:rsidP="00230FAA">
            <w:pPr>
              <w:ind w:right="-58"/>
              <w:rPr>
                <w:sz w:val="16"/>
                <w:szCs w:val="16"/>
              </w:rPr>
            </w:pPr>
            <w:r w:rsidRPr="00850AF5">
              <w:rPr>
                <w:sz w:val="16"/>
                <w:szCs w:val="16"/>
              </w:rPr>
              <w:lastRenderedPageBreak/>
              <w:t xml:space="preserve">Normas de servicio del Centro de la OMPI de Atención al Cliente </w:t>
            </w:r>
          </w:p>
        </w:tc>
        <w:tc>
          <w:tcPr>
            <w:tcW w:w="1303" w:type="pct"/>
            <w:shd w:val="clear" w:color="auto" w:fill="auto"/>
            <w:tcMar>
              <w:left w:w="58" w:type="dxa"/>
              <w:right w:w="58" w:type="dxa"/>
            </w:tcMar>
          </w:tcPr>
          <w:p w:rsidR="00230FAA" w:rsidRPr="00A90F4C" w:rsidRDefault="00230FAA" w:rsidP="00230FAA">
            <w:pPr>
              <w:rPr>
                <w:i/>
                <w:color w:val="002060"/>
                <w:sz w:val="16"/>
                <w:szCs w:val="16"/>
              </w:rPr>
            </w:pPr>
            <w:r w:rsidRPr="00A90F4C">
              <w:rPr>
                <w:i/>
                <w:color w:val="002060"/>
                <w:sz w:val="16"/>
                <w:szCs w:val="16"/>
              </w:rPr>
              <w:t xml:space="preserve">Referencia actualizada a fines de 2015:  </w:t>
            </w:r>
          </w:p>
          <w:p w:rsidR="00230FAA" w:rsidRPr="00A90F4C" w:rsidRDefault="00230FAA" w:rsidP="00230FAA">
            <w:pPr>
              <w:autoSpaceDE w:val="0"/>
              <w:autoSpaceDN w:val="0"/>
              <w:adjustRightInd w:val="0"/>
              <w:rPr>
                <w:color w:val="002060"/>
                <w:sz w:val="16"/>
                <w:szCs w:val="16"/>
              </w:rPr>
            </w:pPr>
            <w:r w:rsidRPr="00A90F4C">
              <w:rPr>
                <w:color w:val="002060"/>
                <w:sz w:val="16"/>
                <w:szCs w:val="16"/>
              </w:rPr>
              <w:t>i) 92% de tickets tramitados en 1 día</w:t>
            </w:r>
          </w:p>
          <w:p w:rsidR="00230FAA" w:rsidRPr="00156844" w:rsidRDefault="00230FAA" w:rsidP="00156844">
            <w:pPr>
              <w:autoSpaceDE w:val="0"/>
              <w:autoSpaceDN w:val="0"/>
              <w:adjustRightInd w:val="0"/>
              <w:rPr>
                <w:color w:val="002060"/>
                <w:sz w:val="16"/>
                <w:szCs w:val="16"/>
              </w:rPr>
            </w:pPr>
            <w:r w:rsidRPr="00A90F4C">
              <w:rPr>
                <w:color w:val="002060"/>
                <w:sz w:val="16"/>
                <w:szCs w:val="16"/>
              </w:rPr>
              <w:t>ii) 100% de las quejas t</w:t>
            </w:r>
            <w:r w:rsidR="00156844">
              <w:rPr>
                <w:color w:val="002060"/>
                <w:sz w:val="16"/>
                <w:szCs w:val="16"/>
              </w:rPr>
              <w:t>ramitadas en ocho horas hábiles</w:t>
            </w:r>
          </w:p>
        </w:tc>
        <w:tc>
          <w:tcPr>
            <w:tcW w:w="868" w:type="pct"/>
            <w:shd w:val="clear" w:color="auto" w:fill="auto"/>
            <w:tcMar>
              <w:top w:w="110" w:type="dxa"/>
              <w:left w:w="58" w:type="dxa"/>
              <w:right w:w="58" w:type="dxa"/>
            </w:tcMar>
          </w:tcPr>
          <w:p w:rsidR="00230FAA" w:rsidRPr="00A90F4C" w:rsidRDefault="00230FAA" w:rsidP="00230FAA">
            <w:pPr>
              <w:rPr>
                <w:i/>
                <w:color w:val="002060"/>
                <w:sz w:val="16"/>
                <w:szCs w:val="16"/>
              </w:rPr>
            </w:pPr>
            <w:r w:rsidRPr="00A90F4C">
              <w:rPr>
                <w:i/>
                <w:color w:val="002060"/>
                <w:sz w:val="16"/>
                <w:szCs w:val="16"/>
              </w:rPr>
              <w:t xml:space="preserve">Objetivo actualizado:  </w:t>
            </w:r>
          </w:p>
          <w:p w:rsidR="00230FAA" w:rsidRPr="00A90F4C" w:rsidRDefault="00230FAA" w:rsidP="00230FAA">
            <w:pPr>
              <w:autoSpaceDE w:val="0"/>
              <w:autoSpaceDN w:val="0"/>
              <w:adjustRightInd w:val="0"/>
              <w:rPr>
                <w:color w:val="002060"/>
                <w:sz w:val="16"/>
                <w:szCs w:val="16"/>
              </w:rPr>
            </w:pPr>
            <w:r w:rsidRPr="00A90F4C">
              <w:rPr>
                <w:color w:val="002060"/>
                <w:sz w:val="16"/>
                <w:szCs w:val="16"/>
              </w:rPr>
              <w:t xml:space="preserve">i) 92% de </w:t>
            </w:r>
            <w:r w:rsidRPr="00A90F4C">
              <w:rPr>
                <w:i/>
                <w:color w:val="002060"/>
                <w:sz w:val="16"/>
                <w:szCs w:val="16"/>
              </w:rPr>
              <w:t>tickets</w:t>
            </w:r>
            <w:r w:rsidRPr="00A90F4C">
              <w:rPr>
                <w:color w:val="002060"/>
                <w:sz w:val="16"/>
                <w:szCs w:val="16"/>
              </w:rPr>
              <w:t xml:space="preserve"> tramitados en 1 día</w:t>
            </w:r>
          </w:p>
          <w:p w:rsidR="00230FAA" w:rsidRPr="00156844" w:rsidRDefault="00230FAA" w:rsidP="00156844">
            <w:pPr>
              <w:autoSpaceDE w:val="0"/>
              <w:autoSpaceDN w:val="0"/>
              <w:adjustRightInd w:val="0"/>
              <w:rPr>
                <w:color w:val="002060"/>
                <w:sz w:val="16"/>
                <w:szCs w:val="16"/>
              </w:rPr>
            </w:pPr>
            <w:r w:rsidRPr="00A90F4C">
              <w:rPr>
                <w:color w:val="002060"/>
                <w:sz w:val="16"/>
                <w:szCs w:val="16"/>
              </w:rPr>
              <w:t>ii) 100% de las quejas t</w:t>
            </w:r>
            <w:r w:rsidR="00156844">
              <w:rPr>
                <w:color w:val="002060"/>
                <w:sz w:val="16"/>
                <w:szCs w:val="16"/>
              </w:rPr>
              <w:t>ramitadas en ocho horas hábiles</w:t>
            </w:r>
          </w:p>
        </w:tc>
        <w:tc>
          <w:tcPr>
            <w:tcW w:w="1109" w:type="pct"/>
            <w:shd w:val="clear" w:color="auto" w:fill="FFFFFF"/>
            <w:tcMar>
              <w:top w:w="110" w:type="dxa"/>
              <w:left w:w="58" w:type="dxa"/>
              <w:right w:w="58" w:type="dxa"/>
            </w:tcMar>
          </w:tcPr>
          <w:p w:rsidR="00230FAA" w:rsidRPr="00850AF5" w:rsidRDefault="00230FAA" w:rsidP="00230FAA">
            <w:pPr>
              <w:autoSpaceDE w:val="0"/>
              <w:autoSpaceDN w:val="0"/>
              <w:adjustRightInd w:val="0"/>
              <w:rPr>
                <w:sz w:val="16"/>
                <w:szCs w:val="16"/>
              </w:rPr>
            </w:pPr>
            <w:r w:rsidRPr="00850AF5">
              <w:rPr>
                <w:sz w:val="16"/>
                <w:szCs w:val="16"/>
              </w:rPr>
              <w:t xml:space="preserve">i) En el curso de 2016 se elaboró un mecanismo mejorado de seguimiento, que no se puso en marcha hasta fines de ese año </w:t>
            </w:r>
          </w:p>
          <w:p w:rsidR="00230FAA" w:rsidRPr="00850AF5" w:rsidRDefault="00230FAA" w:rsidP="00230FAA">
            <w:pPr>
              <w:autoSpaceDE w:val="0"/>
              <w:autoSpaceDN w:val="0"/>
              <w:adjustRightInd w:val="0"/>
              <w:rPr>
                <w:sz w:val="16"/>
                <w:szCs w:val="16"/>
              </w:rPr>
            </w:pPr>
          </w:p>
          <w:p w:rsidR="00230FAA" w:rsidRPr="00850AF5" w:rsidRDefault="00230FAA" w:rsidP="00156844">
            <w:pPr>
              <w:autoSpaceDE w:val="0"/>
              <w:autoSpaceDN w:val="0"/>
              <w:adjustRightInd w:val="0"/>
              <w:rPr>
                <w:sz w:val="16"/>
                <w:szCs w:val="16"/>
              </w:rPr>
            </w:pPr>
            <w:r w:rsidRPr="00850AF5">
              <w:rPr>
                <w:sz w:val="16"/>
                <w:szCs w:val="16"/>
              </w:rPr>
              <w:t>ii) 100% de las quejas t</w:t>
            </w:r>
            <w:r w:rsidR="00156844">
              <w:rPr>
                <w:sz w:val="16"/>
                <w:szCs w:val="16"/>
              </w:rPr>
              <w:t>ramitadas en ocho horas hábiles</w:t>
            </w:r>
          </w:p>
        </w:tc>
        <w:tc>
          <w:tcPr>
            <w:tcW w:w="723" w:type="pct"/>
            <w:shd w:val="clear" w:color="auto" w:fill="auto"/>
            <w:tcMar>
              <w:top w:w="110" w:type="dxa"/>
              <w:left w:w="58" w:type="dxa"/>
              <w:right w:w="58" w:type="dxa"/>
            </w:tcMar>
          </w:tcPr>
          <w:p w:rsidR="00230FAA" w:rsidRPr="00850AF5" w:rsidRDefault="00230FAA" w:rsidP="00230FAA">
            <w:pPr>
              <w:jc w:val="center"/>
              <w:rPr>
                <w:b/>
                <w:sz w:val="16"/>
                <w:szCs w:val="16"/>
              </w:rPr>
            </w:pPr>
            <w:r w:rsidRPr="00850AF5">
              <w:rPr>
                <w:b/>
                <w:color w:val="0070C0"/>
                <w:sz w:val="16"/>
                <w:szCs w:val="16"/>
              </w:rPr>
              <w:t>No disponible en 2016</w:t>
            </w:r>
          </w:p>
          <w:p w:rsidR="00230FAA" w:rsidRPr="00850AF5" w:rsidRDefault="00710EF9" w:rsidP="00230FAA">
            <w:pPr>
              <w:keepNext/>
              <w:keepLines/>
              <w:jc w:val="center"/>
              <w:rPr>
                <w:b/>
                <w:sz w:val="16"/>
                <w:szCs w:val="16"/>
              </w:rPr>
            </w:pPr>
            <w:r>
              <w:rPr>
                <w:b/>
                <w:sz w:val="16"/>
                <w:szCs w:val="16"/>
              </w:rPr>
              <w:br/>
            </w:r>
            <w:r>
              <w:rPr>
                <w:b/>
                <w:sz w:val="16"/>
                <w:szCs w:val="16"/>
              </w:rPr>
              <w:br/>
            </w:r>
            <w:r>
              <w:rPr>
                <w:b/>
                <w:sz w:val="16"/>
                <w:szCs w:val="16"/>
              </w:rPr>
              <w:br/>
            </w:r>
          </w:p>
          <w:p w:rsidR="00230FAA" w:rsidRPr="00850AF5" w:rsidRDefault="00230FAA" w:rsidP="00230FAA">
            <w:pPr>
              <w:keepNext/>
              <w:keepLines/>
              <w:jc w:val="center"/>
              <w:rPr>
                <w:sz w:val="16"/>
                <w:szCs w:val="16"/>
              </w:rPr>
            </w:pPr>
            <w:r w:rsidRPr="00850AF5">
              <w:rPr>
                <w:b/>
                <w:color w:val="00B050"/>
                <w:sz w:val="16"/>
                <w:szCs w:val="16"/>
              </w:rPr>
              <w:t>Avanza</w:t>
            </w:r>
          </w:p>
        </w:tc>
      </w:tr>
      <w:tr w:rsidR="00156844" w:rsidRPr="00850AF5" w:rsidTr="00156844">
        <w:trPr>
          <w:trHeight w:val="1597"/>
        </w:trPr>
        <w:tc>
          <w:tcPr>
            <w:tcW w:w="997" w:type="pct"/>
            <w:shd w:val="clear" w:color="auto" w:fill="auto"/>
            <w:tcMar>
              <w:left w:w="58" w:type="dxa"/>
              <w:right w:w="58" w:type="dxa"/>
            </w:tcMar>
          </w:tcPr>
          <w:p w:rsidR="00156844" w:rsidRPr="00850AF5" w:rsidRDefault="00156844" w:rsidP="00230FAA">
            <w:pPr>
              <w:ind w:right="-58"/>
              <w:rPr>
                <w:sz w:val="16"/>
                <w:szCs w:val="16"/>
              </w:rPr>
            </w:pPr>
          </w:p>
        </w:tc>
        <w:tc>
          <w:tcPr>
            <w:tcW w:w="1303" w:type="pct"/>
            <w:shd w:val="clear" w:color="auto" w:fill="auto"/>
            <w:tcMar>
              <w:left w:w="58" w:type="dxa"/>
              <w:right w:w="58" w:type="dxa"/>
            </w:tcMar>
          </w:tcPr>
          <w:p w:rsidR="00156844" w:rsidRPr="00850AF5" w:rsidRDefault="00156844" w:rsidP="00156844">
            <w:pPr>
              <w:rPr>
                <w:i/>
                <w:sz w:val="16"/>
                <w:szCs w:val="16"/>
                <w:lang w:bidi="th-TH"/>
              </w:rPr>
            </w:pPr>
            <w:r w:rsidRPr="00850AF5">
              <w:rPr>
                <w:i/>
                <w:sz w:val="16"/>
                <w:szCs w:val="16"/>
                <w:lang w:bidi="th-TH"/>
              </w:rPr>
              <w:t xml:space="preserve">Referencia original en el presupuesto de 2016/17:  </w:t>
            </w:r>
          </w:p>
          <w:p w:rsidR="00156844" w:rsidRPr="00850AF5" w:rsidRDefault="00156844" w:rsidP="00156844">
            <w:pPr>
              <w:rPr>
                <w:sz w:val="16"/>
                <w:szCs w:val="16"/>
              </w:rPr>
            </w:pPr>
            <w:r w:rsidRPr="00850AF5">
              <w:rPr>
                <w:sz w:val="16"/>
                <w:szCs w:val="16"/>
              </w:rPr>
              <w:t xml:space="preserve">92% de tickets tramitados en 1 día  </w:t>
            </w:r>
          </w:p>
          <w:p w:rsidR="00156844" w:rsidRPr="00A90F4C" w:rsidRDefault="00156844" w:rsidP="00156844">
            <w:pPr>
              <w:rPr>
                <w:i/>
                <w:color w:val="002060"/>
                <w:sz w:val="16"/>
                <w:szCs w:val="16"/>
              </w:rPr>
            </w:pPr>
            <w:r w:rsidRPr="00850AF5">
              <w:rPr>
                <w:sz w:val="16"/>
                <w:szCs w:val="16"/>
              </w:rPr>
              <w:t>100% de las quejas tramitadas en ocho horas hábiles</w:t>
            </w:r>
          </w:p>
        </w:tc>
        <w:tc>
          <w:tcPr>
            <w:tcW w:w="868" w:type="pct"/>
            <w:shd w:val="clear" w:color="auto" w:fill="auto"/>
            <w:tcMar>
              <w:top w:w="110" w:type="dxa"/>
              <w:left w:w="58" w:type="dxa"/>
              <w:right w:w="58" w:type="dxa"/>
            </w:tcMar>
          </w:tcPr>
          <w:p w:rsidR="00156844" w:rsidRPr="00850AF5" w:rsidRDefault="00156844" w:rsidP="00156844">
            <w:pPr>
              <w:rPr>
                <w:i/>
                <w:sz w:val="16"/>
                <w:szCs w:val="16"/>
                <w:lang w:bidi="th-TH"/>
              </w:rPr>
            </w:pPr>
            <w:r w:rsidRPr="00850AF5">
              <w:rPr>
                <w:i/>
                <w:sz w:val="16"/>
                <w:szCs w:val="16"/>
                <w:lang w:bidi="th-TH"/>
              </w:rPr>
              <w:t xml:space="preserve">Objetivo original en el presupuesto 2016/17:  </w:t>
            </w:r>
          </w:p>
          <w:p w:rsidR="00156844" w:rsidRPr="00A90F4C" w:rsidRDefault="00156844" w:rsidP="00156844">
            <w:pPr>
              <w:rPr>
                <w:i/>
                <w:color w:val="002060"/>
                <w:sz w:val="16"/>
                <w:szCs w:val="16"/>
              </w:rPr>
            </w:pPr>
            <w:r w:rsidRPr="00850AF5">
              <w:rPr>
                <w:sz w:val="16"/>
                <w:szCs w:val="16"/>
              </w:rPr>
              <w:t xml:space="preserve">90% de </w:t>
            </w:r>
            <w:r w:rsidRPr="00850AF5">
              <w:rPr>
                <w:i/>
                <w:sz w:val="16"/>
                <w:szCs w:val="16"/>
              </w:rPr>
              <w:t>tickets</w:t>
            </w:r>
            <w:r w:rsidRPr="00850AF5">
              <w:rPr>
                <w:sz w:val="16"/>
                <w:szCs w:val="16"/>
              </w:rPr>
              <w:t xml:space="preserve"> tramitados en 1 día;  90% de quejas tramitadas en 8 horas hábiles.</w:t>
            </w:r>
          </w:p>
        </w:tc>
        <w:tc>
          <w:tcPr>
            <w:tcW w:w="1109" w:type="pct"/>
            <w:shd w:val="clear" w:color="auto" w:fill="FFFFFF"/>
            <w:tcMar>
              <w:top w:w="110" w:type="dxa"/>
              <w:left w:w="58" w:type="dxa"/>
              <w:right w:w="58" w:type="dxa"/>
            </w:tcMar>
          </w:tcPr>
          <w:p w:rsidR="00156844" w:rsidRPr="00850AF5" w:rsidRDefault="00156844" w:rsidP="00230FAA">
            <w:pPr>
              <w:autoSpaceDE w:val="0"/>
              <w:autoSpaceDN w:val="0"/>
              <w:adjustRightInd w:val="0"/>
              <w:rPr>
                <w:sz w:val="16"/>
                <w:szCs w:val="16"/>
              </w:rPr>
            </w:pPr>
          </w:p>
        </w:tc>
        <w:tc>
          <w:tcPr>
            <w:tcW w:w="723" w:type="pct"/>
            <w:shd w:val="clear" w:color="auto" w:fill="auto"/>
            <w:tcMar>
              <w:top w:w="110" w:type="dxa"/>
              <w:left w:w="58" w:type="dxa"/>
              <w:right w:w="58" w:type="dxa"/>
            </w:tcMar>
          </w:tcPr>
          <w:p w:rsidR="00156844" w:rsidRPr="00850AF5" w:rsidRDefault="00156844" w:rsidP="00230FAA">
            <w:pPr>
              <w:jc w:val="center"/>
              <w:rPr>
                <w:b/>
                <w:color w:val="0070C0"/>
                <w:sz w:val="16"/>
                <w:szCs w:val="16"/>
              </w:rPr>
            </w:pPr>
          </w:p>
        </w:tc>
      </w:tr>
    </w:tbl>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43"/>
      </w:tblGrid>
      <w:tr w:rsidR="00230FAA" w:rsidRPr="00850AF5" w:rsidTr="00230FAA">
        <w:trPr>
          <w:trHeight w:val="423"/>
          <w:jc w:val="center"/>
        </w:trPr>
        <w:tc>
          <w:tcPr>
            <w:tcW w:w="9243" w:type="dxa"/>
            <w:shd w:val="clear" w:color="auto" w:fill="C6D9F1" w:themeFill="text2" w:themeFillTint="33"/>
            <w:vAlign w:val="center"/>
          </w:tcPr>
          <w:p w:rsidR="00230FAA" w:rsidRPr="00850AF5" w:rsidRDefault="00230FAA" w:rsidP="00710EF9">
            <w:pPr>
              <w:keepNext/>
              <w:keepLines/>
              <w:jc w:val="center"/>
              <w:rPr>
                <w:b/>
                <w:sz w:val="20"/>
              </w:rPr>
            </w:pPr>
            <w:r w:rsidRPr="00850AF5">
              <w:rPr>
                <w:b/>
                <w:sz w:val="20"/>
              </w:rPr>
              <w:br w:type="page"/>
              <w:t xml:space="preserve">Utilización de los recursos </w:t>
            </w:r>
            <w:r w:rsidR="00710EF9">
              <w:rPr>
                <w:b/>
                <w:sz w:val="20"/>
              </w:rPr>
              <w:t>d</w:t>
            </w:r>
            <w:r w:rsidRPr="00850AF5">
              <w:rPr>
                <w:b/>
                <w:sz w:val="20"/>
              </w:rPr>
              <w:t>el programa 19</w:t>
            </w:r>
          </w:p>
        </w:tc>
      </w:tr>
    </w:tbl>
    <w:p w:rsidR="00230FAA" w:rsidRPr="00850AF5" w:rsidRDefault="00230FAA" w:rsidP="00156844">
      <w:pPr>
        <w:pStyle w:val="NormalWeb"/>
        <w:keepNext/>
        <w:keepLines/>
        <w:spacing w:before="120" w:beforeAutospacing="0" w:after="0" w:afterAutospacing="0"/>
        <w:jc w:val="center"/>
        <w:rPr>
          <w:lang w:val="es-ES"/>
        </w:rPr>
      </w:pPr>
      <w:r w:rsidRPr="00850AF5">
        <w:rPr>
          <w:lang w:val="es-ES"/>
        </w:rPr>
        <w:t>Presupuesto y gastos reales (por resultado)</w:t>
      </w:r>
    </w:p>
    <w:p w:rsidR="00230FAA" w:rsidRPr="00156844" w:rsidRDefault="00230FAA" w:rsidP="00156844">
      <w:pPr>
        <w:pStyle w:val="NormalWeb"/>
        <w:keepNext/>
        <w:keepLines/>
        <w:spacing w:before="0" w:beforeAutospacing="0" w:after="120" w:afterAutospacing="0"/>
        <w:jc w:val="center"/>
        <w:rPr>
          <w:lang w:val="es-ES"/>
        </w:rPr>
      </w:pPr>
      <w:r w:rsidRPr="00850AF5">
        <w:rPr>
          <w:i/>
          <w:lang w:val="es-ES"/>
        </w:rPr>
        <w:t>(en miles de francos suizos)</w:t>
      </w:r>
    </w:p>
    <w:tbl>
      <w:tblPr>
        <w:tblW w:w="8222" w:type="dxa"/>
        <w:jc w:val="center"/>
        <w:tblLook w:val="04A0" w:firstRow="1" w:lastRow="0" w:firstColumn="1" w:lastColumn="0" w:noHBand="0" w:noVBand="1"/>
      </w:tblPr>
      <w:tblGrid>
        <w:gridCol w:w="627"/>
        <w:gridCol w:w="4236"/>
        <w:gridCol w:w="1186"/>
        <w:gridCol w:w="1310"/>
        <w:gridCol w:w="1170"/>
      </w:tblGrid>
      <w:tr w:rsidR="00230FAA" w:rsidRPr="00850AF5" w:rsidTr="00230FAA">
        <w:trPr>
          <w:trHeight w:val="825"/>
          <w:jc w:val="center"/>
        </w:trPr>
        <w:tc>
          <w:tcPr>
            <w:tcW w:w="4863" w:type="dxa"/>
            <w:gridSpan w:val="2"/>
            <w:tcBorders>
              <w:top w:val="nil"/>
              <w:left w:val="nil"/>
              <w:bottom w:val="nil"/>
              <w:right w:val="nil"/>
            </w:tcBorders>
            <w:shd w:val="clear" w:color="000000" w:fill="C5D9F1"/>
            <w:noWrap/>
            <w:vAlign w:val="center"/>
            <w:hideMark/>
          </w:tcPr>
          <w:p w:rsidR="00230FAA" w:rsidRPr="00850AF5" w:rsidRDefault="00230FAA" w:rsidP="00230FAA">
            <w:pPr>
              <w:jc w:val="center"/>
              <w:rPr>
                <w:b/>
                <w:bCs/>
                <w:sz w:val="16"/>
                <w:szCs w:val="16"/>
              </w:rPr>
            </w:pPr>
            <w:r w:rsidRPr="00850AF5">
              <w:rPr>
                <w:b/>
                <w:bCs/>
                <w:sz w:val="16"/>
                <w:szCs w:val="16"/>
              </w:rPr>
              <w:t xml:space="preserve">Número del resultado previsto y descripción </w:t>
            </w:r>
          </w:p>
        </w:tc>
        <w:tc>
          <w:tcPr>
            <w:tcW w:w="1154"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 xml:space="preserve"> Presupuesto aprobado de 2016/17 </w:t>
            </w:r>
          </w:p>
        </w:tc>
        <w:tc>
          <w:tcPr>
            <w:tcW w:w="1153"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 xml:space="preserve"> Presupuesto de 2016/17 tras las transferencias </w:t>
            </w:r>
          </w:p>
        </w:tc>
        <w:tc>
          <w:tcPr>
            <w:tcW w:w="117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 xml:space="preserve"> Gastos en 2016* </w:t>
            </w:r>
          </w:p>
        </w:tc>
      </w:tr>
      <w:tr w:rsidR="00230FAA" w:rsidRPr="00850AF5" w:rsidTr="00230FAA">
        <w:trPr>
          <w:trHeight w:val="480"/>
          <w:jc w:val="center"/>
        </w:trPr>
        <w:tc>
          <w:tcPr>
            <w:tcW w:w="627" w:type="dxa"/>
            <w:tcBorders>
              <w:top w:val="nil"/>
              <w:left w:val="nil"/>
              <w:bottom w:val="nil"/>
              <w:right w:val="nil"/>
            </w:tcBorders>
            <w:shd w:val="clear" w:color="auto" w:fill="auto"/>
            <w:noWrap/>
            <w:vAlign w:val="center"/>
            <w:hideMark/>
          </w:tcPr>
          <w:p w:rsidR="00230FAA" w:rsidRPr="00850AF5" w:rsidRDefault="00230FAA" w:rsidP="00230FAA">
            <w:pPr>
              <w:rPr>
                <w:sz w:val="16"/>
                <w:szCs w:val="16"/>
              </w:rPr>
            </w:pPr>
            <w:r w:rsidRPr="00850AF5">
              <w:rPr>
                <w:sz w:val="16"/>
                <w:szCs w:val="16"/>
              </w:rPr>
              <w:t>VIII.1</w:t>
            </w:r>
          </w:p>
        </w:tc>
        <w:tc>
          <w:tcPr>
            <w:tcW w:w="4236" w:type="dxa"/>
            <w:tcBorders>
              <w:top w:val="nil"/>
              <w:left w:val="nil"/>
              <w:bottom w:val="nil"/>
              <w:right w:val="nil"/>
            </w:tcBorders>
            <w:shd w:val="clear" w:color="auto" w:fill="auto"/>
            <w:vAlign w:val="center"/>
            <w:hideMark/>
          </w:tcPr>
          <w:p w:rsidR="00230FAA" w:rsidRPr="00850AF5" w:rsidRDefault="00230FAA" w:rsidP="00230FAA">
            <w:pPr>
              <w:rPr>
                <w:sz w:val="16"/>
                <w:szCs w:val="16"/>
              </w:rPr>
            </w:pPr>
            <w:r w:rsidRPr="00850AF5">
              <w:rPr>
                <w:sz w:val="16"/>
                <w:szCs w:val="16"/>
              </w:rPr>
              <w:t>Comunicación más eficaz con el público en general acerca de la P.I. y la función de la OMPI</w:t>
            </w:r>
          </w:p>
        </w:tc>
        <w:tc>
          <w:tcPr>
            <w:tcW w:w="1154" w:type="dxa"/>
            <w:tcBorders>
              <w:top w:val="nil"/>
              <w:left w:val="nil"/>
              <w:bottom w:val="nil"/>
              <w:right w:val="nil"/>
            </w:tcBorders>
            <w:shd w:val="clear" w:color="auto" w:fill="auto"/>
            <w:noWrap/>
            <w:vAlign w:val="center"/>
            <w:hideMark/>
          </w:tcPr>
          <w:p w:rsidR="00230FAA" w:rsidRPr="00850AF5" w:rsidRDefault="00230FAA" w:rsidP="00230FAA">
            <w:pPr>
              <w:jc w:val="center"/>
              <w:rPr>
                <w:sz w:val="16"/>
                <w:szCs w:val="16"/>
              </w:rPr>
            </w:pPr>
            <w:r w:rsidRPr="00850AF5">
              <w:rPr>
                <w:sz w:val="16"/>
                <w:szCs w:val="16"/>
              </w:rPr>
              <w:t>10.808</w:t>
            </w:r>
          </w:p>
        </w:tc>
        <w:tc>
          <w:tcPr>
            <w:tcW w:w="1153" w:type="dxa"/>
            <w:tcBorders>
              <w:top w:val="nil"/>
              <w:left w:val="nil"/>
              <w:bottom w:val="nil"/>
              <w:right w:val="nil"/>
            </w:tcBorders>
            <w:shd w:val="clear" w:color="auto" w:fill="auto"/>
            <w:noWrap/>
            <w:vAlign w:val="center"/>
            <w:hideMark/>
          </w:tcPr>
          <w:p w:rsidR="00230FAA" w:rsidRPr="00850AF5" w:rsidRDefault="00230FAA" w:rsidP="00230FAA">
            <w:pPr>
              <w:jc w:val="center"/>
              <w:rPr>
                <w:sz w:val="16"/>
                <w:szCs w:val="16"/>
              </w:rPr>
            </w:pPr>
            <w:r w:rsidRPr="00850AF5">
              <w:rPr>
                <w:sz w:val="16"/>
                <w:szCs w:val="16"/>
              </w:rPr>
              <w:t>11.336</w:t>
            </w:r>
          </w:p>
        </w:tc>
        <w:tc>
          <w:tcPr>
            <w:tcW w:w="1170" w:type="dxa"/>
            <w:tcBorders>
              <w:top w:val="nil"/>
              <w:left w:val="nil"/>
              <w:bottom w:val="nil"/>
              <w:right w:val="nil"/>
            </w:tcBorders>
            <w:shd w:val="clear" w:color="auto" w:fill="auto"/>
            <w:noWrap/>
            <w:vAlign w:val="center"/>
            <w:hideMark/>
          </w:tcPr>
          <w:p w:rsidR="00230FAA" w:rsidRPr="00850AF5" w:rsidRDefault="00230FAA" w:rsidP="00230FAA">
            <w:pPr>
              <w:jc w:val="center"/>
              <w:rPr>
                <w:sz w:val="16"/>
                <w:szCs w:val="16"/>
              </w:rPr>
            </w:pPr>
            <w:r w:rsidRPr="00850AF5">
              <w:rPr>
                <w:sz w:val="16"/>
                <w:szCs w:val="16"/>
              </w:rPr>
              <w:t>5.078</w:t>
            </w:r>
          </w:p>
        </w:tc>
      </w:tr>
      <w:tr w:rsidR="00230FAA" w:rsidRPr="00850AF5" w:rsidTr="00230FAA">
        <w:trPr>
          <w:trHeight w:val="572"/>
          <w:jc w:val="center"/>
        </w:trPr>
        <w:tc>
          <w:tcPr>
            <w:tcW w:w="627" w:type="dxa"/>
            <w:tcBorders>
              <w:top w:val="nil"/>
              <w:left w:val="nil"/>
              <w:bottom w:val="nil"/>
              <w:right w:val="nil"/>
            </w:tcBorders>
            <w:shd w:val="clear" w:color="auto" w:fill="auto"/>
            <w:noWrap/>
            <w:vAlign w:val="center"/>
            <w:hideMark/>
          </w:tcPr>
          <w:p w:rsidR="00230FAA" w:rsidRPr="00850AF5" w:rsidRDefault="00230FAA" w:rsidP="00230FAA">
            <w:pPr>
              <w:rPr>
                <w:sz w:val="16"/>
                <w:szCs w:val="16"/>
              </w:rPr>
            </w:pPr>
            <w:r w:rsidRPr="00850AF5">
              <w:rPr>
                <w:sz w:val="16"/>
                <w:szCs w:val="16"/>
              </w:rPr>
              <w:t>VIII.2</w:t>
            </w:r>
          </w:p>
        </w:tc>
        <w:tc>
          <w:tcPr>
            <w:tcW w:w="4236" w:type="dxa"/>
            <w:tcBorders>
              <w:top w:val="nil"/>
              <w:left w:val="nil"/>
              <w:bottom w:val="nil"/>
              <w:right w:val="nil"/>
            </w:tcBorders>
            <w:shd w:val="clear" w:color="auto" w:fill="auto"/>
            <w:vAlign w:val="center"/>
            <w:hideMark/>
          </w:tcPr>
          <w:p w:rsidR="00230FAA" w:rsidRPr="00850AF5" w:rsidRDefault="00230FAA" w:rsidP="00230FAA">
            <w:pPr>
              <w:rPr>
                <w:sz w:val="16"/>
                <w:szCs w:val="16"/>
              </w:rPr>
            </w:pPr>
            <w:r w:rsidRPr="00850AF5">
              <w:rPr>
                <w:sz w:val="16"/>
                <w:szCs w:val="16"/>
              </w:rPr>
              <w:t>Mejora en la prestación de servicios y la atención de consultas</w:t>
            </w:r>
          </w:p>
        </w:tc>
        <w:tc>
          <w:tcPr>
            <w:tcW w:w="1154" w:type="dxa"/>
            <w:tcBorders>
              <w:top w:val="nil"/>
              <w:left w:val="nil"/>
              <w:bottom w:val="nil"/>
              <w:right w:val="nil"/>
            </w:tcBorders>
            <w:shd w:val="clear" w:color="auto" w:fill="auto"/>
            <w:noWrap/>
            <w:vAlign w:val="center"/>
            <w:hideMark/>
          </w:tcPr>
          <w:p w:rsidR="00230FAA" w:rsidRPr="00850AF5" w:rsidRDefault="00230FAA" w:rsidP="00230FAA">
            <w:pPr>
              <w:jc w:val="center"/>
              <w:rPr>
                <w:sz w:val="16"/>
                <w:szCs w:val="16"/>
              </w:rPr>
            </w:pPr>
            <w:r w:rsidRPr="00850AF5">
              <w:rPr>
                <w:sz w:val="16"/>
                <w:szCs w:val="16"/>
              </w:rPr>
              <w:t>5.674</w:t>
            </w:r>
          </w:p>
        </w:tc>
        <w:tc>
          <w:tcPr>
            <w:tcW w:w="1153" w:type="dxa"/>
            <w:tcBorders>
              <w:top w:val="nil"/>
              <w:left w:val="nil"/>
              <w:bottom w:val="nil"/>
              <w:right w:val="nil"/>
            </w:tcBorders>
            <w:shd w:val="clear" w:color="auto" w:fill="auto"/>
            <w:noWrap/>
            <w:vAlign w:val="center"/>
            <w:hideMark/>
          </w:tcPr>
          <w:p w:rsidR="00230FAA" w:rsidRPr="00850AF5" w:rsidRDefault="00230FAA" w:rsidP="00230FAA">
            <w:pPr>
              <w:jc w:val="center"/>
              <w:rPr>
                <w:sz w:val="16"/>
                <w:szCs w:val="16"/>
              </w:rPr>
            </w:pPr>
            <w:r w:rsidRPr="00850AF5">
              <w:rPr>
                <w:sz w:val="16"/>
                <w:szCs w:val="16"/>
              </w:rPr>
              <w:t>5.653</w:t>
            </w:r>
          </w:p>
        </w:tc>
        <w:tc>
          <w:tcPr>
            <w:tcW w:w="1170" w:type="dxa"/>
            <w:tcBorders>
              <w:top w:val="nil"/>
              <w:left w:val="nil"/>
              <w:bottom w:val="nil"/>
              <w:right w:val="nil"/>
            </w:tcBorders>
            <w:shd w:val="clear" w:color="auto" w:fill="auto"/>
            <w:noWrap/>
            <w:vAlign w:val="center"/>
            <w:hideMark/>
          </w:tcPr>
          <w:p w:rsidR="00230FAA" w:rsidRPr="00850AF5" w:rsidRDefault="00230FAA" w:rsidP="00230FAA">
            <w:pPr>
              <w:jc w:val="center"/>
              <w:rPr>
                <w:sz w:val="16"/>
                <w:szCs w:val="16"/>
              </w:rPr>
            </w:pPr>
            <w:r w:rsidRPr="00850AF5">
              <w:rPr>
                <w:sz w:val="16"/>
                <w:szCs w:val="16"/>
              </w:rPr>
              <w:t>2.609</w:t>
            </w:r>
          </w:p>
        </w:tc>
      </w:tr>
      <w:tr w:rsidR="00230FAA" w:rsidRPr="00850AF5" w:rsidTr="00230FAA">
        <w:trPr>
          <w:trHeight w:val="225"/>
          <w:jc w:val="center"/>
        </w:trPr>
        <w:tc>
          <w:tcPr>
            <w:tcW w:w="627" w:type="dxa"/>
            <w:tcBorders>
              <w:top w:val="nil"/>
              <w:left w:val="nil"/>
              <w:bottom w:val="nil"/>
              <w:right w:val="nil"/>
            </w:tcBorders>
            <w:shd w:val="clear" w:color="000000" w:fill="C5D9F1"/>
            <w:noWrap/>
            <w:vAlign w:val="bottom"/>
            <w:hideMark/>
          </w:tcPr>
          <w:p w:rsidR="00230FAA" w:rsidRPr="00850AF5" w:rsidRDefault="00230FAA" w:rsidP="00230FAA">
            <w:pPr>
              <w:rPr>
                <w:sz w:val="16"/>
                <w:szCs w:val="16"/>
              </w:rPr>
            </w:pPr>
            <w:r w:rsidRPr="00850AF5">
              <w:rPr>
                <w:sz w:val="16"/>
                <w:szCs w:val="16"/>
              </w:rPr>
              <w:t> </w:t>
            </w:r>
          </w:p>
        </w:tc>
        <w:tc>
          <w:tcPr>
            <w:tcW w:w="4236" w:type="dxa"/>
            <w:tcBorders>
              <w:top w:val="nil"/>
              <w:left w:val="nil"/>
              <w:bottom w:val="nil"/>
              <w:right w:val="nil"/>
            </w:tcBorders>
            <w:shd w:val="clear" w:color="000000" w:fill="C5D9F1"/>
            <w:noWrap/>
            <w:vAlign w:val="bottom"/>
            <w:hideMark/>
          </w:tcPr>
          <w:p w:rsidR="00230FAA" w:rsidRPr="00850AF5" w:rsidRDefault="00230FAA" w:rsidP="00230FAA">
            <w:pPr>
              <w:jc w:val="right"/>
              <w:rPr>
                <w:b/>
                <w:bCs/>
                <w:sz w:val="16"/>
                <w:szCs w:val="16"/>
              </w:rPr>
            </w:pPr>
            <w:r w:rsidRPr="00850AF5">
              <w:rPr>
                <w:b/>
                <w:bCs/>
                <w:sz w:val="16"/>
                <w:szCs w:val="16"/>
              </w:rPr>
              <w:t>Total</w:t>
            </w:r>
          </w:p>
        </w:tc>
        <w:tc>
          <w:tcPr>
            <w:tcW w:w="1154" w:type="dxa"/>
            <w:tcBorders>
              <w:top w:val="nil"/>
              <w:left w:val="nil"/>
              <w:bottom w:val="nil"/>
              <w:right w:val="nil"/>
            </w:tcBorders>
            <w:shd w:val="clear" w:color="000000" w:fill="C5D9F1"/>
            <w:noWrap/>
            <w:vAlign w:val="center"/>
            <w:hideMark/>
          </w:tcPr>
          <w:p w:rsidR="00230FAA" w:rsidRPr="00850AF5" w:rsidRDefault="00230FAA" w:rsidP="00230FAA">
            <w:pPr>
              <w:jc w:val="center"/>
              <w:rPr>
                <w:sz w:val="16"/>
                <w:szCs w:val="16"/>
              </w:rPr>
            </w:pPr>
            <w:r w:rsidRPr="00850AF5">
              <w:rPr>
                <w:sz w:val="16"/>
                <w:szCs w:val="16"/>
              </w:rPr>
              <w:t>16.483</w:t>
            </w:r>
          </w:p>
        </w:tc>
        <w:tc>
          <w:tcPr>
            <w:tcW w:w="1153" w:type="dxa"/>
            <w:tcBorders>
              <w:top w:val="nil"/>
              <w:left w:val="nil"/>
              <w:bottom w:val="nil"/>
              <w:right w:val="nil"/>
            </w:tcBorders>
            <w:shd w:val="clear" w:color="000000" w:fill="C5D9F1"/>
            <w:noWrap/>
            <w:vAlign w:val="center"/>
            <w:hideMark/>
          </w:tcPr>
          <w:p w:rsidR="00230FAA" w:rsidRPr="00850AF5" w:rsidRDefault="00230FAA" w:rsidP="00230FAA">
            <w:pPr>
              <w:jc w:val="center"/>
              <w:rPr>
                <w:sz w:val="16"/>
                <w:szCs w:val="16"/>
              </w:rPr>
            </w:pPr>
            <w:r w:rsidRPr="00850AF5">
              <w:rPr>
                <w:sz w:val="16"/>
                <w:szCs w:val="16"/>
              </w:rPr>
              <w:t>16.989</w:t>
            </w:r>
          </w:p>
        </w:tc>
        <w:tc>
          <w:tcPr>
            <w:tcW w:w="1170" w:type="dxa"/>
            <w:tcBorders>
              <w:top w:val="nil"/>
              <w:left w:val="nil"/>
              <w:bottom w:val="nil"/>
              <w:right w:val="nil"/>
            </w:tcBorders>
            <w:shd w:val="clear" w:color="000000" w:fill="C5D9F1"/>
            <w:noWrap/>
            <w:vAlign w:val="center"/>
            <w:hideMark/>
          </w:tcPr>
          <w:p w:rsidR="00230FAA" w:rsidRPr="00850AF5" w:rsidRDefault="00230FAA" w:rsidP="00230FAA">
            <w:pPr>
              <w:jc w:val="center"/>
              <w:rPr>
                <w:sz w:val="16"/>
                <w:szCs w:val="16"/>
              </w:rPr>
            </w:pPr>
            <w:r w:rsidRPr="00850AF5">
              <w:rPr>
                <w:sz w:val="16"/>
                <w:szCs w:val="16"/>
              </w:rPr>
              <w:t>7.687</w:t>
            </w:r>
          </w:p>
        </w:tc>
      </w:tr>
      <w:tr w:rsidR="00230FAA" w:rsidRPr="00850AF5" w:rsidTr="00230FAA">
        <w:trPr>
          <w:trHeight w:val="330"/>
          <w:jc w:val="center"/>
        </w:trPr>
        <w:tc>
          <w:tcPr>
            <w:tcW w:w="7170" w:type="dxa"/>
            <w:gridSpan w:val="4"/>
            <w:tcBorders>
              <w:top w:val="nil"/>
              <w:left w:val="nil"/>
              <w:bottom w:val="nil"/>
              <w:right w:val="nil"/>
            </w:tcBorders>
            <w:shd w:val="clear" w:color="auto" w:fill="auto"/>
            <w:noWrap/>
            <w:vAlign w:val="center"/>
            <w:hideMark/>
          </w:tcPr>
          <w:p w:rsidR="00230FAA" w:rsidRPr="00850AF5" w:rsidRDefault="00230FAA" w:rsidP="00230FAA">
            <w:pPr>
              <w:rPr>
                <w:i/>
                <w:iCs/>
                <w:sz w:val="16"/>
                <w:szCs w:val="16"/>
              </w:rPr>
            </w:pPr>
            <w:r w:rsidRPr="00850AF5">
              <w:rPr>
                <w:i/>
                <w:iCs/>
                <w:sz w:val="16"/>
                <w:szCs w:val="16"/>
              </w:rPr>
              <w:t>*Las cifras de gastos en 2016 son preliminares, a reserva de verificación por el Auditor Externo.</w:t>
            </w:r>
          </w:p>
        </w:tc>
        <w:tc>
          <w:tcPr>
            <w:tcW w:w="1170" w:type="dxa"/>
            <w:tcBorders>
              <w:top w:val="nil"/>
              <w:left w:val="nil"/>
              <w:bottom w:val="nil"/>
              <w:right w:val="nil"/>
            </w:tcBorders>
            <w:shd w:val="clear" w:color="auto" w:fill="auto"/>
            <w:noWrap/>
            <w:vAlign w:val="center"/>
            <w:hideMark/>
          </w:tcPr>
          <w:p w:rsidR="00230FAA" w:rsidRPr="00850AF5" w:rsidRDefault="00230FAA" w:rsidP="00230FAA">
            <w:pPr>
              <w:rPr>
                <w:sz w:val="16"/>
                <w:szCs w:val="16"/>
              </w:rPr>
            </w:pPr>
          </w:p>
        </w:tc>
      </w:tr>
    </w:tbl>
    <w:p w:rsidR="00230FAA" w:rsidRPr="00850AF5" w:rsidRDefault="00230FAA" w:rsidP="00230FAA">
      <w:pPr>
        <w:rPr>
          <w:sz w:val="20"/>
        </w:rPr>
      </w:pPr>
    </w:p>
    <w:p w:rsidR="00230FAA" w:rsidRPr="00850AF5" w:rsidRDefault="00230FAA" w:rsidP="00230FAA">
      <w:pPr>
        <w:pStyle w:val="NormalWeb"/>
        <w:keepNext/>
        <w:keepLines/>
        <w:spacing w:before="0" w:beforeAutospacing="0" w:after="0" w:afterAutospacing="0"/>
        <w:jc w:val="center"/>
        <w:rPr>
          <w:lang w:val="es-ES"/>
        </w:rPr>
      </w:pPr>
      <w:r w:rsidRPr="00850AF5">
        <w:rPr>
          <w:lang w:val="es-ES"/>
        </w:rPr>
        <w:t xml:space="preserve">Presupuesto y gastos reales (de personal y no relativos a personal) </w:t>
      </w:r>
    </w:p>
    <w:p w:rsidR="00230FAA" w:rsidRPr="00156844" w:rsidRDefault="00230FAA" w:rsidP="00156844">
      <w:pPr>
        <w:pStyle w:val="NormalWeb"/>
        <w:keepNext/>
        <w:keepLines/>
        <w:spacing w:before="0" w:beforeAutospacing="0" w:after="120" w:afterAutospacing="0"/>
        <w:jc w:val="center"/>
        <w:rPr>
          <w:lang w:val="es-ES"/>
        </w:rPr>
      </w:pPr>
      <w:r w:rsidRPr="00850AF5">
        <w:rPr>
          <w:i/>
          <w:lang w:val="es-ES"/>
        </w:rPr>
        <w:t>(en miles de francos suizos)</w:t>
      </w:r>
    </w:p>
    <w:tbl>
      <w:tblPr>
        <w:tblW w:w="8222" w:type="dxa"/>
        <w:jc w:val="center"/>
        <w:tblLook w:val="04A0" w:firstRow="1" w:lastRow="0" w:firstColumn="1" w:lastColumn="0" w:noHBand="0" w:noVBand="1"/>
      </w:tblPr>
      <w:tblGrid>
        <w:gridCol w:w="2470"/>
        <w:gridCol w:w="1438"/>
        <w:gridCol w:w="1438"/>
        <w:gridCol w:w="1438"/>
        <w:gridCol w:w="1438"/>
      </w:tblGrid>
      <w:tr w:rsidR="00230FAA" w:rsidRPr="00850AF5" w:rsidTr="00230FAA">
        <w:trPr>
          <w:trHeight w:val="720"/>
          <w:jc w:val="center"/>
        </w:trPr>
        <w:tc>
          <w:tcPr>
            <w:tcW w:w="2440" w:type="dxa"/>
            <w:tcBorders>
              <w:top w:val="nil"/>
              <w:left w:val="nil"/>
              <w:bottom w:val="nil"/>
              <w:right w:val="nil"/>
            </w:tcBorders>
            <w:shd w:val="clear" w:color="000000" w:fill="C5D9F1"/>
            <w:noWrap/>
            <w:vAlign w:val="center"/>
            <w:hideMark/>
          </w:tcPr>
          <w:p w:rsidR="00230FAA" w:rsidRPr="00850AF5" w:rsidRDefault="00230FAA" w:rsidP="00230FAA">
            <w:pPr>
              <w:rPr>
                <w:sz w:val="16"/>
                <w:szCs w:val="16"/>
              </w:rPr>
            </w:pPr>
            <w:r w:rsidRPr="00850AF5">
              <w:rPr>
                <w:sz w:val="16"/>
                <w:szCs w:val="16"/>
              </w:rPr>
              <w:t> </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Gastos en 2016*</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Índice de utilización (%)</w:t>
            </w:r>
          </w:p>
        </w:tc>
      </w:tr>
      <w:tr w:rsidR="00230FAA" w:rsidRPr="00850AF5" w:rsidTr="00230FAA">
        <w:trPr>
          <w:trHeight w:val="315"/>
          <w:jc w:val="center"/>
        </w:trPr>
        <w:tc>
          <w:tcPr>
            <w:tcW w:w="2440" w:type="dxa"/>
            <w:tcBorders>
              <w:top w:val="nil"/>
              <w:left w:val="nil"/>
              <w:bottom w:val="nil"/>
              <w:right w:val="nil"/>
            </w:tcBorders>
            <w:shd w:val="clear" w:color="auto" w:fill="auto"/>
            <w:noWrap/>
            <w:vAlign w:val="center"/>
            <w:hideMark/>
          </w:tcPr>
          <w:p w:rsidR="00230FAA" w:rsidRPr="00850AF5" w:rsidRDefault="00230FAA" w:rsidP="00230FAA">
            <w:pPr>
              <w:rPr>
                <w:sz w:val="16"/>
                <w:szCs w:val="16"/>
              </w:rPr>
            </w:pPr>
            <w:r w:rsidRPr="00850AF5">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 xml:space="preserve">13.996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 xml:space="preserve">13.991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 xml:space="preserve">6.500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46%</w:t>
            </w:r>
          </w:p>
        </w:tc>
      </w:tr>
      <w:tr w:rsidR="00230FAA" w:rsidRPr="00850AF5" w:rsidTr="00230FAA">
        <w:trPr>
          <w:trHeight w:val="315"/>
          <w:jc w:val="center"/>
        </w:trPr>
        <w:tc>
          <w:tcPr>
            <w:tcW w:w="2440" w:type="dxa"/>
            <w:tcBorders>
              <w:top w:val="nil"/>
              <w:left w:val="nil"/>
              <w:bottom w:val="nil"/>
              <w:right w:val="nil"/>
            </w:tcBorders>
            <w:shd w:val="clear" w:color="auto" w:fill="auto"/>
            <w:noWrap/>
            <w:vAlign w:val="center"/>
            <w:hideMark/>
          </w:tcPr>
          <w:p w:rsidR="00230FAA" w:rsidRPr="00850AF5" w:rsidRDefault="00230FAA" w:rsidP="00230FAA">
            <w:pPr>
              <w:rPr>
                <w:sz w:val="16"/>
                <w:szCs w:val="16"/>
              </w:rPr>
            </w:pPr>
            <w:r w:rsidRPr="00850AF5">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 xml:space="preserve">2.487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 xml:space="preserve">2.998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 xml:space="preserve">1.187 </w:t>
            </w:r>
          </w:p>
        </w:tc>
        <w:tc>
          <w:tcPr>
            <w:tcW w:w="1420" w:type="dxa"/>
            <w:tcBorders>
              <w:top w:val="nil"/>
              <w:left w:val="nil"/>
              <w:bottom w:val="nil"/>
              <w:right w:val="nil"/>
            </w:tcBorders>
            <w:shd w:val="clear" w:color="auto" w:fill="auto"/>
            <w:vAlign w:val="center"/>
            <w:hideMark/>
          </w:tcPr>
          <w:p w:rsidR="00230FAA" w:rsidRPr="00850AF5" w:rsidRDefault="00230FAA" w:rsidP="00230FAA">
            <w:pPr>
              <w:jc w:val="center"/>
              <w:rPr>
                <w:sz w:val="16"/>
                <w:szCs w:val="16"/>
              </w:rPr>
            </w:pPr>
            <w:r w:rsidRPr="00850AF5">
              <w:rPr>
                <w:sz w:val="16"/>
                <w:szCs w:val="16"/>
              </w:rPr>
              <w:t>40%</w:t>
            </w:r>
          </w:p>
        </w:tc>
      </w:tr>
      <w:tr w:rsidR="00230FAA" w:rsidRPr="00850AF5" w:rsidTr="00230FAA">
        <w:trPr>
          <w:trHeight w:val="225"/>
          <w:jc w:val="center"/>
        </w:trPr>
        <w:tc>
          <w:tcPr>
            <w:tcW w:w="2440" w:type="dxa"/>
            <w:tcBorders>
              <w:top w:val="nil"/>
              <w:left w:val="nil"/>
              <w:bottom w:val="nil"/>
              <w:right w:val="nil"/>
            </w:tcBorders>
            <w:shd w:val="clear" w:color="000000" w:fill="C5D9F1"/>
            <w:noWrap/>
            <w:vAlign w:val="center"/>
            <w:hideMark/>
          </w:tcPr>
          <w:p w:rsidR="00230FAA" w:rsidRPr="00850AF5" w:rsidRDefault="00230FAA" w:rsidP="00230FAA">
            <w:pPr>
              <w:jc w:val="right"/>
              <w:rPr>
                <w:b/>
                <w:bCs/>
                <w:sz w:val="16"/>
                <w:szCs w:val="16"/>
              </w:rPr>
            </w:pPr>
            <w:r w:rsidRPr="00850AF5">
              <w:rPr>
                <w:b/>
                <w:bCs/>
                <w:sz w:val="16"/>
                <w:szCs w:val="16"/>
              </w:rPr>
              <w:t xml:space="preserve"> Total </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 xml:space="preserve">16.483 </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 xml:space="preserve">16.989 </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 xml:space="preserve">7.687 </w:t>
            </w:r>
          </w:p>
        </w:tc>
        <w:tc>
          <w:tcPr>
            <w:tcW w:w="1420" w:type="dxa"/>
            <w:tcBorders>
              <w:top w:val="nil"/>
              <w:left w:val="nil"/>
              <w:bottom w:val="nil"/>
              <w:right w:val="nil"/>
            </w:tcBorders>
            <w:shd w:val="clear" w:color="000000" w:fill="C5D9F1"/>
            <w:vAlign w:val="center"/>
            <w:hideMark/>
          </w:tcPr>
          <w:p w:rsidR="00230FAA" w:rsidRPr="00850AF5" w:rsidRDefault="00230FAA" w:rsidP="00230FAA">
            <w:pPr>
              <w:jc w:val="center"/>
              <w:rPr>
                <w:b/>
                <w:bCs/>
                <w:sz w:val="16"/>
                <w:szCs w:val="16"/>
              </w:rPr>
            </w:pPr>
            <w:r w:rsidRPr="00850AF5">
              <w:rPr>
                <w:b/>
                <w:bCs/>
                <w:sz w:val="16"/>
                <w:szCs w:val="16"/>
              </w:rPr>
              <w:t>45%</w:t>
            </w:r>
          </w:p>
        </w:tc>
      </w:tr>
      <w:tr w:rsidR="00230FAA" w:rsidRPr="00850AF5" w:rsidTr="00230FAA">
        <w:trPr>
          <w:trHeight w:val="300"/>
          <w:jc w:val="center"/>
        </w:trPr>
        <w:tc>
          <w:tcPr>
            <w:tcW w:w="8120" w:type="dxa"/>
            <w:gridSpan w:val="5"/>
            <w:tcBorders>
              <w:top w:val="nil"/>
              <w:left w:val="nil"/>
              <w:bottom w:val="nil"/>
              <w:right w:val="nil"/>
            </w:tcBorders>
            <w:shd w:val="clear" w:color="auto" w:fill="auto"/>
            <w:noWrap/>
            <w:vAlign w:val="center"/>
            <w:hideMark/>
          </w:tcPr>
          <w:p w:rsidR="00230FAA" w:rsidRPr="00850AF5" w:rsidRDefault="00230FAA" w:rsidP="00230FAA">
            <w:pPr>
              <w:rPr>
                <w:i/>
                <w:iCs/>
                <w:sz w:val="16"/>
                <w:szCs w:val="16"/>
              </w:rPr>
            </w:pPr>
            <w:r w:rsidRPr="00850AF5">
              <w:rPr>
                <w:i/>
                <w:iCs/>
                <w:sz w:val="16"/>
                <w:szCs w:val="16"/>
              </w:rPr>
              <w:t xml:space="preserve"> *Las cifras de gastos en 2016 son preliminares, a reserva de verificación por el Auditor Externo.</w:t>
            </w:r>
          </w:p>
        </w:tc>
      </w:tr>
    </w:tbl>
    <w:p w:rsidR="00230FAA" w:rsidRPr="00850AF5" w:rsidRDefault="00230FAA" w:rsidP="00230FAA">
      <w:pPr>
        <w:rPr>
          <w:sz w:val="20"/>
        </w:rPr>
      </w:pPr>
    </w:p>
    <w:p w:rsidR="00230FAA" w:rsidRPr="00850AF5" w:rsidRDefault="00230FAA" w:rsidP="00230FAA">
      <w:pPr>
        <w:keepNext/>
        <w:keepLines/>
        <w:ind w:left="567" w:right="424"/>
        <w:rPr>
          <w:i/>
          <w:sz w:val="16"/>
          <w:szCs w:val="16"/>
        </w:rPr>
      </w:pPr>
      <w:r w:rsidRPr="00850AF5">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230FAA" w:rsidRPr="00850AF5" w:rsidRDefault="00230FAA" w:rsidP="00230FAA">
      <w:pPr>
        <w:rPr>
          <w:sz w:val="20"/>
        </w:rPr>
      </w:pPr>
    </w:p>
    <w:p w:rsidR="00230FAA" w:rsidRPr="00850AF5" w:rsidRDefault="00230FAA" w:rsidP="00230FAA">
      <w:pPr>
        <w:jc w:val="both"/>
        <w:rPr>
          <w:sz w:val="20"/>
          <w:u w:val="single"/>
        </w:rPr>
      </w:pPr>
      <w:r w:rsidRPr="00850AF5">
        <w:rPr>
          <w:sz w:val="20"/>
        </w:rPr>
        <w:t>A.</w:t>
      </w:r>
      <w:r w:rsidRPr="00850AF5">
        <w:rPr>
          <w:sz w:val="20"/>
        </w:rPr>
        <w:tab/>
      </w:r>
      <w:r w:rsidRPr="00850AF5">
        <w:rPr>
          <w:sz w:val="20"/>
          <w:u w:val="single"/>
        </w:rPr>
        <w:t>Presupuesto de 2016/17 tras las transferencias</w:t>
      </w:r>
    </w:p>
    <w:p w:rsidR="00230FAA" w:rsidRPr="00850AF5" w:rsidRDefault="00230FAA" w:rsidP="00230FAA">
      <w:pPr>
        <w:jc w:val="both"/>
        <w:rPr>
          <w:sz w:val="20"/>
          <w:u w:val="single"/>
        </w:rPr>
      </w:pPr>
    </w:p>
    <w:p w:rsidR="00230FAA" w:rsidRPr="00850AF5" w:rsidRDefault="00230FAA" w:rsidP="00230FAA">
      <w:pPr>
        <w:pStyle w:val="ListParagraph"/>
        <w:numPr>
          <w:ilvl w:val="0"/>
          <w:numId w:val="76"/>
        </w:numPr>
        <w:ind w:firstLine="0"/>
        <w:contextualSpacing/>
        <w:jc w:val="both"/>
        <w:rPr>
          <w:lang w:val="es-ES"/>
        </w:rPr>
      </w:pPr>
      <w:r w:rsidRPr="00850AF5">
        <w:rPr>
          <w:lang w:val="es-ES"/>
        </w:rPr>
        <w:t xml:space="preserve">El aumento de los recursos no relativos a personal en comparación con el presupuesto aprobado de 2016/17 se debió principalmente a la transferencia al programa de recursos adicionales para la migración de la base de datos sobre flexibilidades en el sistema de la P.I. y para reforzar el análisis de sitios web y las producciones de vídeo, como queda reflejado en el resultado previsto VIII.1 (Comunicación más eficaz). </w:t>
      </w:r>
    </w:p>
    <w:p w:rsidR="00230FAA" w:rsidRPr="00850AF5" w:rsidRDefault="00230FAA" w:rsidP="00230FAA">
      <w:pPr>
        <w:jc w:val="both"/>
        <w:rPr>
          <w:sz w:val="20"/>
          <w:u w:val="single"/>
        </w:rPr>
      </w:pPr>
    </w:p>
    <w:p w:rsidR="00230FAA" w:rsidRPr="00850AF5" w:rsidRDefault="00230FAA" w:rsidP="00230FAA">
      <w:pPr>
        <w:keepNext/>
        <w:keepLines/>
        <w:jc w:val="both"/>
        <w:rPr>
          <w:sz w:val="20"/>
          <w:u w:val="single"/>
        </w:rPr>
      </w:pPr>
      <w:r w:rsidRPr="00850AF5">
        <w:rPr>
          <w:sz w:val="20"/>
        </w:rPr>
        <w:t>B.</w:t>
      </w:r>
      <w:r w:rsidRPr="00850AF5">
        <w:rPr>
          <w:sz w:val="20"/>
        </w:rPr>
        <w:tab/>
      </w:r>
      <w:r w:rsidRPr="00850AF5">
        <w:rPr>
          <w:sz w:val="20"/>
          <w:u w:val="single"/>
        </w:rPr>
        <w:t>Utilización del presupuesto en 2016/17</w:t>
      </w:r>
    </w:p>
    <w:p w:rsidR="00230FAA" w:rsidRPr="00850AF5" w:rsidRDefault="00230FAA" w:rsidP="00230FAA">
      <w:pPr>
        <w:keepNext/>
        <w:keepLines/>
        <w:jc w:val="both"/>
        <w:rPr>
          <w:sz w:val="20"/>
          <w:u w:val="single"/>
        </w:rPr>
      </w:pPr>
    </w:p>
    <w:p w:rsidR="00230FAA" w:rsidRPr="00156844" w:rsidRDefault="00230FAA" w:rsidP="00156844">
      <w:pPr>
        <w:pStyle w:val="ListParagraph"/>
        <w:keepNext/>
        <w:keepLines/>
        <w:numPr>
          <w:ilvl w:val="0"/>
          <w:numId w:val="76"/>
        </w:numPr>
        <w:ind w:firstLine="0"/>
        <w:contextualSpacing/>
        <w:jc w:val="both"/>
        <w:rPr>
          <w:lang w:val="es-ES"/>
        </w:rPr>
      </w:pPr>
      <w:r w:rsidRPr="00850AF5">
        <w:rPr>
          <w:lang w:val="es-ES"/>
        </w:rPr>
        <w:t>El 40% de utilización de los recursos no relativos a personal en el primer año del bienio puede explicarse por el incremento</w:t>
      </w:r>
      <w:r w:rsidR="00710EF9">
        <w:rPr>
          <w:lang w:val="es-ES"/>
        </w:rPr>
        <w:t>,</w:t>
      </w:r>
      <w:r w:rsidRPr="00850AF5">
        <w:rPr>
          <w:lang w:val="es-ES"/>
        </w:rPr>
        <w:t xml:space="preserve"> en el presupuesto de 2016/17 tras las transferencias</w:t>
      </w:r>
      <w:r w:rsidR="00710EF9">
        <w:rPr>
          <w:lang w:val="es-ES"/>
        </w:rPr>
        <w:t>,</w:t>
      </w:r>
      <w:r w:rsidRPr="00850AF5">
        <w:rPr>
          <w:lang w:val="es-ES"/>
        </w:rPr>
        <w:t xml:space="preserve"> de la partida correspondiente al análisis de sitios web y las producciones de v</w:t>
      </w:r>
      <w:r w:rsidR="00710EF9">
        <w:rPr>
          <w:lang w:val="es-ES"/>
        </w:rPr>
        <w:t>i</w:t>
      </w:r>
      <w:r w:rsidRPr="00850AF5">
        <w:rPr>
          <w:lang w:val="es-ES"/>
        </w:rPr>
        <w:t>deo</w:t>
      </w:r>
      <w:r w:rsidR="00710EF9">
        <w:rPr>
          <w:lang w:val="es-ES"/>
        </w:rPr>
        <w:t>s</w:t>
      </w:r>
      <w:r w:rsidRPr="00850AF5">
        <w:rPr>
          <w:lang w:val="es-ES"/>
        </w:rPr>
        <w:t>, que están previstos sólo en el segundo año del bienio.</w:t>
      </w:r>
      <w:r w:rsidRPr="00156844">
        <w:rPr>
          <w:b/>
          <w:bCs/>
          <w:iCs/>
          <w:szCs w:val="28"/>
        </w:rPr>
        <w:br w:type="page"/>
      </w:r>
    </w:p>
    <w:p w:rsidR="00230FAA" w:rsidRPr="00230FAA" w:rsidRDefault="00230FAA" w:rsidP="00230FAA">
      <w:pPr>
        <w:keepNext/>
        <w:tabs>
          <w:tab w:val="left" w:pos="2410"/>
          <w:tab w:val="right" w:pos="9072"/>
        </w:tabs>
        <w:ind w:left="2410" w:hanging="2410"/>
        <w:jc w:val="both"/>
        <w:outlineLvl w:val="1"/>
        <w:rPr>
          <w:b/>
          <w:bCs/>
          <w:iCs/>
          <w:szCs w:val="28"/>
        </w:rPr>
      </w:pPr>
      <w:bookmarkStart w:id="70" w:name="_Toc482711271"/>
      <w:r w:rsidRPr="00230FAA">
        <w:rPr>
          <w:b/>
          <w:bCs/>
          <w:iCs/>
          <w:szCs w:val="28"/>
        </w:rPr>
        <w:lastRenderedPageBreak/>
        <w:t>PROGRAMA 20</w:t>
      </w:r>
      <w:r w:rsidRPr="00230FAA">
        <w:rPr>
          <w:b/>
          <w:bCs/>
          <w:iCs/>
          <w:szCs w:val="28"/>
        </w:rPr>
        <w:tab/>
        <w:t>RELACIONES EXTERIORES, ALIANZAS Y OFICINAS EN EL EXTERIOR</w:t>
      </w:r>
      <w:bookmarkEnd w:id="70"/>
    </w:p>
    <w:p w:rsidR="00230FAA" w:rsidRPr="007C56C4" w:rsidRDefault="00230FAA" w:rsidP="00230FAA">
      <w:pPr>
        <w:ind w:left="1985" w:hanging="1985"/>
        <w:rPr>
          <w:rFonts w:eastAsia="Times New Roman" w:cs="Times New Roman"/>
          <w:sz w:val="20"/>
          <w:lang w:eastAsia="en-US"/>
        </w:rPr>
      </w:pPr>
    </w:p>
    <w:p w:rsidR="00230FAA" w:rsidRPr="007C56C4" w:rsidRDefault="00230FAA" w:rsidP="00710EF9">
      <w:pPr>
        <w:tabs>
          <w:tab w:val="left" w:pos="2410"/>
        </w:tabs>
        <w:rPr>
          <w:rFonts w:cs="Times New Roman"/>
          <w:b/>
          <w:sz w:val="20"/>
        </w:rPr>
      </w:pPr>
      <w:r w:rsidRPr="007C56C4">
        <w:rPr>
          <w:rFonts w:cs="Times New Roman"/>
          <w:b/>
          <w:sz w:val="20"/>
        </w:rPr>
        <w:t>Director</w:t>
      </w:r>
      <w:r w:rsidR="003A134D">
        <w:rPr>
          <w:rFonts w:cs="Times New Roman"/>
          <w:b/>
          <w:sz w:val="20"/>
        </w:rPr>
        <w:t>es</w:t>
      </w:r>
      <w:r w:rsidRPr="007C56C4">
        <w:rPr>
          <w:rFonts w:cs="Times New Roman"/>
          <w:b/>
          <w:sz w:val="20"/>
        </w:rPr>
        <w:t xml:space="preserve"> de programa</w:t>
      </w:r>
      <w:r w:rsidRPr="007C56C4">
        <w:rPr>
          <w:rFonts w:cs="Times New Roman"/>
          <w:sz w:val="20"/>
        </w:rPr>
        <w:tab/>
      </w:r>
      <w:r w:rsidRPr="007C56C4">
        <w:rPr>
          <w:rFonts w:cs="Times New Roman"/>
          <w:b/>
          <w:sz w:val="20"/>
        </w:rPr>
        <w:t>Director general</w:t>
      </w:r>
    </w:p>
    <w:p w:rsidR="00230FAA" w:rsidRPr="007C56C4" w:rsidRDefault="00230FAA" w:rsidP="00710EF9">
      <w:pPr>
        <w:tabs>
          <w:tab w:val="left" w:pos="2410"/>
        </w:tabs>
        <w:rPr>
          <w:rFonts w:cs="Times New Roman"/>
          <w:b/>
          <w:sz w:val="20"/>
        </w:rPr>
      </w:pPr>
      <w:r w:rsidRPr="007C56C4">
        <w:rPr>
          <w:rFonts w:cs="Times New Roman"/>
          <w:b/>
          <w:sz w:val="20"/>
        </w:rPr>
        <w:tab/>
        <w:t>Sr. M. A. Getahun</w:t>
      </w:r>
    </w:p>
    <w:p w:rsidR="00230FAA" w:rsidRPr="00653EAB" w:rsidRDefault="00230FAA" w:rsidP="00710EF9">
      <w:pPr>
        <w:tabs>
          <w:tab w:val="left" w:pos="2410"/>
        </w:tabs>
        <w:rPr>
          <w:rFonts w:cs="Times New Roman"/>
          <w:b/>
          <w:sz w:val="20"/>
        </w:rPr>
      </w:pPr>
      <w:r w:rsidRPr="007C56C4">
        <w:rPr>
          <w:rFonts w:cs="Times New Roman"/>
          <w:b/>
          <w:sz w:val="20"/>
        </w:rPr>
        <w:tab/>
      </w:r>
      <w:r w:rsidRPr="00653EAB">
        <w:rPr>
          <w:rFonts w:cs="Times New Roman"/>
          <w:b/>
          <w:sz w:val="20"/>
        </w:rPr>
        <w:t>Sr. Y. Takagi</w:t>
      </w:r>
    </w:p>
    <w:p w:rsidR="00230FAA" w:rsidRPr="002F663B" w:rsidRDefault="00230FAA" w:rsidP="00710EF9">
      <w:pPr>
        <w:tabs>
          <w:tab w:val="left" w:pos="2410"/>
        </w:tabs>
        <w:rPr>
          <w:rFonts w:cs="Times New Roman"/>
          <w:b/>
          <w:sz w:val="20"/>
          <w:lang w:val="en-US"/>
        </w:rPr>
      </w:pPr>
      <w:r w:rsidRPr="00653EAB">
        <w:rPr>
          <w:rFonts w:cs="Times New Roman"/>
          <w:b/>
          <w:sz w:val="20"/>
        </w:rPr>
        <w:tab/>
      </w:r>
      <w:r w:rsidRPr="002F663B">
        <w:rPr>
          <w:rFonts w:cs="Times New Roman"/>
          <w:b/>
          <w:sz w:val="20"/>
          <w:lang w:val="en-US"/>
        </w:rPr>
        <w:t>Sra. B. Wang</w:t>
      </w:r>
    </w:p>
    <w:p w:rsidR="00230FAA" w:rsidRPr="007C56C4" w:rsidRDefault="00230FAA" w:rsidP="00230FAA">
      <w:pPr>
        <w:keepNext/>
        <w:keepLines/>
        <w:jc w:val="center"/>
      </w:pPr>
      <w:r w:rsidRPr="007C56C4">
        <w:rPr>
          <w:noProof/>
          <w:lang w:val="en-US" w:eastAsia="en-US"/>
        </w:rPr>
        <w:drawing>
          <wp:inline distT="0" distB="0" distL="0" distR="0" wp14:anchorId="7376A28F" wp14:editId="294745D5">
            <wp:extent cx="4714875" cy="2587502"/>
            <wp:effectExtent l="0" t="0" r="0" b="3810"/>
            <wp:docPr id="112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4714890" cy="2587510"/>
                    </a:xfrm>
                    <a:prstGeom prst="rect">
                      <a:avLst/>
                    </a:prstGeom>
                    <a:noFill/>
                    <a:ln>
                      <a:noFill/>
                    </a:ln>
                  </pic:spPr>
                </pic:pic>
              </a:graphicData>
            </a:graphic>
          </wp:inline>
        </w:drawing>
      </w:r>
    </w:p>
    <w:p w:rsidR="00230FAA" w:rsidRPr="007C56C4" w:rsidRDefault="00230FAA" w:rsidP="00230FAA">
      <w:r w:rsidRPr="007C56C4">
        <w:rPr>
          <w:bCs/>
          <w:iCs/>
          <w:szCs w:val="28"/>
        </w:rPr>
        <w:t>RELACIONES EXTERIORES, ALIANZAS</w:t>
      </w:r>
    </w:p>
    <w:p w:rsidR="00230FAA" w:rsidRPr="007C56C4" w:rsidRDefault="00230FAA" w:rsidP="00230FAA">
      <w:pPr>
        <w:rPr>
          <w:sz w:val="12"/>
          <w:szCs w:val="12"/>
        </w:rPr>
      </w:pPr>
    </w:p>
    <w:tbl>
      <w:tblPr>
        <w:tblW w:w="9214" w:type="dxa"/>
        <w:tblInd w:w="58" w:type="dxa"/>
        <w:tblLayout w:type="fixed"/>
        <w:tblCellMar>
          <w:left w:w="115" w:type="dxa"/>
          <w:right w:w="115" w:type="dxa"/>
        </w:tblCellMar>
        <w:tblLook w:val="0000" w:firstRow="0" w:lastRow="0" w:firstColumn="0" w:lastColumn="0" w:noHBand="0" w:noVBand="0"/>
      </w:tblPr>
      <w:tblGrid>
        <w:gridCol w:w="1930"/>
        <w:gridCol w:w="2437"/>
        <w:gridCol w:w="1589"/>
        <w:gridCol w:w="2436"/>
        <w:gridCol w:w="822"/>
      </w:tblGrid>
      <w:tr w:rsidR="00230FAA" w:rsidRPr="007C56C4" w:rsidTr="00230FAA">
        <w:trPr>
          <w:trHeight w:val="565"/>
        </w:trPr>
        <w:tc>
          <w:tcPr>
            <w:tcW w:w="4999" w:type="pct"/>
            <w:gridSpan w:val="5"/>
            <w:shd w:val="clear" w:color="auto" w:fill="C6D9F1" w:themeFill="text2" w:themeFillTint="33"/>
            <w:tcMar>
              <w:left w:w="58" w:type="dxa"/>
              <w:right w:w="58" w:type="dxa"/>
            </w:tcMar>
            <w:vAlign w:val="center"/>
          </w:tcPr>
          <w:p w:rsidR="00230FAA" w:rsidRPr="007C56C4" w:rsidRDefault="00230FAA" w:rsidP="00230FAA">
            <w:pPr>
              <w:keepNext/>
              <w:keepLines/>
              <w:tabs>
                <w:tab w:val="left" w:pos="1452"/>
              </w:tabs>
              <w:ind w:left="1701" w:hanging="1701"/>
              <w:rPr>
                <w:b/>
                <w:bCs/>
                <w:sz w:val="16"/>
                <w:szCs w:val="16"/>
              </w:rPr>
            </w:pPr>
            <w:r w:rsidRPr="007C56C4">
              <w:rPr>
                <w:b/>
                <w:bCs/>
                <w:sz w:val="16"/>
                <w:szCs w:val="16"/>
              </w:rPr>
              <w:t>Resultado previsto:</w:t>
            </w:r>
            <w:r w:rsidRPr="007C56C4">
              <w:rPr>
                <w:b/>
                <w:bCs/>
                <w:sz w:val="16"/>
                <w:szCs w:val="16"/>
              </w:rPr>
              <w:tab/>
            </w:r>
            <w:r w:rsidRPr="007C56C4">
              <w:rPr>
                <w:bCs/>
                <w:sz w:val="16"/>
                <w:szCs w:val="16"/>
              </w:rPr>
              <w:t>VIII.5  La OMPI participa y colabora eficazmente en los procesos y negociaciones de la ONU y otras OIG</w:t>
            </w:r>
          </w:p>
        </w:tc>
      </w:tr>
      <w:tr w:rsidR="00230FAA" w:rsidRPr="007C56C4" w:rsidTr="00230FAA">
        <w:tc>
          <w:tcPr>
            <w:tcW w:w="1047" w:type="pct"/>
            <w:shd w:val="clear" w:color="auto" w:fill="auto"/>
            <w:tcMar>
              <w:left w:w="58" w:type="dxa"/>
              <w:right w:w="58" w:type="dxa"/>
            </w:tcMar>
            <w:vAlign w:val="center"/>
          </w:tcPr>
          <w:p w:rsidR="00230FAA" w:rsidRPr="007C56C4" w:rsidRDefault="00230FAA" w:rsidP="00230FAA">
            <w:pPr>
              <w:rPr>
                <w:b/>
                <w:bCs/>
                <w:sz w:val="16"/>
                <w:szCs w:val="16"/>
              </w:rPr>
            </w:pPr>
            <w:r w:rsidRPr="007C56C4">
              <w:rPr>
                <w:b/>
                <w:bCs/>
                <w:sz w:val="16"/>
                <w:szCs w:val="16"/>
              </w:rPr>
              <w:t>Indicadores de rendimiento</w:t>
            </w:r>
          </w:p>
        </w:tc>
        <w:tc>
          <w:tcPr>
            <w:tcW w:w="1322" w:type="pct"/>
            <w:shd w:val="clear" w:color="auto" w:fill="auto"/>
            <w:tcMar>
              <w:left w:w="58" w:type="dxa"/>
              <w:right w:w="58" w:type="dxa"/>
            </w:tcMar>
            <w:vAlign w:val="center"/>
          </w:tcPr>
          <w:p w:rsidR="00230FAA" w:rsidRPr="007C56C4" w:rsidRDefault="00230FAA" w:rsidP="00230FAA">
            <w:pPr>
              <w:rPr>
                <w:b/>
                <w:bCs/>
                <w:sz w:val="16"/>
                <w:szCs w:val="16"/>
              </w:rPr>
            </w:pPr>
            <w:r w:rsidRPr="007C56C4">
              <w:rPr>
                <w:b/>
                <w:bCs/>
                <w:sz w:val="16"/>
                <w:szCs w:val="16"/>
              </w:rPr>
              <w:t>Referencia</w:t>
            </w:r>
          </w:p>
        </w:tc>
        <w:tc>
          <w:tcPr>
            <w:tcW w:w="862" w:type="pct"/>
            <w:shd w:val="clear" w:color="auto" w:fill="auto"/>
            <w:tcMar>
              <w:top w:w="110" w:type="dxa"/>
              <w:left w:w="58" w:type="dxa"/>
              <w:right w:w="58" w:type="dxa"/>
            </w:tcMar>
            <w:vAlign w:val="center"/>
          </w:tcPr>
          <w:p w:rsidR="00230FAA" w:rsidRPr="007C56C4" w:rsidRDefault="00230FAA" w:rsidP="00230FAA">
            <w:pPr>
              <w:tabs>
                <w:tab w:val="left" w:pos="290"/>
              </w:tabs>
              <w:rPr>
                <w:b/>
                <w:bCs/>
                <w:sz w:val="16"/>
                <w:szCs w:val="16"/>
              </w:rPr>
            </w:pPr>
            <w:r w:rsidRPr="007C56C4">
              <w:rPr>
                <w:b/>
                <w:bCs/>
                <w:sz w:val="16"/>
                <w:szCs w:val="16"/>
              </w:rPr>
              <w:t>Objetivos</w:t>
            </w:r>
          </w:p>
        </w:tc>
        <w:tc>
          <w:tcPr>
            <w:tcW w:w="1322" w:type="pct"/>
            <w:shd w:val="clear" w:color="auto" w:fill="FFFFFF"/>
            <w:tcMar>
              <w:top w:w="110" w:type="dxa"/>
              <w:left w:w="58" w:type="dxa"/>
              <w:right w:w="58" w:type="dxa"/>
            </w:tcMar>
            <w:vAlign w:val="center"/>
          </w:tcPr>
          <w:p w:rsidR="00230FAA" w:rsidRPr="007C56C4" w:rsidRDefault="00230FAA" w:rsidP="00230FAA">
            <w:pPr>
              <w:rPr>
                <w:b/>
                <w:bCs/>
                <w:sz w:val="16"/>
                <w:szCs w:val="16"/>
              </w:rPr>
            </w:pPr>
            <w:r w:rsidRPr="007C56C4">
              <w:rPr>
                <w:b/>
                <w:bCs/>
                <w:sz w:val="16"/>
                <w:szCs w:val="16"/>
              </w:rPr>
              <w:t>Datos sobre el rendimiento</w:t>
            </w:r>
          </w:p>
        </w:tc>
        <w:tc>
          <w:tcPr>
            <w:tcW w:w="446" w:type="pct"/>
            <w:shd w:val="clear" w:color="auto" w:fill="auto"/>
            <w:tcMar>
              <w:top w:w="110" w:type="dxa"/>
              <w:left w:w="58" w:type="dxa"/>
              <w:right w:w="58" w:type="dxa"/>
            </w:tcMar>
            <w:vAlign w:val="center"/>
          </w:tcPr>
          <w:p w:rsidR="00230FAA" w:rsidRPr="007C56C4" w:rsidRDefault="00230FAA" w:rsidP="00230FAA">
            <w:pPr>
              <w:keepNext/>
              <w:keepLines/>
              <w:jc w:val="center"/>
              <w:rPr>
                <w:b/>
                <w:bCs/>
                <w:sz w:val="16"/>
                <w:szCs w:val="16"/>
              </w:rPr>
            </w:pPr>
            <w:r w:rsidRPr="007C56C4">
              <w:rPr>
                <w:b/>
                <w:bCs/>
                <w:sz w:val="16"/>
                <w:szCs w:val="16"/>
              </w:rPr>
              <w:t>Clave de colores</w:t>
            </w:r>
          </w:p>
        </w:tc>
      </w:tr>
      <w:tr w:rsidR="00230FAA" w:rsidRPr="007C56C4" w:rsidTr="00230FAA">
        <w:trPr>
          <w:trHeight w:val="1487"/>
        </w:trPr>
        <w:tc>
          <w:tcPr>
            <w:tcW w:w="1047" w:type="pct"/>
            <w:shd w:val="clear" w:color="auto" w:fill="auto"/>
            <w:tcMar>
              <w:left w:w="58" w:type="dxa"/>
              <w:right w:w="58" w:type="dxa"/>
            </w:tcMar>
          </w:tcPr>
          <w:p w:rsidR="00230FAA" w:rsidRPr="007C56C4" w:rsidRDefault="00230FAA" w:rsidP="00230FAA">
            <w:pPr>
              <w:rPr>
                <w:sz w:val="16"/>
                <w:szCs w:val="16"/>
              </w:rPr>
            </w:pPr>
            <w:r w:rsidRPr="007C56C4">
              <w:rPr>
                <w:sz w:val="16"/>
                <w:szCs w:val="16"/>
              </w:rPr>
              <w:t>Las contribuciones de la OMPI quedan reflejadas en informes, resoluciones y documentos de procesos relevantes de la ONU y otras OIG.</w:t>
            </w:r>
          </w:p>
          <w:p w:rsidR="00230FAA" w:rsidRPr="007C56C4" w:rsidRDefault="00230FAA" w:rsidP="00230FAA">
            <w:pPr>
              <w:keepNext/>
              <w:keepLines/>
              <w:rPr>
                <w:sz w:val="16"/>
                <w:szCs w:val="16"/>
              </w:rPr>
            </w:pPr>
          </w:p>
        </w:tc>
        <w:tc>
          <w:tcPr>
            <w:tcW w:w="1322" w:type="pct"/>
            <w:shd w:val="clear" w:color="auto" w:fill="auto"/>
            <w:tcMar>
              <w:left w:w="58" w:type="dxa"/>
              <w:right w:w="58" w:type="dxa"/>
            </w:tcMar>
          </w:tcPr>
          <w:p w:rsidR="00230FAA" w:rsidRPr="00BA5C98" w:rsidRDefault="00230FAA" w:rsidP="00230FAA">
            <w:pPr>
              <w:rPr>
                <w:i/>
                <w:color w:val="002060"/>
                <w:sz w:val="16"/>
                <w:szCs w:val="16"/>
              </w:rPr>
            </w:pPr>
            <w:r w:rsidRPr="00BA5C98">
              <w:rPr>
                <w:i/>
                <w:color w:val="002060"/>
                <w:sz w:val="16"/>
                <w:szCs w:val="16"/>
              </w:rPr>
              <w:t xml:space="preserve">Referencia actualizada </w:t>
            </w:r>
          </w:p>
          <w:p w:rsidR="00230FAA" w:rsidRPr="00BA5C98" w:rsidRDefault="00230FAA" w:rsidP="00230FAA">
            <w:pPr>
              <w:rPr>
                <w:i/>
                <w:color w:val="002060"/>
                <w:sz w:val="16"/>
                <w:szCs w:val="16"/>
              </w:rPr>
            </w:pPr>
            <w:r w:rsidRPr="00BA5C98">
              <w:rPr>
                <w:i/>
                <w:color w:val="002060"/>
                <w:sz w:val="16"/>
                <w:szCs w:val="16"/>
              </w:rPr>
              <w:t xml:space="preserve">(fines de 2015).  </w:t>
            </w:r>
          </w:p>
          <w:p w:rsidR="00230FAA" w:rsidRPr="00BA5C98" w:rsidRDefault="00230FAA" w:rsidP="00230FAA">
            <w:pPr>
              <w:rPr>
                <w:color w:val="002060"/>
                <w:sz w:val="16"/>
                <w:szCs w:val="16"/>
              </w:rPr>
            </w:pPr>
            <w:r w:rsidRPr="00BA5C98">
              <w:rPr>
                <w:color w:val="002060"/>
                <w:sz w:val="16"/>
                <w:szCs w:val="16"/>
              </w:rPr>
              <w:t>33 aportaciones en 2014/15, todas las cuales se reflejaron satisfactoriamente</w:t>
            </w:r>
          </w:p>
          <w:p w:rsidR="00230FAA" w:rsidRPr="007C56C4" w:rsidRDefault="00230FAA" w:rsidP="00230FAA">
            <w:pPr>
              <w:rPr>
                <w:sz w:val="16"/>
                <w:szCs w:val="16"/>
              </w:rPr>
            </w:pPr>
          </w:p>
          <w:p w:rsidR="00230FAA" w:rsidRPr="007C56C4" w:rsidRDefault="00230FAA" w:rsidP="00230FAA">
            <w:pPr>
              <w:rPr>
                <w:i/>
                <w:sz w:val="16"/>
                <w:szCs w:val="16"/>
                <w:lang w:bidi="th-TH"/>
              </w:rPr>
            </w:pPr>
            <w:r w:rsidRPr="007C56C4">
              <w:rPr>
                <w:i/>
                <w:sz w:val="16"/>
                <w:szCs w:val="16"/>
                <w:lang w:bidi="th-TH"/>
              </w:rPr>
              <w:t>Referencia original en el presupuesto por prog. 2016/17:</w:t>
            </w:r>
            <w:r w:rsidRPr="007C56C4">
              <w:rPr>
                <w:sz w:val="16"/>
                <w:szCs w:val="16"/>
                <w:lang w:bidi="th-TH"/>
              </w:rPr>
              <w:t xml:space="preserve">  </w:t>
            </w:r>
          </w:p>
          <w:p w:rsidR="00230FAA" w:rsidRPr="007C56C4" w:rsidRDefault="00230FAA" w:rsidP="00230FAA">
            <w:pPr>
              <w:rPr>
                <w:sz w:val="16"/>
                <w:szCs w:val="16"/>
              </w:rPr>
            </w:pPr>
            <w:r w:rsidRPr="007C56C4">
              <w:rPr>
                <w:sz w:val="16"/>
                <w:szCs w:val="16"/>
              </w:rPr>
              <w:t xml:space="preserve">2012/13: 38 de 38;  </w:t>
            </w:r>
          </w:p>
          <w:p w:rsidR="00230FAA" w:rsidRPr="007C56C4" w:rsidRDefault="00230FAA" w:rsidP="00230FAA">
            <w:pPr>
              <w:rPr>
                <w:sz w:val="16"/>
                <w:szCs w:val="16"/>
              </w:rPr>
            </w:pPr>
            <w:r w:rsidRPr="007C56C4">
              <w:rPr>
                <w:sz w:val="16"/>
                <w:szCs w:val="16"/>
              </w:rPr>
              <w:t>2014: 12 de 15, 3 en curso</w:t>
            </w:r>
          </w:p>
        </w:tc>
        <w:tc>
          <w:tcPr>
            <w:tcW w:w="862" w:type="pct"/>
            <w:shd w:val="clear" w:color="auto" w:fill="auto"/>
            <w:tcMar>
              <w:top w:w="110" w:type="dxa"/>
              <w:left w:w="58" w:type="dxa"/>
              <w:right w:w="58" w:type="dxa"/>
            </w:tcMar>
          </w:tcPr>
          <w:p w:rsidR="00230FAA" w:rsidRPr="007C56C4" w:rsidRDefault="00230FAA" w:rsidP="00230FAA">
            <w:pPr>
              <w:rPr>
                <w:sz w:val="16"/>
                <w:szCs w:val="16"/>
              </w:rPr>
            </w:pPr>
            <w:r w:rsidRPr="007C56C4">
              <w:rPr>
                <w:sz w:val="16"/>
                <w:szCs w:val="16"/>
              </w:rPr>
              <w:t>80%</w:t>
            </w:r>
          </w:p>
        </w:tc>
        <w:tc>
          <w:tcPr>
            <w:tcW w:w="1322" w:type="pct"/>
            <w:shd w:val="clear" w:color="auto" w:fill="FFFFFF"/>
            <w:tcMar>
              <w:top w:w="110" w:type="dxa"/>
              <w:left w:w="58" w:type="dxa"/>
              <w:right w:w="58" w:type="dxa"/>
            </w:tcMar>
          </w:tcPr>
          <w:p w:rsidR="00230FAA" w:rsidRPr="007C56C4" w:rsidRDefault="00230FAA" w:rsidP="00230FAA">
            <w:pPr>
              <w:rPr>
                <w:sz w:val="16"/>
                <w:szCs w:val="16"/>
              </w:rPr>
            </w:pPr>
            <w:r w:rsidRPr="007C56C4">
              <w:rPr>
                <w:sz w:val="16"/>
                <w:szCs w:val="16"/>
              </w:rPr>
              <w:t>80% de contribuciones de la OMPI (26 de 33 aportaciones) quedaron reflejadas (fines de 2016)</w:t>
            </w:r>
          </w:p>
        </w:tc>
        <w:tc>
          <w:tcPr>
            <w:tcW w:w="446" w:type="pct"/>
            <w:shd w:val="clear" w:color="auto" w:fill="auto"/>
            <w:tcMar>
              <w:top w:w="110" w:type="dxa"/>
              <w:left w:w="58" w:type="dxa"/>
              <w:right w:w="58" w:type="dxa"/>
            </w:tcMar>
          </w:tcPr>
          <w:p w:rsidR="00230FAA" w:rsidRPr="007C56C4" w:rsidRDefault="00230FAA" w:rsidP="00230FAA">
            <w:pPr>
              <w:keepNext/>
              <w:keepLines/>
              <w:jc w:val="center"/>
              <w:rPr>
                <w:b/>
                <w:sz w:val="16"/>
                <w:szCs w:val="16"/>
              </w:rPr>
            </w:pPr>
            <w:r w:rsidRPr="0050549B">
              <w:rPr>
                <w:b/>
                <w:color w:val="00B050"/>
                <w:sz w:val="16"/>
                <w:szCs w:val="16"/>
              </w:rPr>
              <w:t>Avanza</w:t>
            </w:r>
            <w:r w:rsidRPr="007C56C4">
              <w:rPr>
                <w:b/>
                <w:sz w:val="16"/>
                <w:szCs w:val="16"/>
              </w:rPr>
              <w:t xml:space="preserve"> </w:t>
            </w:r>
          </w:p>
        </w:tc>
      </w:tr>
      <w:tr w:rsidR="00230FAA" w:rsidRPr="007C56C4" w:rsidTr="00230FAA">
        <w:trPr>
          <w:trHeight w:val="972"/>
        </w:trPr>
        <w:tc>
          <w:tcPr>
            <w:tcW w:w="1047" w:type="pct"/>
            <w:shd w:val="clear" w:color="auto" w:fill="auto"/>
            <w:tcMar>
              <w:left w:w="58" w:type="dxa"/>
              <w:right w:w="58" w:type="dxa"/>
            </w:tcMar>
          </w:tcPr>
          <w:p w:rsidR="00230FAA" w:rsidRPr="007C56C4" w:rsidRDefault="00230FAA" w:rsidP="00230FAA">
            <w:pPr>
              <w:rPr>
                <w:sz w:val="16"/>
                <w:szCs w:val="16"/>
              </w:rPr>
            </w:pPr>
            <w:r w:rsidRPr="007C56C4">
              <w:rPr>
                <w:sz w:val="16"/>
                <w:szCs w:val="16"/>
              </w:rPr>
              <w:t xml:space="preserve">Nº de iniciativas de la OMPI en colaboración con la ONU y otras OIG para conseguir los ODS </w:t>
            </w:r>
          </w:p>
        </w:tc>
        <w:tc>
          <w:tcPr>
            <w:tcW w:w="1322" w:type="pct"/>
            <w:shd w:val="clear" w:color="auto" w:fill="auto"/>
            <w:tcMar>
              <w:left w:w="58" w:type="dxa"/>
              <w:right w:w="58" w:type="dxa"/>
            </w:tcMar>
          </w:tcPr>
          <w:p w:rsidR="00230FAA" w:rsidRPr="007C56C4" w:rsidRDefault="00230FAA" w:rsidP="00230FAA">
            <w:pPr>
              <w:rPr>
                <w:sz w:val="16"/>
                <w:szCs w:val="16"/>
              </w:rPr>
            </w:pPr>
            <w:r w:rsidRPr="007C56C4">
              <w:rPr>
                <w:sz w:val="16"/>
                <w:szCs w:val="16"/>
              </w:rPr>
              <w:t>Ninguna.</w:t>
            </w:r>
          </w:p>
        </w:tc>
        <w:tc>
          <w:tcPr>
            <w:tcW w:w="862" w:type="pct"/>
            <w:shd w:val="clear" w:color="auto" w:fill="auto"/>
            <w:tcMar>
              <w:top w:w="110" w:type="dxa"/>
              <w:left w:w="58" w:type="dxa"/>
              <w:right w:w="58" w:type="dxa"/>
            </w:tcMar>
          </w:tcPr>
          <w:p w:rsidR="00230FAA" w:rsidRPr="007C56C4" w:rsidRDefault="00230FAA" w:rsidP="00230FAA">
            <w:pPr>
              <w:rPr>
                <w:sz w:val="16"/>
                <w:szCs w:val="16"/>
              </w:rPr>
            </w:pPr>
            <w:r w:rsidRPr="007C56C4">
              <w:rPr>
                <w:sz w:val="16"/>
                <w:szCs w:val="16"/>
              </w:rPr>
              <w:t>5</w:t>
            </w:r>
          </w:p>
        </w:tc>
        <w:tc>
          <w:tcPr>
            <w:tcW w:w="1322" w:type="pct"/>
            <w:shd w:val="clear" w:color="auto" w:fill="FFFFFF"/>
            <w:tcMar>
              <w:top w:w="110" w:type="dxa"/>
              <w:left w:w="58" w:type="dxa"/>
              <w:right w:w="58" w:type="dxa"/>
            </w:tcMar>
          </w:tcPr>
          <w:p w:rsidR="00230FAA" w:rsidRPr="007C56C4" w:rsidRDefault="00230FAA" w:rsidP="00230FAA">
            <w:pPr>
              <w:keepNext/>
              <w:keepLines/>
              <w:rPr>
                <w:sz w:val="16"/>
                <w:szCs w:val="16"/>
              </w:rPr>
            </w:pPr>
            <w:r w:rsidRPr="007C56C4">
              <w:rPr>
                <w:sz w:val="16"/>
                <w:szCs w:val="16"/>
              </w:rPr>
              <w:t>3 iniciativas</w:t>
            </w:r>
          </w:p>
        </w:tc>
        <w:tc>
          <w:tcPr>
            <w:tcW w:w="446" w:type="pct"/>
            <w:shd w:val="clear" w:color="auto" w:fill="auto"/>
            <w:tcMar>
              <w:top w:w="110" w:type="dxa"/>
              <w:left w:w="58" w:type="dxa"/>
              <w:right w:w="58" w:type="dxa"/>
            </w:tcMar>
          </w:tcPr>
          <w:p w:rsidR="00230FAA" w:rsidRPr="007C56C4" w:rsidRDefault="00230FAA" w:rsidP="00230FAA">
            <w:pPr>
              <w:keepNext/>
              <w:keepLines/>
              <w:jc w:val="center"/>
              <w:rPr>
                <w:b/>
                <w:sz w:val="16"/>
                <w:szCs w:val="16"/>
              </w:rPr>
            </w:pPr>
            <w:r w:rsidRPr="0050549B">
              <w:rPr>
                <w:b/>
                <w:color w:val="00B050"/>
                <w:sz w:val="16"/>
                <w:szCs w:val="16"/>
              </w:rPr>
              <w:t>Avanza</w:t>
            </w:r>
          </w:p>
        </w:tc>
      </w:tr>
    </w:tbl>
    <w:p w:rsidR="00230FAA" w:rsidRPr="007C56C4" w:rsidRDefault="00230FAA" w:rsidP="00230FAA">
      <w:pPr>
        <w:keepNext/>
        <w:keepLines/>
        <w:rPr>
          <w:bCs/>
          <w:iCs/>
          <w:sz w:val="20"/>
        </w:rPr>
      </w:pPr>
    </w:p>
    <w:p w:rsidR="00230FAA" w:rsidRPr="007C56C4" w:rsidRDefault="00230FAA" w:rsidP="00230FAA">
      <w:pPr>
        <w:keepNext/>
        <w:keepLines/>
        <w:rPr>
          <w:bCs/>
          <w:iCs/>
          <w:szCs w:val="28"/>
        </w:rPr>
      </w:pPr>
      <w:r w:rsidRPr="007C56C4">
        <w:rPr>
          <w:bCs/>
          <w:iCs/>
          <w:szCs w:val="28"/>
        </w:rPr>
        <w:t>OFICINAS EN EL EXTERIOR</w:t>
      </w:r>
    </w:p>
    <w:p w:rsidR="00230FAA" w:rsidRPr="007C56C4" w:rsidRDefault="00230FAA" w:rsidP="00230FAA">
      <w:pPr>
        <w:keepNext/>
        <w:keepLines/>
        <w:rPr>
          <w:b/>
          <w:bCs/>
          <w:iCs/>
          <w:sz w:val="12"/>
          <w:szCs w:val="12"/>
        </w:rPr>
      </w:pPr>
    </w:p>
    <w:tbl>
      <w:tblPr>
        <w:tblW w:w="9232" w:type="dxa"/>
        <w:tblInd w:w="108" w:type="dxa"/>
        <w:tblLayout w:type="fixed"/>
        <w:tblCellMar>
          <w:left w:w="115" w:type="dxa"/>
          <w:right w:w="115" w:type="dxa"/>
        </w:tblCellMar>
        <w:tblLook w:val="0000" w:firstRow="0" w:lastRow="0" w:firstColumn="0" w:lastColumn="0" w:noHBand="0" w:noVBand="0"/>
      </w:tblPr>
      <w:tblGrid>
        <w:gridCol w:w="1925"/>
        <w:gridCol w:w="6"/>
        <w:gridCol w:w="2424"/>
        <w:gridCol w:w="9"/>
        <w:gridCol w:w="6"/>
        <w:gridCol w:w="1534"/>
        <w:gridCol w:w="42"/>
        <w:gridCol w:w="9"/>
        <w:gridCol w:w="6"/>
        <w:gridCol w:w="2352"/>
        <w:gridCol w:w="76"/>
        <w:gridCol w:w="11"/>
        <w:gridCol w:w="7"/>
        <w:gridCol w:w="816"/>
        <w:gridCol w:w="9"/>
      </w:tblGrid>
      <w:tr w:rsidR="00230FAA" w:rsidRPr="007C56C4" w:rsidTr="00230FAA">
        <w:trPr>
          <w:gridAfter w:val="1"/>
          <w:wAfter w:w="5" w:type="pct"/>
          <w:cantSplit/>
          <w:trHeight w:val="565"/>
        </w:trPr>
        <w:tc>
          <w:tcPr>
            <w:tcW w:w="4995" w:type="pct"/>
            <w:gridSpan w:val="14"/>
            <w:shd w:val="clear" w:color="auto" w:fill="C6D9F1" w:themeFill="text2" w:themeFillTint="33"/>
            <w:tcMar>
              <w:left w:w="58" w:type="dxa"/>
              <w:right w:w="58" w:type="dxa"/>
            </w:tcMar>
            <w:vAlign w:val="center"/>
          </w:tcPr>
          <w:p w:rsidR="00230FAA" w:rsidRPr="007C56C4" w:rsidRDefault="00230FAA" w:rsidP="00230FAA">
            <w:pPr>
              <w:suppressLineNumbers/>
              <w:tabs>
                <w:tab w:val="left" w:pos="1452"/>
              </w:tabs>
              <w:suppressAutoHyphens/>
              <w:ind w:left="1701" w:hanging="1701"/>
              <w:rPr>
                <w:b/>
                <w:bCs/>
                <w:sz w:val="16"/>
                <w:szCs w:val="16"/>
              </w:rPr>
            </w:pPr>
            <w:r w:rsidRPr="007C56C4">
              <w:rPr>
                <w:b/>
                <w:bCs/>
                <w:sz w:val="16"/>
                <w:szCs w:val="16"/>
              </w:rPr>
              <w:t>Resultado previsto:</w:t>
            </w:r>
            <w:r w:rsidRPr="007C56C4">
              <w:rPr>
                <w:b/>
                <w:bCs/>
                <w:sz w:val="16"/>
                <w:szCs w:val="16"/>
              </w:rPr>
              <w:tab/>
            </w:r>
            <w:r w:rsidRPr="007C56C4">
              <w:rPr>
                <w:bCs/>
                <w:sz w:val="16"/>
                <w:szCs w:val="16"/>
              </w:rPr>
              <w:t>I.1  Mayor cooperación entre los Estados miembros en la elaboración de marcos normativos internacionales de P.I. equilibrados</w:t>
            </w:r>
          </w:p>
        </w:tc>
      </w:tr>
      <w:tr w:rsidR="00230FAA" w:rsidRPr="007C56C4" w:rsidTr="00230FAA">
        <w:trPr>
          <w:cantSplit/>
        </w:trPr>
        <w:tc>
          <w:tcPr>
            <w:tcW w:w="1043" w:type="pct"/>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Indicadores de rendimiento</w:t>
            </w:r>
          </w:p>
        </w:tc>
        <w:tc>
          <w:tcPr>
            <w:tcW w:w="1316"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Referencia</w:t>
            </w:r>
            <w:r w:rsidR="003A134D">
              <w:rPr>
                <w:b/>
                <w:bCs/>
                <w:sz w:val="16"/>
                <w:szCs w:val="16"/>
              </w:rPr>
              <w:t>s de base</w:t>
            </w:r>
          </w:p>
        </w:tc>
        <w:tc>
          <w:tcPr>
            <w:tcW w:w="862" w:type="pct"/>
            <w:gridSpan w:val="4"/>
            <w:shd w:val="clear" w:color="auto" w:fill="auto"/>
            <w:tcMar>
              <w:top w:w="58" w:type="dxa"/>
              <w:left w:w="29" w:type="dxa"/>
              <w:right w:w="29" w:type="dxa"/>
            </w:tcMar>
            <w:vAlign w:val="center"/>
          </w:tcPr>
          <w:p w:rsidR="00230FAA" w:rsidRPr="007C56C4" w:rsidRDefault="00230FAA" w:rsidP="00230FAA">
            <w:pPr>
              <w:suppressLineNumbers/>
              <w:tabs>
                <w:tab w:val="left" w:pos="290"/>
              </w:tabs>
              <w:suppressAutoHyphens/>
              <w:rPr>
                <w:b/>
                <w:bCs/>
                <w:sz w:val="16"/>
                <w:szCs w:val="16"/>
              </w:rPr>
            </w:pPr>
            <w:r w:rsidRPr="007C56C4">
              <w:rPr>
                <w:b/>
                <w:bCs/>
                <w:sz w:val="16"/>
                <w:szCs w:val="16"/>
              </w:rPr>
              <w:t>Objetivos</w:t>
            </w:r>
          </w:p>
        </w:tc>
        <w:tc>
          <w:tcPr>
            <w:tcW w:w="1282" w:type="pct"/>
            <w:gridSpan w:val="3"/>
            <w:shd w:val="clear" w:color="auto" w:fill="FFFFFF"/>
            <w:tcMar>
              <w:top w:w="58" w:type="dxa"/>
              <w:left w:w="29" w:type="dxa"/>
              <w:right w:w="29" w:type="dxa"/>
            </w:tcMar>
            <w:vAlign w:val="center"/>
          </w:tcPr>
          <w:p w:rsidR="00230FAA" w:rsidRPr="007C56C4" w:rsidRDefault="00230FAA" w:rsidP="00230FAA">
            <w:pPr>
              <w:suppressLineNumbers/>
              <w:suppressAutoHyphens/>
              <w:rPr>
                <w:b/>
                <w:bCs/>
                <w:sz w:val="16"/>
                <w:szCs w:val="16"/>
              </w:rPr>
            </w:pPr>
            <w:r w:rsidRPr="007C56C4">
              <w:rPr>
                <w:b/>
                <w:bCs/>
                <w:sz w:val="16"/>
                <w:szCs w:val="16"/>
              </w:rPr>
              <w:t>Datos sobre el rendimiento</w:t>
            </w:r>
          </w:p>
        </w:tc>
        <w:tc>
          <w:tcPr>
            <w:tcW w:w="498" w:type="pct"/>
            <w:gridSpan w:val="5"/>
            <w:shd w:val="clear" w:color="auto" w:fill="auto"/>
            <w:tcMar>
              <w:top w:w="58" w:type="dxa"/>
              <w:left w:w="29" w:type="dxa"/>
              <w:right w:w="29" w:type="dxa"/>
            </w:tcMar>
            <w:vAlign w:val="center"/>
          </w:tcPr>
          <w:p w:rsidR="00230FAA" w:rsidRPr="007C56C4" w:rsidRDefault="00230FAA" w:rsidP="00230FAA">
            <w:pPr>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288"/>
        </w:trPr>
        <w:tc>
          <w:tcPr>
            <w:tcW w:w="1043" w:type="pct"/>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Nº de ratificaciones o de adhesiones al Tratado de Marrakech</w:t>
            </w:r>
          </w:p>
        </w:tc>
        <w:tc>
          <w:tcPr>
            <w:tcW w:w="1316" w:type="pct"/>
            <w:gridSpan w:val="2"/>
            <w:shd w:val="clear" w:color="auto" w:fill="auto"/>
            <w:tcMar>
              <w:left w:w="58" w:type="dxa"/>
              <w:right w:w="58" w:type="dxa"/>
            </w:tcMar>
          </w:tcPr>
          <w:p w:rsidR="00230FAA" w:rsidRPr="00BA5C98" w:rsidRDefault="00230FAA" w:rsidP="00230FAA">
            <w:pPr>
              <w:suppressLineNumbers/>
              <w:suppressAutoHyphens/>
              <w:rPr>
                <w:i/>
                <w:color w:val="002060"/>
                <w:sz w:val="16"/>
                <w:szCs w:val="16"/>
              </w:rPr>
            </w:pPr>
            <w:r w:rsidRPr="00BA5C98">
              <w:rPr>
                <w:i/>
                <w:color w:val="002060"/>
                <w:sz w:val="16"/>
                <w:szCs w:val="16"/>
              </w:rPr>
              <w:t xml:space="preserve">Referencia actualizada a fines de 2015:  </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1 (OOB)</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0 (OOC)</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0 (OOJ)</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0 (OOR)</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1 (OOS) (</w:t>
            </w:r>
            <w:proofErr w:type="spellStart"/>
            <w:r w:rsidRPr="002F663B">
              <w:rPr>
                <w:color w:val="002060"/>
                <w:sz w:val="16"/>
                <w:szCs w:val="16"/>
                <w:lang w:val="en-US"/>
              </w:rPr>
              <w:t>Singapur</w:t>
            </w:r>
            <w:proofErr w:type="spellEnd"/>
            <w:r w:rsidRPr="002F663B">
              <w:rPr>
                <w:color w:val="002060"/>
                <w:sz w:val="16"/>
                <w:szCs w:val="16"/>
                <w:lang w:val="en-US"/>
              </w:rPr>
              <w:t>)</w:t>
            </w:r>
          </w:p>
          <w:p w:rsidR="00230FAA" w:rsidRPr="002F663B" w:rsidRDefault="00230FAA" w:rsidP="00230FAA">
            <w:pPr>
              <w:suppressLineNumbers/>
              <w:suppressAutoHyphens/>
              <w:rPr>
                <w:sz w:val="16"/>
                <w:szCs w:val="16"/>
                <w:lang w:val="en-US"/>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0 (todas las Oficinas)</w:t>
            </w:r>
          </w:p>
        </w:tc>
        <w:tc>
          <w:tcPr>
            <w:tcW w:w="862" w:type="pct"/>
            <w:gridSpan w:val="4"/>
            <w:shd w:val="clear" w:color="auto" w:fill="auto"/>
            <w:tcMar>
              <w:top w:w="58" w:type="dxa"/>
              <w:left w:w="29" w:type="dxa"/>
              <w:right w:w="29" w:type="dxa"/>
            </w:tcMar>
          </w:tcPr>
          <w:p w:rsidR="00230FAA" w:rsidRPr="00BA5C98" w:rsidRDefault="00230FAA" w:rsidP="00230FAA">
            <w:pPr>
              <w:suppressLineNumbers/>
              <w:suppressAutoHyphens/>
              <w:rPr>
                <w:color w:val="002060"/>
                <w:sz w:val="16"/>
                <w:szCs w:val="16"/>
              </w:rPr>
            </w:pPr>
            <w:r w:rsidRPr="00BA5C98">
              <w:rPr>
                <w:i/>
                <w:color w:val="002060"/>
                <w:sz w:val="16"/>
                <w:szCs w:val="16"/>
              </w:rPr>
              <w:t xml:space="preserve">Objetivo actualizado:  </w:t>
            </w:r>
          </w:p>
          <w:p w:rsidR="00230FAA" w:rsidRPr="00BA5C98" w:rsidRDefault="00230FAA" w:rsidP="00230FAA">
            <w:pPr>
              <w:suppressLineNumbers/>
              <w:suppressAutoHyphens/>
              <w:rPr>
                <w:color w:val="002060"/>
                <w:sz w:val="16"/>
                <w:szCs w:val="16"/>
              </w:rPr>
            </w:pPr>
            <w:r w:rsidRPr="00BA5C98">
              <w:rPr>
                <w:color w:val="002060"/>
                <w:sz w:val="16"/>
                <w:szCs w:val="16"/>
              </w:rPr>
              <w:t>1 (OOC)</w:t>
            </w:r>
          </w:p>
          <w:p w:rsidR="00230FAA" w:rsidRPr="00BA5C98" w:rsidRDefault="00230FAA" w:rsidP="00230FAA">
            <w:pPr>
              <w:suppressLineNumbers/>
              <w:suppressAutoHyphens/>
              <w:rPr>
                <w:color w:val="002060"/>
                <w:sz w:val="16"/>
                <w:szCs w:val="16"/>
              </w:rPr>
            </w:pPr>
            <w:r w:rsidRPr="00BA5C98">
              <w:rPr>
                <w:color w:val="002060"/>
                <w:sz w:val="16"/>
                <w:szCs w:val="16"/>
              </w:rPr>
              <w:t xml:space="preserve">1 (OOJ) </w:t>
            </w:r>
          </w:p>
          <w:p w:rsidR="00230FAA" w:rsidRPr="00BA5C98" w:rsidRDefault="00230FAA" w:rsidP="00230FAA">
            <w:pPr>
              <w:suppressLineNumbers/>
              <w:suppressAutoHyphens/>
              <w:rPr>
                <w:color w:val="002060"/>
                <w:sz w:val="16"/>
                <w:szCs w:val="16"/>
              </w:rPr>
            </w:pPr>
            <w:r w:rsidRPr="00BA5C98">
              <w:rPr>
                <w:color w:val="002060"/>
                <w:sz w:val="16"/>
                <w:szCs w:val="16"/>
              </w:rPr>
              <w:t>1 (OOR)</w:t>
            </w:r>
          </w:p>
          <w:p w:rsidR="00230FAA" w:rsidRPr="00BA5C98" w:rsidRDefault="00230FAA" w:rsidP="00230FAA">
            <w:pPr>
              <w:suppressLineNumbers/>
              <w:suppressAutoHyphens/>
              <w:rPr>
                <w:color w:val="002060"/>
                <w:sz w:val="16"/>
                <w:szCs w:val="16"/>
              </w:rPr>
            </w:pPr>
            <w:r w:rsidRPr="00BA5C98">
              <w:rPr>
                <w:color w:val="002060"/>
                <w:sz w:val="16"/>
                <w:szCs w:val="16"/>
              </w:rPr>
              <w:t>2 más (OOS)</w:t>
            </w:r>
          </w:p>
          <w:p w:rsidR="00230FAA" w:rsidRPr="002F663B" w:rsidRDefault="00230FAA" w:rsidP="00230FAA">
            <w:pPr>
              <w:suppressLineNumbers/>
              <w:suppressAutoHyphens/>
              <w:rPr>
                <w:sz w:val="16"/>
                <w:szCs w:val="16"/>
                <w:lang w:val="en-US"/>
              </w:rPr>
            </w:pPr>
            <w:r w:rsidRPr="007C56C4">
              <w:rPr>
                <w:sz w:val="16"/>
                <w:szCs w:val="16"/>
              </w:rPr>
              <w:br/>
            </w:r>
            <w:r w:rsidRPr="007C56C4">
              <w:rPr>
                <w:i/>
                <w:sz w:val="16"/>
                <w:szCs w:val="16"/>
                <w:lang w:bidi="th-TH"/>
              </w:rPr>
              <w:t xml:space="preserve">Objetivo original en el pres.por prog. </w:t>
            </w:r>
            <w:r w:rsidRPr="002F663B">
              <w:rPr>
                <w:i/>
                <w:sz w:val="16"/>
                <w:szCs w:val="16"/>
                <w:lang w:val="en-US" w:bidi="th-TH"/>
              </w:rPr>
              <w:t xml:space="preserve">2016/17:  </w:t>
            </w:r>
            <w:r w:rsidRPr="002F663B">
              <w:rPr>
                <w:sz w:val="16"/>
                <w:szCs w:val="16"/>
                <w:lang w:val="en-US"/>
              </w:rPr>
              <w:t xml:space="preserve">1 (OOB, OOC, OOJ, OOR), </w:t>
            </w:r>
          </w:p>
          <w:p w:rsidR="00230FAA" w:rsidRPr="002F663B" w:rsidRDefault="00230FAA" w:rsidP="00230FAA">
            <w:pPr>
              <w:suppressLineNumbers/>
              <w:suppressAutoHyphens/>
              <w:rPr>
                <w:sz w:val="16"/>
                <w:szCs w:val="16"/>
                <w:lang w:val="en-US"/>
              </w:rPr>
            </w:pPr>
            <w:r w:rsidRPr="002F663B">
              <w:rPr>
                <w:sz w:val="16"/>
                <w:szCs w:val="16"/>
                <w:lang w:val="en-US"/>
              </w:rPr>
              <w:t>2 (OOS).</w:t>
            </w:r>
          </w:p>
        </w:tc>
        <w:tc>
          <w:tcPr>
            <w:tcW w:w="1282" w:type="pct"/>
            <w:gridSpan w:val="3"/>
            <w:shd w:val="clear" w:color="auto" w:fill="FFFFFF"/>
            <w:tcMar>
              <w:top w:w="58" w:type="dxa"/>
              <w:left w:w="29" w:type="dxa"/>
              <w:right w:w="29" w:type="dxa"/>
            </w:tcMar>
          </w:tcPr>
          <w:p w:rsidR="00230FAA" w:rsidRPr="007C56C4" w:rsidRDefault="00230FAA" w:rsidP="00230FAA">
            <w:pPr>
              <w:suppressLineNumbers/>
              <w:suppressAutoHyphens/>
              <w:rPr>
                <w:sz w:val="16"/>
                <w:szCs w:val="16"/>
              </w:rPr>
            </w:pPr>
            <w:r w:rsidRPr="007C56C4">
              <w:rPr>
                <w:sz w:val="16"/>
                <w:szCs w:val="16"/>
              </w:rPr>
              <w:t>0 (OOC)</w:t>
            </w:r>
          </w:p>
          <w:p w:rsidR="00230FAA" w:rsidRPr="007C56C4" w:rsidRDefault="00230FAA" w:rsidP="00230FAA">
            <w:pPr>
              <w:suppressLineNumbers/>
              <w:suppressAutoHyphens/>
              <w:rPr>
                <w:sz w:val="16"/>
                <w:szCs w:val="16"/>
              </w:rPr>
            </w:pPr>
            <w:r w:rsidRPr="007C56C4">
              <w:rPr>
                <w:sz w:val="16"/>
                <w:szCs w:val="16"/>
              </w:rPr>
              <w:t>0 (OOJ)</w:t>
            </w:r>
          </w:p>
          <w:p w:rsidR="00230FAA" w:rsidRPr="007C56C4" w:rsidRDefault="00230FAA" w:rsidP="00230FAA">
            <w:pPr>
              <w:suppressLineNumbers/>
              <w:suppressAutoHyphens/>
              <w:rPr>
                <w:sz w:val="16"/>
                <w:szCs w:val="16"/>
              </w:rPr>
            </w:pPr>
            <w:r w:rsidRPr="007C56C4">
              <w:rPr>
                <w:sz w:val="16"/>
                <w:szCs w:val="16"/>
              </w:rPr>
              <w:t>0 (OOR)</w:t>
            </w:r>
          </w:p>
          <w:p w:rsidR="00230FAA" w:rsidRPr="007C56C4" w:rsidRDefault="00230FAA" w:rsidP="00230FAA">
            <w:pPr>
              <w:suppressLineNumbers/>
              <w:suppressAutoHyphens/>
              <w:rPr>
                <w:sz w:val="16"/>
                <w:szCs w:val="16"/>
              </w:rPr>
            </w:pPr>
            <w:r w:rsidRPr="007C56C4">
              <w:rPr>
                <w:sz w:val="16"/>
                <w:szCs w:val="16"/>
              </w:rPr>
              <w:t>Ninguna más (OOS)</w:t>
            </w:r>
          </w:p>
          <w:p w:rsidR="00230FAA" w:rsidRPr="007C56C4" w:rsidRDefault="00230FAA" w:rsidP="00230FAA">
            <w:pPr>
              <w:suppressLineNumbers/>
              <w:suppressAutoHyphens/>
              <w:rPr>
                <w:sz w:val="16"/>
                <w:szCs w:val="16"/>
              </w:rPr>
            </w:pPr>
          </w:p>
        </w:tc>
        <w:tc>
          <w:tcPr>
            <w:tcW w:w="498" w:type="pct"/>
            <w:gridSpan w:val="5"/>
            <w:shd w:val="clear" w:color="auto" w:fill="auto"/>
            <w:tcMar>
              <w:top w:w="58" w:type="dxa"/>
              <w:left w:w="29" w:type="dxa"/>
              <w:right w:w="29" w:type="dxa"/>
            </w:tcMar>
          </w:tcPr>
          <w:p w:rsidR="00230FAA" w:rsidRPr="007C56C4" w:rsidRDefault="00230FAA" w:rsidP="00230FAA">
            <w:pPr>
              <w:suppressLineNumbers/>
              <w:suppressAutoHyphens/>
              <w:jc w:val="center"/>
              <w:rPr>
                <w:b/>
                <w:sz w:val="16"/>
                <w:szCs w:val="16"/>
              </w:rPr>
            </w:pPr>
            <w:r w:rsidRPr="0050549B">
              <w:rPr>
                <w:b/>
                <w:color w:val="FF0000"/>
                <w:sz w:val="16"/>
                <w:szCs w:val="16"/>
              </w:rPr>
              <w:t>No avanza</w:t>
            </w:r>
          </w:p>
        </w:tc>
      </w:tr>
      <w:tr w:rsidR="00230FAA" w:rsidRPr="007C56C4" w:rsidTr="00230FAA">
        <w:trPr>
          <w:cantSplit/>
          <w:trHeight w:val="1204"/>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lastRenderedPageBreak/>
              <w:t>Nº de ratificaciones o de adhesiones al Tratado de Beijing</w:t>
            </w:r>
          </w:p>
        </w:tc>
        <w:tc>
          <w:tcPr>
            <w:tcW w:w="1318" w:type="pct"/>
            <w:gridSpan w:val="2"/>
            <w:shd w:val="clear" w:color="auto" w:fill="auto"/>
            <w:tcMar>
              <w:left w:w="58" w:type="dxa"/>
              <w:right w:w="58" w:type="dxa"/>
            </w:tcMar>
          </w:tcPr>
          <w:p w:rsidR="00230FAA" w:rsidRPr="00BA5C98" w:rsidRDefault="00230FAA" w:rsidP="00230FAA">
            <w:pPr>
              <w:suppressLineNumbers/>
              <w:suppressAutoHyphens/>
              <w:rPr>
                <w:i/>
                <w:color w:val="002060"/>
                <w:sz w:val="16"/>
                <w:szCs w:val="16"/>
              </w:rPr>
            </w:pPr>
            <w:r w:rsidRPr="00BA5C98">
              <w:rPr>
                <w:i/>
                <w:color w:val="002060"/>
                <w:sz w:val="16"/>
                <w:szCs w:val="16"/>
              </w:rPr>
              <w:t xml:space="preserve">Referencia actualizada a fines de 2015:  </w:t>
            </w:r>
          </w:p>
          <w:p w:rsidR="00230FAA" w:rsidRPr="00BA5C98" w:rsidRDefault="00230FAA" w:rsidP="00230FAA">
            <w:pPr>
              <w:suppressLineNumbers/>
              <w:suppressAutoHyphens/>
              <w:rPr>
                <w:color w:val="002060"/>
                <w:sz w:val="16"/>
                <w:szCs w:val="16"/>
              </w:rPr>
            </w:pPr>
            <w:r w:rsidRPr="00BA5C98">
              <w:rPr>
                <w:color w:val="002060"/>
                <w:sz w:val="16"/>
                <w:szCs w:val="16"/>
              </w:rPr>
              <w:t>1 (OOS) 0 (OOR)</w:t>
            </w:r>
          </w:p>
          <w:p w:rsidR="00230FAA" w:rsidRPr="007C56C4" w:rsidRDefault="00230FAA" w:rsidP="00230FAA">
            <w:pPr>
              <w:suppressLineNumbers/>
              <w:suppressAutoHyphens/>
              <w:rPr>
                <w:i/>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0 (OOS) 0 (OOR)</w:t>
            </w:r>
          </w:p>
        </w:tc>
        <w:tc>
          <w:tcPr>
            <w:tcW w:w="862" w:type="pct"/>
            <w:gridSpan w:val="4"/>
            <w:shd w:val="clear" w:color="auto" w:fill="auto"/>
            <w:tcMar>
              <w:top w:w="58" w:type="dxa"/>
              <w:left w:w="29" w:type="dxa"/>
              <w:right w:w="29" w:type="dxa"/>
            </w:tcMar>
          </w:tcPr>
          <w:p w:rsidR="00230FAA" w:rsidRPr="00BA5C98" w:rsidRDefault="00230FAA" w:rsidP="00230FAA">
            <w:pPr>
              <w:suppressLineNumbers/>
              <w:suppressAutoHyphens/>
              <w:rPr>
                <w:color w:val="002060"/>
                <w:sz w:val="16"/>
                <w:szCs w:val="16"/>
              </w:rPr>
            </w:pPr>
            <w:r w:rsidRPr="00BA5C98">
              <w:rPr>
                <w:i/>
                <w:color w:val="002060"/>
                <w:sz w:val="16"/>
                <w:szCs w:val="16"/>
              </w:rPr>
              <w:t xml:space="preserve">Objetivo actualizado:  </w:t>
            </w:r>
          </w:p>
          <w:p w:rsidR="00230FAA" w:rsidRPr="00BA5C98" w:rsidRDefault="00230FAA" w:rsidP="00230FAA">
            <w:pPr>
              <w:suppressLineNumbers/>
              <w:suppressAutoHyphens/>
              <w:rPr>
                <w:color w:val="002060"/>
                <w:sz w:val="16"/>
                <w:szCs w:val="16"/>
              </w:rPr>
            </w:pPr>
            <w:r w:rsidRPr="00BA5C98">
              <w:rPr>
                <w:color w:val="002060"/>
                <w:sz w:val="16"/>
                <w:szCs w:val="16"/>
              </w:rPr>
              <w:t>2 (OOS)</w:t>
            </w:r>
          </w:p>
          <w:p w:rsidR="00230FAA" w:rsidRPr="007C56C4" w:rsidRDefault="00230FAA" w:rsidP="00230FAA">
            <w:pPr>
              <w:suppressLineNumbers/>
              <w:suppressAutoHyphens/>
              <w:rPr>
                <w:sz w:val="16"/>
                <w:szCs w:val="16"/>
              </w:rPr>
            </w:pPr>
            <w:r w:rsidRPr="007C56C4">
              <w:rPr>
                <w:i/>
                <w:sz w:val="16"/>
                <w:szCs w:val="16"/>
                <w:lang w:bidi="th-TH"/>
              </w:rPr>
              <w:t xml:space="preserve">Objetivo original en el presupuesto 2016/17:  </w:t>
            </w:r>
          </w:p>
          <w:p w:rsidR="00230FAA" w:rsidRPr="007C56C4" w:rsidRDefault="00230FAA" w:rsidP="00230FAA">
            <w:pPr>
              <w:suppressLineNumbers/>
              <w:suppressAutoHyphens/>
              <w:rPr>
                <w:sz w:val="16"/>
                <w:szCs w:val="16"/>
              </w:rPr>
            </w:pPr>
            <w:r w:rsidRPr="007C56C4">
              <w:rPr>
                <w:sz w:val="16"/>
                <w:szCs w:val="16"/>
              </w:rPr>
              <w:t>2 (OOS) 1 (OOR)</w:t>
            </w:r>
          </w:p>
        </w:tc>
        <w:tc>
          <w:tcPr>
            <w:tcW w:w="1276" w:type="pct"/>
            <w:gridSpan w:val="2"/>
            <w:shd w:val="clear" w:color="auto" w:fill="FFFFFF"/>
            <w:tcMar>
              <w:top w:w="58" w:type="dxa"/>
              <w:left w:w="29" w:type="dxa"/>
              <w:right w:w="29" w:type="dxa"/>
            </w:tcMar>
          </w:tcPr>
          <w:p w:rsidR="00230FAA" w:rsidRPr="007C56C4" w:rsidRDefault="00230FAA" w:rsidP="00230FAA">
            <w:pPr>
              <w:suppressLineNumbers/>
              <w:suppressAutoHyphens/>
              <w:rPr>
                <w:sz w:val="16"/>
                <w:szCs w:val="16"/>
              </w:rPr>
            </w:pPr>
            <w:r w:rsidRPr="007C56C4">
              <w:rPr>
                <w:sz w:val="16"/>
                <w:szCs w:val="16"/>
              </w:rPr>
              <w:t>0 (OOS)</w:t>
            </w:r>
          </w:p>
        </w:tc>
        <w:tc>
          <w:tcPr>
            <w:tcW w:w="498" w:type="pct"/>
            <w:gridSpan w:val="5"/>
            <w:shd w:val="clear" w:color="auto" w:fill="auto"/>
            <w:tcMar>
              <w:top w:w="58" w:type="dxa"/>
              <w:left w:w="29" w:type="dxa"/>
              <w:right w:w="29" w:type="dxa"/>
            </w:tcMar>
          </w:tcPr>
          <w:p w:rsidR="00230FAA" w:rsidRPr="007C56C4" w:rsidRDefault="00230FAA" w:rsidP="00230FAA">
            <w:pPr>
              <w:suppressLineNumbers/>
              <w:suppressAutoHyphens/>
              <w:jc w:val="center"/>
              <w:rPr>
                <w:sz w:val="16"/>
                <w:szCs w:val="16"/>
              </w:rPr>
            </w:pPr>
            <w:r w:rsidRPr="0050549B">
              <w:rPr>
                <w:b/>
                <w:color w:val="FF0000"/>
                <w:sz w:val="16"/>
                <w:szCs w:val="16"/>
              </w:rPr>
              <w:t>No avanza</w:t>
            </w:r>
          </w:p>
        </w:tc>
      </w:tr>
      <w:tr w:rsidR="00230FAA" w:rsidRPr="007C56C4" w:rsidTr="00230FAA">
        <w:trPr>
          <w:cantSplit/>
          <w:trHeight w:val="474"/>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Nº de ratificaciones o de adhesiones al Tratado de Singapur</w:t>
            </w:r>
          </w:p>
        </w:tc>
        <w:tc>
          <w:tcPr>
            <w:tcW w:w="1318"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0 (OOJ)</w:t>
            </w:r>
          </w:p>
          <w:p w:rsidR="00230FAA" w:rsidRPr="007C56C4" w:rsidRDefault="00230FAA" w:rsidP="00230FAA">
            <w:pPr>
              <w:suppressLineNumbers/>
              <w:suppressAutoHyphens/>
              <w:rPr>
                <w:sz w:val="16"/>
                <w:szCs w:val="16"/>
              </w:rPr>
            </w:pPr>
            <w:r w:rsidRPr="007C56C4">
              <w:rPr>
                <w:sz w:val="16"/>
                <w:szCs w:val="16"/>
              </w:rPr>
              <w:t>1 (OOS).</w:t>
            </w:r>
          </w:p>
        </w:tc>
        <w:tc>
          <w:tcPr>
            <w:tcW w:w="862" w:type="pct"/>
            <w:gridSpan w:val="4"/>
            <w:shd w:val="clear" w:color="auto" w:fill="auto"/>
            <w:tcMar>
              <w:top w:w="58" w:type="dxa"/>
              <w:left w:w="29" w:type="dxa"/>
              <w:right w:w="29" w:type="dxa"/>
            </w:tcMar>
          </w:tcPr>
          <w:p w:rsidR="00230FAA" w:rsidRPr="007C56C4" w:rsidRDefault="00230FAA" w:rsidP="00230FAA">
            <w:pPr>
              <w:suppressLineNumbers/>
              <w:suppressAutoHyphens/>
              <w:rPr>
                <w:sz w:val="16"/>
                <w:szCs w:val="16"/>
              </w:rPr>
            </w:pPr>
            <w:r w:rsidRPr="007C56C4">
              <w:rPr>
                <w:sz w:val="16"/>
                <w:szCs w:val="16"/>
              </w:rPr>
              <w:t>1 (OOJ)</w:t>
            </w:r>
          </w:p>
          <w:p w:rsidR="00230FAA" w:rsidRPr="007C56C4" w:rsidRDefault="00230FAA" w:rsidP="00230FAA">
            <w:pPr>
              <w:suppressLineNumbers/>
              <w:suppressAutoHyphens/>
              <w:rPr>
                <w:sz w:val="16"/>
                <w:szCs w:val="16"/>
              </w:rPr>
            </w:pPr>
            <w:r w:rsidRPr="007C56C4">
              <w:rPr>
                <w:sz w:val="16"/>
                <w:szCs w:val="16"/>
              </w:rPr>
              <w:t>1 más (OOS)</w:t>
            </w:r>
          </w:p>
        </w:tc>
        <w:tc>
          <w:tcPr>
            <w:tcW w:w="1276" w:type="pct"/>
            <w:gridSpan w:val="2"/>
            <w:shd w:val="clear" w:color="auto" w:fill="FFFFFF"/>
            <w:tcMar>
              <w:top w:w="58" w:type="dxa"/>
              <w:left w:w="29" w:type="dxa"/>
              <w:right w:w="29" w:type="dxa"/>
            </w:tcMar>
          </w:tcPr>
          <w:p w:rsidR="00230FAA" w:rsidRPr="007C56C4" w:rsidRDefault="00230FAA" w:rsidP="00230FAA">
            <w:pPr>
              <w:suppressLineNumbers/>
              <w:suppressAutoHyphens/>
              <w:rPr>
                <w:sz w:val="16"/>
                <w:szCs w:val="16"/>
              </w:rPr>
            </w:pPr>
            <w:r w:rsidRPr="007C56C4">
              <w:rPr>
                <w:sz w:val="16"/>
                <w:szCs w:val="16"/>
              </w:rPr>
              <w:t>1 (OOJ)</w:t>
            </w:r>
          </w:p>
          <w:p w:rsidR="00230FAA" w:rsidRPr="007C56C4" w:rsidRDefault="00230FAA" w:rsidP="00230FAA">
            <w:pPr>
              <w:suppressLineNumbers/>
              <w:suppressAutoHyphens/>
              <w:rPr>
                <w:sz w:val="16"/>
                <w:szCs w:val="16"/>
              </w:rPr>
            </w:pPr>
            <w:r w:rsidRPr="007C56C4">
              <w:rPr>
                <w:sz w:val="16"/>
                <w:szCs w:val="16"/>
              </w:rPr>
              <w:t>Avances realizados en relación con posibles adhesiones (OOS)</w:t>
            </w:r>
          </w:p>
        </w:tc>
        <w:tc>
          <w:tcPr>
            <w:tcW w:w="498" w:type="pct"/>
            <w:gridSpan w:val="5"/>
            <w:shd w:val="clear" w:color="auto" w:fill="auto"/>
            <w:tcMar>
              <w:top w:w="58" w:type="dxa"/>
              <w:left w:w="29" w:type="dxa"/>
              <w:right w:w="29" w:type="dxa"/>
            </w:tcMar>
          </w:tcPr>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b/>
                <w:sz w:val="16"/>
                <w:szCs w:val="16"/>
              </w:rPr>
            </w:pPr>
          </w:p>
          <w:p w:rsidR="00230FAA" w:rsidRPr="007C56C4" w:rsidRDefault="00230FAA" w:rsidP="00230FAA">
            <w:pPr>
              <w:suppressLineNumbers/>
              <w:suppressAutoHyphens/>
              <w:jc w:val="center"/>
              <w:rPr>
                <w:sz w:val="16"/>
                <w:szCs w:val="16"/>
              </w:rPr>
            </w:pPr>
          </w:p>
        </w:tc>
      </w:tr>
      <w:tr w:rsidR="00230FAA" w:rsidRPr="007C56C4" w:rsidTr="00230FAA">
        <w:trPr>
          <w:cantSplit/>
          <w:trHeight w:val="288"/>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Nº de ratificaciones o de adhesiones a los Tratados Internet</w:t>
            </w:r>
          </w:p>
        </w:tc>
        <w:tc>
          <w:tcPr>
            <w:tcW w:w="1318" w:type="pct"/>
            <w:gridSpan w:val="2"/>
            <w:shd w:val="clear" w:color="auto" w:fill="auto"/>
            <w:tcMar>
              <w:left w:w="58" w:type="dxa"/>
              <w:right w:w="14" w:type="dxa"/>
            </w:tcMar>
          </w:tcPr>
          <w:p w:rsidR="00230FAA" w:rsidRPr="007C56C4" w:rsidRDefault="00230FAA" w:rsidP="00230FAA">
            <w:pPr>
              <w:suppressLineNumbers/>
              <w:suppressAutoHyphens/>
              <w:rPr>
                <w:sz w:val="16"/>
                <w:szCs w:val="16"/>
              </w:rPr>
            </w:pPr>
            <w:r w:rsidRPr="007C56C4">
              <w:rPr>
                <w:sz w:val="16"/>
                <w:szCs w:val="16"/>
              </w:rPr>
              <w:t>Tratado de la OMPI sobre Derecho de Autor: 4 (OOS).    Tratado de la OMPI sobre Interpretación y Ejecución de Fonogramas: 4 (OOS).</w:t>
            </w:r>
          </w:p>
          <w:p w:rsidR="00230FAA" w:rsidRPr="007C56C4" w:rsidRDefault="00230FAA" w:rsidP="00230FAA">
            <w:pPr>
              <w:suppressLineNumbers/>
              <w:suppressAutoHyphens/>
              <w:rPr>
                <w:sz w:val="6"/>
                <w:szCs w:val="6"/>
              </w:rPr>
            </w:pPr>
          </w:p>
        </w:tc>
        <w:tc>
          <w:tcPr>
            <w:tcW w:w="862" w:type="pct"/>
            <w:gridSpan w:val="4"/>
            <w:shd w:val="clear" w:color="auto" w:fill="auto"/>
            <w:tcMar>
              <w:top w:w="58" w:type="dxa"/>
              <w:left w:w="29" w:type="dxa"/>
              <w:right w:w="29" w:type="dxa"/>
            </w:tcMar>
          </w:tcPr>
          <w:p w:rsidR="00230FAA" w:rsidRPr="007C56C4" w:rsidRDefault="00230FAA" w:rsidP="00230FAA">
            <w:pPr>
              <w:suppressLineNumbers/>
              <w:suppressAutoHyphens/>
              <w:rPr>
                <w:sz w:val="16"/>
                <w:szCs w:val="16"/>
              </w:rPr>
            </w:pPr>
            <w:r w:rsidRPr="007C56C4">
              <w:rPr>
                <w:sz w:val="16"/>
                <w:szCs w:val="16"/>
              </w:rPr>
              <w:t>1 más (OOS)</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sz w:val="16"/>
                <w:szCs w:val="16"/>
              </w:rPr>
            </w:pPr>
            <w:r w:rsidRPr="007C56C4">
              <w:rPr>
                <w:sz w:val="16"/>
                <w:szCs w:val="16"/>
              </w:rPr>
              <w:t xml:space="preserve">1 más (OOS)   </w:t>
            </w:r>
          </w:p>
        </w:tc>
        <w:tc>
          <w:tcPr>
            <w:tcW w:w="1276" w:type="pct"/>
            <w:gridSpan w:val="2"/>
            <w:shd w:val="clear" w:color="auto" w:fill="FFFFFF"/>
            <w:tcMar>
              <w:top w:w="58" w:type="dxa"/>
              <w:left w:w="29" w:type="dxa"/>
              <w:right w:w="29" w:type="dxa"/>
            </w:tcMar>
          </w:tcPr>
          <w:p w:rsidR="00230FAA" w:rsidRPr="007C56C4" w:rsidRDefault="00230FAA" w:rsidP="00230FAA">
            <w:pPr>
              <w:suppressLineNumbers/>
              <w:suppressAutoHyphens/>
              <w:rPr>
                <w:sz w:val="16"/>
                <w:szCs w:val="16"/>
              </w:rPr>
            </w:pPr>
            <w:r w:rsidRPr="007C56C4">
              <w:rPr>
                <w:sz w:val="16"/>
                <w:szCs w:val="16"/>
              </w:rPr>
              <w:t>Avances realizados en relación con posibles adhesiones (OOS)</w:t>
            </w:r>
          </w:p>
        </w:tc>
        <w:tc>
          <w:tcPr>
            <w:tcW w:w="498" w:type="pct"/>
            <w:gridSpan w:val="5"/>
            <w:shd w:val="clear" w:color="auto" w:fill="auto"/>
            <w:tcMar>
              <w:top w:w="58" w:type="dxa"/>
              <w:left w:w="29" w:type="dxa"/>
              <w:right w:w="29" w:type="dxa"/>
            </w:tcMar>
          </w:tcPr>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sz w:val="16"/>
                <w:szCs w:val="16"/>
              </w:rPr>
            </w:pPr>
          </w:p>
        </w:tc>
      </w:tr>
      <w:tr w:rsidR="00230FAA" w:rsidRPr="007C56C4" w:rsidTr="00230FAA">
        <w:trPr>
          <w:cantSplit/>
          <w:trHeight w:val="565"/>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suppressLineNumbers/>
              <w:tabs>
                <w:tab w:val="left" w:pos="1452"/>
              </w:tabs>
              <w:suppressAutoHyphens/>
              <w:ind w:left="1701" w:hanging="1701"/>
              <w:rPr>
                <w:b/>
                <w:bCs/>
                <w:sz w:val="16"/>
                <w:szCs w:val="16"/>
              </w:rPr>
            </w:pPr>
            <w:r w:rsidRPr="007C56C4">
              <w:rPr>
                <w:b/>
                <w:bCs/>
                <w:sz w:val="16"/>
                <w:szCs w:val="16"/>
              </w:rPr>
              <w:t>Resultado previsto:</w:t>
            </w:r>
            <w:r w:rsidRPr="007C56C4">
              <w:rPr>
                <w:b/>
                <w:bCs/>
                <w:sz w:val="16"/>
                <w:szCs w:val="16"/>
              </w:rPr>
              <w:tab/>
            </w:r>
            <w:r w:rsidRPr="007C56C4">
              <w:rPr>
                <w:bCs/>
                <w:sz w:val="16"/>
                <w:szCs w:val="16"/>
              </w:rPr>
              <w:t>II.1  Mayor y más eficaz utilización del Sistema del PCT para presentar solicitudes internacionales de patentes</w:t>
            </w:r>
          </w:p>
        </w:tc>
      </w:tr>
      <w:tr w:rsidR="00230FAA" w:rsidRPr="007C56C4" w:rsidTr="00230FAA">
        <w:trPr>
          <w:cantSplit/>
        </w:trPr>
        <w:tc>
          <w:tcPr>
            <w:tcW w:w="1046"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Indicadores de rendimiento</w:t>
            </w:r>
          </w:p>
        </w:tc>
        <w:tc>
          <w:tcPr>
            <w:tcW w:w="1318"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Referencia</w:t>
            </w:r>
            <w:r w:rsidR="003A134D">
              <w:rPr>
                <w:b/>
                <w:bCs/>
                <w:sz w:val="16"/>
                <w:szCs w:val="16"/>
              </w:rPr>
              <w:t>s de base</w:t>
            </w:r>
          </w:p>
        </w:tc>
        <w:tc>
          <w:tcPr>
            <w:tcW w:w="862" w:type="pct"/>
            <w:gridSpan w:val="4"/>
            <w:shd w:val="clear" w:color="auto" w:fill="auto"/>
            <w:tcMar>
              <w:top w:w="110" w:type="dxa"/>
              <w:left w:w="58" w:type="dxa"/>
              <w:right w:w="58" w:type="dxa"/>
            </w:tcMar>
            <w:vAlign w:val="center"/>
          </w:tcPr>
          <w:p w:rsidR="00230FAA" w:rsidRPr="007C56C4" w:rsidRDefault="00230FAA" w:rsidP="00230FAA">
            <w:pPr>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Datos sobre el rendimiento</w:t>
            </w:r>
          </w:p>
        </w:tc>
        <w:tc>
          <w:tcPr>
            <w:tcW w:w="451" w:type="pct"/>
            <w:gridSpan w:val="3"/>
            <w:shd w:val="clear" w:color="auto" w:fill="auto"/>
            <w:tcMar>
              <w:top w:w="110" w:type="dxa"/>
              <w:left w:w="58" w:type="dxa"/>
              <w:right w:w="58" w:type="dxa"/>
            </w:tcMar>
            <w:vAlign w:val="center"/>
          </w:tcPr>
          <w:p w:rsidR="00230FAA" w:rsidRPr="007C56C4" w:rsidRDefault="00230FAA" w:rsidP="00230FAA">
            <w:pPr>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1636"/>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Nº de solicitudes PCT</w:t>
            </w:r>
          </w:p>
        </w:tc>
        <w:tc>
          <w:tcPr>
            <w:tcW w:w="1318" w:type="pct"/>
            <w:gridSpan w:val="2"/>
            <w:shd w:val="clear" w:color="auto" w:fill="auto"/>
            <w:tcMar>
              <w:left w:w="58" w:type="dxa"/>
              <w:right w:w="58" w:type="dxa"/>
            </w:tcMar>
          </w:tcPr>
          <w:p w:rsidR="00230FAA" w:rsidRPr="00BA5C98" w:rsidRDefault="00230FAA" w:rsidP="00230FAA">
            <w:pPr>
              <w:suppressLineNumbers/>
              <w:suppressAutoHyphens/>
              <w:rPr>
                <w:i/>
                <w:color w:val="002060"/>
                <w:sz w:val="16"/>
                <w:szCs w:val="16"/>
              </w:rPr>
            </w:pPr>
            <w:r w:rsidRPr="00BA5C98">
              <w:rPr>
                <w:i/>
                <w:color w:val="002060"/>
                <w:sz w:val="16"/>
                <w:szCs w:val="16"/>
              </w:rPr>
              <w:t>Referencia actualizada a fines de 2015:</w:t>
            </w:r>
            <w:r w:rsidRPr="00BA5C98">
              <w:rPr>
                <w:rStyle w:val="FootnoteReference"/>
                <w:i/>
                <w:color w:val="002060"/>
                <w:sz w:val="16"/>
                <w:szCs w:val="16"/>
              </w:rPr>
              <w:footnoteReference w:id="82"/>
            </w:r>
            <w:r w:rsidRPr="00BA5C98">
              <w:rPr>
                <w:i/>
                <w:color w:val="002060"/>
                <w:sz w:val="16"/>
                <w:szCs w:val="1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8"/>
            </w:tblGrid>
            <w:tr w:rsidR="00230FAA" w:rsidRPr="00BA5C98" w:rsidTr="00230FAA">
              <w:tc>
                <w:tcPr>
                  <w:tcW w:w="1292" w:type="dxa"/>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2015:  548 </w:t>
                  </w:r>
                </w:p>
              </w:tc>
              <w:tc>
                <w:tcPr>
                  <w:tcW w:w="808" w:type="dxa"/>
                  <w:vMerge w:val="restart"/>
                  <w:vAlign w:val="center"/>
                </w:tcPr>
                <w:p w:rsidR="00230FAA" w:rsidRPr="00BA5C98" w:rsidRDefault="00230FAA" w:rsidP="00230FAA">
                  <w:pPr>
                    <w:suppressLineNumbers/>
                    <w:suppressAutoHyphens/>
                    <w:jc w:val="both"/>
                    <w:rPr>
                      <w:color w:val="002060"/>
                      <w:sz w:val="16"/>
                      <w:szCs w:val="16"/>
                    </w:rPr>
                  </w:pPr>
                  <w:r w:rsidRPr="00BA5C98">
                    <w:rPr>
                      <w:color w:val="002060"/>
                      <w:sz w:val="16"/>
                      <w:szCs w:val="16"/>
                    </w:rPr>
                    <w:t>(OOB)</w:t>
                  </w:r>
                </w:p>
              </w:tc>
            </w:tr>
            <w:tr w:rsidR="00230FAA" w:rsidRPr="00BA5C98" w:rsidTr="00230FAA">
              <w:tc>
                <w:tcPr>
                  <w:tcW w:w="1292" w:type="dxa"/>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2014:  580 </w:t>
                  </w:r>
                </w:p>
              </w:tc>
              <w:tc>
                <w:tcPr>
                  <w:tcW w:w="808" w:type="dxa"/>
                  <w:vMerge/>
                </w:tcPr>
                <w:p w:rsidR="00230FAA" w:rsidRPr="00BA5C98" w:rsidRDefault="00230FAA" w:rsidP="00230FAA">
                  <w:pPr>
                    <w:suppressLineNumbers/>
                    <w:suppressAutoHyphens/>
                    <w:rPr>
                      <w:color w:val="002060"/>
                      <w:sz w:val="16"/>
                      <w:szCs w:val="16"/>
                    </w:rPr>
                  </w:pPr>
                </w:p>
              </w:tc>
            </w:tr>
          </w:tbl>
          <w:p w:rsidR="00230FAA" w:rsidRPr="00BA5C98" w:rsidRDefault="00230FAA" w:rsidP="00230FAA">
            <w:pPr>
              <w:suppressLineNumbers/>
              <w:suppressAutoHyphens/>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230FAA" w:rsidRPr="00BA5C98" w:rsidTr="00230FAA">
              <w:tc>
                <w:tcPr>
                  <w:tcW w:w="1292" w:type="dxa"/>
                  <w:tcMar>
                    <w:left w:w="115" w:type="dxa"/>
                    <w:right w:w="14" w:type="dxa"/>
                  </w:tcMar>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2015:  29.838 </w:t>
                  </w:r>
                </w:p>
              </w:tc>
              <w:tc>
                <w:tcPr>
                  <w:tcW w:w="803" w:type="dxa"/>
                  <w:vMerge w:val="restart"/>
                  <w:vAlign w:val="center"/>
                </w:tcPr>
                <w:p w:rsidR="00230FAA" w:rsidRPr="00BA5C98" w:rsidRDefault="00230FAA" w:rsidP="00230FAA">
                  <w:pPr>
                    <w:suppressLineNumbers/>
                    <w:suppressAutoHyphens/>
                    <w:ind w:left="199" w:hanging="199"/>
                    <w:rPr>
                      <w:color w:val="002060"/>
                      <w:sz w:val="16"/>
                      <w:szCs w:val="16"/>
                    </w:rPr>
                  </w:pPr>
                  <w:r w:rsidRPr="00BA5C98">
                    <w:rPr>
                      <w:color w:val="002060"/>
                      <w:sz w:val="16"/>
                      <w:szCs w:val="16"/>
                    </w:rPr>
                    <w:t>(OOC)</w:t>
                  </w:r>
                </w:p>
              </w:tc>
            </w:tr>
            <w:tr w:rsidR="00230FAA" w:rsidRPr="00BA5C98" w:rsidTr="00230FAA">
              <w:tc>
                <w:tcPr>
                  <w:tcW w:w="1292" w:type="dxa"/>
                  <w:tcMar>
                    <w:left w:w="115" w:type="dxa"/>
                    <w:right w:w="14" w:type="dxa"/>
                  </w:tcMar>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2014:  25.548</w:t>
                  </w:r>
                </w:p>
              </w:tc>
              <w:tc>
                <w:tcPr>
                  <w:tcW w:w="803" w:type="dxa"/>
                  <w:vMerge/>
                </w:tcPr>
                <w:p w:rsidR="00230FAA" w:rsidRPr="00BA5C98" w:rsidRDefault="00230FAA" w:rsidP="00230FAA">
                  <w:pPr>
                    <w:suppressLineNumbers/>
                    <w:suppressAutoHyphens/>
                    <w:rPr>
                      <w:color w:val="002060"/>
                      <w:sz w:val="16"/>
                      <w:szCs w:val="16"/>
                    </w:rPr>
                  </w:pPr>
                </w:p>
              </w:tc>
            </w:tr>
          </w:tbl>
          <w:p w:rsidR="00230FAA" w:rsidRPr="00BA5C98" w:rsidRDefault="00230FAA" w:rsidP="00230FAA">
            <w:pPr>
              <w:suppressLineNumbers/>
              <w:suppressAutoHyphens/>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230FAA" w:rsidRPr="00BA5C98" w:rsidTr="00230FAA">
              <w:tc>
                <w:tcPr>
                  <w:tcW w:w="1292" w:type="dxa"/>
                  <w:tcMar>
                    <w:left w:w="115" w:type="dxa"/>
                    <w:right w:w="14" w:type="dxa"/>
                  </w:tcMar>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2015:  44.053 </w:t>
                  </w:r>
                </w:p>
              </w:tc>
              <w:tc>
                <w:tcPr>
                  <w:tcW w:w="803" w:type="dxa"/>
                  <w:vMerge w:val="restart"/>
                  <w:vAlign w:val="center"/>
                </w:tcPr>
                <w:p w:rsidR="00230FAA" w:rsidRPr="00BA5C98" w:rsidRDefault="00230FAA" w:rsidP="00230FAA">
                  <w:pPr>
                    <w:suppressLineNumbers/>
                    <w:suppressAutoHyphens/>
                    <w:ind w:left="199" w:hanging="199"/>
                    <w:rPr>
                      <w:color w:val="002060"/>
                      <w:sz w:val="16"/>
                      <w:szCs w:val="16"/>
                    </w:rPr>
                  </w:pPr>
                  <w:r w:rsidRPr="00BA5C98">
                    <w:rPr>
                      <w:color w:val="002060"/>
                      <w:sz w:val="16"/>
                      <w:szCs w:val="16"/>
                    </w:rPr>
                    <w:t>(OOJ)</w:t>
                  </w:r>
                </w:p>
              </w:tc>
            </w:tr>
            <w:tr w:rsidR="00230FAA" w:rsidRPr="00BA5C98" w:rsidTr="00230FAA">
              <w:tc>
                <w:tcPr>
                  <w:tcW w:w="1292" w:type="dxa"/>
                  <w:tcMar>
                    <w:left w:w="115" w:type="dxa"/>
                    <w:right w:w="14" w:type="dxa"/>
                  </w:tcMar>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2014:  42.381</w:t>
                  </w:r>
                  <w:r w:rsidRPr="00BA5C98">
                    <w:rPr>
                      <w:color w:val="002060"/>
                      <w:sz w:val="16"/>
                      <w:szCs w:val="16"/>
                      <w:vertAlign w:val="superscript"/>
                    </w:rPr>
                    <w:t xml:space="preserve"> </w:t>
                  </w:r>
                </w:p>
              </w:tc>
              <w:tc>
                <w:tcPr>
                  <w:tcW w:w="803" w:type="dxa"/>
                  <w:vMerge/>
                </w:tcPr>
                <w:p w:rsidR="00230FAA" w:rsidRPr="00BA5C98" w:rsidRDefault="00230FAA" w:rsidP="00230FAA">
                  <w:pPr>
                    <w:suppressLineNumbers/>
                    <w:suppressAutoHyphens/>
                    <w:rPr>
                      <w:color w:val="002060"/>
                      <w:sz w:val="16"/>
                      <w:szCs w:val="16"/>
                    </w:rPr>
                  </w:pPr>
                </w:p>
              </w:tc>
            </w:tr>
          </w:tbl>
          <w:p w:rsidR="00230FAA" w:rsidRPr="00BA5C98" w:rsidRDefault="00230FAA" w:rsidP="00230FAA">
            <w:pPr>
              <w:suppressLineNumbers/>
              <w:suppressAutoHyphens/>
              <w:ind w:left="199" w:hanging="199"/>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230FAA" w:rsidRPr="00BA5C98" w:rsidTr="00230FAA">
              <w:tc>
                <w:tcPr>
                  <w:tcW w:w="1292" w:type="dxa"/>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2015:  876 </w:t>
                  </w:r>
                </w:p>
              </w:tc>
              <w:tc>
                <w:tcPr>
                  <w:tcW w:w="803" w:type="dxa"/>
                  <w:vMerge w:val="restart"/>
                  <w:vAlign w:val="center"/>
                </w:tcPr>
                <w:p w:rsidR="00230FAA" w:rsidRPr="00BA5C98" w:rsidRDefault="00230FAA" w:rsidP="00230FAA">
                  <w:pPr>
                    <w:suppressLineNumbers/>
                    <w:suppressAutoHyphens/>
                    <w:ind w:left="199" w:hanging="199"/>
                    <w:rPr>
                      <w:color w:val="002060"/>
                      <w:sz w:val="16"/>
                      <w:szCs w:val="16"/>
                    </w:rPr>
                  </w:pPr>
                  <w:r w:rsidRPr="00BA5C98">
                    <w:rPr>
                      <w:color w:val="002060"/>
                      <w:sz w:val="16"/>
                      <w:szCs w:val="16"/>
                    </w:rPr>
                    <w:t>(OOR)</w:t>
                  </w:r>
                </w:p>
              </w:tc>
            </w:tr>
            <w:tr w:rsidR="00230FAA" w:rsidRPr="00BA5C98" w:rsidTr="00230FAA">
              <w:tc>
                <w:tcPr>
                  <w:tcW w:w="1292" w:type="dxa"/>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2014:  948 </w:t>
                  </w:r>
                </w:p>
              </w:tc>
              <w:tc>
                <w:tcPr>
                  <w:tcW w:w="803" w:type="dxa"/>
                  <w:vMerge/>
                </w:tcPr>
                <w:p w:rsidR="00230FAA" w:rsidRPr="00BA5C98" w:rsidRDefault="00230FAA" w:rsidP="00230FAA">
                  <w:pPr>
                    <w:suppressLineNumbers/>
                    <w:suppressAutoHyphens/>
                    <w:rPr>
                      <w:color w:val="002060"/>
                      <w:sz w:val="16"/>
                      <w:szCs w:val="16"/>
                    </w:rPr>
                  </w:pPr>
                </w:p>
              </w:tc>
            </w:tr>
          </w:tbl>
          <w:p w:rsidR="00230FAA" w:rsidRPr="00BA5C98" w:rsidRDefault="00230FAA" w:rsidP="00230FAA">
            <w:pPr>
              <w:suppressLineNumbers/>
              <w:suppressAutoHyphens/>
              <w:ind w:left="199" w:hanging="199"/>
              <w:rPr>
                <w:color w:val="002060"/>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92"/>
              <w:gridCol w:w="803"/>
            </w:tblGrid>
            <w:tr w:rsidR="00230FAA" w:rsidRPr="00BA5C98" w:rsidTr="00230FAA">
              <w:tc>
                <w:tcPr>
                  <w:tcW w:w="1292" w:type="dxa"/>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2015:  1.369</w:t>
                  </w:r>
                </w:p>
              </w:tc>
              <w:tc>
                <w:tcPr>
                  <w:tcW w:w="803" w:type="dxa"/>
                  <w:vMerge w:val="restart"/>
                  <w:vAlign w:val="center"/>
                </w:tcPr>
                <w:p w:rsidR="00230FAA" w:rsidRPr="00BA5C98" w:rsidRDefault="00230FAA" w:rsidP="00230FAA">
                  <w:pPr>
                    <w:suppressLineNumbers/>
                    <w:suppressAutoHyphens/>
                    <w:rPr>
                      <w:color w:val="002060"/>
                      <w:sz w:val="16"/>
                      <w:szCs w:val="16"/>
                    </w:rPr>
                  </w:pPr>
                  <w:r w:rsidRPr="00BA5C98">
                    <w:rPr>
                      <w:color w:val="002060"/>
                      <w:sz w:val="16"/>
                      <w:szCs w:val="16"/>
                    </w:rPr>
                    <w:t>(OOS).</w:t>
                  </w:r>
                </w:p>
              </w:tc>
            </w:tr>
            <w:tr w:rsidR="00230FAA" w:rsidRPr="00BA5C98" w:rsidTr="00230FAA">
              <w:tc>
                <w:tcPr>
                  <w:tcW w:w="1292" w:type="dxa"/>
                </w:tcPr>
                <w:p w:rsidR="00230FAA" w:rsidRPr="00BA5C98" w:rsidRDefault="00230FAA" w:rsidP="00867DB8">
                  <w:pPr>
                    <w:numPr>
                      <w:ilvl w:val="0"/>
                      <w:numId w:val="77"/>
                    </w:numPr>
                    <w:suppressLineNumbers/>
                    <w:suppressAutoHyphens/>
                    <w:ind w:left="97" w:hanging="97"/>
                    <w:rPr>
                      <w:color w:val="002060"/>
                      <w:sz w:val="16"/>
                      <w:szCs w:val="16"/>
                    </w:rPr>
                  </w:pPr>
                  <w:r w:rsidRPr="00BA5C98">
                    <w:rPr>
                      <w:color w:val="002060"/>
                      <w:sz w:val="16"/>
                      <w:szCs w:val="16"/>
                    </w:rPr>
                    <w:t xml:space="preserve"> 2014:  1.382 </w:t>
                  </w:r>
                </w:p>
              </w:tc>
              <w:tc>
                <w:tcPr>
                  <w:tcW w:w="803" w:type="dxa"/>
                  <w:vMerge/>
                </w:tcPr>
                <w:p w:rsidR="00230FAA" w:rsidRPr="00BA5C98" w:rsidRDefault="00230FAA" w:rsidP="00230FAA">
                  <w:pPr>
                    <w:suppressLineNumbers/>
                    <w:suppressAutoHyphens/>
                    <w:rPr>
                      <w:color w:val="002060"/>
                      <w:sz w:val="16"/>
                      <w:szCs w:val="16"/>
                    </w:rPr>
                  </w:pPr>
                </w:p>
              </w:tc>
            </w:tr>
          </w:tbl>
          <w:p w:rsidR="00230FAA" w:rsidRPr="00BA5C98" w:rsidRDefault="00230FAA" w:rsidP="00230FAA">
            <w:pPr>
              <w:suppressLineNumbers/>
              <w:suppressAutoHyphens/>
              <w:rPr>
                <w:i/>
                <w:color w:val="002060"/>
                <w:sz w:val="16"/>
                <w:szCs w:val="16"/>
                <w:lang w:bidi="th-TH"/>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1.387 (en 2014) (OOS)</w:t>
            </w:r>
            <w:r w:rsidRPr="007C56C4">
              <w:rPr>
                <w:sz w:val="16"/>
                <w:szCs w:val="16"/>
              </w:rPr>
              <w:br/>
              <w:t>581 (en 2014) (OOB)</w:t>
            </w:r>
            <w:r w:rsidRPr="007C56C4">
              <w:rPr>
                <w:sz w:val="16"/>
                <w:szCs w:val="16"/>
              </w:rPr>
              <w:br/>
              <w:t>42.459 (en 2014) (OOJ)</w:t>
            </w:r>
            <w:r w:rsidRPr="007C56C4">
              <w:rPr>
                <w:sz w:val="16"/>
                <w:szCs w:val="16"/>
              </w:rPr>
              <w:br/>
              <w:t>890 (en 2014) (OOR)</w:t>
            </w:r>
            <w:r w:rsidRPr="007C56C4">
              <w:rPr>
                <w:sz w:val="16"/>
                <w:szCs w:val="16"/>
              </w:rPr>
              <w:br/>
              <w:t>25.539 (en 2014)  (OOC).</w:t>
            </w:r>
          </w:p>
        </w:tc>
        <w:tc>
          <w:tcPr>
            <w:tcW w:w="862" w:type="pct"/>
            <w:gridSpan w:val="4"/>
            <w:shd w:val="clear" w:color="auto" w:fill="auto"/>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Incremento anual del 2% (todas las Oficinas)</w:t>
            </w:r>
          </w:p>
        </w:tc>
        <w:tc>
          <w:tcPr>
            <w:tcW w:w="1323" w:type="pct"/>
            <w:gridSpan w:val="4"/>
            <w:shd w:val="clear" w:color="auto" w:fill="FFFFFF"/>
            <w:tcMar>
              <w:top w:w="110" w:type="dxa"/>
              <w:left w:w="58" w:type="dxa"/>
              <w:right w:w="58" w:type="dxa"/>
            </w:tcMar>
          </w:tcPr>
          <w:tbl>
            <w:tblPr>
              <w:tblStyle w:val="TableGrid"/>
              <w:tblW w:w="18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540"/>
              <w:gridCol w:w="720"/>
            </w:tblGrid>
            <w:tr w:rsidR="00230FAA" w:rsidRPr="007C56C4" w:rsidTr="00230FAA">
              <w:trPr>
                <w:trHeight w:val="247"/>
              </w:trPr>
              <w:tc>
                <w:tcPr>
                  <w:tcW w:w="572"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(OOB)</w:t>
                  </w:r>
                </w:p>
              </w:tc>
              <w:tc>
                <w:tcPr>
                  <w:tcW w:w="540" w:type="dxa"/>
                  <w:tcMar>
                    <w:left w:w="14" w:type="dxa"/>
                    <w:right w:w="14" w:type="dxa"/>
                  </w:tcMar>
                </w:tcPr>
                <w:p w:rsidR="00230FAA" w:rsidRPr="007C56C4" w:rsidRDefault="00230FAA" w:rsidP="00230FAA">
                  <w:pPr>
                    <w:suppressLineNumbers/>
                    <w:suppressAutoHyphens/>
                    <w:jc w:val="right"/>
                    <w:rPr>
                      <w:sz w:val="16"/>
                      <w:szCs w:val="16"/>
                    </w:rPr>
                  </w:pPr>
                  <w:r w:rsidRPr="007C56C4">
                    <w:rPr>
                      <w:sz w:val="16"/>
                      <w:szCs w:val="16"/>
                    </w:rPr>
                    <w:t>568</w:t>
                  </w:r>
                </w:p>
              </w:tc>
              <w:tc>
                <w:tcPr>
                  <w:tcW w:w="720"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 xml:space="preserve"> (3,7%)</w:t>
                  </w:r>
                </w:p>
              </w:tc>
            </w:tr>
            <w:tr w:rsidR="00230FAA" w:rsidRPr="007C56C4" w:rsidTr="00230FAA">
              <w:trPr>
                <w:trHeight w:val="247"/>
              </w:trPr>
              <w:tc>
                <w:tcPr>
                  <w:tcW w:w="572"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(OOC)</w:t>
                  </w:r>
                </w:p>
              </w:tc>
              <w:tc>
                <w:tcPr>
                  <w:tcW w:w="540" w:type="dxa"/>
                  <w:tcMar>
                    <w:left w:w="14" w:type="dxa"/>
                    <w:right w:w="14" w:type="dxa"/>
                  </w:tcMar>
                </w:tcPr>
                <w:p w:rsidR="00230FAA" w:rsidRPr="007C56C4" w:rsidRDefault="00230FAA" w:rsidP="00230FAA">
                  <w:pPr>
                    <w:suppressLineNumbers/>
                    <w:suppressAutoHyphens/>
                    <w:jc w:val="right"/>
                    <w:rPr>
                      <w:sz w:val="16"/>
                      <w:szCs w:val="16"/>
                    </w:rPr>
                  </w:pPr>
                  <w:r w:rsidRPr="007C56C4">
                    <w:rPr>
                      <w:sz w:val="16"/>
                      <w:szCs w:val="16"/>
                    </w:rPr>
                    <w:t>43.128</w:t>
                  </w:r>
                </w:p>
              </w:tc>
              <w:tc>
                <w:tcPr>
                  <w:tcW w:w="720"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 xml:space="preserve"> (+45%)</w:t>
                  </w:r>
                </w:p>
              </w:tc>
            </w:tr>
            <w:tr w:rsidR="00230FAA" w:rsidRPr="007C56C4" w:rsidTr="00230FAA">
              <w:trPr>
                <w:trHeight w:val="247"/>
              </w:trPr>
              <w:tc>
                <w:tcPr>
                  <w:tcW w:w="572"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(OOJ)</w:t>
                  </w:r>
                </w:p>
              </w:tc>
              <w:tc>
                <w:tcPr>
                  <w:tcW w:w="540" w:type="dxa"/>
                  <w:tcMar>
                    <w:left w:w="14" w:type="dxa"/>
                    <w:right w:w="14" w:type="dxa"/>
                  </w:tcMar>
                </w:tcPr>
                <w:p w:rsidR="00230FAA" w:rsidRPr="007C56C4" w:rsidRDefault="00230FAA" w:rsidP="00230FAA">
                  <w:pPr>
                    <w:suppressLineNumbers/>
                    <w:suppressAutoHyphens/>
                    <w:jc w:val="right"/>
                    <w:rPr>
                      <w:sz w:val="16"/>
                      <w:szCs w:val="16"/>
                    </w:rPr>
                  </w:pPr>
                  <w:r w:rsidRPr="007C56C4">
                    <w:rPr>
                      <w:sz w:val="16"/>
                      <w:szCs w:val="16"/>
                    </w:rPr>
                    <w:t>45.220</w:t>
                  </w:r>
                </w:p>
              </w:tc>
              <w:tc>
                <w:tcPr>
                  <w:tcW w:w="720"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 xml:space="preserve"> (2,7%)</w:t>
                  </w:r>
                </w:p>
              </w:tc>
            </w:tr>
            <w:tr w:rsidR="00230FAA" w:rsidRPr="007C56C4" w:rsidTr="00230FAA">
              <w:trPr>
                <w:trHeight w:val="247"/>
              </w:trPr>
              <w:tc>
                <w:tcPr>
                  <w:tcW w:w="572"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(OOR)</w:t>
                  </w:r>
                </w:p>
              </w:tc>
              <w:tc>
                <w:tcPr>
                  <w:tcW w:w="540" w:type="dxa"/>
                  <w:tcMar>
                    <w:left w:w="14" w:type="dxa"/>
                    <w:right w:w="14" w:type="dxa"/>
                  </w:tcMar>
                </w:tcPr>
                <w:p w:rsidR="00230FAA" w:rsidRPr="007C56C4" w:rsidRDefault="00230FAA" w:rsidP="00230FAA">
                  <w:pPr>
                    <w:suppressLineNumbers/>
                    <w:suppressAutoHyphens/>
                    <w:jc w:val="right"/>
                    <w:rPr>
                      <w:sz w:val="16"/>
                      <w:szCs w:val="16"/>
                    </w:rPr>
                  </w:pPr>
                  <w:r w:rsidRPr="007C56C4">
                    <w:rPr>
                      <w:sz w:val="16"/>
                      <w:szCs w:val="16"/>
                    </w:rPr>
                    <w:t>805</w:t>
                  </w:r>
                </w:p>
              </w:tc>
              <w:tc>
                <w:tcPr>
                  <w:tcW w:w="720"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 xml:space="preserve"> (-8,1%)</w:t>
                  </w:r>
                </w:p>
              </w:tc>
            </w:tr>
            <w:tr w:rsidR="00230FAA" w:rsidRPr="007C56C4" w:rsidTr="00230FAA">
              <w:trPr>
                <w:trHeight w:val="264"/>
              </w:trPr>
              <w:tc>
                <w:tcPr>
                  <w:tcW w:w="572" w:type="dxa"/>
                  <w:tcMar>
                    <w:left w:w="14" w:type="dxa"/>
                    <w:right w:w="14" w:type="dxa"/>
                  </w:tcMar>
                </w:tcPr>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sz w:val="16"/>
                      <w:szCs w:val="16"/>
                    </w:rPr>
                  </w:pPr>
                  <w:r w:rsidRPr="007C56C4">
                    <w:rPr>
                      <w:sz w:val="16"/>
                      <w:szCs w:val="16"/>
                    </w:rPr>
                    <w:t>(OOS).</w:t>
                  </w:r>
                </w:p>
              </w:tc>
              <w:tc>
                <w:tcPr>
                  <w:tcW w:w="540" w:type="dxa"/>
                  <w:tcMar>
                    <w:left w:w="14" w:type="dxa"/>
                    <w:right w:w="14" w:type="dxa"/>
                  </w:tcMar>
                </w:tcPr>
                <w:p w:rsidR="00230FAA" w:rsidRPr="007C56C4" w:rsidRDefault="00230FAA" w:rsidP="00230FAA">
                  <w:pPr>
                    <w:suppressLineNumbers/>
                    <w:suppressAutoHyphens/>
                    <w:jc w:val="right"/>
                    <w:rPr>
                      <w:sz w:val="16"/>
                      <w:szCs w:val="16"/>
                    </w:rPr>
                  </w:pPr>
                </w:p>
                <w:p w:rsidR="00230FAA" w:rsidRPr="007C56C4" w:rsidRDefault="00230FAA" w:rsidP="00230FAA">
                  <w:pPr>
                    <w:suppressLineNumbers/>
                    <w:suppressAutoHyphens/>
                    <w:jc w:val="right"/>
                    <w:rPr>
                      <w:sz w:val="16"/>
                      <w:szCs w:val="16"/>
                    </w:rPr>
                  </w:pPr>
                  <w:r w:rsidRPr="007C56C4">
                    <w:rPr>
                      <w:sz w:val="16"/>
                      <w:szCs w:val="16"/>
                    </w:rPr>
                    <w:t>1.285</w:t>
                  </w:r>
                </w:p>
              </w:tc>
              <w:tc>
                <w:tcPr>
                  <w:tcW w:w="720" w:type="dxa"/>
                  <w:tcMar>
                    <w:left w:w="14" w:type="dxa"/>
                    <w:right w:w="14" w:type="dxa"/>
                  </w:tcMar>
                </w:tcPr>
                <w:p w:rsidR="00230FAA" w:rsidRPr="007C56C4" w:rsidRDefault="00230FAA" w:rsidP="00230FAA">
                  <w:pPr>
                    <w:suppressLineNumbers/>
                    <w:suppressAutoHyphens/>
                    <w:rPr>
                      <w:sz w:val="16"/>
                      <w:szCs w:val="16"/>
                    </w:rPr>
                  </w:pPr>
                  <w:r w:rsidRPr="007C56C4">
                    <w:rPr>
                      <w:sz w:val="16"/>
                      <w:szCs w:val="16"/>
                    </w:rPr>
                    <w:t xml:space="preserve"> </w:t>
                  </w:r>
                </w:p>
                <w:p w:rsidR="00230FAA" w:rsidRPr="007C56C4" w:rsidRDefault="00230FAA" w:rsidP="00230FAA">
                  <w:pPr>
                    <w:suppressLineNumbers/>
                    <w:suppressAutoHyphens/>
                    <w:rPr>
                      <w:sz w:val="16"/>
                      <w:szCs w:val="16"/>
                    </w:rPr>
                  </w:pPr>
                  <w:r w:rsidRPr="007C56C4">
                    <w:rPr>
                      <w:sz w:val="16"/>
                      <w:szCs w:val="16"/>
                    </w:rPr>
                    <w:t>(-6,1%)</w:t>
                  </w:r>
                </w:p>
              </w:tc>
            </w:tr>
          </w:tbl>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ind w:left="199" w:hanging="199"/>
              <w:rPr>
                <w:sz w:val="16"/>
                <w:szCs w:val="16"/>
              </w:rPr>
            </w:pP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sz w:val="16"/>
                <w:szCs w:val="16"/>
              </w:rPr>
            </w:pPr>
          </w:p>
        </w:tc>
        <w:tc>
          <w:tcPr>
            <w:tcW w:w="451" w:type="pct"/>
            <w:gridSpan w:val="3"/>
            <w:shd w:val="clear" w:color="auto" w:fill="auto"/>
            <w:tcMar>
              <w:top w:w="110" w:type="dxa"/>
              <w:left w:w="58" w:type="dxa"/>
              <w:right w:w="58" w:type="dxa"/>
            </w:tcMar>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33"/>
            </w:tblGrid>
            <w:tr w:rsidR="00230FAA" w:rsidRPr="007C56C4" w:rsidTr="00230FAA">
              <w:trPr>
                <w:trHeight w:val="247"/>
                <w:jc w:val="center"/>
              </w:trPr>
              <w:tc>
                <w:tcPr>
                  <w:tcW w:w="1033" w:type="dxa"/>
                  <w:tcMar>
                    <w:left w:w="14" w:type="dxa"/>
                    <w:right w:w="14" w:type="dxa"/>
                  </w:tcMar>
                </w:tcPr>
                <w:p w:rsidR="00230FAA" w:rsidRPr="007C56C4" w:rsidRDefault="00230FAA" w:rsidP="00230FAA">
                  <w:pPr>
                    <w:suppressLineNumbers/>
                    <w:suppressAutoHyphens/>
                    <w:jc w:val="center"/>
                    <w:rPr>
                      <w:sz w:val="16"/>
                      <w:szCs w:val="16"/>
                    </w:rPr>
                  </w:pPr>
                  <w:r w:rsidRPr="0050549B">
                    <w:rPr>
                      <w:b/>
                      <w:color w:val="00B050"/>
                      <w:sz w:val="16"/>
                      <w:szCs w:val="16"/>
                    </w:rPr>
                    <w:t>Avanza</w:t>
                  </w:r>
                </w:p>
              </w:tc>
            </w:tr>
            <w:tr w:rsidR="00230FAA" w:rsidRPr="007C56C4" w:rsidTr="00230FAA">
              <w:trPr>
                <w:trHeight w:val="247"/>
                <w:jc w:val="center"/>
              </w:trPr>
              <w:tc>
                <w:tcPr>
                  <w:tcW w:w="1033" w:type="dxa"/>
                  <w:tcMar>
                    <w:left w:w="14" w:type="dxa"/>
                    <w:right w:w="14" w:type="dxa"/>
                  </w:tcMar>
                </w:tcPr>
                <w:p w:rsidR="00230FAA" w:rsidRPr="007C56C4" w:rsidRDefault="00230FAA" w:rsidP="00230FAA">
                  <w:pPr>
                    <w:suppressLineNumbers/>
                    <w:suppressAutoHyphens/>
                    <w:jc w:val="center"/>
                    <w:rPr>
                      <w:sz w:val="16"/>
                      <w:szCs w:val="16"/>
                    </w:rPr>
                  </w:pPr>
                  <w:r w:rsidRPr="0050549B">
                    <w:rPr>
                      <w:b/>
                      <w:color w:val="00B050"/>
                      <w:sz w:val="16"/>
                      <w:szCs w:val="16"/>
                    </w:rPr>
                    <w:t>Avanza</w:t>
                  </w:r>
                </w:p>
              </w:tc>
            </w:tr>
            <w:tr w:rsidR="00230FAA" w:rsidRPr="007C56C4" w:rsidTr="00230FAA">
              <w:trPr>
                <w:trHeight w:val="247"/>
                <w:jc w:val="center"/>
              </w:trPr>
              <w:tc>
                <w:tcPr>
                  <w:tcW w:w="1033" w:type="dxa"/>
                  <w:tcMar>
                    <w:left w:w="14" w:type="dxa"/>
                    <w:right w:w="14" w:type="dxa"/>
                  </w:tcMar>
                </w:tcPr>
                <w:p w:rsidR="00230FAA" w:rsidRPr="007C56C4" w:rsidRDefault="00230FAA" w:rsidP="00230FAA">
                  <w:pPr>
                    <w:suppressLineNumbers/>
                    <w:suppressAutoHyphens/>
                    <w:jc w:val="center"/>
                    <w:rPr>
                      <w:sz w:val="16"/>
                      <w:szCs w:val="16"/>
                    </w:rPr>
                  </w:pPr>
                  <w:r w:rsidRPr="0050549B">
                    <w:rPr>
                      <w:b/>
                      <w:color w:val="00B050"/>
                      <w:sz w:val="16"/>
                      <w:szCs w:val="16"/>
                    </w:rPr>
                    <w:t>Avanza</w:t>
                  </w:r>
                </w:p>
              </w:tc>
            </w:tr>
            <w:tr w:rsidR="00230FAA" w:rsidRPr="007C56C4" w:rsidTr="00230FAA">
              <w:trPr>
                <w:trHeight w:val="247"/>
                <w:jc w:val="center"/>
              </w:trPr>
              <w:tc>
                <w:tcPr>
                  <w:tcW w:w="1033" w:type="dxa"/>
                  <w:tcMar>
                    <w:left w:w="14" w:type="dxa"/>
                    <w:right w:w="14" w:type="dxa"/>
                  </w:tcMar>
                </w:tcPr>
                <w:p w:rsidR="00230FAA" w:rsidRPr="007C56C4" w:rsidRDefault="00230FAA" w:rsidP="003A134D">
                  <w:pPr>
                    <w:suppressLineNumbers/>
                    <w:suppressAutoHyphens/>
                    <w:ind w:left="1"/>
                    <w:jc w:val="center"/>
                    <w:rPr>
                      <w:b/>
                      <w:sz w:val="16"/>
                      <w:szCs w:val="16"/>
                    </w:rPr>
                  </w:pPr>
                  <w:r w:rsidRPr="0050549B">
                    <w:rPr>
                      <w:b/>
                      <w:color w:val="FF0000"/>
                      <w:sz w:val="16"/>
                      <w:szCs w:val="16"/>
                    </w:rPr>
                    <w:t>No avanza</w:t>
                  </w:r>
                </w:p>
              </w:tc>
            </w:tr>
            <w:tr w:rsidR="00230FAA" w:rsidRPr="007C56C4" w:rsidTr="00230FAA">
              <w:trPr>
                <w:trHeight w:val="264"/>
                <w:jc w:val="center"/>
              </w:trPr>
              <w:tc>
                <w:tcPr>
                  <w:tcW w:w="1033" w:type="dxa"/>
                  <w:tcMar>
                    <w:left w:w="14" w:type="dxa"/>
                    <w:right w:w="14" w:type="dxa"/>
                  </w:tcMar>
                </w:tcPr>
                <w:p w:rsidR="00230FAA" w:rsidRDefault="00230FAA" w:rsidP="00230FAA">
                  <w:pPr>
                    <w:suppressLineNumbers/>
                    <w:suppressAutoHyphens/>
                    <w:ind w:left="142"/>
                    <w:jc w:val="center"/>
                    <w:rPr>
                      <w:b/>
                      <w:color w:val="FF0000"/>
                      <w:sz w:val="16"/>
                      <w:szCs w:val="16"/>
                    </w:rPr>
                  </w:pPr>
                </w:p>
                <w:p w:rsidR="00230FAA" w:rsidRPr="007C56C4" w:rsidRDefault="00230FAA" w:rsidP="003A134D">
                  <w:pPr>
                    <w:suppressLineNumbers/>
                    <w:suppressAutoHyphens/>
                    <w:ind w:left="1"/>
                    <w:jc w:val="center"/>
                    <w:rPr>
                      <w:b/>
                      <w:sz w:val="16"/>
                      <w:szCs w:val="16"/>
                    </w:rPr>
                  </w:pPr>
                  <w:r w:rsidRPr="0050549B">
                    <w:rPr>
                      <w:b/>
                      <w:color w:val="FF0000"/>
                      <w:sz w:val="16"/>
                      <w:szCs w:val="16"/>
                    </w:rPr>
                    <w:t>No avanza</w:t>
                  </w:r>
                </w:p>
              </w:tc>
            </w:tr>
          </w:tbl>
          <w:p w:rsidR="00230FAA" w:rsidRPr="007C56C4" w:rsidRDefault="00230FAA" w:rsidP="00230FAA">
            <w:pPr>
              <w:suppressLineNumbers/>
              <w:suppressAutoHyphens/>
              <w:jc w:val="center"/>
              <w:rPr>
                <w:b/>
                <w:sz w:val="16"/>
                <w:szCs w:val="16"/>
              </w:rPr>
            </w:pPr>
          </w:p>
          <w:p w:rsidR="00230FAA" w:rsidRPr="007C56C4" w:rsidRDefault="00230FAA" w:rsidP="00230FAA">
            <w:pPr>
              <w:suppressLineNumbers/>
              <w:suppressAutoHyphens/>
              <w:jc w:val="center"/>
              <w:rPr>
                <w:b/>
                <w:sz w:val="16"/>
                <w:szCs w:val="16"/>
              </w:rPr>
            </w:pPr>
          </w:p>
          <w:p w:rsidR="00230FAA" w:rsidRPr="007C56C4" w:rsidRDefault="00230FAA" w:rsidP="00230FAA">
            <w:pPr>
              <w:suppressLineNumbers/>
              <w:suppressAutoHyphens/>
              <w:jc w:val="center"/>
              <w:rPr>
                <w:b/>
                <w:sz w:val="16"/>
                <w:szCs w:val="16"/>
              </w:rPr>
            </w:pPr>
          </w:p>
          <w:p w:rsidR="00230FAA" w:rsidRPr="007C56C4" w:rsidRDefault="00230FAA" w:rsidP="00230FAA">
            <w:pPr>
              <w:suppressLineNumbers/>
              <w:suppressAutoHyphens/>
              <w:jc w:val="center"/>
              <w:rPr>
                <w:b/>
                <w:sz w:val="16"/>
                <w:szCs w:val="16"/>
              </w:rPr>
            </w:pPr>
          </w:p>
          <w:p w:rsidR="00230FAA" w:rsidRPr="007C56C4" w:rsidRDefault="00230FAA" w:rsidP="00230FAA">
            <w:pPr>
              <w:suppressLineNumbers/>
              <w:suppressAutoHyphens/>
              <w:jc w:val="center"/>
              <w:rPr>
                <w:sz w:val="16"/>
                <w:szCs w:val="16"/>
              </w:rPr>
            </w:pPr>
          </w:p>
        </w:tc>
      </w:tr>
      <w:tr w:rsidR="00230FAA" w:rsidRPr="007C56C4" w:rsidTr="00230FAA">
        <w:trPr>
          <w:cantSplit/>
          <w:trHeight w:val="1787"/>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Porcentaje de encargados de la adopción de políticas, funcionarios gubernamentales, profesionales de la P.I. y participantes en talleres con un mayor conocimiento del PCT y los temas conexos</w:t>
            </w:r>
          </w:p>
        </w:tc>
        <w:tc>
          <w:tcPr>
            <w:tcW w:w="1318" w:type="pct"/>
            <w:gridSpan w:val="2"/>
            <w:shd w:val="clear" w:color="auto" w:fill="auto"/>
            <w:tcMar>
              <w:left w:w="58" w:type="dxa"/>
              <w:right w:w="58" w:type="dxa"/>
            </w:tcMar>
          </w:tcPr>
          <w:p w:rsidR="00230FAA" w:rsidRPr="00BA5C98" w:rsidRDefault="00230FAA" w:rsidP="00230FAA">
            <w:pPr>
              <w:suppressLineNumbers/>
              <w:suppressAutoHyphens/>
              <w:rPr>
                <w:i/>
                <w:color w:val="002060"/>
                <w:sz w:val="16"/>
                <w:szCs w:val="16"/>
              </w:rPr>
            </w:pPr>
            <w:r w:rsidRPr="00BA5C98">
              <w:rPr>
                <w:i/>
                <w:color w:val="002060"/>
                <w:sz w:val="16"/>
                <w:szCs w:val="16"/>
              </w:rPr>
              <w:t xml:space="preserve">Referencia actualizada a fines de 2015:  </w:t>
            </w:r>
          </w:p>
          <w:p w:rsidR="00230FAA" w:rsidRPr="00BA5C98" w:rsidRDefault="00230FAA" w:rsidP="00230FAA">
            <w:pPr>
              <w:suppressLineNumbers/>
              <w:suppressAutoHyphens/>
              <w:rPr>
                <w:color w:val="002060"/>
                <w:sz w:val="16"/>
                <w:szCs w:val="16"/>
              </w:rPr>
            </w:pPr>
            <w:r w:rsidRPr="00BA5C98">
              <w:rPr>
                <w:color w:val="002060"/>
                <w:sz w:val="16"/>
                <w:szCs w:val="16"/>
              </w:rPr>
              <w:t>75% (OOB)</w:t>
            </w:r>
          </w:p>
          <w:p w:rsidR="00230FAA" w:rsidRPr="00BA5C98" w:rsidRDefault="00230FAA" w:rsidP="00230FAA">
            <w:pPr>
              <w:suppressLineNumbers/>
              <w:suppressAutoHyphens/>
              <w:rPr>
                <w:color w:val="002060"/>
                <w:sz w:val="16"/>
                <w:szCs w:val="16"/>
              </w:rPr>
            </w:pPr>
            <w:r w:rsidRPr="00BA5C98">
              <w:rPr>
                <w:color w:val="002060"/>
                <w:sz w:val="16"/>
                <w:szCs w:val="16"/>
              </w:rPr>
              <w:t>91 (OOJ)</w:t>
            </w:r>
          </w:p>
          <w:p w:rsidR="00230FAA" w:rsidRPr="00BA5C98" w:rsidRDefault="00230FAA" w:rsidP="00230FAA">
            <w:pPr>
              <w:suppressLineNumbers/>
              <w:suppressAutoHyphens/>
              <w:rPr>
                <w:color w:val="002060"/>
                <w:sz w:val="16"/>
                <w:szCs w:val="16"/>
              </w:rPr>
            </w:pPr>
            <w:r w:rsidRPr="00BA5C98">
              <w:rPr>
                <w:color w:val="002060"/>
                <w:sz w:val="16"/>
                <w:szCs w:val="16"/>
              </w:rPr>
              <w:t>95 (OOS).</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 xml:space="preserve">93% (OOS) </w:t>
            </w:r>
          </w:p>
          <w:p w:rsidR="00230FAA" w:rsidRPr="007C56C4" w:rsidRDefault="00230FAA" w:rsidP="00230FAA">
            <w:pPr>
              <w:suppressLineNumbers/>
              <w:suppressAutoHyphens/>
              <w:rPr>
                <w:sz w:val="16"/>
                <w:szCs w:val="16"/>
              </w:rPr>
            </w:pPr>
            <w:r w:rsidRPr="007C56C4">
              <w:rPr>
                <w:sz w:val="16"/>
                <w:szCs w:val="16"/>
              </w:rPr>
              <w:t>75% (OOB)</w:t>
            </w:r>
          </w:p>
          <w:p w:rsidR="00230FAA" w:rsidRPr="007C56C4" w:rsidRDefault="00230FAA" w:rsidP="00230FAA">
            <w:pPr>
              <w:suppressLineNumbers/>
              <w:suppressAutoHyphens/>
              <w:rPr>
                <w:sz w:val="16"/>
                <w:szCs w:val="16"/>
              </w:rPr>
            </w:pPr>
            <w:r w:rsidRPr="007C56C4">
              <w:rPr>
                <w:sz w:val="16"/>
                <w:szCs w:val="16"/>
              </w:rPr>
              <w:t>94% (OOJ)</w:t>
            </w:r>
          </w:p>
        </w:tc>
        <w:tc>
          <w:tcPr>
            <w:tcW w:w="862" w:type="pct"/>
            <w:gridSpan w:val="4"/>
            <w:shd w:val="clear" w:color="auto" w:fill="auto"/>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75% (todas las Oficinas)</w:t>
            </w:r>
          </w:p>
        </w:tc>
        <w:tc>
          <w:tcPr>
            <w:tcW w:w="1323" w:type="pct"/>
            <w:gridSpan w:val="4"/>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 xml:space="preserve">No se dispone de datos (OOB)    </w:t>
            </w:r>
          </w:p>
          <w:p w:rsidR="00230FAA" w:rsidRDefault="00230FAA" w:rsidP="00230FAA">
            <w:pPr>
              <w:suppressLineNumbers/>
              <w:suppressAutoHyphens/>
              <w:rPr>
                <w:sz w:val="6"/>
                <w:szCs w:val="6"/>
              </w:rPr>
            </w:pPr>
          </w:p>
          <w:p w:rsidR="00230FAA" w:rsidRDefault="00230FAA" w:rsidP="00230FAA">
            <w:pPr>
              <w:suppressLineNumbers/>
              <w:suppressAutoHyphens/>
              <w:rPr>
                <w:sz w:val="6"/>
                <w:szCs w:val="6"/>
              </w:rPr>
            </w:pPr>
          </w:p>
          <w:p w:rsidR="00230FAA" w:rsidRDefault="00230FAA" w:rsidP="00230FAA">
            <w:pPr>
              <w:suppressLineNumbers/>
              <w:suppressAutoHyphens/>
              <w:rPr>
                <w:sz w:val="6"/>
                <w:szCs w:val="6"/>
              </w:rPr>
            </w:pP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sz w:val="16"/>
                <w:szCs w:val="16"/>
              </w:rPr>
            </w:pPr>
            <w:r w:rsidRPr="007C56C4">
              <w:rPr>
                <w:sz w:val="16"/>
                <w:szCs w:val="16"/>
              </w:rPr>
              <w:t>81 (OOJ)</w:t>
            </w: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sz w:val="16"/>
                <w:szCs w:val="16"/>
              </w:rPr>
            </w:pPr>
            <w:r w:rsidRPr="007C56C4">
              <w:rPr>
                <w:sz w:val="16"/>
                <w:szCs w:val="16"/>
              </w:rPr>
              <w:t>94 (OOS).</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sz w:val="16"/>
                <w:szCs w:val="16"/>
              </w:rPr>
            </w:pPr>
          </w:p>
        </w:tc>
        <w:tc>
          <w:tcPr>
            <w:tcW w:w="451" w:type="pct"/>
            <w:gridSpan w:val="3"/>
            <w:shd w:val="clear" w:color="auto" w:fill="auto"/>
            <w:tcMar>
              <w:top w:w="110" w:type="dxa"/>
              <w:left w:w="58" w:type="dxa"/>
              <w:right w:w="58" w:type="dxa"/>
            </w:tcMar>
          </w:tcPr>
          <w:p w:rsidR="00230FAA" w:rsidRPr="007C56C4" w:rsidRDefault="00230FAA" w:rsidP="00230FAA">
            <w:pPr>
              <w:suppressLineNumbers/>
              <w:suppressAutoHyphens/>
              <w:jc w:val="center"/>
              <w:rPr>
                <w:b/>
                <w:sz w:val="13"/>
                <w:szCs w:val="13"/>
              </w:rPr>
            </w:pPr>
            <w:r w:rsidRPr="0050549B">
              <w:rPr>
                <w:b/>
                <w:color w:val="808080"/>
                <w:sz w:val="13"/>
                <w:szCs w:val="13"/>
              </w:rPr>
              <w:t>No mensurable</w:t>
            </w:r>
          </w:p>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sz w:val="16"/>
                <w:szCs w:val="16"/>
              </w:rPr>
            </w:pPr>
          </w:p>
          <w:p w:rsidR="00230FAA" w:rsidRPr="007C56C4" w:rsidRDefault="00230FAA" w:rsidP="00230FAA">
            <w:pPr>
              <w:suppressLineNumbers/>
              <w:suppressAutoHyphens/>
              <w:jc w:val="center"/>
              <w:rPr>
                <w:sz w:val="16"/>
                <w:szCs w:val="16"/>
              </w:rPr>
            </w:pPr>
          </w:p>
        </w:tc>
      </w:tr>
      <w:tr w:rsidR="00230FAA" w:rsidRPr="007C56C4" w:rsidTr="00230FAA">
        <w:trPr>
          <w:cantSplit/>
          <w:trHeight w:val="565"/>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suppressLineNumbers/>
              <w:tabs>
                <w:tab w:val="left" w:pos="1452"/>
              </w:tabs>
              <w:suppressAutoHyphens/>
              <w:ind w:left="1701" w:hanging="1701"/>
              <w:rPr>
                <w:b/>
                <w:bCs/>
                <w:sz w:val="16"/>
                <w:szCs w:val="16"/>
              </w:rPr>
            </w:pPr>
            <w:r w:rsidRPr="007C56C4">
              <w:rPr>
                <w:b/>
                <w:bCs/>
                <w:sz w:val="16"/>
                <w:szCs w:val="16"/>
              </w:rPr>
              <w:t>Resultado previsto:</w:t>
            </w:r>
            <w:r w:rsidRPr="007C56C4">
              <w:rPr>
                <w:b/>
                <w:bCs/>
                <w:sz w:val="16"/>
                <w:szCs w:val="16"/>
              </w:rPr>
              <w:tab/>
            </w:r>
            <w:r w:rsidRPr="007C56C4">
              <w:rPr>
                <w:bCs/>
                <w:sz w:val="16"/>
                <w:szCs w:val="16"/>
              </w:rPr>
              <w:t>II.4  Mayor y más eficaz utilización del Sistema de La Haya, entre otros por los países en desarrollo y los PMA</w:t>
            </w:r>
          </w:p>
        </w:tc>
      </w:tr>
      <w:tr w:rsidR="00230FAA" w:rsidRPr="007C56C4" w:rsidTr="00230FAA">
        <w:trPr>
          <w:cantSplit/>
        </w:trPr>
        <w:tc>
          <w:tcPr>
            <w:tcW w:w="1046"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Indicadores de rendimiento</w:t>
            </w:r>
          </w:p>
        </w:tc>
        <w:tc>
          <w:tcPr>
            <w:tcW w:w="1318"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Referencia</w:t>
            </w:r>
            <w:r w:rsidR="003A134D">
              <w:rPr>
                <w:b/>
                <w:bCs/>
                <w:sz w:val="16"/>
                <w:szCs w:val="16"/>
              </w:rPr>
              <w:t>s de base</w:t>
            </w:r>
          </w:p>
        </w:tc>
        <w:tc>
          <w:tcPr>
            <w:tcW w:w="862" w:type="pct"/>
            <w:gridSpan w:val="4"/>
            <w:shd w:val="clear" w:color="auto" w:fill="auto"/>
            <w:tcMar>
              <w:top w:w="110" w:type="dxa"/>
              <w:left w:w="58" w:type="dxa"/>
              <w:right w:w="58" w:type="dxa"/>
            </w:tcMar>
            <w:vAlign w:val="center"/>
          </w:tcPr>
          <w:p w:rsidR="00230FAA" w:rsidRPr="007C56C4" w:rsidRDefault="00230FAA" w:rsidP="00230FAA">
            <w:pPr>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Datos sobre el rendimiento</w:t>
            </w:r>
          </w:p>
        </w:tc>
        <w:tc>
          <w:tcPr>
            <w:tcW w:w="451" w:type="pct"/>
            <w:gridSpan w:val="3"/>
            <w:shd w:val="clear" w:color="auto" w:fill="auto"/>
            <w:tcMar>
              <w:top w:w="110" w:type="dxa"/>
              <w:left w:w="58" w:type="dxa"/>
              <w:right w:w="58" w:type="dxa"/>
            </w:tcMar>
            <w:vAlign w:val="center"/>
          </w:tcPr>
          <w:p w:rsidR="00230FAA" w:rsidRPr="007C56C4" w:rsidRDefault="00230FAA" w:rsidP="00230FAA">
            <w:pPr>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542"/>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Nº de miembros del Acta de Ginebra (1999)</w:t>
            </w:r>
          </w:p>
        </w:tc>
        <w:tc>
          <w:tcPr>
            <w:tcW w:w="1318"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2 (OOS) 0 (OOR)</w:t>
            </w:r>
          </w:p>
        </w:tc>
        <w:tc>
          <w:tcPr>
            <w:tcW w:w="862" w:type="pct"/>
            <w:gridSpan w:val="4"/>
            <w:shd w:val="clear" w:color="auto" w:fill="auto"/>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3 más (OOS)</w:t>
            </w:r>
          </w:p>
          <w:p w:rsidR="00230FAA" w:rsidRPr="007C56C4" w:rsidRDefault="00230FAA" w:rsidP="00230FAA">
            <w:pPr>
              <w:suppressLineNumbers/>
              <w:suppressAutoHyphens/>
              <w:rPr>
                <w:sz w:val="16"/>
                <w:szCs w:val="16"/>
              </w:rPr>
            </w:pPr>
            <w:r w:rsidRPr="007C56C4">
              <w:rPr>
                <w:sz w:val="16"/>
                <w:szCs w:val="16"/>
              </w:rPr>
              <w:t>1 (OOR)</w:t>
            </w:r>
          </w:p>
        </w:tc>
        <w:tc>
          <w:tcPr>
            <w:tcW w:w="1323" w:type="pct"/>
            <w:gridSpan w:val="4"/>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0 (OOS)</w:t>
            </w: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sz w:val="16"/>
                <w:szCs w:val="16"/>
              </w:rPr>
            </w:pPr>
            <w:r w:rsidRPr="007C56C4">
              <w:rPr>
                <w:sz w:val="16"/>
                <w:szCs w:val="16"/>
              </w:rPr>
              <w:t>0 (OOR)</w:t>
            </w:r>
          </w:p>
        </w:tc>
        <w:tc>
          <w:tcPr>
            <w:tcW w:w="451" w:type="pct"/>
            <w:gridSpan w:val="3"/>
            <w:shd w:val="clear" w:color="auto" w:fill="auto"/>
            <w:tcMar>
              <w:top w:w="110" w:type="dxa"/>
              <w:left w:w="58" w:type="dxa"/>
              <w:right w:w="58" w:type="dxa"/>
            </w:tcMar>
          </w:tcPr>
          <w:p w:rsidR="00230FAA" w:rsidRPr="007C56C4" w:rsidRDefault="00230FAA" w:rsidP="00230FAA">
            <w:pPr>
              <w:suppressLineNumbers/>
              <w:suppressAutoHyphens/>
              <w:jc w:val="center"/>
              <w:rPr>
                <w:b/>
                <w:sz w:val="16"/>
                <w:szCs w:val="16"/>
              </w:rPr>
            </w:pPr>
            <w:r w:rsidRPr="0050549B">
              <w:rPr>
                <w:b/>
                <w:color w:val="FF0000"/>
                <w:sz w:val="16"/>
                <w:szCs w:val="16"/>
              </w:rPr>
              <w:t>No avanza</w:t>
            </w:r>
          </w:p>
        </w:tc>
      </w:tr>
      <w:tr w:rsidR="00230FAA" w:rsidRPr="007C56C4" w:rsidTr="00230FAA">
        <w:trPr>
          <w:cantSplit/>
          <w:trHeight w:val="1195"/>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lastRenderedPageBreak/>
              <w:t>Nº de solicitudes del Sistema de La Haya</w:t>
            </w:r>
          </w:p>
        </w:tc>
        <w:tc>
          <w:tcPr>
            <w:tcW w:w="1318" w:type="pct"/>
            <w:gridSpan w:val="2"/>
            <w:shd w:val="clear" w:color="auto" w:fill="auto"/>
            <w:tcMar>
              <w:left w:w="58" w:type="dxa"/>
              <w:right w:w="58" w:type="dxa"/>
            </w:tcMar>
          </w:tcPr>
          <w:p w:rsidR="00230FAA" w:rsidRPr="00BA5C98" w:rsidRDefault="00230FAA" w:rsidP="00230FAA">
            <w:pPr>
              <w:suppressLineNumbers/>
              <w:suppressAutoHyphens/>
              <w:rPr>
                <w:i/>
                <w:color w:val="002060"/>
                <w:sz w:val="16"/>
                <w:szCs w:val="16"/>
              </w:rPr>
            </w:pPr>
            <w:r w:rsidRPr="00BA5C98">
              <w:rPr>
                <w:i/>
                <w:color w:val="002060"/>
                <w:sz w:val="16"/>
                <w:szCs w:val="16"/>
              </w:rPr>
              <w:t xml:space="preserve">Referencia actualizada a fines de 2015:  </w:t>
            </w:r>
          </w:p>
          <w:p w:rsidR="00230FAA" w:rsidRPr="00BA5C98" w:rsidRDefault="00230FAA" w:rsidP="00230FAA">
            <w:pPr>
              <w:suppressLineNumbers/>
              <w:suppressAutoHyphens/>
              <w:rPr>
                <w:color w:val="002060"/>
                <w:sz w:val="16"/>
                <w:szCs w:val="16"/>
              </w:rPr>
            </w:pPr>
            <w:r w:rsidRPr="00BA5C98">
              <w:rPr>
                <w:color w:val="002060"/>
                <w:sz w:val="16"/>
                <w:szCs w:val="16"/>
              </w:rPr>
              <w:t>34 (OOS) (2015) (-3%)</w:t>
            </w:r>
            <w:r w:rsidRPr="00BA5C98">
              <w:rPr>
                <w:color w:val="002060"/>
                <w:sz w:val="16"/>
                <w:szCs w:val="16"/>
              </w:rPr>
              <w:br/>
              <w:t>128 (OOJ) (2015)</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50 (OOS) (2014)</w:t>
            </w:r>
            <w:r w:rsidRPr="007C56C4">
              <w:rPr>
                <w:sz w:val="16"/>
                <w:szCs w:val="16"/>
              </w:rPr>
              <w:br/>
              <w:t>0 (OOJ) (2014)</w:t>
            </w:r>
          </w:p>
        </w:tc>
        <w:tc>
          <w:tcPr>
            <w:tcW w:w="862" w:type="pct"/>
            <w:gridSpan w:val="4"/>
            <w:shd w:val="clear" w:color="auto" w:fill="auto"/>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Crecimiento anual del 2%.</w:t>
            </w:r>
          </w:p>
        </w:tc>
        <w:tc>
          <w:tcPr>
            <w:tcW w:w="1323" w:type="pct"/>
            <w:gridSpan w:val="4"/>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348 (OOJ) (+172%)</w:t>
            </w: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sz w:val="16"/>
                <w:szCs w:val="16"/>
              </w:rPr>
            </w:pPr>
            <w:r w:rsidRPr="007C56C4">
              <w:rPr>
                <w:sz w:val="16"/>
                <w:szCs w:val="16"/>
              </w:rPr>
              <w:t>50 (OOS) (+4,7%)</w:t>
            </w:r>
          </w:p>
        </w:tc>
        <w:tc>
          <w:tcPr>
            <w:tcW w:w="451" w:type="pct"/>
            <w:gridSpan w:val="3"/>
            <w:shd w:val="clear" w:color="auto" w:fill="auto"/>
            <w:tcMar>
              <w:top w:w="110" w:type="dxa"/>
              <w:left w:w="58" w:type="dxa"/>
              <w:right w:w="58" w:type="dxa"/>
            </w:tcMar>
          </w:tcPr>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b/>
                <w:sz w:val="6"/>
                <w:szCs w:val="6"/>
              </w:rPr>
            </w:pPr>
          </w:p>
          <w:p w:rsidR="00230FAA" w:rsidRPr="007C56C4" w:rsidRDefault="00230FAA" w:rsidP="00230FAA">
            <w:pPr>
              <w:suppressLineNumbers/>
              <w:suppressAutoHyphens/>
              <w:jc w:val="center"/>
              <w:rPr>
                <w:sz w:val="16"/>
                <w:szCs w:val="16"/>
              </w:rPr>
            </w:pPr>
          </w:p>
        </w:tc>
      </w:tr>
      <w:tr w:rsidR="00230FAA" w:rsidRPr="007C56C4" w:rsidTr="00230FAA">
        <w:trPr>
          <w:cantSplit/>
          <w:trHeight w:val="1690"/>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Porcentaje de encargados de la adopción de políticas, funcionarios gubernamentales, profesionales de la P.I. y participantes en talleres con un mayor conocimiento del Sistema de La Haya</w:t>
            </w:r>
          </w:p>
        </w:tc>
        <w:tc>
          <w:tcPr>
            <w:tcW w:w="1321" w:type="pct"/>
            <w:gridSpan w:val="3"/>
            <w:shd w:val="clear" w:color="auto" w:fill="auto"/>
            <w:tcMar>
              <w:left w:w="58" w:type="dxa"/>
              <w:right w:w="58" w:type="dxa"/>
            </w:tcMar>
          </w:tcPr>
          <w:p w:rsidR="00230FAA" w:rsidRPr="00BA5C98" w:rsidRDefault="00230FAA" w:rsidP="00230FAA">
            <w:pPr>
              <w:suppressLineNumbers/>
              <w:suppressAutoHyphens/>
              <w:rPr>
                <w:i/>
                <w:color w:val="002060"/>
                <w:sz w:val="16"/>
                <w:szCs w:val="16"/>
              </w:rPr>
            </w:pPr>
            <w:r w:rsidRPr="00BA5C98">
              <w:rPr>
                <w:i/>
                <w:color w:val="002060"/>
                <w:sz w:val="16"/>
                <w:szCs w:val="16"/>
              </w:rPr>
              <w:t xml:space="preserve">Referencia actualizada a fines de 2015:  </w:t>
            </w:r>
          </w:p>
          <w:p w:rsidR="00230FAA" w:rsidRPr="00BA5C98" w:rsidRDefault="00230FAA" w:rsidP="00230FAA">
            <w:pPr>
              <w:suppressLineNumbers/>
              <w:suppressAutoHyphens/>
              <w:rPr>
                <w:color w:val="002060"/>
                <w:sz w:val="16"/>
                <w:szCs w:val="16"/>
              </w:rPr>
            </w:pPr>
            <w:r w:rsidRPr="00BA5C98">
              <w:rPr>
                <w:color w:val="002060"/>
                <w:sz w:val="16"/>
                <w:szCs w:val="16"/>
              </w:rPr>
              <w:t>75% (OOB)</w:t>
            </w:r>
          </w:p>
          <w:p w:rsidR="00230FAA" w:rsidRPr="00BA5C98" w:rsidRDefault="00230FAA" w:rsidP="00230FAA">
            <w:pPr>
              <w:suppressLineNumbers/>
              <w:suppressAutoHyphens/>
              <w:rPr>
                <w:color w:val="002060"/>
                <w:sz w:val="16"/>
                <w:szCs w:val="16"/>
              </w:rPr>
            </w:pPr>
            <w:r w:rsidRPr="00BA5C98">
              <w:rPr>
                <w:color w:val="002060"/>
                <w:sz w:val="16"/>
                <w:szCs w:val="16"/>
              </w:rPr>
              <w:t>94% (OOJ)</w:t>
            </w:r>
          </w:p>
          <w:p w:rsidR="00230FAA" w:rsidRPr="00BA5C98" w:rsidRDefault="00230FAA" w:rsidP="00230FAA">
            <w:pPr>
              <w:suppressLineNumbers/>
              <w:suppressAutoHyphens/>
              <w:rPr>
                <w:color w:val="002060"/>
                <w:sz w:val="16"/>
                <w:szCs w:val="16"/>
              </w:rPr>
            </w:pPr>
            <w:r w:rsidRPr="00BA5C98">
              <w:rPr>
                <w:color w:val="002060"/>
                <w:sz w:val="16"/>
                <w:szCs w:val="16"/>
              </w:rPr>
              <w:t>88 (OOS).</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85% (OOS)</w:t>
            </w:r>
          </w:p>
          <w:p w:rsidR="00230FAA" w:rsidRPr="007C56C4" w:rsidRDefault="00230FAA" w:rsidP="00230FAA">
            <w:pPr>
              <w:suppressLineNumbers/>
              <w:suppressAutoHyphens/>
              <w:rPr>
                <w:sz w:val="16"/>
                <w:szCs w:val="16"/>
              </w:rPr>
            </w:pPr>
            <w:r w:rsidRPr="007C56C4">
              <w:rPr>
                <w:sz w:val="16"/>
                <w:szCs w:val="16"/>
              </w:rPr>
              <w:t>75% (OOB)</w:t>
            </w:r>
          </w:p>
          <w:p w:rsidR="00230FAA" w:rsidRPr="007C56C4" w:rsidRDefault="00230FAA" w:rsidP="00230FAA">
            <w:pPr>
              <w:suppressLineNumbers/>
              <w:suppressAutoHyphens/>
              <w:spacing w:after="60"/>
              <w:rPr>
                <w:sz w:val="16"/>
                <w:szCs w:val="16"/>
              </w:rPr>
            </w:pPr>
            <w:r w:rsidRPr="007C56C4">
              <w:rPr>
                <w:sz w:val="16"/>
                <w:szCs w:val="16"/>
              </w:rPr>
              <w:t>94% (OOJ)</w:t>
            </w:r>
          </w:p>
        </w:tc>
        <w:tc>
          <w:tcPr>
            <w:tcW w:w="862" w:type="pct"/>
            <w:gridSpan w:val="4"/>
            <w:shd w:val="clear" w:color="auto" w:fill="auto"/>
            <w:tcMar>
              <w:top w:w="110" w:type="dxa"/>
              <w:left w:w="58" w:type="dxa"/>
              <w:right w:w="58" w:type="dxa"/>
            </w:tcMar>
          </w:tcPr>
          <w:p w:rsidR="00230FAA" w:rsidRPr="00BA5C98" w:rsidRDefault="00230FAA" w:rsidP="00230FAA">
            <w:pPr>
              <w:suppressLineNumbers/>
              <w:suppressAutoHyphens/>
              <w:rPr>
                <w:i/>
                <w:color w:val="002060"/>
                <w:sz w:val="16"/>
                <w:szCs w:val="16"/>
              </w:rPr>
            </w:pPr>
            <w:r w:rsidRPr="00BA5C98">
              <w:rPr>
                <w:i/>
                <w:color w:val="002060"/>
                <w:sz w:val="16"/>
                <w:szCs w:val="16"/>
              </w:rPr>
              <w:t xml:space="preserve">Objetivo actualizado:  </w:t>
            </w:r>
          </w:p>
          <w:p w:rsidR="00230FAA" w:rsidRPr="00BA5C98" w:rsidRDefault="00230FAA" w:rsidP="00230FAA">
            <w:pPr>
              <w:suppressLineNumbers/>
              <w:suppressAutoHyphens/>
              <w:rPr>
                <w:color w:val="002060"/>
                <w:sz w:val="16"/>
                <w:szCs w:val="16"/>
              </w:rPr>
            </w:pPr>
            <w:r w:rsidRPr="00BA5C98">
              <w:rPr>
                <w:color w:val="002060"/>
                <w:sz w:val="16"/>
                <w:szCs w:val="16"/>
              </w:rPr>
              <w:t>85%</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sz w:val="16"/>
                <w:szCs w:val="16"/>
              </w:rPr>
            </w:pPr>
            <w:r w:rsidRPr="007C56C4">
              <w:rPr>
                <w:i/>
                <w:sz w:val="16"/>
                <w:szCs w:val="16"/>
                <w:lang w:bidi="th-TH"/>
              </w:rPr>
              <w:t xml:space="preserve">Objetivo original en el presupuesto 2016/17:  </w:t>
            </w:r>
          </w:p>
          <w:p w:rsidR="00230FAA" w:rsidRPr="007C56C4" w:rsidRDefault="00230FAA" w:rsidP="00230FAA">
            <w:pPr>
              <w:suppressLineNumbers/>
              <w:suppressAutoHyphens/>
              <w:rPr>
                <w:sz w:val="16"/>
                <w:szCs w:val="16"/>
              </w:rPr>
            </w:pPr>
            <w:r w:rsidRPr="007C56C4">
              <w:rPr>
                <w:sz w:val="16"/>
                <w:szCs w:val="16"/>
              </w:rPr>
              <w:t>75%</w:t>
            </w:r>
          </w:p>
        </w:tc>
        <w:tc>
          <w:tcPr>
            <w:tcW w:w="1324" w:type="pct"/>
            <w:gridSpan w:val="4"/>
            <w:shd w:val="clear" w:color="auto" w:fill="FFFFFF"/>
            <w:tcMar>
              <w:top w:w="110" w:type="dxa"/>
              <w:left w:w="58" w:type="dxa"/>
              <w:right w:w="58" w:type="dxa"/>
            </w:tcMar>
          </w:tcPr>
          <w:p w:rsidR="00230FAA" w:rsidRPr="007C56C4" w:rsidRDefault="00230FAA" w:rsidP="00230FAA">
            <w:pPr>
              <w:suppressLineNumbers/>
              <w:suppressAutoHyphens/>
              <w:spacing w:after="60"/>
              <w:rPr>
                <w:sz w:val="16"/>
                <w:szCs w:val="16"/>
              </w:rPr>
            </w:pPr>
            <w:r w:rsidRPr="007C56C4">
              <w:rPr>
                <w:sz w:val="16"/>
                <w:szCs w:val="16"/>
              </w:rPr>
              <w:t>No se dispone de datos (OOB)</w:t>
            </w:r>
          </w:p>
          <w:p w:rsidR="00230FAA" w:rsidRDefault="00230FAA" w:rsidP="00230FAA">
            <w:pPr>
              <w:suppressLineNumbers/>
              <w:suppressAutoHyphens/>
              <w:rPr>
                <w:sz w:val="6"/>
                <w:szCs w:val="6"/>
              </w:rPr>
            </w:pPr>
          </w:p>
          <w:p w:rsidR="00230FAA" w:rsidRDefault="003A134D" w:rsidP="00230FAA">
            <w:pPr>
              <w:suppressLineNumbers/>
              <w:suppressAutoHyphens/>
              <w:rPr>
                <w:sz w:val="6"/>
                <w:szCs w:val="6"/>
              </w:rPr>
            </w:pPr>
            <w:r>
              <w:rPr>
                <w:sz w:val="6"/>
                <w:szCs w:val="6"/>
              </w:rPr>
              <w:br/>
            </w:r>
            <w:r>
              <w:rPr>
                <w:sz w:val="6"/>
                <w:szCs w:val="6"/>
              </w:rPr>
              <w:br/>
            </w: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sz w:val="16"/>
                <w:szCs w:val="16"/>
              </w:rPr>
            </w:pPr>
            <w:r w:rsidRPr="007C56C4">
              <w:rPr>
                <w:sz w:val="16"/>
                <w:szCs w:val="16"/>
              </w:rPr>
              <w:t>62 (OOJ)</w:t>
            </w: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sz w:val="16"/>
                <w:szCs w:val="16"/>
              </w:rPr>
            </w:pPr>
            <w:r w:rsidRPr="007C56C4">
              <w:rPr>
                <w:sz w:val="16"/>
                <w:szCs w:val="16"/>
              </w:rPr>
              <w:t>86 (OOS)</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sz w:val="16"/>
                <w:szCs w:val="16"/>
              </w:rPr>
            </w:pPr>
          </w:p>
        </w:tc>
        <w:tc>
          <w:tcPr>
            <w:tcW w:w="447" w:type="pct"/>
            <w:gridSpan w:val="2"/>
            <w:shd w:val="clear" w:color="auto" w:fill="auto"/>
            <w:tcMar>
              <w:top w:w="110" w:type="dxa"/>
              <w:left w:w="58" w:type="dxa"/>
              <w:right w:w="58" w:type="dxa"/>
            </w:tcMar>
          </w:tcPr>
          <w:p w:rsidR="00230FAA" w:rsidRPr="003A134D" w:rsidRDefault="00230FAA" w:rsidP="00230FAA">
            <w:pPr>
              <w:suppressLineNumbers/>
              <w:suppressAutoHyphens/>
              <w:spacing w:after="60"/>
              <w:jc w:val="center"/>
              <w:rPr>
                <w:b/>
                <w:sz w:val="16"/>
                <w:szCs w:val="16"/>
              </w:rPr>
            </w:pPr>
            <w:r w:rsidRPr="003A134D">
              <w:rPr>
                <w:b/>
                <w:color w:val="808080"/>
                <w:sz w:val="16"/>
                <w:szCs w:val="16"/>
              </w:rPr>
              <w:t xml:space="preserve">No </w:t>
            </w:r>
            <w:proofErr w:type="spellStart"/>
            <w:r w:rsidRPr="003A134D">
              <w:rPr>
                <w:b/>
                <w:color w:val="808080"/>
                <w:sz w:val="16"/>
                <w:szCs w:val="16"/>
              </w:rPr>
              <w:t>mensu</w:t>
            </w:r>
            <w:r w:rsidR="003A134D">
              <w:rPr>
                <w:b/>
                <w:color w:val="808080"/>
                <w:sz w:val="16"/>
                <w:szCs w:val="16"/>
              </w:rPr>
              <w:t>-</w:t>
            </w:r>
            <w:r w:rsidRPr="003A134D">
              <w:rPr>
                <w:b/>
                <w:color w:val="808080"/>
                <w:sz w:val="16"/>
                <w:szCs w:val="16"/>
              </w:rPr>
              <w:t>rable</w:t>
            </w:r>
            <w:proofErr w:type="spellEnd"/>
          </w:p>
          <w:p w:rsidR="00230FAA" w:rsidRPr="007C56C4" w:rsidRDefault="00230FAA" w:rsidP="00230FAA">
            <w:pPr>
              <w:suppressLineNumbers/>
              <w:suppressAutoHyphens/>
              <w:jc w:val="center"/>
              <w:rPr>
                <w:b/>
                <w:sz w:val="16"/>
                <w:szCs w:val="16"/>
              </w:rPr>
            </w:pPr>
            <w:r w:rsidRPr="0050549B">
              <w:rPr>
                <w:b/>
                <w:color w:val="FF0000"/>
                <w:sz w:val="16"/>
                <w:szCs w:val="16"/>
              </w:rPr>
              <w:t>No avanza</w:t>
            </w:r>
          </w:p>
          <w:p w:rsidR="00230FAA" w:rsidRPr="007C56C4" w:rsidRDefault="00230FAA" w:rsidP="00230FAA">
            <w:pPr>
              <w:suppressLineNumbers/>
              <w:suppressAutoHyphens/>
              <w:spacing w:before="40"/>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sz w:val="16"/>
                <w:szCs w:val="16"/>
              </w:rPr>
            </w:pPr>
          </w:p>
        </w:tc>
      </w:tr>
      <w:tr w:rsidR="00230FAA" w:rsidRPr="007C56C4" w:rsidTr="00230FAA">
        <w:trPr>
          <w:cantSplit/>
          <w:trHeight w:val="565"/>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suppressLineNumbers/>
              <w:tabs>
                <w:tab w:val="left" w:pos="1452"/>
              </w:tabs>
              <w:suppressAutoHyphens/>
              <w:ind w:left="1701" w:hanging="1701"/>
              <w:rPr>
                <w:b/>
                <w:bCs/>
                <w:sz w:val="16"/>
                <w:szCs w:val="16"/>
              </w:rPr>
            </w:pPr>
            <w:r w:rsidRPr="007C56C4">
              <w:rPr>
                <w:b/>
                <w:bCs/>
                <w:sz w:val="16"/>
                <w:szCs w:val="16"/>
              </w:rPr>
              <w:t>Resultado previsto:</w:t>
            </w:r>
            <w:r w:rsidRPr="007C56C4">
              <w:rPr>
                <w:b/>
                <w:bCs/>
                <w:sz w:val="16"/>
                <w:szCs w:val="16"/>
              </w:rPr>
              <w:tab/>
            </w:r>
            <w:r w:rsidRPr="007C56C4">
              <w:rPr>
                <w:bCs/>
                <w:sz w:val="16"/>
                <w:szCs w:val="16"/>
              </w:rPr>
              <w:t>II.6  Mayor y más eficaz utilización del Sistema de Madrid, entre otros por los países en desarrollo y los PMA</w:t>
            </w:r>
          </w:p>
        </w:tc>
      </w:tr>
      <w:tr w:rsidR="00230FAA" w:rsidRPr="007C56C4" w:rsidTr="00230FAA">
        <w:trPr>
          <w:cantSplit/>
        </w:trPr>
        <w:tc>
          <w:tcPr>
            <w:tcW w:w="1046"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Indicadores de rendimiento</w:t>
            </w:r>
          </w:p>
        </w:tc>
        <w:tc>
          <w:tcPr>
            <w:tcW w:w="1318"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Referencia</w:t>
            </w:r>
            <w:r w:rsidR="003A134D">
              <w:rPr>
                <w:b/>
                <w:bCs/>
                <w:sz w:val="16"/>
                <w:szCs w:val="16"/>
              </w:rPr>
              <w:t>s de base</w:t>
            </w:r>
          </w:p>
        </w:tc>
        <w:tc>
          <w:tcPr>
            <w:tcW w:w="834" w:type="pct"/>
            <w:gridSpan w:val="2"/>
            <w:shd w:val="clear" w:color="auto" w:fill="auto"/>
            <w:tcMar>
              <w:top w:w="110" w:type="dxa"/>
              <w:left w:w="58" w:type="dxa"/>
              <w:right w:w="58" w:type="dxa"/>
            </w:tcMar>
            <w:vAlign w:val="center"/>
          </w:tcPr>
          <w:p w:rsidR="00230FAA" w:rsidRPr="007C56C4" w:rsidRDefault="00230FAA" w:rsidP="00230FAA">
            <w:pPr>
              <w:suppressLineNumbers/>
              <w:tabs>
                <w:tab w:val="left" w:pos="290"/>
              </w:tabs>
              <w:suppressAutoHyphens/>
              <w:rPr>
                <w:b/>
                <w:bCs/>
                <w:sz w:val="16"/>
                <w:szCs w:val="16"/>
              </w:rPr>
            </w:pPr>
            <w:r w:rsidRPr="007C56C4">
              <w:rPr>
                <w:b/>
                <w:bCs/>
                <w:sz w:val="16"/>
                <w:szCs w:val="16"/>
              </w:rPr>
              <w:t>Objetivos</w:t>
            </w:r>
          </w:p>
        </w:tc>
        <w:tc>
          <w:tcPr>
            <w:tcW w:w="1352" w:type="pct"/>
            <w:gridSpan w:val="6"/>
            <w:shd w:val="clear" w:color="auto" w:fill="FFFFFF"/>
            <w:tcMar>
              <w:top w:w="110" w:type="dxa"/>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Datos sobre el rendimiento</w:t>
            </w:r>
          </w:p>
        </w:tc>
        <w:tc>
          <w:tcPr>
            <w:tcW w:w="451" w:type="pct"/>
            <w:gridSpan w:val="3"/>
            <w:shd w:val="clear" w:color="auto" w:fill="auto"/>
            <w:tcMar>
              <w:top w:w="110" w:type="dxa"/>
              <w:left w:w="58" w:type="dxa"/>
              <w:right w:w="58" w:type="dxa"/>
            </w:tcMar>
            <w:vAlign w:val="center"/>
          </w:tcPr>
          <w:p w:rsidR="00230FAA" w:rsidRPr="007C56C4" w:rsidRDefault="00230FAA" w:rsidP="00230FAA">
            <w:pPr>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1548"/>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 xml:space="preserve">Nº total de miembros del Sistema de Madrid </w:t>
            </w:r>
          </w:p>
          <w:p w:rsidR="00230FAA" w:rsidRPr="007C56C4" w:rsidRDefault="00230FAA" w:rsidP="00230FAA">
            <w:pPr>
              <w:suppressLineNumbers/>
              <w:suppressAutoHyphens/>
              <w:rPr>
                <w:sz w:val="16"/>
                <w:szCs w:val="16"/>
              </w:rPr>
            </w:pPr>
          </w:p>
        </w:tc>
        <w:tc>
          <w:tcPr>
            <w:tcW w:w="1318" w:type="pct"/>
            <w:gridSpan w:val="2"/>
            <w:shd w:val="clear" w:color="auto" w:fill="auto"/>
            <w:tcMar>
              <w:left w:w="58" w:type="dxa"/>
              <w:right w:w="58" w:type="dxa"/>
            </w:tcMar>
          </w:tcPr>
          <w:p w:rsidR="00230FAA" w:rsidRPr="00521A61" w:rsidRDefault="00230FAA" w:rsidP="00230FAA">
            <w:pPr>
              <w:suppressLineNumbers/>
              <w:suppressAutoHyphens/>
              <w:rPr>
                <w:i/>
                <w:color w:val="002060"/>
                <w:sz w:val="16"/>
                <w:szCs w:val="16"/>
              </w:rPr>
            </w:pPr>
            <w:r w:rsidRPr="00521A61">
              <w:rPr>
                <w:i/>
                <w:color w:val="002060"/>
                <w:sz w:val="16"/>
                <w:szCs w:val="16"/>
              </w:rPr>
              <w:t xml:space="preserve">Referencia actualizada a fines de 2015:  </w:t>
            </w:r>
          </w:p>
          <w:p w:rsidR="00230FAA" w:rsidRPr="00521A61" w:rsidRDefault="00230FAA" w:rsidP="00230FAA">
            <w:pPr>
              <w:suppressLineNumbers/>
              <w:suppressAutoHyphens/>
              <w:rPr>
                <w:color w:val="002060"/>
                <w:sz w:val="16"/>
                <w:szCs w:val="16"/>
              </w:rPr>
            </w:pPr>
            <w:r w:rsidRPr="00521A61">
              <w:rPr>
                <w:color w:val="002060"/>
                <w:sz w:val="16"/>
                <w:szCs w:val="16"/>
              </w:rPr>
              <w:t>Camboya, República Democrática Popular Lao</w:t>
            </w:r>
            <w:r w:rsidRPr="00521A61">
              <w:rPr>
                <w:rStyle w:val="FootnoteReference"/>
                <w:color w:val="002060"/>
                <w:sz w:val="16"/>
                <w:szCs w:val="16"/>
              </w:rPr>
              <w:footnoteReference w:id="83"/>
            </w:r>
            <w:r w:rsidRPr="00521A61">
              <w:rPr>
                <w:color w:val="002060"/>
                <w:sz w:val="16"/>
                <w:szCs w:val="16"/>
              </w:rPr>
              <w:t>, Filipinas, Singapur, Viet Nam (OOS)</w:t>
            </w:r>
          </w:p>
          <w:p w:rsidR="00230FAA" w:rsidRPr="00521A61" w:rsidRDefault="00230FAA" w:rsidP="00230FAA">
            <w:pPr>
              <w:suppressLineNumbers/>
              <w:suppressAutoHyphens/>
              <w:rPr>
                <w:color w:val="002060"/>
                <w:sz w:val="16"/>
                <w:szCs w:val="16"/>
              </w:rPr>
            </w:pPr>
            <w:r w:rsidRPr="00521A61">
              <w:rPr>
                <w:color w:val="002060"/>
                <w:sz w:val="16"/>
                <w:szCs w:val="16"/>
              </w:rPr>
              <w:t>(5 en total)</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 xml:space="preserve">4 (OOS) </w:t>
            </w:r>
          </w:p>
        </w:tc>
        <w:tc>
          <w:tcPr>
            <w:tcW w:w="834" w:type="pct"/>
            <w:gridSpan w:val="2"/>
            <w:shd w:val="clear" w:color="auto" w:fill="auto"/>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5 más (OOS).</w:t>
            </w:r>
          </w:p>
        </w:tc>
        <w:tc>
          <w:tcPr>
            <w:tcW w:w="1352" w:type="pct"/>
            <w:gridSpan w:val="6"/>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Ninguno más (OOS)</w:t>
            </w:r>
          </w:p>
        </w:tc>
        <w:tc>
          <w:tcPr>
            <w:tcW w:w="451" w:type="pct"/>
            <w:gridSpan w:val="3"/>
            <w:shd w:val="clear" w:color="auto" w:fill="auto"/>
            <w:tcMar>
              <w:top w:w="110" w:type="dxa"/>
              <w:left w:w="58" w:type="dxa"/>
              <w:right w:w="58" w:type="dxa"/>
            </w:tcMar>
          </w:tcPr>
          <w:p w:rsidR="00230FAA" w:rsidRPr="007C56C4" w:rsidRDefault="00230FAA" w:rsidP="00230FAA">
            <w:pPr>
              <w:suppressLineNumbers/>
              <w:suppressAutoHyphens/>
              <w:jc w:val="center"/>
              <w:rPr>
                <w:sz w:val="16"/>
                <w:szCs w:val="16"/>
              </w:rPr>
            </w:pPr>
            <w:r w:rsidRPr="0050549B">
              <w:rPr>
                <w:b/>
                <w:color w:val="FF0000"/>
                <w:sz w:val="16"/>
                <w:szCs w:val="16"/>
              </w:rPr>
              <w:t>No avanza</w:t>
            </w:r>
          </w:p>
        </w:tc>
      </w:tr>
      <w:tr w:rsidR="00230FAA" w:rsidRPr="007C56C4" w:rsidTr="00230FAA">
        <w:trPr>
          <w:cantSplit/>
          <w:trHeight w:val="2351"/>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Nº de solicitudes del Sistema de Madrid</w:t>
            </w:r>
          </w:p>
        </w:tc>
        <w:tc>
          <w:tcPr>
            <w:tcW w:w="1318" w:type="pct"/>
            <w:gridSpan w:val="2"/>
            <w:shd w:val="clear" w:color="auto" w:fill="auto"/>
            <w:tcMar>
              <w:left w:w="58" w:type="dxa"/>
              <w:right w:w="58" w:type="dxa"/>
            </w:tcMar>
          </w:tcPr>
          <w:p w:rsidR="00230FAA" w:rsidRPr="00521A61" w:rsidRDefault="00230FAA" w:rsidP="00230FAA">
            <w:pPr>
              <w:suppressLineNumbers/>
              <w:suppressAutoHyphens/>
              <w:rPr>
                <w:color w:val="002060"/>
              </w:rPr>
            </w:pPr>
            <w:r w:rsidRPr="00521A61">
              <w:rPr>
                <w:i/>
                <w:color w:val="002060"/>
                <w:sz w:val="16"/>
                <w:szCs w:val="16"/>
              </w:rPr>
              <w:t xml:space="preserve">Referencia actualizada a fines de 2015:  </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0 (OOB)</w:t>
            </w:r>
            <w:r w:rsidRPr="002F663B">
              <w:rPr>
                <w:color w:val="002060"/>
                <w:sz w:val="16"/>
                <w:szCs w:val="16"/>
                <w:lang w:val="en-US"/>
              </w:rPr>
              <w:br/>
              <w:t>2.321 (OOC) (+8%)</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2.167 (OOJ) (+6,6%)</w:t>
            </w:r>
            <w:r w:rsidRPr="002F663B">
              <w:rPr>
                <w:color w:val="002060"/>
                <w:sz w:val="16"/>
                <w:szCs w:val="16"/>
                <w:lang w:val="en-US"/>
              </w:rPr>
              <w:br/>
              <w:t>1.059 (OOR) (-31%)</w:t>
            </w:r>
            <w:r w:rsidRPr="002F663B">
              <w:rPr>
                <w:color w:val="002060"/>
                <w:sz w:val="16"/>
                <w:szCs w:val="16"/>
                <w:lang w:val="en-US"/>
              </w:rPr>
              <w:br/>
              <w:t>509 (OOS) (+45%)</w:t>
            </w:r>
          </w:p>
          <w:p w:rsidR="00230FAA" w:rsidRPr="002F663B" w:rsidRDefault="00230FAA" w:rsidP="00230FAA">
            <w:pPr>
              <w:suppressLineNumbers/>
              <w:suppressAutoHyphens/>
              <w:rPr>
                <w:sz w:val="16"/>
                <w:szCs w:val="16"/>
                <w:lang w:val="en-US"/>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2F663B" w:rsidRDefault="00230FAA" w:rsidP="00230FAA">
            <w:pPr>
              <w:suppressLineNumbers/>
              <w:suppressAutoHyphens/>
              <w:spacing w:after="60"/>
              <w:rPr>
                <w:sz w:val="16"/>
                <w:szCs w:val="16"/>
                <w:lang w:val="en-US"/>
              </w:rPr>
            </w:pPr>
            <w:r w:rsidRPr="002F663B">
              <w:rPr>
                <w:sz w:val="16"/>
                <w:szCs w:val="16"/>
                <w:lang w:val="en-US"/>
              </w:rPr>
              <w:t>351 (OOS)</w:t>
            </w:r>
            <w:r w:rsidRPr="002F663B">
              <w:rPr>
                <w:sz w:val="16"/>
                <w:szCs w:val="16"/>
                <w:lang w:val="en-US"/>
              </w:rPr>
              <w:br/>
              <w:t xml:space="preserve">0 (OOB) </w:t>
            </w:r>
            <w:r w:rsidRPr="002F663B">
              <w:rPr>
                <w:sz w:val="16"/>
                <w:szCs w:val="16"/>
                <w:lang w:val="en-US"/>
              </w:rPr>
              <w:br/>
              <w:t xml:space="preserve">2.033 (OOJ) </w:t>
            </w:r>
            <w:r w:rsidRPr="002F663B">
              <w:rPr>
                <w:sz w:val="16"/>
                <w:szCs w:val="16"/>
                <w:lang w:val="en-US"/>
              </w:rPr>
              <w:br/>
              <w:t xml:space="preserve">1.543 (OOR)  </w:t>
            </w:r>
            <w:r w:rsidRPr="002F663B">
              <w:rPr>
                <w:sz w:val="16"/>
                <w:szCs w:val="16"/>
                <w:lang w:val="en-US"/>
              </w:rPr>
              <w:br/>
              <w:t>2.140 (OOC)</w:t>
            </w:r>
          </w:p>
        </w:tc>
        <w:tc>
          <w:tcPr>
            <w:tcW w:w="834" w:type="pct"/>
            <w:gridSpan w:val="2"/>
            <w:shd w:val="clear" w:color="auto" w:fill="auto"/>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Crecimiento anual del 2% (todas las Oficinas).</w:t>
            </w:r>
          </w:p>
        </w:tc>
        <w:tc>
          <w:tcPr>
            <w:tcW w:w="1352" w:type="pct"/>
            <w:gridSpan w:val="6"/>
            <w:shd w:val="clear" w:color="auto" w:fill="FFFFFF"/>
            <w:tcMar>
              <w:top w:w="110" w:type="dxa"/>
              <w:left w:w="58" w:type="dxa"/>
              <w:right w:w="58" w:type="dxa"/>
            </w:tcMar>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2"/>
              <w:gridCol w:w="646"/>
              <w:gridCol w:w="704"/>
            </w:tblGrid>
            <w:tr w:rsidR="00230FAA" w:rsidRPr="007C56C4" w:rsidTr="00230FAA">
              <w:trPr>
                <w:trHeight w:val="247"/>
              </w:trPr>
              <w:tc>
                <w:tcPr>
                  <w:tcW w:w="572" w:type="dxa"/>
                  <w:tcMar>
                    <w:left w:w="43" w:type="dxa"/>
                    <w:right w:w="43" w:type="dxa"/>
                  </w:tcMar>
                </w:tcPr>
                <w:p w:rsidR="00230FAA" w:rsidRPr="007C56C4" w:rsidRDefault="00230FAA" w:rsidP="00230FAA">
                  <w:pPr>
                    <w:suppressLineNumbers/>
                    <w:suppressAutoHyphens/>
                    <w:jc w:val="right"/>
                    <w:rPr>
                      <w:sz w:val="16"/>
                      <w:szCs w:val="16"/>
                    </w:rPr>
                  </w:pPr>
                  <w:r w:rsidRPr="007C56C4">
                    <w:rPr>
                      <w:sz w:val="16"/>
                      <w:szCs w:val="16"/>
                    </w:rPr>
                    <w:t>0</w:t>
                  </w:r>
                </w:p>
              </w:tc>
              <w:tc>
                <w:tcPr>
                  <w:tcW w:w="646" w:type="dxa"/>
                  <w:tcMar>
                    <w:left w:w="43" w:type="dxa"/>
                    <w:right w:w="43" w:type="dxa"/>
                  </w:tcMar>
                </w:tcPr>
                <w:p w:rsidR="00230FAA" w:rsidRDefault="00230FAA" w:rsidP="00230FAA">
                  <w:pPr>
                    <w:suppressLineNumbers/>
                    <w:suppressAutoHyphens/>
                    <w:jc w:val="center"/>
                    <w:rPr>
                      <w:sz w:val="16"/>
                      <w:szCs w:val="16"/>
                    </w:rPr>
                  </w:pPr>
                  <w:r w:rsidRPr="007C56C4">
                    <w:rPr>
                      <w:sz w:val="16"/>
                      <w:szCs w:val="16"/>
                    </w:rPr>
                    <w:t>(OOB)</w:t>
                  </w:r>
                </w:p>
                <w:p w:rsidR="00230FAA" w:rsidRPr="00CD563E" w:rsidRDefault="00230FAA" w:rsidP="00230FAA">
                  <w:pPr>
                    <w:suppressLineNumbers/>
                    <w:suppressAutoHyphens/>
                    <w:jc w:val="center"/>
                    <w:rPr>
                      <w:sz w:val="10"/>
                      <w:szCs w:val="10"/>
                    </w:rPr>
                  </w:pPr>
                </w:p>
                <w:p w:rsidR="00230FAA" w:rsidRPr="007C56C4" w:rsidRDefault="003A134D" w:rsidP="00230FAA">
                  <w:pPr>
                    <w:suppressLineNumbers/>
                    <w:suppressAutoHyphens/>
                    <w:jc w:val="center"/>
                    <w:rPr>
                      <w:sz w:val="16"/>
                      <w:szCs w:val="16"/>
                    </w:rPr>
                  </w:pPr>
                  <w:r>
                    <w:rPr>
                      <w:sz w:val="16"/>
                      <w:szCs w:val="16"/>
                    </w:rPr>
                    <w:br/>
                  </w:r>
                </w:p>
              </w:tc>
              <w:tc>
                <w:tcPr>
                  <w:tcW w:w="704" w:type="dxa"/>
                </w:tcPr>
                <w:p w:rsidR="00230FAA" w:rsidRPr="007C56C4" w:rsidRDefault="00230FAA" w:rsidP="00230FAA">
                  <w:pPr>
                    <w:suppressLineNumbers/>
                    <w:suppressAutoHyphens/>
                    <w:jc w:val="center"/>
                    <w:rPr>
                      <w:sz w:val="16"/>
                      <w:szCs w:val="16"/>
                    </w:rPr>
                  </w:pPr>
                </w:p>
              </w:tc>
            </w:tr>
            <w:tr w:rsidR="00230FAA" w:rsidRPr="007C56C4" w:rsidTr="00230FAA">
              <w:trPr>
                <w:trHeight w:val="247"/>
              </w:trPr>
              <w:tc>
                <w:tcPr>
                  <w:tcW w:w="572" w:type="dxa"/>
                  <w:tcMar>
                    <w:left w:w="43" w:type="dxa"/>
                    <w:right w:w="43" w:type="dxa"/>
                  </w:tcMar>
                </w:tcPr>
                <w:p w:rsidR="00230FAA" w:rsidRPr="007C56C4" w:rsidRDefault="00230FAA" w:rsidP="00230FAA">
                  <w:pPr>
                    <w:suppressLineNumbers/>
                    <w:suppressAutoHyphens/>
                    <w:jc w:val="right"/>
                    <w:rPr>
                      <w:sz w:val="16"/>
                      <w:szCs w:val="16"/>
                    </w:rPr>
                  </w:pPr>
                  <w:r w:rsidRPr="007C56C4">
                    <w:rPr>
                      <w:sz w:val="16"/>
                      <w:szCs w:val="16"/>
                    </w:rPr>
                    <w:t>3.014</w:t>
                  </w:r>
                </w:p>
              </w:tc>
              <w:tc>
                <w:tcPr>
                  <w:tcW w:w="646" w:type="dxa"/>
                  <w:tcMar>
                    <w:left w:w="43" w:type="dxa"/>
                    <w:right w:w="43" w:type="dxa"/>
                  </w:tcMar>
                </w:tcPr>
                <w:p w:rsidR="00230FAA" w:rsidRPr="007C56C4" w:rsidRDefault="00230FAA" w:rsidP="00230FAA">
                  <w:pPr>
                    <w:suppressLineNumbers/>
                    <w:suppressAutoHyphens/>
                    <w:jc w:val="center"/>
                    <w:rPr>
                      <w:sz w:val="16"/>
                      <w:szCs w:val="16"/>
                    </w:rPr>
                  </w:pPr>
                  <w:r w:rsidRPr="007C56C4">
                    <w:rPr>
                      <w:sz w:val="16"/>
                      <w:szCs w:val="16"/>
                    </w:rPr>
                    <w:t>(OOC)</w:t>
                  </w:r>
                </w:p>
              </w:tc>
              <w:tc>
                <w:tcPr>
                  <w:tcW w:w="704" w:type="dxa"/>
                </w:tcPr>
                <w:p w:rsidR="00230FAA" w:rsidRPr="007C56C4" w:rsidRDefault="00230FAA" w:rsidP="00230FAA">
                  <w:pPr>
                    <w:suppressLineNumbers/>
                    <w:suppressAutoHyphens/>
                    <w:rPr>
                      <w:sz w:val="16"/>
                      <w:szCs w:val="16"/>
                    </w:rPr>
                  </w:pPr>
                  <w:r w:rsidRPr="007C56C4">
                    <w:rPr>
                      <w:sz w:val="16"/>
                      <w:szCs w:val="16"/>
                    </w:rPr>
                    <w:t>+31%</w:t>
                  </w:r>
                </w:p>
              </w:tc>
            </w:tr>
            <w:tr w:rsidR="00230FAA" w:rsidRPr="007C56C4" w:rsidTr="00230FAA">
              <w:trPr>
                <w:trHeight w:val="247"/>
              </w:trPr>
              <w:tc>
                <w:tcPr>
                  <w:tcW w:w="572" w:type="dxa"/>
                  <w:tcMar>
                    <w:left w:w="43" w:type="dxa"/>
                    <w:right w:w="43" w:type="dxa"/>
                  </w:tcMar>
                </w:tcPr>
                <w:p w:rsidR="00230FAA" w:rsidRPr="007C56C4" w:rsidRDefault="00230FAA" w:rsidP="00230FAA">
                  <w:pPr>
                    <w:suppressLineNumbers/>
                    <w:suppressAutoHyphens/>
                    <w:jc w:val="right"/>
                    <w:rPr>
                      <w:sz w:val="16"/>
                      <w:szCs w:val="16"/>
                    </w:rPr>
                  </w:pPr>
                  <w:r w:rsidRPr="007C56C4">
                    <w:rPr>
                      <w:sz w:val="16"/>
                      <w:szCs w:val="16"/>
                    </w:rPr>
                    <w:t>2.281</w:t>
                  </w:r>
                </w:p>
              </w:tc>
              <w:tc>
                <w:tcPr>
                  <w:tcW w:w="646" w:type="dxa"/>
                  <w:tcMar>
                    <w:left w:w="43" w:type="dxa"/>
                    <w:right w:w="43" w:type="dxa"/>
                  </w:tcMar>
                </w:tcPr>
                <w:p w:rsidR="00230FAA" w:rsidRPr="007C56C4" w:rsidRDefault="00230FAA" w:rsidP="00230FAA">
                  <w:pPr>
                    <w:suppressLineNumbers/>
                    <w:suppressAutoHyphens/>
                    <w:jc w:val="center"/>
                    <w:rPr>
                      <w:sz w:val="16"/>
                      <w:szCs w:val="16"/>
                    </w:rPr>
                  </w:pPr>
                  <w:r w:rsidRPr="007C56C4">
                    <w:rPr>
                      <w:sz w:val="16"/>
                      <w:szCs w:val="16"/>
                    </w:rPr>
                    <w:t>(OOJ)</w:t>
                  </w:r>
                </w:p>
              </w:tc>
              <w:tc>
                <w:tcPr>
                  <w:tcW w:w="704" w:type="dxa"/>
                </w:tcPr>
                <w:p w:rsidR="00230FAA" w:rsidRPr="007C56C4" w:rsidRDefault="00230FAA" w:rsidP="00230FAA">
                  <w:pPr>
                    <w:suppressLineNumbers/>
                    <w:suppressAutoHyphens/>
                    <w:rPr>
                      <w:sz w:val="16"/>
                      <w:szCs w:val="16"/>
                    </w:rPr>
                  </w:pPr>
                  <w:r w:rsidRPr="007C56C4">
                    <w:rPr>
                      <w:sz w:val="16"/>
                      <w:szCs w:val="16"/>
                    </w:rPr>
                    <w:t>5,3%</w:t>
                  </w:r>
                </w:p>
              </w:tc>
            </w:tr>
            <w:tr w:rsidR="00230FAA" w:rsidRPr="007C56C4" w:rsidTr="00230FAA">
              <w:trPr>
                <w:trHeight w:val="247"/>
              </w:trPr>
              <w:tc>
                <w:tcPr>
                  <w:tcW w:w="572" w:type="dxa"/>
                  <w:tcMar>
                    <w:left w:w="43" w:type="dxa"/>
                    <w:right w:w="43" w:type="dxa"/>
                  </w:tcMar>
                </w:tcPr>
                <w:p w:rsidR="00230FAA" w:rsidRPr="007C56C4" w:rsidRDefault="00230FAA" w:rsidP="00230FAA">
                  <w:pPr>
                    <w:suppressLineNumbers/>
                    <w:suppressAutoHyphens/>
                    <w:jc w:val="right"/>
                    <w:rPr>
                      <w:sz w:val="16"/>
                      <w:szCs w:val="16"/>
                    </w:rPr>
                  </w:pPr>
                  <w:r w:rsidRPr="007C56C4">
                    <w:rPr>
                      <w:sz w:val="16"/>
                      <w:szCs w:val="16"/>
                    </w:rPr>
                    <w:t>1.255</w:t>
                  </w:r>
                </w:p>
              </w:tc>
              <w:tc>
                <w:tcPr>
                  <w:tcW w:w="646" w:type="dxa"/>
                  <w:tcMar>
                    <w:left w:w="43" w:type="dxa"/>
                    <w:right w:w="43" w:type="dxa"/>
                  </w:tcMar>
                </w:tcPr>
                <w:p w:rsidR="00230FAA" w:rsidRPr="007C56C4" w:rsidRDefault="00230FAA" w:rsidP="00230FAA">
                  <w:pPr>
                    <w:suppressLineNumbers/>
                    <w:suppressAutoHyphens/>
                    <w:jc w:val="center"/>
                    <w:rPr>
                      <w:sz w:val="16"/>
                      <w:szCs w:val="16"/>
                    </w:rPr>
                  </w:pPr>
                  <w:r w:rsidRPr="007C56C4">
                    <w:rPr>
                      <w:sz w:val="16"/>
                      <w:szCs w:val="16"/>
                    </w:rPr>
                    <w:t>(OOR)</w:t>
                  </w:r>
                </w:p>
              </w:tc>
              <w:tc>
                <w:tcPr>
                  <w:tcW w:w="704" w:type="dxa"/>
                </w:tcPr>
                <w:p w:rsidR="00230FAA" w:rsidRPr="007C56C4" w:rsidRDefault="00230FAA" w:rsidP="00230FAA">
                  <w:pPr>
                    <w:suppressLineNumbers/>
                    <w:suppressAutoHyphens/>
                    <w:rPr>
                      <w:sz w:val="16"/>
                      <w:szCs w:val="16"/>
                    </w:rPr>
                  </w:pPr>
                  <w:r w:rsidRPr="007C56C4">
                    <w:rPr>
                      <w:sz w:val="16"/>
                      <w:szCs w:val="16"/>
                    </w:rPr>
                    <w:t>18,5%</w:t>
                  </w:r>
                </w:p>
              </w:tc>
            </w:tr>
            <w:tr w:rsidR="00230FAA" w:rsidRPr="007C56C4" w:rsidTr="00230FAA">
              <w:trPr>
                <w:trHeight w:val="264"/>
              </w:trPr>
              <w:tc>
                <w:tcPr>
                  <w:tcW w:w="572" w:type="dxa"/>
                  <w:tcMar>
                    <w:left w:w="43" w:type="dxa"/>
                    <w:right w:w="43" w:type="dxa"/>
                  </w:tcMar>
                </w:tcPr>
                <w:p w:rsidR="00230FAA" w:rsidRPr="007C56C4" w:rsidRDefault="00230FAA" w:rsidP="00230FAA">
                  <w:pPr>
                    <w:suppressLineNumbers/>
                    <w:suppressAutoHyphens/>
                    <w:jc w:val="right"/>
                    <w:rPr>
                      <w:sz w:val="16"/>
                      <w:szCs w:val="16"/>
                    </w:rPr>
                  </w:pPr>
                  <w:r w:rsidRPr="007C56C4">
                    <w:rPr>
                      <w:sz w:val="16"/>
                      <w:szCs w:val="16"/>
                    </w:rPr>
                    <w:t>614</w:t>
                  </w:r>
                </w:p>
              </w:tc>
              <w:tc>
                <w:tcPr>
                  <w:tcW w:w="646" w:type="dxa"/>
                  <w:tcMar>
                    <w:left w:w="43" w:type="dxa"/>
                    <w:right w:w="43" w:type="dxa"/>
                  </w:tcMar>
                </w:tcPr>
                <w:p w:rsidR="00230FAA" w:rsidRPr="007C56C4" w:rsidRDefault="00230FAA" w:rsidP="00230FAA">
                  <w:pPr>
                    <w:suppressLineNumbers/>
                    <w:suppressAutoHyphens/>
                    <w:jc w:val="center"/>
                    <w:rPr>
                      <w:sz w:val="16"/>
                      <w:szCs w:val="16"/>
                    </w:rPr>
                  </w:pPr>
                  <w:r w:rsidRPr="007C56C4">
                    <w:rPr>
                      <w:sz w:val="16"/>
                      <w:szCs w:val="16"/>
                    </w:rPr>
                    <w:t>(OOS)</w:t>
                  </w:r>
                </w:p>
              </w:tc>
              <w:tc>
                <w:tcPr>
                  <w:tcW w:w="704" w:type="dxa"/>
                </w:tcPr>
                <w:p w:rsidR="00230FAA" w:rsidRPr="007C56C4" w:rsidRDefault="00230FAA" w:rsidP="00230FAA">
                  <w:pPr>
                    <w:suppressLineNumbers/>
                    <w:suppressAutoHyphens/>
                    <w:rPr>
                      <w:sz w:val="16"/>
                      <w:szCs w:val="16"/>
                    </w:rPr>
                  </w:pPr>
                  <w:r w:rsidRPr="007C56C4">
                    <w:rPr>
                      <w:sz w:val="16"/>
                      <w:szCs w:val="16"/>
                    </w:rPr>
                    <w:t>+20%</w:t>
                  </w:r>
                </w:p>
              </w:tc>
            </w:tr>
          </w:tbl>
          <w:p w:rsidR="00230FAA" w:rsidRPr="007C56C4" w:rsidRDefault="00230FAA" w:rsidP="00230FAA">
            <w:pPr>
              <w:suppressLineNumbers/>
              <w:suppressAutoHyphens/>
              <w:rPr>
                <w:sz w:val="16"/>
                <w:szCs w:val="16"/>
              </w:rPr>
            </w:pPr>
          </w:p>
        </w:tc>
        <w:tc>
          <w:tcPr>
            <w:tcW w:w="451" w:type="pct"/>
            <w:gridSpan w:val="3"/>
            <w:shd w:val="clear" w:color="auto" w:fill="auto"/>
            <w:tcMar>
              <w:top w:w="110" w:type="dxa"/>
              <w:left w:w="58" w:type="dxa"/>
              <w:right w:w="58" w:type="dxa"/>
            </w:tcMar>
          </w:tcPr>
          <w:p w:rsidR="00230FAA" w:rsidRPr="007C56C4" w:rsidRDefault="003A134D" w:rsidP="00230FAA">
            <w:pPr>
              <w:suppressLineNumbers/>
              <w:suppressAutoHyphens/>
              <w:jc w:val="center"/>
              <w:rPr>
                <w:b/>
                <w:sz w:val="13"/>
                <w:szCs w:val="13"/>
              </w:rPr>
            </w:pPr>
            <w:r w:rsidRPr="003A134D">
              <w:rPr>
                <w:b/>
                <w:color w:val="808080"/>
                <w:sz w:val="16"/>
                <w:szCs w:val="16"/>
              </w:rPr>
              <w:t xml:space="preserve">No </w:t>
            </w:r>
            <w:proofErr w:type="spellStart"/>
            <w:r w:rsidRPr="003A134D">
              <w:rPr>
                <w:b/>
                <w:color w:val="808080"/>
                <w:sz w:val="16"/>
                <w:szCs w:val="16"/>
              </w:rPr>
              <w:t>mensu</w:t>
            </w:r>
            <w:r>
              <w:rPr>
                <w:b/>
                <w:color w:val="808080"/>
                <w:sz w:val="16"/>
                <w:szCs w:val="16"/>
              </w:rPr>
              <w:t>-</w:t>
            </w:r>
            <w:r w:rsidRPr="003A134D">
              <w:rPr>
                <w:b/>
                <w:color w:val="808080"/>
                <w:sz w:val="16"/>
                <w:szCs w:val="16"/>
              </w:rPr>
              <w:t>rable</w:t>
            </w:r>
            <w:proofErr w:type="spellEnd"/>
            <w:r>
              <w:rPr>
                <w:b/>
                <w:color w:val="808080"/>
                <w:sz w:val="16"/>
                <w:szCs w:val="16"/>
              </w:rPr>
              <w:br/>
            </w:r>
          </w:p>
          <w:tbl>
            <w:tblPr>
              <w:tblStyle w:val="TableGrid"/>
              <w:tblW w:w="1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38"/>
            </w:tblGrid>
            <w:tr w:rsidR="00230FAA" w:rsidRPr="007C56C4" w:rsidTr="00230FAA">
              <w:trPr>
                <w:trHeight w:val="247"/>
              </w:trPr>
              <w:tc>
                <w:tcPr>
                  <w:tcW w:w="1038" w:type="dxa"/>
                </w:tcPr>
                <w:p w:rsidR="00230FAA" w:rsidRPr="007C56C4" w:rsidRDefault="00230FAA" w:rsidP="00230FAA">
                  <w:pPr>
                    <w:suppressLineNumbers/>
                    <w:suppressAutoHyphens/>
                    <w:ind w:left="-287"/>
                    <w:jc w:val="center"/>
                    <w:rPr>
                      <w:b/>
                      <w:sz w:val="16"/>
                      <w:szCs w:val="16"/>
                    </w:rPr>
                  </w:pPr>
                  <w:r w:rsidRPr="0050549B">
                    <w:rPr>
                      <w:b/>
                      <w:color w:val="00B050"/>
                      <w:sz w:val="16"/>
                      <w:szCs w:val="16"/>
                    </w:rPr>
                    <w:t>Avanza</w:t>
                  </w:r>
                </w:p>
              </w:tc>
            </w:tr>
            <w:tr w:rsidR="00230FAA" w:rsidRPr="007C56C4" w:rsidTr="00230FAA">
              <w:trPr>
                <w:trHeight w:val="247"/>
              </w:trPr>
              <w:tc>
                <w:tcPr>
                  <w:tcW w:w="1038" w:type="dxa"/>
                </w:tcPr>
                <w:p w:rsidR="00230FAA" w:rsidRPr="007C56C4" w:rsidRDefault="00230FAA" w:rsidP="00230FAA">
                  <w:pPr>
                    <w:suppressLineNumbers/>
                    <w:suppressAutoHyphens/>
                    <w:ind w:left="-287"/>
                    <w:jc w:val="center"/>
                    <w:rPr>
                      <w:sz w:val="16"/>
                      <w:szCs w:val="16"/>
                    </w:rPr>
                  </w:pPr>
                  <w:r w:rsidRPr="0050549B">
                    <w:rPr>
                      <w:b/>
                      <w:color w:val="00B050"/>
                      <w:sz w:val="16"/>
                      <w:szCs w:val="16"/>
                    </w:rPr>
                    <w:t>Avanza</w:t>
                  </w:r>
                </w:p>
              </w:tc>
            </w:tr>
            <w:tr w:rsidR="00230FAA" w:rsidRPr="007C56C4" w:rsidTr="00230FAA">
              <w:trPr>
                <w:trHeight w:val="247"/>
              </w:trPr>
              <w:tc>
                <w:tcPr>
                  <w:tcW w:w="1038" w:type="dxa"/>
                </w:tcPr>
                <w:p w:rsidR="00230FAA" w:rsidRPr="007C56C4" w:rsidRDefault="00230FAA" w:rsidP="00230FAA">
                  <w:pPr>
                    <w:suppressLineNumbers/>
                    <w:suppressAutoHyphens/>
                    <w:ind w:left="-287"/>
                    <w:jc w:val="center"/>
                    <w:rPr>
                      <w:sz w:val="16"/>
                      <w:szCs w:val="16"/>
                    </w:rPr>
                  </w:pPr>
                  <w:r w:rsidRPr="0050549B">
                    <w:rPr>
                      <w:b/>
                      <w:color w:val="00B050"/>
                      <w:sz w:val="16"/>
                      <w:szCs w:val="16"/>
                    </w:rPr>
                    <w:t>Avanza</w:t>
                  </w:r>
                </w:p>
              </w:tc>
            </w:tr>
            <w:tr w:rsidR="00230FAA" w:rsidRPr="007C56C4" w:rsidTr="00230FAA">
              <w:trPr>
                <w:trHeight w:val="264"/>
              </w:trPr>
              <w:tc>
                <w:tcPr>
                  <w:tcW w:w="1038" w:type="dxa"/>
                </w:tcPr>
                <w:p w:rsidR="00230FAA" w:rsidRPr="007C56C4" w:rsidRDefault="00230FAA" w:rsidP="00230FAA">
                  <w:pPr>
                    <w:suppressLineNumbers/>
                    <w:suppressAutoHyphens/>
                    <w:ind w:left="-287"/>
                    <w:jc w:val="center"/>
                    <w:rPr>
                      <w:sz w:val="16"/>
                      <w:szCs w:val="16"/>
                    </w:rPr>
                  </w:pPr>
                  <w:r w:rsidRPr="0050549B">
                    <w:rPr>
                      <w:b/>
                      <w:color w:val="00B050"/>
                      <w:sz w:val="16"/>
                      <w:szCs w:val="16"/>
                    </w:rPr>
                    <w:t>Avanza</w:t>
                  </w:r>
                </w:p>
              </w:tc>
            </w:tr>
          </w:tbl>
          <w:p w:rsidR="00230FAA" w:rsidRPr="007C56C4" w:rsidRDefault="00230FAA" w:rsidP="00230FAA">
            <w:pPr>
              <w:suppressLineNumbers/>
              <w:suppressAutoHyphens/>
              <w:jc w:val="center"/>
              <w:rPr>
                <w:sz w:val="16"/>
                <w:szCs w:val="16"/>
              </w:rPr>
            </w:pPr>
          </w:p>
        </w:tc>
      </w:tr>
      <w:tr w:rsidR="00230FAA" w:rsidRPr="007C56C4" w:rsidTr="00230FAA">
        <w:trPr>
          <w:cantSplit/>
          <w:trHeight w:val="1440"/>
        </w:trPr>
        <w:tc>
          <w:tcPr>
            <w:tcW w:w="1046" w:type="pct"/>
            <w:gridSpan w:val="2"/>
            <w:shd w:val="clear" w:color="auto" w:fill="auto"/>
            <w:tcMar>
              <w:left w:w="58" w:type="dxa"/>
              <w:right w:w="58" w:type="dxa"/>
            </w:tcMar>
          </w:tcPr>
          <w:p w:rsidR="00230FAA" w:rsidRPr="007C56C4" w:rsidRDefault="00230FAA" w:rsidP="00230FAA">
            <w:pPr>
              <w:suppressLineNumbers/>
              <w:suppressAutoHyphens/>
              <w:rPr>
                <w:sz w:val="16"/>
                <w:szCs w:val="16"/>
              </w:rPr>
            </w:pPr>
            <w:r w:rsidRPr="007C56C4">
              <w:rPr>
                <w:sz w:val="16"/>
                <w:szCs w:val="16"/>
              </w:rPr>
              <w:t>Porcentaje de encargados de la adopción de políticas, funcionarios gubernamentales, profesionales de la P.I. y participantes en talleres con un mayor conocimiento del Sistema de Madrid</w:t>
            </w:r>
          </w:p>
        </w:tc>
        <w:tc>
          <w:tcPr>
            <w:tcW w:w="1318" w:type="pct"/>
            <w:gridSpan w:val="2"/>
            <w:shd w:val="clear" w:color="auto" w:fill="auto"/>
            <w:tcMar>
              <w:left w:w="58" w:type="dxa"/>
              <w:right w:w="58" w:type="dxa"/>
            </w:tcMar>
          </w:tcPr>
          <w:p w:rsidR="00230FAA" w:rsidRPr="00F51595" w:rsidRDefault="00230FAA" w:rsidP="00230FAA">
            <w:pPr>
              <w:suppressLineNumbers/>
              <w:suppressAutoHyphens/>
              <w:rPr>
                <w:i/>
                <w:color w:val="002060"/>
                <w:sz w:val="16"/>
                <w:szCs w:val="16"/>
              </w:rPr>
            </w:pPr>
            <w:r w:rsidRPr="00F51595">
              <w:rPr>
                <w:i/>
                <w:color w:val="002060"/>
                <w:sz w:val="16"/>
                <w:szCs w:val="16"/>
              </w:rPr>
              <w:t xml:space="preserve">Referencia actualizada a fines de 2015:  </w:t>
            </w:r>
          </w:p>
          <w:p w:rsidR="00230FAA" w:rsidRPr="00F51595" w:rsidRDefault="00230FAA" w:rsidP="00230FAA">
            <w:pPr>
              <w:suppressLineNumbers/>
              <w:suppressAutoHyphens/>
              <w:rPr>
                <w:color w:val="002060"/>
                <w:sz w:val="16"/>
                <w:szCs w:val="16"/>
              </w:rPr>
            </w:pPr>
            <w:r w:rsidRPr="00F51595">
              <w:rPr>
                <w:color w:val="002060"/>
                <w:sz w:val="16"/>
                <w:szCs w:val="16"/>
              </w:rPr>
              <w:t>90% (OOS)</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rPr>
                <w:sz w:val="16"/>
                <w:szCs w:val="16"/>
              </w:rPr>
            </w:pPr>
            <w:r w:rsidRPr="007C56C4">
              <w:rPr>
                <w:sz w:val="16"/>
                <w:szCs w:val="16"/>
              </w:rPr>
              <w:t>89% sobre la base de comentarios de los participantes (OOS)</w:t>
            </w:r>
          </w:p>
        </w:tc>
        <w:tc>
          <w:tcPr>
            <w:tcW w:w="834" w:type="pct"/>
            <w:gridSpan w:val="2"/>
            <w:shd w:val="clear" w:color="auto" w:fill="auto"/>
            <w:tcMar>
              <w:top w:w="110" w:type="dxa"/>
              <w:left w:w="58" w:type="dxa"/>
              <w:right w:w="58" w:type="dxa"/>
            </w:tcMar>
          </w:tcPr>
          <w:p w:rsidR="00230FAA" w:rsidRPr="00F51595" w:rsidRDefault="00230FAA" w:rsidP="00230FAA">
            <w:pPr>
              <w:suppressLineNumbers/>
              <w:suppressAutoHyphens/>
              <w:rPr>
                <w:i/>
                <w:color w:val="002060"/>
                <w:sz w:val="16"/>
                <w:szCs w:val="16"/>
                <w:lang w:bidi="th-TH"/>
              </w:rPr>
            </w:pPr>
            <w:r w:rsidRPr="00F51595">
              <w:rPr>
                <w:i/>
                <w:color w:val="002060"/>
                <w:sz w:val="16"/>
                <w:szCs w:val="16"/>
                <w:lang w:bidi="th-TH"/>
              </w:rPr>
              <w:t xml:space="preserve">Objetivo actualizado:  </w:t>
            </w:r>
          </w:p>
          <w:p w:rsidR="00230FAA" w:rsidRPr="00F51595" w:rsidRDefault="00230FAA" w:rsidP="00230FAA">
            <w:pPr>
              <w:suppressLineNumbers/>
              <w:suppressAutoHyphens/>
              <w:rPr>
                <w:color w:val="002060"/>
                <w:sz w:val="16"/>
                <w:szCs w:val="16"/>
                <w:lang w:bidi="th-TH"/>
              </w:rPr>
            </w:pPr>
            <w:r w:rsidRPr="00F51595">
              <w:rPr>
                <w:color w:val="002060"/>
                <w:sz w:val="16"/>
                <w:szCs w:val="16"/>
                <w:lang w:bidi="th-TH"/>
              </w:rPr>
              <w:t>85%</w:t>
            </w:r>
          </w:p>
          <w:p w:rsidR="00230FAA" w:rsidRPr="007C56C4" w:rsidRDefault="00230FAA" w:rsidP="00230FAA">
            <w:pPr>
              <w:suppressLineNumbers/>
              <w:suppressAutoHyphens/>
              <w:rPr>
                <w:i/>
                <w:sz w:val="16"/>
                <w:szCs w:val="16"/>
                <w:lang w:bidi="th-TH"/>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Objetivo original en el presupuesto 2016/17:  </w:t>
            </w:r>
          </w:p>
          <w:p w:rsidR="00230FAA" w:rsidRPr="007C56C4" w:rsidRDefault="00230FAA" w:rsidP="00230FAA">
            <w:pPr>
              <w:suppressLineNumbers/>
              <w:suppressAutoHyphens/>
              <w:rPr>
                <w:sz w:val="16"/>
                <w:szCs w:val="16"/>
              </w:rPr>
            </w:pPr>
            <w:r w:rsidRPr="007C56C4">
              <w:rPr>
                <w:sz w:val="16"/>
                <w:szCs w:val="16"/>
              </w:rPr>
              <w:t>75%</w:t>
            </w:r>
          </w:p>
        </w:tc>
        <w:tc>
          <w:tcPr>
            <w:tcW w:w="1352" w:type="pct"/>
            <w:gridSpan w:val="6"/>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 xml:space="preserve">86% (OOS)                                        </w:t>
            </w:r>
          </w:p>
          <w:p w:rsidR="00230FAA" w:rsidRPr="007C56C4" w:rsidRDefault="00230FAA" w:rsidP="00230FAA">
            <w:pPr>
              <w:suppressLineNumbers/>
              <w:suppressAutoHyphens/>
              <w:rPr>
                <w:sz w:val="16"/>
                <w:szCs w:val="16"/>
              </w:rPr>
            </w:pPr>
          </w:p>
        </w:tc>
        <w:tc>
          <w:tcPr>
            <w:tcW w:w="451" w:type="pct"/>
            <w:gridSpan w:val="3"/>
            <w:shd w:val="clear" w:color="auto" w:fill="auto"/>
            <w:tcMar>
              <w:top w:w="110" w:type="dxa"/>
              <w:left w:w="58" w:type="dxa"/>
              <w:right w:w="58" w:type="dxa"/>
            </w:tcMar>
          </w:tcPr>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sz w:val="16"/>
                <w:szCs w:val="16"/>
              </w:rPr>
            </w:pPr>
          </w:p>
        </w:tc>
      </w:tr>
      <w:tr w:rsidR="00230FAA" w:rsidRPr="007C56C4" w:rsidTr="00230FAA">
        <w:trPr>
          <w:cantSplit/>
          <w:trHeight w:val="648"/>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keepNext/>
              <w:keepLines/>
              <w:suppressLineNumbers/>
              <w:tabs>
                <w:tab w:val="left" w:pos="1452"/>
              </w:tabs>
              <w:suppressAutoHyphens/>
              <w:ind w:left="1701" w:hanging="1701"/>
              <w:rPr>
                <w:sz w:val="16"/>
                <w:szCs w:val="16"/>
              </w:rPr>
            </w:pPr>
            <w:r w:rsidRPr="007C56C4">
              <w:rPr>
                <w:b/>
                <w:bCs/>
                <w:sz w:val="16"/>
                <w:szCs w:val="16"/>
              </w:rPr>
              <w:lastRenderedPageBreak/>
              <w:t>Resultado previsto:</w:t>
            </w:r>
            <w:r w:rsidRPr="007C56C4">
              <w:rPr>
                <w:b/>
                <w:bCs/>
                <w:sz w:val="16"/>
                <w:szCs w:val="16"/>
              </w:rPr>
              <w:tab/>
            </w:r>
            <w:r w:rsidRPr="007C56C4">
              <w:rPr>
                <w:sz w:val="16"/>
                <w:szCs w:val="16"/>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230FAA" w:rsidRPr="007C56C4" w:rsidTr="00230FAA">
        <w:trPr>
          <w:cantSplit/>
        </w:trPr>
        <w:tc>
          <w:tcPr>
            <w:tcW w:w="1043" w:type="pct"/>
            <w:shd w:val="clear" w:color="auto" w:fill="auto"/>
            <w:tcMar>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Indicadores de rendimiento</w:t>
            </w:r>
          </w:p>
        </w:tc>
        <w:tc>
          <w:tcPr>
            <w:tcW w:w="1316" w:type="pct"/>
            <w:gridSpan w:val="2"/>
            <w:shd w:val="clear" w:color="auto" w:fill="auto"/>
            <w:tcMar>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Referencia</w:t>
            </w:r>
            <w:r w:rsidR="003A134D">
              <w:rPr>
                <w:b/>
                <w:bCs/>
                <w:sz w:val="16"/>
                <w:szCs w:val="16"/>
              </w:rPr>
              <w:t>s de base</w:t>
            </w:r>
          </w:p>
        </w:tc>
        <w:tc>
          <w:tcPr>
            <w:tcW w:w="862" w:type="pct"/>
            <w:gridSpan w:val="4"/>
            <w:shd w:val="clear" w:color="auto" w:fill="auto"/>
            <w:tcMar>
              <w:top w:w="110" w:type="dxa"/>
              <w:left w:w="58" w:type="dxa"/>
              <w:right w:w="58" w:type="dxa"/>
            </w:tcMar>
            <w:vAlign w:val="center"/>
          </w:tcPr>
          <w:p w:rsidR="00230FAA" w:rsidRPr="007C56C4" w:rsidRDefault="00230FAA" w:rsidP="00230FAA">
            <w:pPr>
              <w:keepNext/>
              <w:keepLines/>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Datos sobre el rendimiento</w:t>
            </w:r>
          </w:p>
        </w:tc>
        <w:tc>
          <w:tcPr>
            <w:tcW w:w="457" w:type="pct"/>
            <w:gridSpan w:val="4"/>
            <w:shd w:val="clear" w:color="auto" w:fill="auto"/>
            <w:tcMar>
              <w:top w:w="110" w:type="dxa"/>
              <w:left w:w="58" w:type="dxa"/>
              <w:right w:w="58" w:type="dxa"/>
            </w:tcMar>
            <w:vAlign w:val="center"/>
          </w:tcPr>
          <w:p w:rsidR="00230FAA" w:rsidRPr="007C56C4" w:rsidRDefault="00230FAA" w:rsidP="00230FAA">
            <w:pPr>
              <w:keepNext/>
              <w:keepLines/>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20"/>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Porcentaje de encargados de la adopción de políticas, funcionarios gubernamentales, profesionales de la P.I. y otros grupos destinatarios, incluidas las universidades, organismos de gestión colectiva y periodistas con un mayor conocimiento de las políticas de P.I. y de cómo utilizar efectivamente la P.I. en pro del desarrollo</w:t>
            </w:r>
          </w:p>
          <w:p w:rsidR="00230FAA" w:rsidRPr="007C56C4" w:rsidRDefault="00230FAA" w:rsidP="00230FAA">
            <w:pPr>
              <w:pStyle w:val="Default"/>
              <w:suppressLineNumbers/>
              <w:suppressAutoHyphens/>
              <w:rPr>
                <w:color w:val="auto"/>
                <w:sz w:val="16"/>
                <w:szCs w:val="16"/>
                <w:lang w:val="es-ES"/>
              </w:rPr>
            </w:pPr>
          </w:p>
        </w:tc>
        <w:tc>
          <w:tcPr>
            <w:tcW w:w="1316" w:type="pct"/>
            <w:gridSpan w:val="2"/>
            <w:shd w:val="clear" w:color="auto" w:fill="auto"/>
            <w:tcMar>
              <w:left w:w="58" w:type="dxa"/>
              <w:right w:w="58" w:type="dxa"/>
            </w:tcMar>
          </w:tcPr>
          <w:p w:rsidR="00230FAA" w:rsidRPr="00F51595" w:rsidRDefault="00230FAA" w:rsidP="00230FAA">
            <w:pPr>
              <w:suppressLineNumbers/>
              <w:suppressAutoHyphens/>
              <w:rPr>
                <w:i/>
                <w:color w:val="002060"/>
                <w:sz w:val="16"/>
                <w:szCs w:val="16"/>
              </w:rPr>
            </w:pPr>
            <w:r w:rsidRPr="00F51595">
              <w:rPr>
                <w:i/>
                <w:color w:val="002060"/>
                <w:sz w:val="16"/>
                <w:szCs w:val="16"/>
              </w:rPr>
              <w:t xml:space="preserve">Referencia actualizada a fines de 2015:  </w:t>
            </w:r>
          </w:p>
          <w:p w:rsidR="00230FAA" w:rsidRPr="00F51595" w:rsidRDefault="00230FAA" w:rsidP="00230FAA">
            <w:pPr>
              <w:suppressLineNumbers/>
              <w:suppressAutoHyphens/>
              <w:rPr>
                <w:color w:val="002060"/>
                <w:sz w:val="16"/>
                <w:szCs w:val="16"/>
              </w:rPr>
            </w:pPr>
            <w:r w:rsidRPr="00F51595">
              <w:rPr>
                <w:color w:val="002060"/>
                <w:sz w:val="16"/>
                <w:szCs w:val="16"/>
              </w:rPr>
              <w:t>75% (OOB)</w:t>
            </w:r>
          </w:p>
          <w:p w:rsidR="00230FAA" w:rsidRPr="00F51595" w:rsidRDefault="00230FAA" w:rsidP="00230FAA">
            <w:pPr>
              <w:suppressLineNumbers/>
              <w:suppressAutoHyphens/>
              <w:rPr>
                <w:color w:val="002060"/>
                <w:sz w:val="16"/>
                <w:szCs w:val="16"/>
              </w:rPr>
            </w:pPr>
            <w:r w:rsidRPr="00F51595">
              <w:rPr>
                <w:color w:val="002060"/>
                <w:sz w:val="16"/>
                <w:szCs w:val="16"/>
              </w:rPr>
              <w:t>100 (OOJ)</w:t>
            </w:r>
          </w:p>
          <w:p w:rsidR="00230FAA" w:rsidRPr="00F51595" w:rsidRDefault="00230FAA" w:rsidP="00230FAA">
            <w:pPr>
              <w:suppressLineNumbers/>
              <w:suppressAutoHyphens/>
              <w:rPr>
                <w:color w:val="002060"/>
                <w:sz w:val="16"/>
                <w:szCs w:val="16"/>
              </w:rPr>
            </w:pPr>
            <w:r w:rsidRPr="00F51595">
              <w:rPr>
                <w:color w:val="002060"/>
                <w:sz w:val="16"/>
                <w:szCs w:val="16"/>
              </w:rPr>
              <w:t>100 (OOS)</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pStyle w:val="Default"/>
              <w:suppressLineNumbers/>
              <w:suppressAutoHyphens/>
              <w:spacing w:after="120"/>
              <w:rPr>
                <w:color w:val="auto"/>
                <w:sz w:val="16"/>
                <w:szCs w:val="16"/>
                <w:lang w:val="es-ES"/>
              </w:rPr>
            </w:pPr>
            <w:r w:rsidRPr="007C56C4">
              <w:rPr>
                <w:color w:val="auto"/>
                <w:sz w:val="16"/>
                <w:szCs w:val="16"/>
                <w:lang w:val="es-ES"/>
              </w:rPr>
              <w:t xml:space="preserve">100% de los participantes convinieron en que las capacidades y conocimientos adquiridos en el seminario añadieron valor a su organización (OOS) 75% (OOB) n/d (en 2014 la OOJ no organizó seminarios) (OOJ) </w:t>
            </w:r>
          </w:p>
        </w:tc>
        <w:tc>
          <w:tcPr>
            <w:tcW w:w="862" w:type="pct"/>
            <w:gridSpan w:val="4"/>
            <w:shd w:val="clear" w:color="auto" w:fill="auto"/>
            <w:tcMar>
              <w:top w:w="110" w:type="dxa"/>
              <w:left w:w="58" w:type="dxa"/>
              <w:right w:w="58" w:type="dxa"/>
            </w:tcMar>
          </w:tcPr>
          <w:p w:rsidR="00230FAA" w:rsidRPr="00F51595" w:rsidRDefault="00230FAA" w:rsidP="00230FAA">
            <w:pPr>
              <w:suppressLineNumbers/>
              <w:suppressAutoHyphens/>
              <w:rPr>
                <w:i/>
                <w:color w:val="002060"/>
                <w:sz w:val="16"/>
                <w:szCs w:val="16"/>
                <w:lang w:bidi="th-TH"/>
              </w:rPr>
            </w:pPr>
            <w:r w:rsidRPr="00F51595">
              <w:rPr>
                <w:i/>
                <w:color w:val="002060"/>
                <w:sz w:val="16"/>
                <w:szCs w:val="16"/>
                <w:lang w:bidi="th-TH"/>
              </w:rPr>
              <w:t xml:space="preserve">Objetivo actualizado:  </w:t>
            </w:r>
          </w:p>
          <w:p w:rsidR="00230FAA" w:rsidRPr="00F51595" w:rsidRDefault="00230FAA" w:rsidP="00230FAA">
            <w:pPr>
              <w:suppressLineNumbers/>
              <w:suppressAutoHyphens/>
              <w:rPr>
                <w:color w:val="002060"/>
                <w:sz w:val="16"/>
                <w:szCs w:val="16"/>
                <w:lang w:bidi="th-TH"/>
              </w:rPr>
            </w:pPr>
            <w:r w:rsidRPr="00F51595">
              <w:rPr>
                <w:color w:val="002060"/>
                <w:sz w:val="16"/>
                <w:szCs w:val="16"/>
                <w:lang w:bidi="th-TH"/>
              </w:rPr>
              <w:t>85%</w:t>
            </w:r>
          </w:p>
          <w:p w:rsidR="00230FAA" w:rsidRPr="007C56C4" w:rsidRDefault="00230FAA" w:rsidP="00230FAA">
            <w:pPr>
              <w:suppressLineNumbers/>
              <w:suppressAutoHyphens/>
              <w:rPr>
                <w:i/>
                <w:sz w:val="16"/>
                <w:szCs w:val="16"/>
                <w:lang w:bidi="th-TH"/>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Objetivo original en el presupuesto 2016/17:  </w:t>
            </w:r>
          </w:p>
          <w:p w:rsidR="00230FAA" w:rsidRPr="007C56C4" w:rsidRDefault="00230FAA" w:rsidP="00230FAA">
            <w:pPr>
              <w:pStyle w:val="Default"/>
              <w:suppressLineNumbers/>
              <w:suppressAutoHyphens/>
              <w:rPr>
                <w:color w:val="auto"/>
                <w:lang w:val="es-ES"/>
              </w:rPr>
            </w:pPr>
            <w:r w:rsidRPr="007C56C4">
              <w:rPr>
                <w:color w:val="auto"/>
                <w:sz w:val="16"/>
                <w:szCs w:val="16"/>
                <w:lang w:val="es-ES"/>
              </w:rPr>
              <w:t xml:space="preserve">75% </w:t>
            </w:r>
          </w:p>
        </w:tc>
        <w:tc>
          <w:tcPr>
            <w:tcW w:w="1323" w:type="pct"/>
            <w:gridSpan w:val="4"/>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No se dispone de datos (OOB)</w:t>
            </w:r>
          </w:p>
          <w:p w:rsidR="00230FAA" w:rsidRDefault="00230FAA" w:rsidP="00230FAA">
            <w:pPr>
              <w:suppressLineNumbers/>
              <w:suppressAutoHyphens/>
              <w:rPr>
                <w:sz w:val="6"/>
                <w:szCs w:val="6"/>
              </w:rPr>
            </w:pPr>
          </w:p>
          <w:p w:rsidR="00230FAA" w:rsidRDefault="00230FAA" w:rsidP="00230FAA">
            <w:pPr>
              <w:suppressLineNumbers/>
              <w:suppressAutoHyphens/>
              <w:rPr>
                <w:sz w:val="6"/>
                <w:szCs w:val="6"/>
              </w:rPr>
            </w:pPr>
          </w:p>
          <w:p w:rsidR="00230FAA" w:rsidRDefault="00230FAA" w:rsidP="00230FAA">
            <w:pPr>
              <w:suppressLineNumbers/>
              <w:suppressAutoHyphens/>
              <w:rPr>
                <w:sz w:val="6"/>
                <w:szCs w:val="6"/>
              </w:rPr>
            </w:pP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sz w:val="16"/>
                <w:szCs w:val="16"/>
              </w:rPr>
            </w:pPr>
            <w:r w:rsidRPr="007C56C4">
              <w:rPr>
                <w:sz w:val="16"/>
                <w:szCs w:val="16"/>
              </w:rPr>
              <w:t>100 (OOJ)</w:t>
            </w:r>
          </w:p>
          <w:p w:rsidR="00230FAA" w:rsidRPr="007C56C4" w:rsidRDefault="00230FAA" w:rsidP="00230FAA">
            <w:pPr>
              <w:suppressLineNumbers/>
              <w:suppressAutoHyphens/>
              <w:rPr>
                <w:sz w:val="6"/>
                <w:szCs w:val="6"/>
              </w:rPr>
            </w:pPr>
          </w:p>
          <w:p w:rsidR="00230FAA" w:rsidRPr="007C56C4" w:rsidRDefault="00230FAA" w:rsidP="00230FAA">
            <w:pPr>
              <w:suppressLineNumbers/>
              <w:suppressAutoHyphens/>
              <w:rPr>
                <w:rFonts w:eastAsia="Calibri"/>
                <w:sz w:val="16"/>
                <w:szCs w:val="16"/>
              </w:rPr>
            </w:pPr>
            <w:r w:rsidRPr="007C56C4">
              <w:rPr>
                <w:rFonts w:eastAsia="Calibri"/>
                <w:sz w:val="16"/>
                <w:szCs w:val="16"/>
              </w:rPr>
              <w:t>87 (OOS)</w:t>
            </w:r>
          </w:p>
          <w:p w:rsidR="00230FAA" w:rsidRPr="007C56C4" w:rsidRDefault="00230FAA" w:rsidP="00230FAA">
            <w:pPr>
              <w:suppressLineNumbers/>
              <w:suppressAutoHyphens/>
              <w:rPr>
                <w:rFonts w:eastAsia="Calibri"/>
                <w:sz w:val="16"/>
                <w:szCs w:val="16"/>
              </w:rPr>
            </w:pPr>
          </w:p>
          <w:p w:rsidR="00230FAA" w:rsidRPr="007C56C4" w:rsidRDefault="00230FAA" w:rsidP="00230FAA">
            <w:pPr>
              <w:suppressLineNumbers/>
              <w:suppressAutoHyphens/>
              <w:rPr>
                <w:sz w:val="16"/>
                <w:szCs w:val="16"/>
              </w:rPr>
            </w:pPr>
          </w:p>
        </w:tc>
        <w:tc>
          <w:tcPr>
            <w:tcW w:w="457" w:type="pct"/>
            <w:gridSpan w:val="4"/>
            <w:shd w:val="clear" w:color="auto" w:fill="auto"/>
            <w:tcMar>
              <w:top w:w="110" w:type="dxa"/>
              <w:left w:w="58" w:type="dxa"/>
              <w:right w:w="58" w:type="dxa"/>
            </w:tcMar>
          </w:tcPr>
          <w:p w:rsidR="00230FAA" w:rsidRPr="007C56C4" w:rsidRDefault="00230FAA" w:rsidP="00230FAA">
            <w:pPr>
              <w:suppressLineNumbers/>
              <w:suppressAutoHyphens/>
              <w:jc w:val="center"/>
              <w:rPr>
                <w:b/>
                <w:sz w:val="13"/>
                <w:szCs w:val="13"/>
              </w:rPr>
            </w:pPr>
            <w:r w:rsidRPr="0050549B">
              <w:rPr>
                <w:b/>
                <w:color w:val="808080"/>
                <w:sz w:val="13"/>
                <w:szCs w:val="13"/>
              </w:rPr>
              <w:t>No mensura</w:t>
            </w:r>
            <w:r>
              <w:rPr>
                <w:b/>
                <w:color w:val="808080"/>
                <w:sz w:val="13"/>
                <w:szCs w:val="13"/>
              </w:rPr>
              <w:t>-</w:t>
            </w:r>
            <w:r w:rsidRPr="0050549B">
              <w:rPr>
                <w:b/>
                <w:color w:val="808080"/>
                <w:sz w:val="13"/>
                <w:szCs w:val="13"/>
              </w:rPr>
              <w:t>ble</w:t>
            </w:r>
          </w:p>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sz w:val="16"/>
                <w:szCs w:val="16"/>
              </w:rPr>
            </w:pPr>
          </w:p>
        </w:tc>
      </w:tr>
      <w:tr w:rsidR="00230FAA" w:rsidRPr="007C56C4" w:rsidTr="00230FAA">
        <w:trPr>
          <w:cantSplit/>
          <w:trHeight w:val="565"/>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suppressLineNumbers/>
              <w:tabs>
                <w:tab w:val="left" w:pos="1452"/>
              </w:tabs>
              <w:suppressAutoHyphens/>
              <w:ind w:left="1701" w:hanging="1701"/>
              <w:rPr>
                <w:sz w:val="16"/>
                <w:szCs w:val="16"/>
              </w:rPr>
            </w:pPr>
            <w:r w:rsidRPr="007C56C4">
              <w:rPr>
                <w:b/>
                <w:bCs/>
                <w:sz w:val="16"/>
                <w:szCs w:val="16"/>
              </w:rPr>
              <w:t>Resultado previsto:</w:t>
            </w:r>
            <w:r w:rsidRPr="007C56C4">
              <w:rPr>
                <w:b/>
                <w:bCs/>
                <w:sz w:val="16"/>
                <w:szCs w:val="16"/>
              </w:rPr>
              <w:tab/>
            </w:r>
            <w:r w:rsidRPr="007C56C4">
              <w:rPr>
                <w:sz w:val="16"/>
                <w:szCs w:val="16"/>
              </w:rPr>
              <w:t xml:space="preserve">IV.2  Mejora del acceso y uso de información de P.I. por parte de instituciones de P.I. y el público para fomentar la innovación y la creatividad </w:t>
            </w:r>
          </w:p>
        </w:tc>
      </w:tr>
      <w:tr w:rsidR="00230FAA" w:rsidRPr="007C56C4" w:rsidTr="00230FAA">
        <w:trPr>
          <w:cantSplit/>
        </w:trPr>
        <w:tc>
          <w:tcPr>
            <w:tcW w:w="1043" w:type="pct"/>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Indicadores de rendimiento</w:t>
            </w:r>
          </w:p>
        </w:tc>
        <w:tc>
          <w:tcPr>
            <w:tcW w:w="1316" w:type="pct"/>
            <w:gridSpan w:val="2"/>
            <w:shd w:val="clear" w:color="auto" w:fill="auto"/>
            <w:tcMar>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Referencia</w:t>
            </w:r>
            <w:r w:rsidR="003A134D">
              <w:rPr>
                <w:b/>
                <w:bCs/>
                <w:sz w:val="16"/>
                <w:szCs w:val="16"/>
              </w:rPr>
              <w:t>s de base</w:t>
            </w:r>
          </w:p>
        </w:tc>
        <w:tc>
          <w:tcPr>
            <w:tcW w:w="862" w:type="pct"/>
            <w:gridSpan w:val="4"/>
            <w:shd w:val="clear" w:color="auto" w:fill="auto"/>
            <w:tcMar>
              <w:top w:w="110" w:type="dxa"/>
              <w:left w:w="58" w:type="dxa"/>
              <w:right w:w="58" w:type="dxa"/>
            </w:tcMar>
            <w:vAlign w:val="center"/>
          </w:tcPr>
          <w:p w:rsidR="00230FAA" w:rsidRPr="007C56C4" w:rsidRDefault="00230FAA" w:rsidP="00230FAA">
            <w:pPr>
              <w:keepNext/>
              <w:keepLines/>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Datos sobre el rendimiento</w:t>
            </w:r>
          </w:p>
        </w:tc>
        <w:tc>
          <w:tcPr>
            <w:tcW w:w="457" w:type="pct"/>
            <w:gridSpan w:val="4"/>
            <w:shd w:val="clear" w:color="auto" w:fill="auto"/>
            <w:tcMar>
              <w:top w:w="110" w:type="dxa"/>
              <w:left w:w="58" w:type="dxa"/>
              <w:right w:w="58" w:type="dxa"/>
            </w:tcMar>
            <w:vAlign w:val="center"/>
          </w:tcPr>
          <w:p w:rsidR="00230FAA" w:rsidRPr="007C56C4" w:rsidRDefault="00230FAA" w:rsidP="00230FAA">
            <w:pPr>
              <w:keepNext/>
              <w:keepLines/>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520"/>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Nº de usuarios de las bases mundiales de datos de la OMPI: PATENTSCOPE, Base Mundial de Datos sobre Marcas, Base Mundial de Datos sobre Dibujos y Modelos</w:t>
            </w:r>
          </w:p>
        </w:tc>
        <w:tc>
          <w:tcPr>
            <w:tcW w:w="1316" w:type="pct"/>
            <w:gridSpan w:val="2"/>
            <w:shd w:val="clear" w:color="auto" w:fill="auto"/>
            <w:tcMar>
              <w:left w:w="58" w:type="dxa"/>
              <w:right w:w="58" w:type="dxa"/>
            </w:tcMar>
          </w:tcPr>
          <w:p w:rsidR="00230FAA" w:rsidRPr="003472A5" w:rsidRDefault="00230FAA" w:rsidP="00230FAA">
            <w:pPr>
              <w:keepNext/>
              <w:keepLines/>
              <w:suppressLineNumbers/>
              <w:suppressAutoHyphens/>
              <w:rPr>
                <w:i/>
                <w:color w:val="002060"/>
                <w:sz w:val="16"/>
                <w:szCs w:val="16"/>
              </w:rPr>
            </w:pPr>
            <w:r w:rsidRPr="003472A5">
              <w:rPr>
                <w:i/>
                <w:color w:val="002060"/>
                <w:sz w:val="16"/>
                <w:szCs w:val="16"/>
              </w:rPr>
              <w:t xml:space="preserve">Referencia actualizada a fines de 2015: </w:t>
            </w:r>
          </w:p>
          <w:p w:rsidR="00230FAA" w:rsidRPr="003472A5" w:rsidRDefault="00230FAA" w:rsidP="00230FAA">
            <w:pPr>
              <w:keepNext/>
              <w:keepLines/>
              <w:rPr>
                <w:color w:val="002060"/>
                <w:sz w:val="16"/>
                <w:szCs w:val="16"/>
              </w:rPr>
            </w:pPr>
            <w:r w:rsidRPr="003472A5">
              <w:rPr>
                <w:color w:val="002060"/>
                <w:sz w:val="16"/>
                <w:szCs w:val="16"/>
              </w:rPr>
              <w:t>2014/15:</w:t>
            </w:r>
          </w:p>
          <w:p w:rsidR="00230FAA" w:rsidRPr="003472A5" w:rsidRDefault="00230FAA" w:rsidP="00230FAA">
            <w:pPr>
              <w:keepNext/>
              <w:keepLines/>
              <w:rPr>
                <w:color w:val="002060"/>
                <w:sz w:val="16"/>
                <w:szCs w:val="16"/>
              </w:rPr>
            </w:pPr>
            <w:r w:rsidRPr="003472A5">
              <w:rPr>
                <w:color w:val="002060"/>
                <w:sz w:val="16"/>
                <w:szCs w:val="16"/>
              </w:rPr>
              <w:t xml:space="preserve">PATENTSCOPE:  </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 xml:space="preserve">OOB (8.533) </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OOC (27.454) (en 2015)</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OOJ (30.743)</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OOR (6.292) (en 2015)</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OOS (15.525)</w:t>
            </w:r>
          </w:p>
          <w:p w:rsidR="00230FAA" w:rsidRPr="003472A5" w:rsidRDefault="00230FAA" w:rsidP="00230FAA">
            <w:pPr>
              <w:keepNext/>
              <w:keepLines/>
              <w:rPr>
                <w:color w:val="002060"/>
                <w:sz w:val="16"/>
                <w:szCs w:val="16"/>
              </w:rPr>
            </w:pPr>
          </w:p>
          <w:p w:rsidR="00230FAA" w:rsidRPr="003472A5" w:rsidRDefault="00230FAA" w:rsidP="00230FAA">
            <w:pPr>
              <w:keepNext/>
              <w:keepLines/>
              <w:rPr>
                <w:color w:val="002060"/>
                <w:sz w:val="16"/>
                <w:szCs w:val="16"/>
              </w:rPr>
            </w:pPr>
            <w:r w:rsidRPr="003472A5">
              <w:rPr>
                <w:color w:val="002060"/>
                <w:sz w:val="16"/>
                <w:szCs w:val="16"/>
              </w:rPr>
              <w:t>Base Mundial de Datos sobre Marcas:</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OOB (1.036)</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OOC (3.181) (en 2015)</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OOJ (6.883)</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OOR (2.475) (en 2015)</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OOS (24.947)</w:t>
            </w:r>
          </w:p>
          <w:p w:rsidR="00230FAA" w:rsidRPr="003472A5" w:rsidRDefault="00230FAA" w:rsidP="00230FAA">
            <w:pPr>
              <w:keepNext/>
              <w:keepLines/>
              <w:rPr>
                <w:color w:val="002060"/>
                <w:sz w:val="16"/>
                <w:szCs w:val="16"/>
              </w:rPr>
            </w:pPr>
          </w:p>
          <w:p w:rsidR="00230FAA" w:rsidRPr="003472A5" w:rsidRDefault="00230FAA" w:rsidP="00230FAA">
            <w:pPr>
              <w:keepNext/>
              <w:keepLines/>
              <w:rPr>
                <w:color w:val="002060"/>
                <w:sz w:val="16"/>
                <w:szCs w:val="16"/>
              </w:rPr>
            </w:pPr>
            <w:r w:rsidRPr="003472A5">
              <w:rPr>
                <w:color w:val="002060"/>
                <w:sz w:val="16"/>
                <w:szCs w:val="16"/>
              </w:rPr>
              <w:t>Base Mundial de Datos sobre Dibujos y Modelos: (en 2015)</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OOB (107)</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 xml:space="preserve">OOC (420) </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OOJ (1.736)</w:t>
            </w:r>
          </w:p>
          <w:p w:rsidR="00230FAA" w:rsidRPr="003472A5" w:rsidRDefault="00230FAA" w:rsidP="00867DB8">
            <w:pPr>
              <w:pStyle w:val="ListParagraph"/>
              <w:keepNext/>
              <w:keepLines/>
              <w:numPr>
                <w:ilvl w:val="0"/>
                <w:numId w:val="80"/>
              </w:numPr>
              <w:ind w:hanging="180"/>
              <w:contextualSpacing/>
              <w:rPr>
                <w:color w:val="002060"/>
                <w:sz w:val="16"/>
                <w:szCs w:val="16"/>
                <w:lang w:val="es-ES"/>
              </w:rPr>
            </w:pPr>
            <w:r w:rsidRPr="003472A5">
              <w:rPr>
                <w:color w:val="002060"/>
                <w:sz w:val="16"/>
                <w:szCs w:val="16"/>
                <w:lang w:val="es-ES"/>
              </w:rPr>
              <w:t xml:space="preserve">OOR (516) </w:t>
            </w:r>
          </w:p>
          <w:p w:rsidR="00230FAA" w:rsidRPr="003472A5" w:rsidRDefault="00230FAA" w:rsidP="00867DB8">
            <w:pPr>
              <w:pStyle w:val="ListParagraph"/>
              <w:keepNext/>
              <w:keepLines/>
              <w:numPr>
                <w:ilvl w:val="0"/>
                <w:numId w:val="80"/>
              </w:numPr>
              <w:ind w:hanging="180"/>
              <w:contextualSpacing/>
              <w:rPr>
                <w:i/>
                <w:color w:val="002060"/>
                <w:sz w:val="16"/>
                <w:szCs w:val="16"/>
                <w:lang w:val="es-ES"/>
              </w:rPr>
            </w:pPr>
            <w:r w:rsidRPr="003472A5">
              <w:rPr>
                <w:color w:val="002060"/>
                <w:sz w:val="16"/>
                <w:szCs w:val="16"/>
                <w:lang w:val="es-ES"/>
              </w:rPr>
              <w:t>OOS (437)</w:t>
            </w:r>
          </w:p>
          <w:p w:rsidR="00230FAA" w:rsidRPr="007C56C4" w:rsidRDefault="00230FAA" w:rsidP="00230FAA">
            <w:pPr>
              <w:keepNext/>
              <w:keepLines/>
              <w:suppressLineNumbers/>
              <w:suppressAutoHyphens/>
              <w:rPr>
                <w:sz w:val="16"/>
                <w:szCs w:val="16"/>
              </w:rPr>
            </w:pPr>
          </w:p>
          <w:p w:rsidR="00230FAA" w:rsidRPr="007C56C4" w:rsidRDefault="00230FAA" w:rsidP="00230FAA">
            <w:pPr>
              <w:keepNext/>
              <w:keepLines/>
              <w:suppressLineNumbers/>
              <w:suppressAutoHyphens/>
              <w:rPr>
                <w:i/>
                <w:sz w:val="16"/>
                <w:szCs w:val="16"/>
                <w:lang w:bidi="th-TH"/>
              </w:rPr>
            </w:pPr>
            <w:r w:rsidRPr="007C56C4">
              <w:rPr>
                <w:i/>
                <w:sz w:val="16"/>
                <w:szCs w:val="16"/>
                <w:lang w:bidi="th-TH"/>
              </w:rPr>
              <w:t xml:space="preserve">Referencia original en el presupuesto de 2016/2017: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7"/>
              <w:gridCol w:w="1009"/>
            </w:tblGrid>
            <w:tr w:rsidR="00230FAA" w:rsidRPr="007C56C4" w:rsidTr="00230FAA">
              <w:tc>
                <w:tcPr>
                  <w:tcW w:w="1287"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PATENTSCOPE:  </w:t>
                  </w:r>
                </w:p>
              </w:tc>
              <w:tc>
                <w:tcPr>
                  <w:tcW w:w="1009"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Base Mundial de Datos sobre Marcas:  </w:t>
                  </w:r>
                </w:p>
              </w:tc>
            </w:tr>
            <w:tr w:rsidR="00230FAA" w:rsidRPr="007C56C4" w:rsidTr="00230FAA">
              <w:tc>
                <w:tcPr>
                  <w:tcW w:w="1287"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8.054 (OOS). </w:t>
                  </w:r>
                </w:p>
              </w:tc>
              <w:tc>
                <w:tcPr>
                  <w:tcW w:w="1009"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9.162 (OOS). </w:t>
                  </w:r>
                </w:p>
              </w:tc>
            </w:tr>
            <w:tr w:rsidR="00230FAA" w:rsidRPr="007C56C4" w:rsidTr="00230FAA">
              <w:tc>
                <w:tcPr>
                  <w:tcW w:w="1287"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4.688 (OOB) </w:t>
                  </w:r>
                </w:p>
              </w:tc>
              <w:tc>
                <w:tcPr>
                  <w:tcW w:w="1009"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596 (OOB) </w:t>
                  </w:r>
                </w:p>
              </w:tc>
            </w:tr>
            <w:tr w:rsidR="00230FAA" w:rsidRPr="007C56C4" w:rsidTr="00230FAA">
              <w:tc>
                <w:tcPr>
                  <w:tcW w:w="1287"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14.711 (OOJ) </w:t>
                  </w:r>
                </w:p>
              </w:tc>
              <w:tc>
                <w:tcPr>
                  <w:tcW w:w="1009"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2.871 (OOJ) </w:t>
                  </w:r>
                </w:p>
              </w:tc>
            </w:tr>
            <w:tr w:rsidR="00230FAA" w:rsidRPr="007C56C4" w:rsidTr="00230FAA">
              <w:tc>
                <w:tcPr>
                  <w:tcW w:w="1287"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6.257 (OOR) </w:t>
                  </w:r>
                </w:p>
              </w:tc>
              <w:tc>
                <w:tcPr>
                  <w:tcW w:w="1009"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2.352 (OOR) </w:t>
                  </w:r>
                </w:p>
              </w:tc>
            </w:tr>
            <w:tr w:rsidR="00230FAA" w:rsidRPr="007C56C4" w:rsidTr="00230FAA">
              <w:tc>
                <w:tcPr>
                  <w:tcW w:w="1287"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56.355 (OOC) </w:t>
                  </w:r>
                </w:p>
              </w:tc>
              <w:tc>
                <w:tcPr>
                  <w:tcW w:w="1009" w:type="dxa"/>
                  <w:tcMar>
                    <w:left w:w="14" w:type="dxa"/>
                    <w:right w:w="14" w:type="dxa"/>
                  </w:tcMar>
                </w:tcPr>
                <w:p w:rsidR="00230FAA" w:rsidRPr="007C56C4" w:rsidRDefault="00230FAA" w:rsidP="00230FAA">
                  <w:pPr>
                    <w:keepNext/>
                    <w:keepLines/>
                    <w:suppressLineNumbers/>
                    <w:suppressAutoHyphens/>
                    <w:rPr>
                      <w:i/>
                      <w:sz w:val="16"/>
                      <w:szCs w:val="16"/>
                      <w:lang w:bidi="th-TH"/>
                    </w:rPr>
                  </w:pPr>
                  <w:r w:rsidRPr="007C56C4">
                    <w:rPr>
                      <w:sz w:val="16"/>
                      <w:szCs w:val="16"/>
                    </w:rPr>
                    <w:t xml:space="preserve">3.398 (OOC) </w:t>
                  </w:r>
                </w:p>
              </w:tc>
            </w:tr>
          </w:tbl>
          <w:p w:rsidR="00230FAA" w:rsidRPr="007C56C4" w:rsidRDefault="00230FAA" w:rsidP="00230FAA">
            <w:pPr>
              <w:pStyle w:val="Default"/>
              <w:keepNext/>
              <w:keepLines/>
              <w:suppressLineNumbers/>
              <w:suppressAutoHyphens/>
              <w:spacing w:after="60"/>
              <w:rPr>
                <w:color w:val="auto"/>
                <w:sz w:val="16"/>
                <w:szCs w:val="16"/>
                <w:lang w:val="es-ES"/>
              </w:rPr>
            </w:pPr>
            <w:r w:rsidRPr="007C56C4">
              <w:rPr>
                <w:color w:val="auto"/>
                <w:sz w:val="16"/>
                <w:szCs w:val="16"/>
                <w:lang w:val="es-ES"/>
              </w:rPr>
              <w:t xml:space="preserve">Base Mundial de datos sobre DD.MM.:  n/d </w:t>
            </w:r>
          </w:p>
        </w:tc>
        <w:tc>
          <w:tcPr>
            <w:tcW w:w="862" w:type="pct"/>
            <w:gridSpan w:val="4"/>
            <w:shd w:val="clear" w:color="auto" w:fill="auto"/>
            <w:tcMar>
              <w:top w:w="110" w:type="dxa"/>
              <w:left w:w="58" w:type="dxa"/>
              <w:right w:w="58" w:type="dxa"/>
            </w:tcMar>
          </w:tcPr>
          <w:p w:rsidR="00230FAA" w:rsidRPr="007C56C4" w:rsidRDefault="00230FAA" w:rsidP="00230FAA">
            <w:pPr>
              <w:pStyle w:val="Default"/>
              <w:keepNext/>
              <w:keepLines/>
              <w:suppressLineNumbers/>
              <w:suppressAutoHyphens/>
              <w:rPr>
                <w:color w:val="auto"/>
                <w:sz w:val="16"/>
                <w:szCs w:val="16"/>
                <w:lang w:val="es-ES"/>
              </w:rPr>
            </w:pPr>
            <w:r w:rsidRPr="007C56C4">
              <w:rPr>
                <w:color w:val="auto"/>
                <w:sz w:val="16"/>
                <w:szCs w:val="16"/>
                <w:lang w:val="es-ES"/>
              </w:rPr>
              <w:t>Incremento del 5% (anual)</w:t>
            </w: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r w:rsidRPr="007C56C4">
              <w:rPr>
                <w:color w:val="auto"/>
                <w:sz w:val="16"/>
                <w:szCs w:val="16"/>
                <w:lang w:val="es-ES"/>
              </w:rPr>
              <w:t>Incremento del 5%.</w:t>
            </w:r>
          </w:p>
          <w:p w:rsidR="00230FAA" w:rsidRPr="007C56C4" w:rsidRDefault="00230FAA" w:rsidP="00230FAA">
            <w:pPr>
              <w:pStyle w:val="Default"/>
              <w:keepNext/>
              <w:keepLines/>
              <w:suppressLineNumbers/>
              <w:suppressAutoHyphens/>
              <w:rPr>
                <w:color w:val="auto"/>
                <w:sz w:val="16"/>
                <w:szCs w:val="16"/>
                <w:lang w:val="es-ES"/>
              </w:rPr>
            </w:pPr>
            <w:r w:rsidRPr="007C56C4">
              <w:rPr>
                <w:color w:val="auto"/>
                <w:sz w:val="16"/>
                <w:szCs w:val="16"/>
                <w:lang w:val="es-ES"/>
              </w:rPr>
              <w:t>(bienal)</w:t>
            </w: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p>
          <w:p w:rsidR="00230FAA" w:rsidRPr="007C56C4" w:rsidRDefault="00230FAA" w:rsidP="00230FAA">
            <w:pPr>
              <w:pStyle w:val="Default"/>
              <w:keepNext/>
              <w:keepLines/>
              <w:suppressLineNumbers/>
              <w:suppressAutoHyphens/>
              <w:rPr>
                <w:color w:val="auto"/>
                <w:sz w:val="16"/>
                <w:szCs w:val="16"/>
                <w:lang w:val="es-ES"/>
              </w:rPr>
            </w:pPr>
            <w:r w:rsidRPr="007C56C4">
              <w:rPr>
                <w:color w:val="auto"/>
                <w:sz w:val="16"/>
                <w:szCs w:val="16"/>
                <w:lang w:val="es-ES"/>
              </w:rPr>
              <w:t xml:space="preserve">Incremento del 5%. </w:t>
            </w:r>
          </w:p>
          <w:p w:rsidR="00230FAA" w:rsidRPr="007C56C4" w:rsidRDefault="00230FAA" w:rsidP="00230FAA">
            <w:pPr>
              <w:pStyle w:val="Default"/>
              <w:keepNext/>
              <w:keepLines/>
              <w:suppressLineNumbers/>
              <w:suppressAutoHyphens/>
              <w:rPr>
                <w:color w:val="auto"/>
                <w:sz w:val="16"/>
                <w:szCs w:val="16"/>
                <w:lang w:val="es-ES"/>
              </w:rPr>
            </w:pPr>
            <w:r w:rsidRPr="007C56C4">
              <w:rPr>
                <w:color w:val="auto"/>
                <w:sz w:val="16"/>
                <w:szCs w:val="16"/>
                <w:lang w:val="es-ES"/>
              </w:rPr>
              <w:t>(bienal)</w:t>
            </w:r>
          </w:p>
        </w:tc>
        <w:tc>
          <w:tcPr>
            <w:tcW w:w="1323" w:type="pct"/>
            <w:gridSpan w:val="4"/>
            <w:shd w:val="clear" w:color="auto" w:fill="FFFFFF"/>
            <w:tcMar>
              <w:top w:w="110" w:type="dxa"/>
              <w:left w:w="58" w:type="dxa"/>
              <w:right w:w="58" w:type="dxa"/>
            </w:tcMar>
          </w:tcPr>
          <w:tbl>
            <w:tblPr>
              <w:tblStyle w:val="TableGrid"/>
              <w:tblW w:w="31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52"/>
              <w:gridCol w:w="1816"/>
              <w:gridCol w:w="622"/>
            </w:tblGrid>
            <w:tr w:rsidR="00230FAA" w:rsidRPr="007C56C4" w:rsidTr="00230FAA">
              <w:trPr>
                <w:gridAfter w:val="1"/>
                <w:wAfter w:w="622" w:type="dxa"/>
              </w:trPr>
              <w:tc>
                <w:tcPr>
                  <w:tcW w:w="2568" w:type="dxa"/>
                  <w:gridSpan w:val="2"/>
                  <w:hideMark/>
                </w:tcPr>
                <w:p w:rsidR="00230FAA" w:rsidRPr="007C56C4" w:rsidRDefault="00230FAA" w:rsidP="00230FAA">
                  <w:pPr>
                    <w:keepNext/>
                    <w:keepLines/>
                    <w:suppressLineNumbers/>
                    <w:suppressAutoHyphens/>
                    <w:spacing w:after="60"/>
                    <w:ind w:left="-108"/>
                    <w:rPr>
                      <w:sz w:val="16"/>
                      <w:szCs w:val="16"/>
                    </w:rPr>
                  </w:pPr>
                  <w:r w:rsidRPr="007C56C4">
                    <w:rPr>
                      <w:sz w:val="16"/>
                      <w:szCs w:val="16"/>
                    </w:rPr>
                    <w:t xml:space="preserve">PATENTSCOPE: </w:t>
                  </w:r>
                </w:p>
              </w:tc>
            </w:tr>
            <w:tr w:rsidR="00230FAA" w:rsidRPr="007C56C4" w:rsidTr="00230FAA">
              <w:tc>
                <w:tcPr>
                  <w:tcW w:w="752" w:type="dxa"/>
                  <w:shd w:val="clear" w:color="auto" w:fill="auto"/>
                </w:tcPr>
                <w:p w:rsidR="00230FAA" w:rsidRPr="007C56C4" w:rsidRDefault="00230FAA" w:rsidP="00230FAA">
                  <w:pPr>
                    <w:keepNext/>
                    <w:keepLines/>
                    <w:spacing w:after="120"/>
                    <w:jc w:val="right"/>
                    <w:rPr>
                      <w:sz w:val="16"/>
                      <w:szCs w:val="16"/>
                    </w:rPr>
                  </w:pPr>
                  <w:r w:rsidRPr="007C56C4">
                    <w:rPr>
                      <w:sz w:val="16"/>
                      <w:szCs w:val="16"/>
                    </w:rPr>
                    <w:t>4.531</w:t>
                  </w:r>
                </w:p>
              </w:tc>
              <w:tc>
                <w:tcPr>
                  <w:tcW w:w="2438" w:type="dxa"/>
                  <w:gridSpan w:val="2"/>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(OOB)</w:t>
                  </w:r>
                </w:p>
              </w:tc>
            </w:tr>
            <w:tr w:rsidR="00230FAA" w:rsidRPr="007C56C4" w:rsidTr="00230FAA">
              <w:tc>
                <w:tcPr>
                  <w:tcW w:w="752" w:type="dxa"/>
                  <w:shd w:val="clear" w:color="auto" w:fill="auto"/>
                  <w:hideMark/>
                </w:tcPr>
                <w:p w:rsidR="00230FAA" w:rsidRPr="007C56C4" w:rsidRDefault="00230FAA" w:rsidP="00230FAA">
                  <w:pPr>
                    <w:keepNext/>
                    <w:keepLines/>
                    <w:spacing w:after="120"/>
                    <w:jc w:val="right"/>
                    <w:rPr>
                      <w:sz w:val="16"/>
                      <w:szCs w:val="16"/>
                    </w:rPr>
                  </w:pPr>
                  <w:r w:rsidRPr="007C56C4">
                    <w:rPr>
                      <w:sz w:val="16"/>
                      <w:szCs w:val="16"/>
                    </w:rPr>
                    <w:t>29.122</w:t>
                  </w:r>
                </w:p>
              </w:tc>
              <w:tc>
                <w:tcPr>
                  <w:tcW w:w="2438" w:type="dxa"/>
                  <w:gridSpan w:val="2"/>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(OOC)</w:t>
                  </w:r>
                </w:p>
              </w:tc>
            </w:tr>
            <w:tr w:rsidR="00230FAA" w:rsidRPr="007C56C4" w:rsidTr="00230FAA">
              <w:tc>
                <w:tcPr>
                  <w:tcW w:w="752" w:type="dxa"/>
                  <w:shd w:val="clear" w:color="auto" w:fill="auto"/>
                </w:tcPr>
                <w:p w:rsidR="00230FAA" w:rsidRPr="007C56C4" w:rsidRDefault="00230FAA" w:rsidP="00230FAA">
                  <w:pPr>
                    <w:keepNext/>
                    <w:keepLines/>
                    <w:spacing w:after="120"/>
                    <w:jc w:val="right"/>
                    <w:rPr>
                      <w:sz w:val="16"/>
                      <w:szCs w:val="16"/>
                    </w:rPr>
                  </w:pPr>
                  <w:r w:rsidRPr="007C56C4">
                    <w:rPr>
                      <w:sz w:val="16"/>
                      <w:szCs w:val="16"/>
                    </w:rPr>
                    <w:t>23.226</w:t>
                  </w:r>
                </w:p>
              </w:tc>
              <w:tc>
                <w:tcPr>
                  <w:tcW w:w="2438" w:type="dxa"/>
                  <w:gridSpan w:val="2"/>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(OOJ)</w:t>
                  </w:r>
                </w:p>
              </w:tc>
            </w:tr>
            <w:tr w:rsidR="00230FAA" w:rsidRPr="007C56C4" w:rsidTr="00230FAA">
              <w:tc>
                <w:tcPr>
                  <w:tcW w:w="752" w:type="dxa"/>
                  <w:shd w:val="clear" w:color="auto" w:fill="auto"/>
                  <w:hideMark/>
                </w:tcPr>
                <w:p w:rsidR="00230FAA" w:rsidRPr="007C56C4" w:rsidRDefault="00230FAA" w:rsidP="00230FAA">
                  <w:pPr>
                    <w:keepNext/>
                    <w:keepLines/>
                    <w:spacing w:after="120"/>
                    <w:jc w:val="right"/>
                    <w:rPr>
                      <w:sz w:val="16"/>
                      <w:szCs w:val="16"/>
                    </w:rPr>
                  </w:pPr>
                  <w:r w:rsidRPr="007C56C4">
                    <w:rPr>
                      <w:sz w:val="16"/>
                      <w:szCs w:val="16"/>
                    </w:rPr>
                    <w:t>8.152</w:t>
                  </w:r>
                </w:p>
              </w:tc>
              <w:tc>
                <w:tcPr>
                  <w:tcW w:w="2438" w:type="dxa"/>
                  <w:gridSpan w:val="2"/>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(OOR)</w:t>
                  </w:r>
                </w:p>
              </w:tc>
            </w:tr>
            <w:tr w:rsidR="00230FAA" w:rsidRPr="007C56C4" w:rsidTr="00230FAA">
              <w:tc>
                <w:tcPr>
                  <w:tcW w:w="752" w:type="dxa"/>
                  <w:shd w:val="clear" w:color="auto" w:fill="auto"/>
                </w:tcPr>
                <w:p w:rsidR="00230FAA" w:rsidRPr="007C56C4" w:rsidRDefault="00230FAA" w:rsidP="00230FAA">
                  <w:pPr>
                    <w:keepNext/>
                    <w:keepLines/>
                    <w:spacing w:after="120"/>
                    <w:jc w:val="right"/>
                    <w:rPr>
                      <w:sz w:val="16"/>
                      <w:szCs w:val="16"/>
                    </w:rPr>
                  </w:pPr>
                  <w:r w:rsidRPr="007C56C4">
                    <w:rPr>
                      <w:sz w:val="16"/>
                      <w:szCs w:val="16"/>
                    </w:rPr>
                    <w:t>8.912</w:t>
                  </w:r>
                </w:p>
              </w:tc>
              <w:tc>
                <w:tcPr>
                  <w:tcW w:w="2438" w:type="dxa"/>
                  <w:gridSpan w:val="2"/>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(OOS).</w:t>
                  </w:r>
                </w:p>
              </w:tc>
            </w:tr>
            <w:tr w:rsidR="00230FAA" w:rsidRPr="007C56C4" w:rsidTr="00230FAA">
              <w:trPr>
                <w:gridAfter w:val="1"/>
                <w:wAfter w:w="622" w:type="dxa"/>
              </w:trPr>
              <w:tc>
                <w:tcPr>
                  <w:tcW w:w="2568" w:type="dxa"/>
                  <w:gridSpan w:val="2"/>
                </w:tcPr>
                <w:p w:rsidR="00230FAA" w:rsidRPr="007C56C4" w:rsidRDefault="00230FAA" w:rsidP="00230FAA">
                  <w:pPr>
                    <w:keepNext/>
                    <w:keepLines/>
                    <w:suppressLineNumbers/>
                    <w:suppressAutoHyphens/>
                    <w:ind w:left="-80"/>
                    <w:jc w:val="both"/>
                    <w:rPr>
                      <w:sz w:val="16"/>
                      <w:szCs w:val="16"/>
                    </w:rPr>
                  </w:pPr>
                </w:p>
                <w:p w:rsidR="00230FAA" w:rsidRPr="007C56C4" w:rsidRDefault="00230FAA" w:rsidP="00230FAA">
                  <w:pPr>
                    <w:keepNext/>
                    <w:keepLines/>
                    <w:suppressLineNumbers/>
                    <w:suppressAutoHyphens/>
                    <w:ind w:left="-80"/>
                    <w:jc w:val="both"/>
                    <w:rPr>
                      <w:sz w:val="16"/>
                      <w:szCs w:val="16"/>
                    </w:rPr>
                  </w:pPr>
                  <w:r w:rsidRPr="007C56C4">
                    <w:rPr>
                      <w:sz w:val="16"/>
                      <w:szCs w:val="16"/>
                    </w:rPr>
                    <w:t xml:space="preserve">Base Mundial de Datos sobre Marcas: </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spacing w:after="120"/>
                    <w:ind w:left="-80"/>
                    <w:jc w:val="right"/>
                    <w:rPr>
                      <w:sz w:val="16"/>
                      <w:szCs w:val="16"/>
                    </w:rPr>
                  </w:pPr>
                  <w:r w:rsidRPr="007C56C4">
                    <w:rPr>
                      <w:sz w:val="16"/>
                      <w:szCs w:val="16"/>
                    </w:rPr>
                    <w:t>647</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(OOB)</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autoSpaceDE w:val="0"/>
                    <w:autoSpaceDN w:val="0"/>
                    <w:adjustRightInd w:val="0"/>
                    <w:spacing w:after="120"/>
                    <w:ind w:left="-80"/>
                    <w:jc w:val="right"/>
                    <w:rPr>
                      <w:sz w:val="16"/>
                      <w:szCs w:val="16"/>
                    </w:rPr>
                  </w:pPr>
                  <w:r w:rsidRPr="007C56C4">
                    <w:rPr>
                      <w:sz w:val="16"/>
                      <w:szCs w:val="16"/>
                    </w:rPr>
                    <w:t>8.061</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(OOC)</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spacing w:after="120"/>
                    <w:ind w:left="-80"/>
                    <w:jc w:val="right"/>
                    <w:rPr>
                      <w:sz w:val="16"/>
                      <w:szCs w:val="16"/>
                    </w:rPr>
                  </w:pPr>
                  <w:r w:rsidRPr="007C56C4">
                    <w:rPr>
                      <w:sz w:val="16"/>
                      <w:szCs w:val="16"/>
                    </w:rPr>
                    <w:t>5.964</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(OOJ)</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spacing w:after="120"/>
                    <w:ind w:left="-80"/>
                    <w:jc w:val="right"/>
                    <w:rPr>
                      <w:sz w:val="16"/>
                      <w:szCs w:val="16"/>
                    </w:rPr>
                  </w:pPr>
                  <w:r w:rsidRPr="007C56C4">
                    <w:rPr>
                      <w:sz w:val="16"/>
                      <w:szCs w:val="16"/>
                    </w:rPr>
                    <w:t>3.914</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(OOR)</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autoSpaceDE w:val="0"/>
                    <w:autoSpaceDN w:val="0"/>
                    <w:adjustRightInd w:val="0"/>
                    <w:spacing w:after="120"/>
                    <w:ind w:left="-80"/>
                    <w:jc w:val="right"/>
                    <w:rPr>
                      <w:sz w:val="16"/>
                      <w:szCs w:val="16"/>
                    </w:rPr>
                  </w:pPr>
                  <w:r w:rsidRPr="007C56C4">
                    <w:rPr>
                      <w:sz w:val="16"/>
                      <w:szCs w:val="16"/>
                    </w:rPr>
                    <w:t>34.217</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(OOS).</w:t>
                  </w:r>
                </w:p>
              </w:tc>
            </w:tr>
            <w:tr w:rsidR="00230FAA" w:rsidRPr="007C56C4" w:rsidTr="00230FAA">
              <w:trPr>
                <w:gridAfter w:val="1"/>
                <w:wAfter w:w="622" w:type="dxa"/>
              </w:trPr>
              <w:tc>
                <w:tcPr>
                  <w:tcW w:w="2568" w:type="dxa"/>
                  <w:gridSpan w:val="2"/>
                </w:tcPr>
                <w:p w:rsidR="00230FAA" w:rsidRPr="007C56C4" w:rsidRDefault="00230FAA" w:rsidP="00230FAA">
                  <w:pPr>
                    <w:keepNext/>
                    <w:keepLines/>
                    <w:suppressLineNumbers/>
                    <w:suppressAutoHyphens/>
                    <w:ind w:left="-108"/>
                    <w:rPr>
                      <w:sz w:val="16"/>
                      <w:szCs w:val="16"/>
                    </w:rPr>
                  </w:pPr>
                </w:p>
                <w:p w:rsidR="00230FAA" w:rsidRPr="007C56C4" w:rsidRDefault="00230FAA" w:rsidP="00230FAA">
                  <w:pPr>
                    <w:keepNext/>
                    <w:keepLines/>
                    <w:suppressLineNumbers/>
                    <w:suppressAutoHyphens/>
                    <w:ind w:left="-108"/>
                    <w:rPr>
                      <w:sz w:val="16"/>
                      <w:szCs w:val="16"/>
                    </w:rPr>
                  </w:pPr>
                  <w:r w:rsidRPr="007C56C4">
                    <w:rPr>
                      <w:sz w:val="16"/>
                      <w:szCs w:val="16"/>
                    </w:rPr>
                    <w:t xml:space="preserve">Base Mundial de datos sobre DD.MM: </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autoSpaceDE w:val="0"/>
                    <w:autoSpaceDN w:val="0"/>
                    <w:adjustRightInd w:val="0"/>
                    <w:spacing w:after="120"/>
                    <w:ind w:left="-80"/>
                    <w:jc w:val="right"/>
                    <w:rPr>
                      <w:sz w:val="16"/>
                      <w:szCs w:val="16"/>
                    </w:rPr>
                  </w:pPr>
                  <w:r w:rsidRPr="007C56C4">
                    <w:rPr>
                      <w:sz w:val="16"/>
                      <w:szCs w:val="16"/>
                    </w:rPr>
                    <w:t>221</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(OOB)</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autoSpaceDE w:val="0"/>
                    <w:autoSpaceDN w:val="0"/>
                    <w:adjustRightInd w:val="0"/>
                    <w:spacing w:after="120"/>
                    <w:ind w:left="-80"/>
                    <w:jc w:val="right"/>
                    <w:rPr>
                      <w:sz w:val="16"/>
                      <w:szCs w:val="16"/>
                    </w:rPr>
                  </w:pPr>
                  <w:r w:rsidRPr="007C56C4">
                    <w:rPr>
                      <w:sz w:val="16"/>
                      <w:szCs w:val="16"/>
                    </w:rPr>
                    <w:t>1.531</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(OOC)</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autoSpaceDE w:val="0"/>
                    <w:autoSpaceDN w:val="0"/>
                    <w:adjustRightInd w:val="0"/>
                    <w:spacing w:after="120"/>
                    <w:ind w:left="-80"/>
                    <w:jc w:val="right"/>
                    <w:rPr>
                      <w:sz w:val="16"/>
                      <w:szCs w:val="16"/>
                    </w:rPr>
                  </w:pPr>
                  <w:r w:rsidRPr="007C56C4">
                    <w:rPr>
                      <w:sz w:val="16"/>
                      <w:szCs w:val="16"/>
                    </w:rPr>
                    <w:t>1.754</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(OOJ)</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autoSpaceDE w:val="0"/>
                    <w:autoSpaceDN w:val="0"/>
                    <w:adjustRightInd w:val="0"/>
                    <w:spacing w:after="120"/>
                    <w:ind w:left="-80"/>
                    <w:jc w:val="right"/>
                    <w:rPr>
                      <w:sz w:val="16"/>
                      <w:szCs w:val="16"/>
                    </w:rPr>
                  </w:pPr>
                  <w:r w:rsidRPr="007C56C4">
                    <w:rPr>
                      <w:sz w:val="16"/>
                      <w:szCs w:val="16"/>
                    </w:rPr>
                    <w:t>1.010</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(OOR)</w:t>
                  </w:r>
                </w:p>
              </w:tc>
            </w:tr>
            <w:tr w:rsidR="00230FAA" w:rsidRPr="007C56C4" w:rsidTr="00230FAA">
              <w:tc>
                <w:tcPr>
                  <w:tcW w:w="752" w:type="dxa"/>
                  <w:shd w:val="clear" w:color="auto" w:fill="FFFFFF" w:themeFill="background1"/>
                  <w:vAlign w:val="bottom"/>
                </w:tcPr>
                <w:p w:rsidR="00230FAA" w:rsidRPr="007C56C4" w:rsidRDefault="00230FAA" w:rsidP="00230FAA">
                  <w:pPr>
                    <w:keepNext/>
                    <w:keepLines/>
                    <w:suppressLineNumbers/>
                    <w:suppressAutoHyphens/>
                    <w:autoSpaceDE w:val="0"/>
                    <w:autoSpaceDN w:val="0"/>
                    <w:adjustRightInd w:val="0"/>
                    <w:spacing w:after="120"/>
                    <w:ind w:left="-80"/>
                    <w:jc w:val="right"/>
                    <w:rPr>
                      <w:sz w:val="16"/>
                      <w:szCs w:val="16"/>
                    </w:rPr>
                  </w:pPr>
                  <w:r w:rsidRPr="007C56C4">
                    <w:rPr>
                      <w:sz w:val="16"/>
                      <w:szCs w:val="16"/>
                    </w:rPr>
                    <w:t>576</w:t>
                  </w:r>
                </w:p>
              </w:tc>
              <w:tc>
                <w:tcPr>
                  <w:tcW w:w="2438" w:type="dxa"/>
                  <w:gridSpan w:val="2"/>
                  <w:vAlign w:val="center"/>
                  <w:hideMark/>
                </w:tcPr>
                <w:p w:rsidR="00230FAA" w:rsidRPr="007C56C4" w:rsidRDefault="00230FAA" w:rsidP="00230FAA">
                  <w:pPr>
                    <w:keepNext/>
                    <w:keepLines/>
                    <w:suppressLineNumbers/>
                    <w:suppressAutoHyphens/>
                    <w:spacing w:after="120"/>
                    <w:ind w:left="-108"/>
                    <w:rPr>
                      <w:sz w:val="16"/>
                      <w:szCs w:val="16"/>
                    </w:rPr>
                  </w:pPr>
                  <w:r w:rsidRPr="007C56C4">
                    <w:rPr>
                      <w:sz w:val="16"/>
                      <w:szCs w:val="16"/>
                    </w:rPr>
                    <w:t>(OOS)</w:t>
                  </w:r>
                </w:p>
              </w:tc>
            </w:tr>
          </w:tbl>
          <w:p w:rsidR="00230FAA" w:rsidRPr="007C56C4" w:rsidRDefault="00230FAA" w:rsidP="00230FAA">
            <w:pPr>
              <w:keepNext/>
              <w:keepLines/>
              <w:suppressLineNumbers/>
              <w:suppressAutoHyphens/>
              <w:rPr>
                <w:sz w:val="16"/>
                <w:szCs w:val="16"/>
              </w:rPr>
            </w:pPr>
          </w:p>
        </w:tc>
        <w:tc>
          <w:tcPr>
            <w:tcW w:w="457" w:type="pct"/>
            <w:gridSpan w:val="4"/>
            <w:shd w:val="clear" w:color="auto" w:fill="auto"/>
            <w:tcMar>
              <w:top w:w="110" w:type="dxa"/>
              <w:left w:w="58" w:type="dxa"/>
              <w:right w:w="58" w:type="dxa"/>
            </w:tcMar>
          </w:tcPr>
          <w:p w:rsidR="00230FAA" w:rsidRPr="007C56C4" w:rsidRDefault="00230FAA" w:rsidP="00230FAA">
            <w:pPr>
              <w:keepNext/>
              <w:keepLines/>
              <w:suppressLineNumbers/>
              <w:suppressAutoHyphens/>
              <w:spacing w:after="60"/>
              <w:rPr>
                <w:sz w:val="16"/>
                <w:szCs w:val="16"/>
              </w:rPr>
            </w:pP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jc w:val="center"/>
              <w:rPr>
                <w:sz w:val="16"/>
                <w:szCs w:val="16"/>
              </w:rPr>
            </w:pPr>
          </w:p>
          <w:p w:rsidR="00230FAA" w:rsidRDefault="00230FAA" w:rsidP="00230FAA">
            <w:pPr>
              <w:keepNext/>
              <w:keepLines/>
              <w:suppressLineNumbers/>
              <w:suppressAutoHyphens/>
              <w:jc w:val="center"/>
              <w:rPr>
                <w:sz w:val="16"/>
                <w:szCs w:val="16"/>
              </w:rPr>
            </w:pPr>
          </w:p>
          <w:p w:rsidR="00230FAA" w:rsidRPr="007C56C4" w:rsidRDefault="00230FAA" w:rsidP="00230FAA">
            <w:pPr>
              <w:keepNext/>
              <w:keepLines/>
              <w:suppressLineNumbers/>
              <w:suppressAutoHyphens/>
              <w:jc w:val="center"/>
              <w:rPr>
                <w:sz w:val="16"/>
                <w:szCs w:val="16"/>
              </w:rPr>
            </w:pP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p>
          <w:p w:rsidR="00230FAA" w:rsidRPr="00CD563E" w:rsidRDefault="00230FAA" w:rsidP="00230FAA">
            <w:pPr>
              <w:keepNext/>
              <w:keepLines/>
              <w:suppressLineNumbers/>
              <w:suppressAutoHyphens/>
              <w:spacing w:after="120"/>
              <w:jc w:val="center"/>
              <w:rPr>
                <w:b/>
                <w:color w:val="00B050"/>
                <w:sz w:val="8"/>
                <w:szCs w:val="8"/>
              </w:rPr>
            </w:pP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6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60"/>
              <w:jc w:val="center"/>
              <w:rPr>
                <w:b/>
                <w:sz w:val="16"/>
                <w:szCs w:val="16"/>
              </w:rPr>
            </w:pPr>
            <w:r w:rsidRPr="0050549B">
              <w:rPr>
                <w:b/>
                <w:color w:val="FF0000"/>
                <w:sz w:val="16"/>
                <w:szCs w:val="16"/>
              </w:rPr>
              <w:t>No 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keepNext/>
              <w:keepLines/>
              <w:suppressLineNumbers/>
              <w:suppressAutoHyphens/>
              <w:spacing w:after="120"/>
              <w:jc w:val="center"/>
              <w:rPr>
                <w:b/>
                <w:sz w:val="16"/>
                <w:szCs w:val="16"/>
              </w:rPr>
            </w:pPr>
            <w:r w:rsidRPr="0050549B">
              <w:rPr>
                <w:b/>
                <w:color w:val="00B050"/>
                <w:sz w:val="16"/>
                <w:szCs w:val="16"/>
              </w:rPr>
              <w:t>Avanza</w:t>
            </w:r>
          </w:p>
        </w:tc>
      </w:tr>
      <w:tr w:rsidR="00230FAA" w:rsidRPr="007C56C4" w:rsidTr="00230FAA">
        <w:trPr>
          <w:cantSplit/>
          <w:trHeight w:val="1300"/>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lastRenderedPageBreak/>
              <w:t>Nº de redes nacionales sostenibles de CATI</w:t>
            </w:r>
            <w:r w:rsidRPr="007C56C4">
              <w:rPr>
                <w:rStyle w:val="FootnoteReference"/>
                <w:color w:val="auto"/>
                <w:sz w:val="16"/>
                <w:szCs w:val="16"/>
                <w:lang w:val="es-ES"/>
              </w:rPr>
              <w:footnoteReference w:id="84"/>
            </w:r>
            <w:r w:rsidRPr="007C56C4">
              <w:rPr>
                <w:color w:val="auto"/>
                <w:sz w:val="16"/>
                <w:szCs w:val="16"/>
                <w:lang w:val="es-ES"/>
              </w:rPr>
              <w:t xml:space="preserve"> </w:t>
            </w:r>
          </w:p>
        </w:tc>
        <w:tc>
          <w:tcPr>
            <w:tcW w:w="1316" w:type="pct"/>
            <w:gridSpan w:val="2"/>
            <w:shd w:val="clear" w:color="auto" w:fill="auto"/>
            <w:tcMar>
              <w:left w:w="58" w:type="dxa"/>
              <w:right w:w="58" w:type="dxa"/>
            </w:tcMar>
          </w:tcPr>
          <w:p w:rsidR="00230FAA" w:rsidRPr="003472A5" w:rsidRDefault="00230FAA" w:rsidP="00230FAA">
            <w:pPr>
              <w:suppressLineNumbers/>
              <w:suppressAutoHyphens/>
              <w:rPr>
                <w:color w:val="002060"/>
                <w:sz w:val="16"/>
                <w:szCs w:val="16"/>
              </w:rPr>
            </w:pPr>
            <w:r w:rsidRPr="003472A5">
              <w:rPr>
                <w:i/>
                <w:color w:val="002060"/>
                <w:sz w:val="16"/>
                <w:szCs w:val="16"/>
              </w:rPr>
              <w:t xml:space="preserve">Referencia actualizada a fines de 2015:  </w:t>
            </w:r>
          </w:p>
          <w:p w:rsidR="00230FAA" w:rsidRPr="003472A5" w:rsidRDefault="00230FAA" w:rsidP="00230FAA">
            <w:pPr>
              <w:suppressLineNumbers/>
              <w:suppressAutoHyphens/>
              <w:rPr>
                <w:color w:val="002060"/>
                <w:sz w:val="16"/>
                <w:szCs w:val="16"/>
              </w:rPr>
            </w:pPr>
            <w:r w:rsidRPr="003472A5">
              <w:rPr>
                <w:color w:val="002060"/>
                <w:sz w:val="16"/>
                <w:szCs w:val="16"/>
              </w:rPr>
              <w:t>OOC:  0</w:t>
            </w:r>
          </w:p>
          <w:p w:rsidR="00230FAA" w:rsidRPr="003472A5" w:rsidRDefault="00230FAA" w:rsidP="00230FAA">
            <w:pPr>
              <w:suppressLineNumbers/>
              <w:suppressAutoHyphens/>
              <w:rPr>
                <w:color w:val="002060"/>
                <w:sz w:val="16"/>
                <w:szCs w:val="16"/>
              </w:rPr>
            </w:pPr>
            <w:r w:rsidRPr="003472A5">
              <w:rPr>
                <w:color w:val="002060"/>
                <w:sz w:val="16"/>
                <w:szCs w:val="16"/>
              </w:rPr>
              <w:t>OOS:  2</w:t>
            </w:r>
          </w:p>
          <w:p w:rsidR="00230FAA" w:rsidRPr="003472A5" w:rsidRDefault="00230FAA" w:rsidP="00230FAA">
            <w:pPr>
              <w:suppressLineNumbers/>
              <w:suppressAutoHyphens/>
              <w:rPr>
                <w:color w:val="002060"/>
                <w:sz w:val="16"/>
                <w:szCs w:val="16"/>
              </w:rPr>
            </w:pPr>
            <w:r w:rsidRPr="003472A5">
              <w:rPr>
                <w:color w:val="002060"/>
                <w:sz w:val="16"/>
                <w:szCs w:val="16"/>
              </w:rPr>
              <w:t xml:space="preserve">- 1 Nivel de desarrollo 1 </w:t>
            </w:r>
          </w:p>
          <w:p w:rsidR="00230FAA" w:rsidRPr="003472A5" w:rsidRDefault="00230FAA" w:rsidP="00230FAA">
            <w:pPr>
              <w:suppressLineNumbers/>
              <w:suppressAutoHyphens/>
              <w:rPr>
                <w:color w:val="002060"/>
                <w:sz w:val="16"/>
                <w:szCs w:val="16"/>
              </w:rPr>
            </w:pPr>
            <w:r w:rsidRPr="003472A5">
              <w:rPr>
                <w:color w:val="002060"/>
                <w:sz w:val="16"/>
                <w:szCs w:val="16"/>
              </w:rPr>
              <w:t>- 1 Nivel de desarrollo 3</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suppressLineNumbers/>
              <w:suppressAutoHyphens/>
              <w:spacing w:after="120"/>
              <w:rPr>
                <w:sz w:val="16"/>
                <w:szCs w:val="16"/>
              </w:rPr>
            </w:pPr>
            <w:r w:rsidRPr="007C56C4">
              <w:rPr>
                <w:sz w:val="16"/>
                <w:szCs w:val="16"/>
              </w:rPr>
              <w:t xml:space="preserve">2 (OOS) 0 (OOC) </w:t>
            </w:r>
          </w:p>
        </w:tc>
        <w:tc>
          <w:tcPr>
            <w:tcW w:w="862" w:type="pct"/>
            <w:gridSpan w:val="4"/>
            <w:shd w:val="clear" w:color="auto" w:fill="auto"/>
            <w:tcMar>
              <w:top w:w="110" w:type="dxa"/>
              <w:left w:w="58" w:type="dxa"/>
              <w:right w:w="58" w:type="dxa"/>
            </w:tcMar>
          </w:tcPr>
          <w:p w:rsidR="00230FAA" w:rsidRPr="007C56C4" w:rsidRDefault="00230FAA" w:rsidP="00230FAA">
            <w:pPr>
              <w:pStyle w:val="Default"/>
              <w:suppressLineNumbers/>
              <w:suppressAutoHyphens/>
              <w:ind w:right="-94"/>
              <w:rPr>
                <w:color w:val="auto"/>
                <w:sz w:val="16"/>
                <w:szCs w:val="16"/>
                <w:lang w:val="es-ES"/>
              </w:rPr>
            </w:pPr>
            <w:r w:rsidRPr="007C56C4">
              <w:rPr>
                <w:color w:val="auto"/>
                <w:sz w:val="16"/>
                <w:szCs w:val="16"/>
                <w:lang w:val="es-ES"/>
              </w:rPr>
              <w:t xml:space="preserve">1 (OOC) </w:t>
            </w:r>
          </w:p>
          <w:p w:rsidR="00230FAA" w:rsidRPr="007C56C4" w:rsidRDefault="00230FAA" w:rsidP="00230FAA">
            <w:pPr>
              <w:pStyle w:val="Default"/>
              <w:suppressLineNumbers/>
              <w:suppressAutoHyphens/>
              <w:ind w:right="-94"/>
              <w:rPr>
                <w:color w:val="auto"/>
                <w:sz w:val="6"/>
                <w:szCs w:val="6"/>
                <w:lang w:val="es-ES"/>
              </w:rPr>
            </w:pPr>
          </w:p>
          <w:p w:rsidR="00230FAA" w:rsidRPr="007C56C4" w:rsidRDefault="00230FAA" w:rsidP="00230FAA">
            <w:pPr>
              <w:pStyle w:val="Default"/>
              <w:suppressLineNumbers/>
              <w:suppressAutoHyphens/>
              <w:ind w:right="-94"/>
              <w:rPr>
                <w:color w:val="auto"/>
                <w:sz w:val="16"/>
                <w:szCs w:val="16"/>
                <w:lang w:val="es-ES"/>
              </w:rPr>
            </w:pPr>
            <w:r w:rsidRPr="007C56C4">
              <w:rPr>
                <w:color w:val="auto"/>
                <w:sz w:val="16"/>
                <w:szCs w:val="16"/>
                <w:lang w:val="es-ES"/>
              </w:rPr>
              <w:t xml:space="preserve">2 más (OOS) </w:t>
            </w:r>
          </w:p>
          <w:p w:rsidR="00230FAA" w:rsidRPr="007C56C4" w:rsidRDefault="00230FAA" w:rsidP="00230FAA">
            <w:pPr>
              <w:pStyle w:val="Default"/>
              <w:suppressLineNumbers/>
              <w:suppressAutoHyphens/>
              <w:rPr>
                <w:color w:val="auto"/>
                <w:sz w:val="16"/>
                <w:szCs w:val="16"/>
                <w:lang w:val="es-ES"/>
              </w:rPr>
            </w:pPr>
          </w:p>
        </w:tc>
        <w:tc>
          <w:tcPr>
            <w:tcW w:w="1323" w:type="pct"/>
            <w:gridSpan w:val="4"/>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0 (OOC)</w:t>
            </w:r>
          </w:p>
          <w:p w:rsidR="00230FAA" w:rsidRPr="007C56C4" w:rsidRDefault="00230FAA" w:rsidP="00230FAA">
            <w:pPr>
              <w:suppressLineNumbers/>
              <w:suppressAutoHyphens/>
              <w:rPr>
                <w:sz w:val="6"/>
                <w:szCs w:val="6"/>
              </w:rPr>
            </w:pPr>
          </w:p>
          <w:p w:rsidR="00230FAA" w:rsidRPr="007C56C4" w:rsidRDefault="00230FAA" w:rsidP="00230FAA">
            <w:pPr>
              <w:pStyle w:val="Default"/>
              <w:suppressLineNumbers/>
              <w:suppressAutoHyphens/>
              <w:ind w:right="-94"/>
              <w:rPr>
                <w:color w:val="auto"/>
                <w:sz w:val="16"/>
                <w:szCs w:val="16"/>
                <w:lang w:val="es-ES"/>
              </w:rPr>
            </w:pPr>
            <w:r w:rsidRPr="007C56C4">
              <w:rPr>
                <w:color w:val="auto"/>
                <w:sz w:val="16"/>
                <w:szCs w:val="16"/>
                <w:lang w:val="es-ES"/>
              </w:rPr>
              <w:t>3 (OOS)</w:t>
            </w:r>
          </w:p>
          <w:p w:rsidR="00230FAA" w:rsidRPr="007C56C4" w:rsidRDefault="00230FAA" w:rsidP="00230FAA">
            <w:pPr>
              <w:pStyle w:val="Default"/>
              <w:suppressLineNumbers/>
              <w:suppressAutoHyphens/>
              <w:ind w:right="-94"/>
              <w:rPr>
                <w:color w:val="auto"/>
                <w:sz w:val="16"/>
                <w:szCs w:val="16"/>
                <w:lang w:val="es-ES"/>
              </w:rPr>
            </w:pPr>
            <w:r w:rsidRPr="007C56C4">
              <w:rPr>
                <w:color w:val="auto"/>
                <w:sz w:val="16"/>
                <w:szCs w:val="16"/>
                <w:lang w:val="es-ES"/>
              </w:rPr>
              <w:t xml:space="preserve">- 1 Nivel de desarrollo 1 </w:t>
            </w:r>
          </w:p>
          <w:p w:rsidR="00230FAA" w:rsidRPr="007C56C4" w:rsidRDefault="00230FAA" w:rsidP="00230FAA">
            <w:pPr>
              <w:suppressLineNumbers/>
              <w:suppressAutoHyphens/>
              <w:rPr>
                <w:sz w:val="16"/>
                <w:szCs w:val="16"/>
              </w:rPr>
            </w:pPr>
            <w:r w:rsidRPr="007C56C4">
              <w:rPr>
                <w:sz w:val="16"/>
                <w:szCs w:val="16"/>
              </w:rPr>
              <w:t>- 1 Nivel de desarrollo 2</w:t>
            </w:r>
          </w:p>
          <w:p w:rsidR="00230FAA" w:rsidRPr="007C56C4" w:rsidRDefault="00230FAA" w:rsidP="00230FAA">
            <w:pPr>
              <w:suppressLineNumbers/>
              <w:suppressAutoHyphens/>
              <w:rPr>
                <w:sz w:val="16"/>
                <w:szCs w:val="16"/>
              </w:rPr>
            </w:pPr>
            <w:r w:rsidRPr="007C56C4">
              <w:rPr>
                <w:sz w:val="16"/>
                <w:szCs w:val="16"/>
              </w:rPr>
              <w:t>- 1 Nivel de desarrollo 3</w:t>
            </w:r>
          </w:p>
        </w:tc>
        <w:tc>
          <w:tcPr>
            <w:tcW w:w="457" w:type="pct"/>
            <w:gridSpan w:val="4"/>
            <w:shd w:val="clear" w:color="auto" w:fill="auto"/>
            <w:tcMar>
              <w:top w:w="110" w:type="dxa"/>
              <w:left w:w="58" w:type="dxa"/>
              <w:right w:w="58" w:type="dxa"/>
            </w:tcMar>
          </w:tcPr>
          <w:p w:rsidR="00230FAA" w:rsidRPr="007C56C4" w:rsidRDefault="00230FAA" w:rsidP="00230FAA">
            <w:pPr>
              <w:suppressLineNumbers/>
              <w:suppressAutoHyphens/>
              <w:jc w:val="center"/>
              <w:rPr>
                <w:sz w:val="16"/>
                <w:szCs w:val="16"/>
              </w:rPr>
            </w:pPr>
            <w:r w:rsidRPr="0050549B">
              <w:rPr>
                <w:b/>
                <w:color w:val="00B050"/>
                <w:sz w:val="16"/>
                <w:szCs w:val="16"/>
              </w:rPr>
              <w:t>Avanza</w:t>
            </w:r>
          </w:p>
        </w:tc>
      </w:tr>
      <w:tr w:rsidR="00230FAA" w:rsidRPr="007C56C4" w:rsidTr="00230FAA">
        <w:trPr>
          <w:cantSplit/>
          <w:trHeight w:val="648"/>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suppressLineNumbers/>
              <w:tabs>
                <w:tab w:val="left" w:pos="1452"/>
              </w:tabs>
              <w:suppressAutoHyphens/>
              <w:ind w:left="1701" w:hanging="1701"/>
              <w:rPr>
                <w:sz w:val="16"/>
                <w:szCs w:val="16"/>
              </w:rPr>
            </w:pPr>
            <w:r w:rsidRPr="007C56C4">
              <w:rPr>
                <w:b/>
                <w:bCs/>
                <w:sz w:val="16"/>
                <w:szCs w:val="16"/>
              </w:rPr>
              <w:t>Resultado previsto:</w:t>
            </w:r>
            <w:r w:rsidRPr="007C56C4">
              <w:rPr>
                <w:b/>
                <w:bCs/>
                <w:sz w:val="16"/>
                <w:szCs w:val="16"/>
              </w:rPr>
              <w:tab/>
            </w:r>
            <w:r w:rsidRPr="007C56C4">
              <w:rPr>
                <w:sz w:val="16"/>
                <w:szCs w:val="16"/>
              </w:rPr>
              <w:t xml:space="preserve">IV.4  Mejora de la infraestructura técnica y de conocimientos de las Oficinas y demás instituciones de P.I. que les permita prestar mejores servicios (más baratos, más rápidos y de mejor calidad) a los sectores interesados y mejores resultados en la administración de la P.I. </w:t>
            </w:r>
          </w:p>
        </w:tc>
      </w:tr>
      <w:tr w:rsidR="00230FAA" w:rsidRPr="007C56C4" w:rsidTr="00230FAA">
        <w:trPr>
          <w:cantSplit/>
        </w:trPr>
        <w:tc>
          <w:tcPr>
            <w:tcW w:w="1043" w:type="pct"/>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Indicadores de rendimiento</w:t>
            </w:r>
          </w:p>
        </w:tc>
        <w:tc>
          <w:tcPr>
            <w:tcW w:w="1316"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Referencia</w:t>
            </w:r>
            <w:r w:rsidR="003A134D">
              <w:rPr>
                <w:b/>
                <w:bCs/>
                <w:sz w:val="16"/>
                <w:szCs w:val="16"/>
              </w:rPr>
              <w:t>s de base</w:t>
            </w:r>
          </w:p>
        </w:tc>
        <w:tc>
          <w:tcPr>
            <w:tcW w:w="862" w:type="pct"/>
            <w:gridSpan w:val="4"/>
            <w:shd w:val="clear" w:color="auto" w:fill="auto"/>
            <w:tcMar>
              <w:top w:w="110" w:type="dxa"/>
              <w:left w:w="58" w:type="dxa"/>
              <w:right w:w="58" w:type="dxa"/>
            </w:tcMar>
            <w:vAlign w:val="center"/>
          </w:tcPr>
          <w:p w:rsidR="00230FAA" w:rsidRPr="007C56C4" w:rsidRDefault="00230FAA" w:rsidP="00230FAA">
            <w:pPr>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Datos sobre el rendimiento</w:t>
            </w:r>
          </w:p>
        </w:tc>
        <w:tc>
          <w:tcPr>
            <w:tcW w:w="457" w:type="pct"/>
            <w:gridSpan w:val="4"/>
            <w:shd w:val="clear" w:color="auto" w:fill="auto"/>
            <w:tcMar>
              <w:top w:w="110" w:type="dxa"/>
              <w:left w:w="58" w:type="dxa"/>
              <w:right w:w="58" w:type="dxa"/>
            </w:tcMar>
            <w:vAlign w:val="center"/>
          </w:tcPr>
          <w:p w:rsidR="00230FAA" w:rsidRPr="007C56C4" w:rsidRDefault="00230FAA" w:rsidP="00230FAA">
            <w:pPr>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2555"/>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Nº de oficinas que utilizan las plataformas de infraestructura de la OMPI. </w:t>
            </w:r>
          </w:p>
        </w:tc>
        <w:tc>
          <w:tcPr>
            <w:tcW w:w="1316" w:type="pct"/>
            <w:gridSpan w:val="2"/>
            <w:shd w:val="clear" w:color="auto" w:fill="auto"/>
            <w:tcMar>
              <w:left w:w="58" w:type="dxa"/>
              <w:right w:w="58" w:type="dxa"/>
            </w:tcMar>
          </w:tcPr>
          <w:p w:rsidR="00230FAA" w:rsidRPr="00207789" w:rsidRDefault="00230FAA" w:rsidP="00230FAA">
            <w:pPr>
              <w:suppressLineNumbers/>
              <w:suppressAutoHyphens/>
              <w:rPr>
                <w:i/>
                <w:color w:val="002060"/>
                <w:sz w:val="16"/>
                <w:szCs w:val="16"/>
              </w:rPr>
            </w:pPr>
            <w:r w:rsidRPr="00207789">
              <w:rPr>
                <w:i/>
                <w:color w:val="002060"/>
                <w:sz w:val="16"/>
                <w:szCs w:val="16"/>
              </w:rPr>
              <w:t xml:space="preserve">Referencia actualizada a fines de 2015:  </w:t>
            </w:r>
          </w:p>
          <w:p w:rsidR="00230FAA" w:rsidRPr="00207789" w:rsidRDefault="00230FAA" w:rsidP="00230FAA">
            <w:pPr>
              <w:pStyle w:val="Default"/>
              <w:suppressLineNumbers/>
              <w:suppressAutoHyphens/>
              <w:rPr>
                <w:color w:val="002060"/>
                <w:sz w:val="16"/>
                <w:szCs w:val="16"/>
                <w:lang w:val="es-ES"/>
              </w:rPr>
            </w:pPr>
            <w:r w:rsidRPr="00207789">
              <w:rPr>
                <w:color w:val="002060"/>
                <w:sz w:val="16"/>
                <w:szCs w:val="16"/>
                <w:lang w:val="es-ES"/>
              </w:rPr>
              <w:t>0 (OOB)</w:t>
            </w:r>
          </w:p>
          <w:p w:rsidR="00230FAA" w:rsidRPr="00207789" w:rsidRDefault="00230FAA" w:rsidP="00230FAA">
            <w:pPr>
              <w:suppressLineNumbers/>
              <w:suppressAutoHyphens/>
              <w:rPr>
                <w:color w:val="002060"/>
                <w:sz w:val="16"/>
                <w:szCs w:val="16"/>
              </w:rPr>
            </w:pPr>
            <w:r w:rsidRPr="00207789">
              <w:rPr>
                <w:color w:val="002060"/>
                <w:sz w:val="16"/>
                <w:szCs w:val="16"/>
              </w:rPr>
              <w:t>8 (OOS) (Brunei Darussalam, Indonesia, República Democrática Popular Lao, Malasia, Filipinas, Singapur, Tailandia, Viet Nam</w:t>
            </w:r>
          </w:p>
          <w:p w:rsidR="00230FAA" w:rsidRPr="007C56C4" w:rsidRDefault="00230FAA" w:rsidP="00230FAA">
            <w:pPr>
              <w:suppressLineNumbers/>
              <w:suppressAutoHyphens/>
              <w:rPr>
                <w:sz w:val="16"/>
                <w:szCs w:val="16"/>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7 (OOS)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0 (OOB) </w:t>
            </w:r>
          </w:p>
        </w:tc>
        <w:tc>
          <w:tcPr>
            <w:tcW w:w="862" w:type="pct"/>
            <w:gridSpan w:val="4"/>
            <w:shd w:val="clear" w:color="auto" w:fill="auto"/>
            <w:tcMar>
              <w:top w:w="110" w:type="dxa"/>
              <w:left w:w="58" w:type="dxa"/>
              <w:right w:w="58" w:type="dxa"/>
            </w:tcMar>
          </w:tcPr>
          <w:p w:rsidR="00230FAA" w:rsidRPr="00207789" w:rsidRDefault="00230FAA" w:rsidP="00230FAA">
            <w:pPr>
              <w:suppressLineNumbers/>
              <w:suppressAutoHyphens/>
              <w:rPr>
                <w:i/>
                <w:color w:val="002060"/>
                <w:sz w:val="16"/>
                <w:szCs w:val="16"/>
                <w:lang w:bidi="th-TH"/>
              </w:rPr>
            </w:pPr>
            <w:r w:rsidRPr="00207789">
              <w:rPr>
                <w:i/>
                <w:color w:val="002060"/>
                <w:sz w:val="16"/>
                <w:szCs w:val="16"/>
                <w:lang w:bidi="th-TH"/>
              </w:rPr>
              <w:t xml:space="preserve">Objetivo definido:   </w:t>
            </w:r>
          </w:p>
          <w:p w:rsidR="00230FAA" w:rsidRPr="00207789" w:rsidRDefault="00230FAA" w:rsidP="00230FAA">
            <w:pPr>
              <w:suppressLineNumbers/>
              <w:suppressAutoHyphens/>
              <w:rPr>
                <w:color w:val="002060"/>
                <w:sz w:val="16"/>
                <w:szCs w:val="16"/>
              </w:rPr>
            </w:pPr>
            <w:r w:rsidRPr="00207789">
              <w:rPr>
                <w:color w:val="002060"/>
                <w:sz w:val="16"/>
                <w:szCs w:val="16"/>
              </w:rPr>
              <w:t xml:space="preserve">1 (OOB) </w:t>
            </w:r>
          </w:p>
          <w:p w:rsidR="00230FAA" w:rsidRPr="00207789" w:rsidRDefault="00230FAA" w:rsidP="00230FAA">
            <w:pPr>
              <w:pStyle w:val="Default"/>
              <w:suppressLineNumbers/>
              <w:suppressAutoHyphens/>
              <w:rPr>
                <w:color w:val="002060"/>
                <w:sz w:val="16"/>
                <w:szCs w:val="16"/>
                <w:lang w:val="es-ES"/>
              </w:rPr>
            </w:pPr>
            <w:r w:rsidRPr="00207789">
              <w:rPr>
                <w:color w:val="002060"/>
                <w:sz w:val="16"/>
                <w:szCs w:val="16"/>
                <w:lang w:val="es-ES"/>
              </w:rPr>
              <w:t xml:space="preserve">1 más (OOS) </w:t>
            </w:r>
          </w:p>
          <w:p w:rsidR="00230FAA" w:rsidRPr="007C56C4" w:rsidRDefault="00230FAA" w:rsidP="00230FAA">
            <w:pPr>
              <w:suppressLineNumbers/>
              <w:suppressAutoHyphens/>
              <w:rPr>
                <w:i/>
                <w:sz w:val="16"/>
                <w:szCs w:val="16"/>
                <w:lang w:bidi="th-TH"/>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Objetivo original en el presupuesto 2016/17: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Por determinar (OOS)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1 (OOB) </w:t>
            </w:r>
          </w:p>
        </w:tc>
        <w:tc>
          <w:tcPr>
            <w:tcW w:w="1323" w:type="pct"/>
            <w:gridSpan w:val="4"/>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 xml:space="preserve">0 (OOB) </w:t>
            </w:r>
          </w:p>
          <w:p w:rsidR="00230FAA" w:rsidRPr="007C56C4" w:rsidRDefault="00230FAA" w:rsidP="00230FAA">
            <w:pPr>
              <w:suppressLineNumbers/>
              <w:suppressAutoHyphens/>
              <w:rPr>
                <w:sz w:val="6"/>
                <w:szCs w:val="6"/>
              </w:rPr>
            </w:pP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1 más (Camboya) (OOS) (9 en total)</w:t>
            </w:r>
          </w:p>
          <w:p w:rsidR="00230FAA" w:rsidRPr="007C56C4" w:rsidRDefault="00230FAA" w:rsidP="00230FAA">
            <w:pPr>
              <w:suppressLineNumbers/>
              <w:suppressAutoHyphens/>
              <w:rPr>
                <w:sz w:val="16"/>
                <w:szCs w:val="16"/>
              </w:rPr>
            </w:pPr>
          </w:p>
        </w:tc>
        <w:tc>
          <w:tcPr>
            <w:tcW w:w="457" w:type="pct"/>
            <w:gridSpan w:val="4"/>
            <w:shd w:val="clear" w:color="auto" w:fill="auto"/>
            <w:tcMar>
              <w:top w:w="110" w:type="dxa"/>
              <w:left w:w="58" w:type="dxa"/>
              <w:right w:w="58" w:type="dxa"/>
            </w:tcMar>
          </w:tcPr>
          <w:p w:rsidR="00230FAA" w:rsidRPr="007C56C4" w:rsidRDefault="00230FAA" w:rsidP="00230FAA">
            <w:pPr>
              <w:suppressLineNumbers/>
              <w:suppressAutoHyphens/>
              <w:jc w:val="center"/>
              <w:rPr>
                <w:b/>
                <w:sz w:val="16"/>
                <w:szCs w:val="16"/>
              </w:rPr>
            </w:pPr>
            <w:r w:rsidRPr="0050549B">
              <w:rPr>
                <w:b/>
                <w:color w:val="00B050"/>
                <w:sz w:val="16"/>
                <w:szCs w:val="16"/>
              </w:rPr>
              <w:t>Avanza</w:t>
            </w:r>
          </w:p>
        </w:tc>
      </w:tr>
      <w:tr w:rsidR="00230FAA" w:rsidRPr="007C56C4" w:rsidTr="00230FAA">
        <w:trPr>
          <w:cantSplit/>
          <w:trHeight w:val="648"/>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suppressLineNumbers/>
              <w:tabs>
                <w:tab w:val="left" w:pos="1452"/>
              </w:tabs>
              <w:suppressAutoHyphens/>
              <w:ind w:left="1701" w:hanging="1701"/>
              <w:rPr>
                <w:sz w:val="16"/>
                <w:szCs w:val="16"/>
              </w:rPr>
            </w:pPr>
            <w:r w:rsidRPr="007C56C4">
              <w:rPr>
                <w:b/>
                <w:bCs/>
                <w:sz w:val="16"/>
                <w:szCs w:val="16"/>
              </w:rPr>
              <w:t>Resultado previsto:</w:t>
            </w:r>
            <w:r w:rsidRPr="007C56C4">
              <w:rPr>
                <w:b/>
                <w:bCs/>
                <w:sz w:val="16"/>
                <w:szCs w:val="16"/>
              </w:rPr>
              <w:tab/>
            </w:r>
            <w:r w:rsidRPr="007C56C4">
              <w:rPr>
                <w:sz w:val="16"/>
                <w:szCs w:val="16"/>
              </w:rPr>
              <w:t xml:space="preserve">VII.2  Plataformas y herramientas de P.I. utilizadas para la transferencia de conocimientos y la difusión y adaptación de tecnología de los países desarrollados a los países en desarrollo, en particular, a los menos adelantados, con el fin de atender los desafíos mundiales </w:t>
            </w:r>
          </w:p>
        </w:tc>
      </w:tr>
      <w:tr w:rsidR="00230FAA" w:rsidRPr="007C56C4" w:rsidTr="00230FAA">
        <w:trPr>
          <w:cantSplit/>
        </w:trPr>
        <w:tc>
          <w:tcPr>
            <w:tcW w:w="1043" w:type="pct"/>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Indicadores de rendimiento</w:t>
            </w:r>
          </w:p>
        </w:tc>
        <w:tc>
          <w:tcPr>
            <w:tcW w:w="1316" w:type="pct"/>
            <w:gridSpan w:val="2"/>
            <w:shd w:val="clear" w:color="auto" w:fill="auto"/>
            <w:tcMar>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Referencia</w:t>
            </w:r>
            <w:r w:rsidR="003A134D">
              <w:rPr>
                <w:b/>
                <w:bCs/>
                <w:sz w:val="16"/>
                <w:szCs w:val="16"/>
              </w:rPr>
              <w:t>s de base</w:t>
            </w:r>
          </w:p>
        </w:tc>
        <w:tc>
          <w:tcPr>
            <w:tcW w:w="862" w:type="pct"/>
            <w:gridSpan w:val="4"/>
            <w:shd w:val="clear" w:color="auto" w:fill="auto"/>
            <w:tcMar>
              <w:top w:w="110" w:type="dxa"/>
              <w:left w:w="58" w:type="dxa"/>
              <w:right w:w="58" w:type="dxa"/>
            </w:tcMar>
            <w:vAlign w:val="center"/>
          </w:tcPr>
          <w:p w:rsidR="00230FAA" w:rsidRPr="007C56C4" w:rsidRDefault="00230FAA" w:rsidP="00230FAA">
            <w:pPr>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suppressLineNumbers/>
              <w:suppressAutoHyphens/>
              <w:rPr>
                <w:b/>
                <w:bCs/>
                <w:sz w:val="16"/>
                <w:szCs w:val="16"/>
              </w:rPr>
            </w:pPr>
            <w:r w:rsidRPr="007C56C4">
              <w:rPr>
                <w:b/>
                <w:bCs/>
                <w:sz w:val="16"/>
                <w:szCs w:val="16"/>
              </w:rPr>
              <w:t>Datos sobre el rendimiento</w:t>
            </w:r>
          </w:p>
        </w:tc>
        <w:tc>
          <w:tcPr>
            <w:tcW w:w="457" w:type="pct"/>
            <w:gridSpan w:val="4"/>
            <w:shd w:val="clear" w:color="auto" w:fill="auto"/>
            <w:tcMar>
              <w:top w:w="110" w:type="dxa"/>
              <w:left w:w="58" w:type="dxa"/>
              <w:right w:w="58" w:type="dxa"/>
            </w:tcMar>
            <w:vAlign w:val="center"/>
          </w:tcPr>
          <w:p w:rsidR="00230FAA" w:rsidRPr="007C56C4" w:rsidRDefault="00230FAA" w:rsidP="00230FAA">
            <w:pPr>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1636"/>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Participación de los sectores interesados en plataformas de la OMPI como </w:t>
            </w:r>
            <w:r w:rsidRPr="007C56C4">
              <w:rPr>
                <w:i/>
                <w:color w:val="auto"/>
                <w:sz w:val="16"/>
                <w:szCs w:val="16"/>
                <w:lang w:val="es-ES"/>
              </w:rPr>
              <w:t>WIPO GREEN</w:t>
            </w:r>
            <w:r w:rsidRPr="007C56C4">
              <w:rPr>
                <w:color w:val="auto"/>
                <w:sz w:val="16"/>
                <w:szCs w:val="16"/>
                <w:lang w:val="es-ES"/>
              </w:rPr>
              <w:t xml:space="preserve"> y </w:t>
            </w:r>
            <w:r w:rsidRPr="007C56C4">
              <w:rPr>
                <w:i/>
                <w:color w:val="auto"/>
                <w:sz w:val="16"/>
                <w:szCs w:val="16"/>
                <w:lang w:val="es-ES"/>
              </w:rPr>
              <w:t>WIPO Re:Search</w:t>
            </w:r>
            <w:r w:rsidRPr="007C56C4">
              <w:rPr>
                <w:color w:val="auto"/>
                <w:sz w:val="16"/>
                <w:szCs w:val="16"/>
                <w:lang w:val="es-ES"/>
              </w:rPr>
              <w:t>.</w:t>
            </w:r>
          </w:p>
        </w:tc>
        <w:tc>
          <w:tcPr>
            <w:tcW w:w="1316" w:type="pct"/>
            <w:gridSpan w:val="2"/>
            <w:shd w:val="clear" w:color="auto" w:fill="auto"/>
            <w:tcMar>
              <w:left w:w="58" w:type="dxa"/>
              <w:right w:w="58" w:type="dxa"/>
            </w:tcMar>
          </w:tcPr>
          <w:p w:rsidR="00230FAA" w:rsidRPr="00157CFD" w:rsidRDefault="00230FAA" w:rsidP="00230FAA">
            <w:pPr>
              <w:suppressLineNumbers/>
              <w:suppressAutoHyphens/>
              <w:rPr>
                <w:i/>
                <w:color w:val="002060"/>
                <w:sz w:val="16"/>
                <w:szCs w:val="16"/>
              </w:rPr>
            </w:pPr>
            <w:r w:rsidRPr="00157CFD">
              <w:rPr>
                <w:i/>
                <w:color w:val="002060"/>
                <w:sz w:val="16"/>
                <w:szCs w:val="16"/>
              </w:rPr>
              <w:t xml:space="preserve">Referencia actualizada a fines de 2015:  </w:t>
            </w:r>
          </w:p>
          <w:p w:rsidR="00230FAA" w:rsidRPr="00157CFD" w:rsidRDefault="00230FAA" w:rsidP="00230FAA">
            <w:pPr>
              <w:suppressLineNumbers/>
              <w:suppressAutoHyphens/>
              <w:rPr>
                <w:color w:val="002060"/>
                <w:sz w:val="16"/>
                <w:szCs w:val="16"/>
              </w:rPr>
            </w:pPr>
            <w:r w:rsidRPr="00157CFD">
              <w:rPr>
                <w:color w:val="002060"/>
                <w:sz w:val="16"/>
                <w:szCs w:val="16"/>
              </w:rPr>
              <w:t xml:space="preserve">WIPO Re:Search: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2 región de América Latina y el Caribe (OOB)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2 (OOC)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2 (OOJ)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0 (OOR)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3 (OOS).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9 en total</w:t>
            </w:r>
          </w:p>
          <w:p w:rsidR="00230FAA" w:rsidRPr="00157CFD" w:rsidRDefault="00230FAA" w:rsidP="00230FAA">
            <w:pPr>
              <w:suppressLineNumbers/>
              <w:suppressAutoHyphens/>
              <w:rPr>
                <w:color w:val="002060"/>
                <w:sz w:val="16"/>
                <w:szCs w:val="16"/>
              </w:rPr>
            </w:pPr>
          </w:p>
          <w:p w:rsidR="00230FAA" w:rsidRPr="00157CFD" w:rsidRDefault="00230FAA" w:rsidP="00230FAA">
            <w:pPr>
              <w:suppressLineNumbers/>
              <w:suppressAutoHyphens/>
              <w:rPr>
                <w:i/>
                <w:color w:val="002060"/>
                <w:sz w:val="16"/>
                <w:szCs w:val="16"/>
              </w:rPr>
            </w:pPr>
            <w:r w:rsidRPr="00157CFD">
              <w:rPr>
                <w:color w:val="002060"/>
                <w:sz w:val="16"/>
                <w:szCs w:val="16"/>
              </w:rPr>
              <w:t>WIPO GREEN 3</w:t>
            </w:r>
            <w:r w:rsidRPr="00157CFD">
              <w:rPr>
                <w:i/>
                <w:color w:val="002060"/>
                <w:sz w:val="16"/>
                <w:szCs w:val="16"/>
              </w:rPr>
              <w:t xml:space="preserve">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16 región de América Latina y el Caribe (OOB)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26 (OOC)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54 (OOJ)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0 (OOR)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 xml:space="preserve">32 (OOS). </w:t>
            </w:r>
          </w:p>
          <w:p w:rsidR="00230FAA" w:rsidRPr="00157CFD" w:rsidRDefault="00230FAA" w:rsidP="00230FAA">
            <w:pPr>
              <w:pStyle w:val="Default"/>
              <w:suppressLineNumbers/>
              <w:suppressAutoHyphens/>
              <w:rPr>
                <w:color w:val="002060"/>
                <w:sz w:val="16"/>
                <w:szCs w:val="16"/>
                <w:lang w:val="es-ES"/>
              </w:rPr>
            </w:pPr>
            <w:r w:rsidRPr="00157CFD">
              <w:rPr>
                <w:color w:val="002060"/>
                <w:sz w:val="16"/>
                <w:szCs w:val="16"/>
                <w:lang w:val="es-ES"/>
              </w:rPr>
              <w:t>128 en total</w:t>
            </w:r>
          </w:p>
          <w:p w:rsidR="00230FAA" w:rsidRPr="00157CFD" w:rsidRDefault="00230FAA" w:rsidP="00230FAA">
            <w:pPr>
              <w:suppressLineNumbers/>
              <w:suppressAutoHyphens/>
              <w:rPr>
                <w:i/>
                <w:color w:val="002060"/>
                <w:sz w:val="16"/>
                <w:szCs w:val="16"/>
              </w:rPr>
            </w:pPr>
          </w:p>
        </w:tc>
        <w:tc>
          <w:tcPr>
            <w:tcW w:w="862" w:type="pct"/>
            <w:gridSpan w:val="4"/>
            <w:shd w:val="clear" w:color="auto" w:fill="auto"/>
            <w:tcMar>
              <w:top w:w="110" w:type="dxa"/>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Aumento del 20% en </w:t>
            </w:r>
            <w:r w:rsidRPr="007C56C4">
              <w:rPr>
                <w:i/>
                <w:color w:val="auto"/>
                <w:sz w:val="16"/>
                <w:szCs w:val="16"/>
                <w:lang w:val="es-ES"/>
              </w:rPr>
              <w:t>WIPO GREEN</w:t>
            </w:r>
            <w:r w:rsidRPr="007C56C4">
              <w:rPr>
                <w:color w:val="auto"/>
                <w:sz w:val="16"/>
                <w:szCs w:val="16"/>
                <w:lang w:val="es-ES"/>
              </w:rPr>
              <w:t xml:space="preserve"> y </w:t>
            </w:r>
            <w:r w:rsidRPr="007C56C4">
              <w:rPr>
                <w:i/>
                <w:color w:val="auto"/>
                <w:sz w:val="16"/>
                <w:szCs w:val="16"/>
                <w:lang w:val="es-ES"/>
              </w:rPr>
              <w:t>WIPO Re:Search</w:t>
            </w:r>
            <w:r w:rsidRPr="007C56C4">
              <w:rPr>
                <w:color w:val="auto"/>
                <w:sz w:val="16"/>
                <w:szCs w:val="16"/>
                <w:lang w:val="es-ES"/>
              </w:rPr>
              <w:t xml:space="preserve">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(todas las Oficinas).</w:t>
            </w:r>
          </w:p>
        </w:tc>
        <w:tc>
          <w:tcPr>
            <w:tcW w:w="1323" w:type="pct"/>
            <w:gridSpan w:val="4"/>
            <w:shd w:val="clear" w:color="auto" w:fill="FFFFFF"/>
            <w:tcMar>
              <w:top w:w="110" w:type="dxa"/>
              <w:left w:w="58" w:type="dxa"/>
              <w:right w:w="58" w:type="dxa"/>
            </w:tcMar>
          </w:tcPr>
          <w:p w:rsidR="00230FAA" w:rsidRPr="007C56C4" w:rsidRDefault="00230FAA" w:rsidP="00230FAA">
            <w:pPr>
              <w:rPr>
                <w:sz w:val="16"/>
                <w:szCs w:val="16"/>
              </w:rPr>
            </w:pPr>
            <w:r w:rsidRPr="007C56C4">
              <w:rPr>
                <w:sz w:val="16"/>
                <w:szCs w:val="16"/>
              </w:rPr>
              <w:t xml:space="preserve">WIPO Re:Search:  </w:t>
            </w:r>
          </w:p>
          <w:p w:rsidR="00230FAA" w:rsidRPr="007C56C4" w:rsidRDefault="00230FAA" w:rsidP="00230FAA">
            <w:pPr>
              <w:suppressLineNumbers/>
              <w:suppressAutoHyphens/>
              <w:spacing w:after="60"/>
              <w:ind w:right="-74"/>
              <w:rPr>
                <w:sz w:val="16"/>
                <w:szCs w:val="16"/>
              </w:rPr>
            </w:pPr>
            <w:r w:rsidRPr="007C56C4">
              <w:rPr>
                <w:sz w:val="16"/>
                <w:szCs w:val="16"/>
              </w:rPr>
              <w:t xml:space="preserve">7 región de América Latina y el Caribe (OOB) </w:t>
            </w:r>
          </w:p>
          <w:p w:rsidR="00230FAA" w:rsidRPr="007C56C4" w:rsidRDefault="00230FAA" w:rsidP="00230FAA">
            <w:pPr>
              <w:pStyle w:val="Default"/>
              <w:rPr>
                <w:color w:val="auto"/>
                <w:sz w:val="16"/>
                <w:szCs w:val="16"/>
                <w:lang w:val="es-ES"/>
              </w:rPr>
            </w:pPr>
            <w:r w:rsidRPr="007C56C4">
              <w:rPr>
                <w:color w:val="auto"/>
                <w:sz w:val="16"/>
                <w:szCs w:val="16"/>
                <w:lang w:val="es-ES"/>
              </w:rPr>
              <w:t xml:space="preserve">2 (OOC) </w:t>
            </w:r>
          </w:p>
          <w:p w:rsidR="00230FAA" w:rsidRPr="007C56C4" w:rsidRDefault="00230FAA" w:rsidP="00230FAA">
            <w:pPr>
              <w:pStyle w:val="Default"/>
              <w:spacing w:after="60"/>
              <w:rPr>
                <w:color w:val="auto"/>
                <w:sz w:val="16"/>
                <w:szCs w:val="16"/>
                <w:lang w:val="es-ES"/>
              </w:rPr>
            </w:pPr>
          </w:p>
          <w:p w:rsidR="00230FAA" w:rsidRPr="007C56C4" w:rsidRDefault="00230FAA" w:rsidP="00230FAA">
            <w:pPr>
              <w:pStyle w:val="Default"/>
              <w:rPr>
                <w:color w:val="auto"/>
                <w:sz w:val="16"/>
                <w:szCs w:val="16"/>
                <w:lang w:val="es-ES"/>
              </w:rPr>
            </w:pPr>
            <w:r w:rsidRPr="007C56C4">
              <w:rPr>
                <w:color w:val="auto"/>
                <w:sz w:val="16"/>
                <w:szCs w:val="16"/>
                <w:lang w:val="es-ES"/>
              </w:rPr>
              <w:t xml:space="preserve">2 (OOJ) </w:t>
            </w:r>
          </w:p>
          <w:p w:rsidR="00230FAA" w:rsidRPr="007C56C4" w:rsidRDefault="00230FAA" w:rsidP="00230FAA">
            <w:pPr>
              <w:pStyle w:val="Default"/>
              <w:spacing w:after="60"/>
              <w:rPr>
                <w:color w:val="auto"/>
                <w:sz w:val="16"/>
                <w:szCs w:val="16"/>
                <w:lang w:val="es-ES"/>
              </w:rPr>
            </w:pPr>
          </w:p>
          <w:p w:rsidR="00230FAA" w:rsidRPr="007C56C4" w:rsidRDefault="00230FAA" w:rsidP="00230FAA">
            <w:pPr>
              <w:pStyle w:val="Default"/>
              <w:rPr>
                <w:color w:val="auto"/>
                <w:sz w:val="16"/>
                <w:szCs w:val="16"/>
                <w:lang w:val="es-ES"/>
              </w:rPr>
            </w:pPr>
            <w:r w:rsidRPr="007C56C4">
              <w:rPr>
                <w:color w:val="auto"/>
                <w:sz w:val="16"/>
                <w:szCs w:val="16"/>
                <w:lang w:val="es-ES"/>
              </w:rPr>
              <w:t xml:space="preserve">0 (OOR) </w:t>
            </w:r>
          </w:p>
          <w:p w:rsidR="00230FAA" w:rsidRPr="007C56C4" w:rsidRDefault="00230FAA" w:rsidP="00230FAA">
            <w:pPr>
              <w:pStyle w:val="Default"/>
              <w:spacing w:after="60"/>
              <w:rPr>
                <w:color w:val="auto"/>
                <w:sz w:val="16"/>
                <w:szCs w:val="16"/>
                <w:lang w:val="es-ES"/>
              </w:rPr>
            </w:pPr>
          </w:p>
          <w:p w:rsidR="00230FAA" w:rsidRPr="007C56C4" w:rsidRDefault="003A134D" w:rsidP="00230FAA">
            <w:pPr>
              <w:pStyle w:val="Default"/>
              <w:spacing w:after="60"/>
              <w:rPr>
                <w:color w:val="auto"/>
                <w:sz w:val="16"/>
                <w:szCs w:val="16"/>
                <w:lang w:val="es-ES"/>
              </w:rPr>
            </w:pPr>
            <w:r>
              <w:rPr>
                <w:color w:val="auto"/>
                <w:sz w:val="16"/>
                <w:szCs w:val="16"/>
                <w:lang w:val="es-ES"/>
              </w:rPr>
              <w:t>6 (OOS)</w:t>
            </w:r>
          </w:p>
          <w:p w:rsidR="00230FAA" w:rsidRPr="007C56C4" w:rsidRDefault="00230FAA" w:rsidP="00230FAA">
            <w:pPr>
              <w:rPr>
                <w:sz w:val="16"/>
                <w:szCs w:val="16"/>
              </w:rPr>
            </w:pPr>
            <w:r w:rsidRPr="007C56C4">
              <w:rPr>
                <w:sz w:val="16"/>
                <w:szCs w:val="16"/>
              </w:rPr>
              <w:t>16 en total</w:t>
            </w:r>
          </w:p>
          <w:p w:rsidR="00230FAA" w:rsidRPr="007C56C4" w:rsidRDefault="00230FAA" w:rsidP="00230FAA">
            <w:pPr>
              <w:rPr>
                <w:sz w:val="20"/>
              </w:rPr>
            </w:pPr>
          </w:p>
          <w:p w:rsidR="00230FAA" w:rsidRPr="007C56C4" w:rsidRDefault="00230FAA" w:rsidP="00230FAA">
            <w:pPr>
              <w:rPr>
                <w:i/>
                <w:iCs/>
                <w:sz w:val="16"/>
                <w:szCs w:val="16"/>
              </w:rPr>
            </w:pPr>
            <w:r w:rsidRPr="007C56C4">
              <w:rPr>
                <w:iCs/>
                <w:sz w:val="16"/>
                <w:szCs w:val="16"/>
              </w:rPr>
              <w:t>WIPO GREEN 3</w:t>
            </w:r>
            <w:r w:rsidRPr="007C56C4">
              <w:rPr>
                <w:i/>
                <w:iCs/>
                <w:sz w:val="16"/>
                <w:szCs w:val="16"/>
              </w:rPr>
              <w:t xml:space="preserve">  </w:t>
            </w:r>
          </w:p>
          <w:p w:rsidR="00230FAA" w:rsidRPr="007C56C4" w:rsidRDefault="00230FAA" w:rsidP="00230FAA">
            <w:pPr>
              <w:pStyle w:val="Default"/>
              <w:spacing w:after="120"/>
              <w:ind w:right="-74"/>
              <w:rPr>
                <w:color w:val="auto"/>
                <w:sz w:val="16"/>
                <w:szCs w:val="16"/>
                <w:lang w:val="es-ES"/>
              </w:rPr>
            </w:pPr>
            <w:r w:rsidRPr="007C56C4">
              <w:rPr>
                <w:color w:val="auto"/>
                <w:sz w:val="16"/>
                <w:szCs w:val="16"/>
                <w:lang w:val="es-ES"/>
              </w:rPr>
              <w:t xml:space="preserve">78 región de América Latina y el Caribe (OOB) </w:t>
            </w:r>
          </w:p>
          <w:p w:rsidR="00230FAA" w:rsidRPr="007C56C4" w:rsidRDefault="00230FAA" w:rsidP="00230FAA">
            <w:pPr>
              <w:pStyle w:val="Default"/>
              <w:spacing w:after="120"/>
              <w:rPr>
                <w:color w:val="auto"/>
                <w:sz w:val="16"/>
                <w:szCs w:val="16"/>
                <w:lang w:val="es-ES"/>
              </w:rPr>
            </w:pPr>
            <w:r w:rsidRPr="007C56C4">
              <w:rPr>
                <w:color w:val="auto"/>
                <w:sz w:val="16"/>
                <w:szCs w:val="16"/>
                <w:lang w:val="es-ES"/>
              </w:rPr>
              <w:t xml:space="preserve">34 (OOC) </w:t>
            </w:r>
          </w:p>
          <w:p w:rsidR="00230FAA" w:rsidRPr="007C56C4" w:rsidRDefault="00230FAA" w:rsidP="00230FAA">
            <w:pPr>
              <w:pStyle w:val="Default"/>
              <w:spacing w:after="120"/>
              <w:rPr>
                <w:color w:val="auto"/>
                <w:sz w:val="16"/>
                <w:szCs w:val="16"/>
                <w:lang w:val="es-ES"/>
              </w:rPr>
            </w:pPr>
            <w:r w:rsidRPr="007C56C4">
              <w:rPr>
                <w:color w:val="auto"/>
                <w:sz w:val="16"/>
                <w:szCs w:val="16"/>
                <w:lang w:val="es-ES"/>
              </w:rPr>
              <w:t xml:space="preserve">70 (OOJ) </w:t>
            </w:r>
          </w:p>
          <w:p w:rsidR="00230FAA" w:rsidRPr="007C56C4" w:rsidRDefault="00230FAA" w:rsidP="00230FAA">
            <w:pPr>
              <w:pStyle w:val="Default"/>
              <w:spacing w:after="200"/>
              <w:rPr>
                <w:color w:val="auto"/>
                <w:sz w:val="16"/>
                <w:szCs w:val="16"/>
                <w:lang w:val="es-ES"/>
              </w:rPr>
            </w:pPr>
            <w:r w:rsidRPr="007C56C4">
              <w:rPr>
                <w:color w:val="auto"/>
                <w:sz w:val="16"/>
                <w:szCs w:val="16"/>
                <w:lang w:val="es-ES"/>
              </w:rPr>
              <w:t xml:space="preserve">0 (OOR) </w:t>
            </w:r>
          </w:p>
          <w:p w:rsidR="00230FAA" w:rsidRPr="007C56C4" w:rsidRDefault="00230FAA" w:rsidP="00230FAA">
            <w:pPr>
              <w:rPr>
                <w:sz w:val="16"/>
                <w:szCs w:val="16"/>
              </w:rPr>
            </w:pPr>
          </w:p>
        </w:tc>
        <w:tc>
          <w:tcPr>
            <w:tcW w:w="457" w:type="pct"/>
            <w:gridSpan w:val="4"/>
            <w:shd w:val="clear" w:color="auto" w:fill="auto"/>
            <w:tcMar>
              <w:top w:w="110" w:type="dxa"/>
              <w:left w:w="58" w:type="dxa"/>
              <w:right w:w="58" w:type="dxa"/>
            </w:tcMar>
          </w:tcPr>
          <w:p w:rsidR="00230FAA" w:rsidRPr="007C56C4" w:rsidRDefault="00230FAA" w:rsidP="00230FAA">
            <w:pPr>
              <w:suppressLineNumbers/>
              <w:suppressAutoHyphens/>
              <w:jc w:val="center"/>
              <w:rPr>
                <w:sz w:val="16"/>
                <w:szCs w:val="16"/>
              </w:rPr>
            </w:pPr>
          </w:p>
          <w:p w:rsidR="00230FAA" w:rsidRPr="007C56C4" w:rsidRDefault="00230FAA" w:rsidP="00230FAA">
            <w:pPr>
              <w:autoSpaceDE w:val="0"/>
              <w:autoSpaceDN w:val="0"/>
              <w:adjustRightInd w:val="0"/>
              <w:spacing w:after="60"/>
              <w:jc w:val="center"/>
              <w:rPr>
                <w:b/>
                <w:sz w:val="16"/>
                <w:szCs w:val="16"/>
              </w:rPr>
            </w:pPr>
            <w:r w:rsidRPr="0050549B">
              <w:rPr>
                <w:b/>
                <w:color w:val="00B050"/>
                <w:sz w:val="16"/>
                <w:szCs w:val="16"/>
              </w:rPr>
              <w:t>Avanza</w:t>
            </w:r>
          </w:p>
          <w:p w:rsidR="00230FAA" w:rsidRPr="007C56C4" w:rsidRDefault="00230FAA" w:rsidP="00230FAA">
            <w:pPr>
              <w:autoSpaceDE w:val="0"/>
              <w:autoSpaceDN w:val="0"/>
              <w:adjustRightInd w:val="0"/>
              <w:spacing w:after="60"/>
              <w:jc w:val="center"/>
              <w:rPr>
                <w:b/>
                <w:sz w:val="16"/>
                <w:szCs w:val="16"/>
              </w:rPr>
            </w:pPr>
            <w:r w:rsidRPr="0050549B">
              <w:rPr>
                <w:b/>
                <w:color w:val="FF0000"/>
                <w:sz w:val="16"/>
                <w:szCs w:val="16"/>
              </w:rPr>
              <w:t>No avanza</w:t>
            </w:r>
          </w:p>
          <w:p w:rsidR="00230FAA" w:rsidRPr="007C56C4" w:rsidRDefault="00230FAA" w:rsidP="00230FAA">
            <w:pPr>
              <w:autoSpaceDE w:val="0"/>
              <w:autoSpaceDN w:val="0"/>
              <w:adjustRightInd w:val="0"/>
              <w:spacing w:after="60"/>
              <w:jc w:val="center"/>
              <w:rPr>
                <w:b/>
                <w:sz w:val="16"/>
                <w:szCs w:val="16"/>
              </w:rPr>
            </w:pPr>
            <w:r w:rsidRPr="0050549B">
              <w:rPr>
                <w:b/>
                <w:color w:val="FF0000"/>
                <w:sz w:val="16"/>
                <w:szCs w:val="16"/>
              </w:rPr>
              <w:t>No avanza</w:t>
            </w:r>
          </w:p>
          <w:p w:rsidR="00230FAA" w:rsidRPr="007C56C4" w:rsidRDefault="003A134D" w:rsidP="00230FAA">
            <w:pPr>
              <w:autoSpaceDE w:val="0"/>
              <w:autoSpaceDN w:val="0"/>
              <w:adjustRightInd w:val="0"/>
              <w:spacing w:before="100" w:after="100"/>
              <w:jc w:val="center"/>
              <w:rPr>
                <w:b/>
                <w:sz w:val="13"/>
                <w:szCs w:val="13"/>
              </w:rPr>
            </w:pPr>
            <w:r w:rsidRPr="003A134D">
              <w:rPr>
                <w:b/>
                <w:color w:val="808080"/>
                <w:sz w:val="16"/>
                <w:szCs w:val="16"/>
              </w:rPr>
              <w:t xml:space="preserve">No </w:t>
            </w:r>
            <w:proofErr w:type="spellStart"/>
            <w:r w:rsidRPr="003A134D">
              <w:rPr>
                <w:b/>
                <w:color w:val="808080"/>
                <w:sz w:val="16"/>
                <w:szCs w:val="16"/>
              </w:rPr>
              <w:t>mensu</w:t>
            </w:r>
            <w:r>
              <w:rPr>
                <w:b/>
                <w:color w:val="808080"/>
                <w:sz w:val="16"/>
                <w:szCs w:val="16"/>
              </w:rPr>
              <w:t>-</w:t>
            </w:r>
            <w:r w:rsidRPr="003A134D">
              <w:rPr>
                <w:b/>
                <w:color w:val="808080"/>
                <w:sz w:val="16"/>
                <w:szCs w:val="16"/>
              </w:rPr>
              <w:t>rable</w:t>
            </w:r>
            <w:proofErr w:type="spellEnd"/>
          </w:p>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230FAA" w:rsidP="00230FAA">
            <w:pPr>
              <w:suppressLineNumbers/>
              <w:suppressAutoHyphens/>
              <w:spacing w:after="120"/>
              <w:jc w:val="center"/>
              <w:rPr>
                <w:b/>
                <w:sz w:val="16"/>
                <w:szCs w:val="16"/>
              </w:rPr>
            </w:pPr>
          </w:p>
          <w:p w:rsidR="00230FAA" w:rsidRPr="007C56C4" w:rsidRDefault="00230FAA" w:rsidP="00230FAA">
            <w:pPr>
              <w:suppressLineNumbers/>
              <w:suppressAutoHyphens/>
              <w:spacing w:after="120"/>
              <w:jc w:val="center"/>
              <w:rPr>
                <w:b/>
                <w:sz w:val="16"/>
                <w:szCs w:val="16"/>
              </w:rPr>
            </w:pPr>
          </w:p>
          <w:p w:rsidR="00230FAA" w:rsidRPr="007C56C4" w:rsidRDefault="00230FAA" w:rsidP="00230FAA">
            <w:pPr>
              <w:suppressLineNumbers/>
              <w:suppressAutoHyphens/>
              <w:spacing w:before="240" w:after="120"/>
              <w:jc w:val="center"/>
              <w:rPr>
                <w:b/>
                <w:sz w:val="16"/>
                <w:szCs w:val="16"/>
              </w:rPr>
            </w:pPr>
            <w:r w:rsidRPr="0050549B">
              <w:rPr>
                <w:b/>
                <w:color w:val="00B050"/>
                <w:sz w:val="16"/>
                <w:szCs w:val="16"/>
              </w:rPr>
              <w:t>Avanza</w:t>
            </w:r>
          </w:p>
          <w:p w:rsidR="00230FAA" w:rsidRPr="007C56C4" w:rsidRDefault="00230FAA" w:rsidP="00230FAA">
            <w:pPr>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b/>
                <w:sz w:val="16"/>
                <w:szCs w:val="16"/>
              </w:rPr>
            </w:pPr>
            <w:r w:rsidRPr="0050549B">
              <w:rPr>
                <w:b/>
                <w:color w:val="00B050"/>
                <w:sz w:val="16"/>
                <w:szCs w:val="16"/>
              </w:rPr>
              <w:t>Avanza</w:t>
            </w:r>
          </w:p>
          <w:p w:rsidR="00230FAA" w:rsidRPr="007C56C4" w:rsidRDefault="006C1C3C" w:rsidP="00230FAA">
            <w:pPr>
              <w:suppressLineNumbers/>
              <w:suppressAutoHyphens/>
              <w:spacing w:before="60" w:after="60"/>
              <w:jc w:val="center"/>
              <w:rPr>
                <w:b/>
                <w:sz w:val="13"/>
                <w:szCs w:val="13"/>
              </w:rPr>
            </w:pPr>
            <w:r w:rsidRPr="003A134D">
              <w:rPr>
                <w:b/>
                <w:color w:val="808080"/>
                <w:sz w:val="16"/>
                <w:szCs w:val="16"/>
              </w:rPr>
              <w:t xml:space="preserve">No </w:t>
            </w:r>
            <w:proofErr w:type="spellStart"/>
            <w:r w:rsidRPr="003A134D">
              <w:rPr>
                <w:b/>
                <w:color w:val="808080"/>
                <w:sz w:val="16"/>
                <w:szCs w:val="16"/>
              </w:rPr>
              <w:t>mensu</w:t>
            </w:r>
            <w:r>
              <w:rPr>
                <w:b/>
                <w:color w:val="808080"/>
                <w:sz w:val="16"/>
                <w:szCs w:val="16"/>
              </w:rPr>
              <w:t>-</w:t>
            </w:r>
            <w:r w:rsidRPr="003A134D">
              <w:rPr>
                <w:b/>
                <w:color w:val="808080"/>
                <w:sz w:val="16"/>
                <w:szCs w:val="16"/>
              </w:rPr>
              <w:t>rable</w:t>
            </w:r>
            <w:proofErr w:type="spellEnd"/>
          </w:p>
          <w:p w:rsidR="00230FAA" w:rsidRPr="007C56C4" w:rsidRDefault="00230FAA" w:rsidP="00230FAA">
            <w:pPr>
              <w:suppressLineNumbers/>
              <w:suppressAutoHyphens/>
              <w:jc w:val="center"/>
              <w:rPr>
                <w:sz w:val="16"/>
                <w:szCs w:val="16"/>
              </w:rPr>
            </w:pPr>
          </w:p>
        </w:tc>
      </w:tr>
      <w:tr w:rsidR="00230FAA" w:rsidRPr="007C56C4" w:rsidTr="00230FAA">
        <w:trPr>
          <w:cantSplit/>
          <w:trHeight w:val="1636"/>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p>
        </w:tc>
        <w:tc>
          <w:tcPr>
            <w:tcW w:w="1316" w:type="pct"/>
            <w:gridSpan w:val="2"/>
            <w:shd w:val="clear" w:color="auto" w:fill="auto"/>
            <w:tcMar>
              <w:left w:w="58" w:type="dxa"/>
              <w:right w:w="58" w:type="dxa"/>
            </w:tcMar>
          </w:tcPr>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WIPO GREEN 3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21 (OOS)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48 región de América Latina y el Caribe (OOB) </w:t>
            </w:r>
          </w:p>
          <w:p w:rsidR="00230FAA" w:rsidRPr="002F663B" w:rsidRDefault="00230FAA" w:rsidP="00230FAA">
            <w:pPr>
              <w:pStyle w:val="Default"/>
              <w:suppressLineNumbers/>
              <w:suppressAutoHyphens/>
              <w:rPr>
                <w:color w:val="auto"/>
                <w:sz w:val="16"/>
                <w:szCs w:val="16"/>
              </w:rPr>
            </w:pPr>
            <w:r w:rsidRPr="002F663B">
              <w:rPr>
                <w:color w:val="auto"/>
                <w:sz w:val="16"/>
                <w:szCs w:val="16"/>
              </w:rPr>
              <w:t xml:space="preserve">45 (OOJ) </w:t>
            </w:r>
          </w:p>
          <w:p w:rsidR="00230FAA" w:rsidRPr="002F663B" w:rsidRDefault="00230FAA" w:rsidP="00230FAA">
            <w:pPr>
              <w:pStyle w:val="Default"/>
              <w:suppressLineNumbers/>
              <w:suppressAutoHyphens/>
              <w:rPr>
                <w:color w:val="auto"/>
                <w:sz w:val="16"/>
                <w:szCs w:val="16"/>
              </w:rPr>
            </w:pPr>
            <w:r w:rsidRPr="002F663B">
              <w:rPr>
                <w:color w:val="auto"/>
                <w:sz w:val="16"/>
                <w:szCs w:val="16"/>
              </w:rPr>
              <w:t xml:space="preserve">1 (OOR) </w:t>
            </w:r>
          </w:p>
          <w:p w:rsidR="00230FAA" w:rsidRPr="002F663B" w:rsidRDefault="00230FAA" w:rsidP="00230FAA">
            <w:pPr>
              <w:pStyle w:val="Default"/>
              <w:suppressLineNumbers/>
              <w:suppressAutoHyphens/>
              <w:rPr>
                <w:color w:val="auto"/>
                <w:sz w:val="16"/>
                <w:szCs w:val="16"/>
              </w:rPr>
            </w:pPr>
            <w:r w:rsidRPr="002F663B">
              <w:rPr>
                <w:color w:val="auto"/>
                <w:sz w:val="16"/>
                <w:szCs w:val="16"/>
              </w:rPr>
              <w:t xml:space="preserve">29 (OOC) </w:t>
            </w:r>
          </w:p>
          <w:p w:rsidR="00230FAA" w:rsidRPr="002F663B" w:rsidRDefault="00230FAA" w:rsidP="00230FAA">
            <w:pPr>
              <w:pStyle w:val="Default"/>
              <w:suppressLineNumbers/>
              <w:suppressAutoHyphens/>
              <w:rPr>
                <w:color w:val="auto"/>
                <w:sz w:val="16"/>
                <w:szCs w:val="16"/>
              </w:rPr>
            </w:pPr>
          </w:p>
          <w:p w:rsidR="00230FAA" w:rsidRPr="002F663B" w:rsidRDefault="00230FAA" w:rsidP="00230FAA">
            <w:pPr>
              <w:pStyle w:val="Default"/>
              <w:suppressLineNumbers/>
              <w:suppressAutoHyphens/>
              <w:spacing w:after="120"/>
              <w:rPr>
                <w:color w:val="auto"/>
                <w:sz w:val="16"/>
                <w:szCs w:val="16"/>
              </w:rPr>
            </w:pPr>
            <w:r w:rsidRPr="002F663B">
              <w:rPr>
                <w:color w:val="auto"/>
                <w:sz w:val="16"/>
                <w:szCs w:val="16"/>
              </w:rPr>
              <w:t xml:space="preserve">WIPO </w:t>
            </w:r>
            <w:proofErr w:type="spellStart"/>
            <w:r w:rsidRPr="002F663B">
              <w:rPr>
                <w:color w:val="auto"/>
                <w:sz w:val="16"/>
                <w:szCs w:val="16"/>
              </w:rPr>
              <w:t>Re:Search</w:t>
            </w:r>
            <w:proofErr w:type="spellEnd"/>
            <w:r w:rsidRPr="002F663B">
              <w:rPr>
                <w:color w:val="auto"/>
                <w:sz w:val="16"/>
                <w:szCs w:val="16"/>
              </w:rPr>
              <w:t xml:space="preserve">: </w:t>
            </w:r>
            <w:proofErr w:type="spellStart"/>
            <w:r w:rsidRPr="002F663B">
              <w:rPr>
                <w:color w:val="auto"/>
                <w:sz w:val="16"/>
                <w:szCs w:val="16"/>
              </w:rPr>
              <w:t>n.d.</w:t>
            </w:r>
            <w:proofErr w:type="spellEnd"/>
            <w:r w:rsidRPr="002F663B">
              <w:rPr>
                <w:color w:val="auto"/>
                <w:sz w:val="16"/>
                <w:szCs w:val="16"/>
              </w:rPr>
              <w:t xml:space="preserve"> </w:t>
            </w:r>
          </w:p>
        </w:tc>
        <w:tc>
          <w:tcPr>
            <w:tcW w:w="862" w:type="pct"/>
            <w:gridSpan w:val="4"/>
            <w:shd w:val="clear" w:color="auto" w:fill="auto"/>
            <w:tcMar>
              <w:top w:w="110" w:type="dxa"/>
              <w:left w:w="58" w:type="dxa"/>
              <w:right w:w="58" w:type="dxa"/>
            </w:tcMar>
          </w:tcPr>
          <w:p w:rsidR="00230FAA" w:rsidRPr="002F663B" w:rsidRDefault="00230FAA" w:rsidP="00230FAA">
            <w:pPr>
              <w:suppressLineNumbers/>
              <w:suppressAutoHyphens/>
              <w:rPr>
                <w:lang w:val="en-US"/>
              </w:rPr>
            </w:pPr>
            <w:r w:rsidRPr="002F663B">
              <w:rPr>
                <w:sz w:val="16"/>
                <w:szCs w:val="16"/>
                <w:lang w:val="en-US"/>
              </w:rPr>
              <w:t xml:space="preserve"> </w:t>
            </w:r>
          </w:p>
        </w:tc>
        <w:tc>
          <w:tcPr>
            <w:tcW w:w="1323" w:type="pct"/>
            <w:gridSpan w:val="4"/>
            <w:shd w:val="clear" w:color="auto" w:fill="FFFFFF"/>
            <w:tcMar>
              <w:top w:w="110" w:type="dxa"/>
              <w:left w:w="58" w:type="dxa"/>
              <w:right w:w="58" w:type="dxa"/>
            </w:tcMar>
          </w:tcPr>
          <w:p w:rsidR="00230FAA" w:rsidRPr="007C56C4" w:rsidRDefault="006C1C3C" w:rsidP="00230FAA">
            <w:pPr>
              <w:pStyle w:val="Default"/>
              <w:spacing w:after="120"/>
              <w:rPr>
                <w:color w:val="auto"/>
                <w:sz w:val="16"/>
                <w:szCs w:val="16"/>
                <w:lang w:val="es-ES"/>
              </w:rPr>
            </w:pPr>
            <w:r>
              <w:rPr>
                <w:color w:val="auto"/>
                <w:sz w:val="16"/>
                <w:szCs w:val="16"/>
                <w:lang w:val="es-ES"/>
              </w:rPr>
              <w:t>43 (OOS)</w:t>
            </w:r>
            <w:r w:rsidR="00230FAA" w:rsidRPr="007C56C4">
              <w:rPr>
                <w:color w:val="auto"/>
                <w:sz w:val="16"/>
                <w:szCs w:val="16"/>
                <w:lang w:val="es-ES"/>
              </w:rPr>
              <w:t>   </w:t>
            </w:r>
          </w:p>
          <w:p w:rsidR="00230FAA" w:rsidRPr="007C56C4" w:rsidRDefault="00230FAA" w:rsidP="00230FAA">
            <w:pPr>
              <w:rPr>
                <w:rFonts w:ascii="Times New Roman" w:hAnsi="Times New Roman"/>
                <w:sz w:val="24"/>
                <w:szCs w:val="24"/>
              </w:rPr>
            </w:pPr>
            <w:r w:rsidRPr="007C56C4">
              <w:rPr>
                <w:sz w:val="16"/>
                <w:szCs w:val="16"/>
              </w:rPr>
              <w:t>225 en total</w:t>
            </w:r>
          </w:p>
          <w:p w:rsidR="00230FAA" w:rsidRPr="007C56C4" w:rsidRDefault="00230FAA" w:rsidP="00230FAA">
            <w:pPr>
              <w:suppressLineNumbers/>
              <w:suppressAutoHyphens/>
              <w:rPr>
                <w:sz w:val="16"/>
                <w:szCs w:val="16"/>
              </w:rPr>
            </w:pPr>
          </w:p>
        </w:tc>
        <w:tc>
          <w:tcPr>
            <w:tcW w:w="457" w:type="pct"/>
            <w:gridSpan w:val="4"/>
            <w:shd w:val="clear" w:color="auto" w:fill="auto"/>
            <w:tcMar>
              <w:top w:w="110" w:type="dxa"/>
              <w:left w:w="58" w:type="dxa"/>
              <w:right w:w="58" w:type="dxa"/>
            </w:tcMar>
          </w:tcPr>
          <w:p w:rsidR="00230FAA" w:rsidRPr="007C56C4" w:rsidRDefault="00230FAA" w:rsidP="00230FAA">
            <w:pPr>
              <w:suppressLineNumbers/>
              <w:suppressAutoHyphens/>
              <w:spacing w:after="120"/>
              <w:jc w:val="center"/>
              <w:rPr>
                <w:b/>
                <w:sz w:val="16"/>
                <w:szCs w:val="16"/>
              </w:rPr>
            </w:pPr>
            <w:r w:rsidRPr="0050549B">
              <w:rPr>
                <w:b/>
                <w:color w:val="00B050"/>
                <w:sz w:val="16"/>
                <w:szCs w:val="16"/>
              </w:rPr>
              <w:t>Avanza</w:t>
            </w:r>
          </w:p>
          <w:p w:rsidR="00230FAA" w:rsidRPr="007C56C4" w:rsidRDefault="00230FAA" w:rsidP="00230FAA">
            <w:pPr>
              <w:suppressLineNumbers/>
              <w:suppressAutoHyphens/>
              <w:jc w:val="center"/>
              <w:rPr>
                <w:sz w:val="16"/>
                <w:szCs w:val="16"/>
              </w:rPr>
            </w:pPr>
          </w:p>
        </w:tc>
      </w:tr>
      <w:tr w:rsidR="00230FAA" w:rsidRPr="007C56C4" w:rsidTr="00230FAA">
        <w:trPr>
          <w:cantSplit/>
          <w:trHeight w:val="648"/>
        </w:trPr>
        <w:tc>
          <w:tcPr>
            <w:tcW w:w="5000" w:type="pct"/>
            <w:gridSpan w:val="15"/>
            <w:shd w:val="clear" w:color="auto" w:fill="C6D9F1" w:themeFill="text2" w:themeFillTint="33"/>
            <w:tcMar>
              <w:left w:w="58" w:type="dxa"/>
              <w:right w:w="58" w:type="dxa"/>
            </w:tcMar>
            <w:vAlign w:val="center"/>
          </w:tcPr>
          <w:p w:rsidR="00230FAA" w:rsidRPr="007C56C4" w:rsidRDefault="00230FAA" w:rsidP="00230FAA">
            <w:pPr>
              <w:keepNext/>
              <w:suppressLineNumbers/>
              <w:tabs>
                <w:tab w:val="left" w:pos="1452"/>
              </w:tabs>
              <w:suppressAutoHyphens/>
              <w:ind w:left="1701" w:hanging="1701"/>
              <w:rPr>
                <w:sz w:val="16"/>
                <w:szCs w:val="16"/>
              </w:rPr>
            </w:pPr>
            <w:r w:rsidRPr="007C56C4">
              <w:rPr>
                <w:b/>
                <w:bCs/>
                <w:sz w:val="16"/>
                <w:szCs w:val="16"/>
              </w:rPr>
              <w:t>Resultado previsto:</w:t>
            </w:r>
            <w:r w:rsidRPr="007C56C4">
              <w:rPr>
                <w:b/>
                <w:bCs/>
                <w:sz w:val="16"/>
                <w:szCs w:val="16"/>
              </w:rPr>
              <w:tab/>
            </w:r>
            <w:r w:rsidRPr="007C56C4">
              <w:rPr>
                <w:sz w:val="16"/>
                <w:szCs w:val="16"/>
              </w:rPr>
              <w:t xml:space="preserve">VIII.1  Comunicación más eficaz con el público en general acerca de la P.I. y la función de la OMPI </w:t>
            </w:r>
          </w:p>
        </w:tc>
      </w:tr>
      <w:tr w:rsidR="00230FAA" w:rsidRPr="007C56C4" w:rsidTr="00230FAA">
        <w:trPr>
          <w:cantSplit/>
        </w:trPr>
        <w:tc>
          <w:tcPr>
            <w:tcW w:w="1043" w:type="pct"/>
            <w:shd w:val="clear" w:color="auto" w:fill="auto"/>
            <w:tcMar>
              <w:left w:w="58" w:type="dxa"/>
              <w:right w:w="58" w:type="dxa"/>
            </w:tcMar>
            <w:vAlign w:val="center"/>
          </w:tcPr>
          <w:p w:rsidR="00230FAA" w:rsidRPr="007C56C4" w:rsidRDefault="00230FAA" w:rsidP="00230FAA">
            <w:pPr>
              <w:keepNext/>
              <w:suppressLineNumbers/>
              <w:suppressAutoHyphens/>
              <w:rPr>
                <w:b/>
                <w:bCs/>
                <w:sz w:val="16"/>
                <w:szCs w:val="16"/>
              </w:rPr>
            </w:pPr>
            <w:r w:rsidRPr="007C56C4">
              <w:rPr>
                <w:b/>
                <w:bCs/>
                <w:sz w:val="16"/>
                <w:szCs w:val="16"/>
              </w:rPr>
              <w:t>Indicadores de rendimiento</w:t>
            </w:r>
          </w:p>
        </w:tc>
        <w:tc>
          <w:tcPr>
            <w:tcW w:w="1316" w:type="pct"/>
            <w:gridSpan w:val="2"/>
            <w:shd w:val="clear" w:color="auto" w:fill="auto"/>
            <w:tcMar>
              <w:left w:w="58" w:type="dxa"/>
              <w:right w:w="58" w:type="dxa"/>
            </w:tcMar>
            <w:vAlign w:val="center"/>
          </w:tcPr>
          <w:p w:rsidR="00230FAA" w:rsidRPr="007C56C4" w:rsidRDefault="00230FAA" w:rsidP="00230FAA">
            <w:pPr>
              <w:keepNext/>
              <w:suppressLineNumbers/>
              <w:suppressAutoHyphens/>
              <w:rPr>
                <w:b/>
                <w:bCs/>
                <w:sz w:val="16"/>
                <w:szCs w:val="16"/>
              </w:rPr>
            </w:pPr>
            <w:r w:rsidRPr="007C56C4">
              <w:rPr>
                <w:b/>
                <w:bCs/>
                <w:sz w:val="16"/>
                <w:szCs w:val="16"/>
              </w:rPr>
              <w:t>Referencia</w:t>
            </w:r>
          </w:p>
        </w:tc>
        <w:tc>
          <w:tcPr>
            <w:tcW w:w="862" w:type="pct"/>
            <w:gridSpan w:val="4"/>
            <w:shd w:val="clear" w:color="auto" w:fill="auto"/>
            <w:tcMar>
              <w:top w:w="110" w:type="dxa"/>
              <w:left w:w="58" w:type="dxa"/>
              <w:right w:w="58" w:type="dxa"/>
            </w:tcMar>
            <w:vAlign w:val="center"/>
          </w:tcPr>
          <w:p w:rsidR="00230FAA" w:rsidRPr="007C56C4" w:rsidRDefault="00230FAA" w:rsidP="00230FAA">
            <w:pPr>
              <w:keepNext/>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keepNext/>
              <w:suppressLineNumbers/>
              <w:suppressAutoHyphens/>
              <w:rPr>
                <w:b/>
                <w:bCs/>
                <w:sz w:val="16"/>
                <w:szCs w:val="16"/>
              </w:rPr>
            </w:pPr>
            <w:r w:rsidRPr="007C56C4">
              <w:rPr>
                <w:b/>
                <w:bCs/>
                <w:sz w:val="16"/>
                <w:szCs w:val="16"/>
              </w:rPr>
              <w:t>Datos sobre el rendimiento</w:t>
            </w:r>
          </w:p>
        </w:tc>
        <w:tc>
          <w:tcPr>
            <w:tcW w:w="457" w:type="pct"/>
            <w:gridSpan w:val="4"/>
            <w:shd w:val="clear" w:color="auto" w:fill="auto"/>
            <w:tcMar>
              <w:top w:w="110" w:type="dxa"/>
              <w:left w:w="58" w:type="dxa"/>
              <w:right w:w="58" w:type="dxa"/>
            </w:tcMar>
            <w:vAlign w:val="center"/>
          </w:tcPr>
          <w:p w:rsidR="00230FAA" w:rsidRPr="007C56C4" w:rsidRDefault="00230FAA" w:rsidP="00230FAA">
            <w:pPr>
              <w:keepNext/>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2278"/>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Aumento del tráfico en el sitio web de las Oficinas de la OMPI en el exterior. </w:t>
            </w:r>
          </w:p>
        </w:tc>
        <w:tc>
          <w:tcPr>
            <w:tcW w:w="1316" w:type="pct"/>
            <w:gridSpan w:val="2"/>
            <w:shd w:val="clear" w:color="auto" w:fill="auto"/>
            <w:tcMar>
              <w:left w:w="58" w:type="dxa"/>
              <w:right w:w="58" w:type="dxa"/>
            </w:tcMar>
          </w:tcPr>
          <w:p w:rsidR="00230FAA" w:rsidRPr="00157CFD" w:rsidRDefault="00230FAA" w:rsidP="00230FAA">
            <w:pPr>
              <w:suppressLineNumbers/>
              <w:suppressAutoHyphens/>
              <w:rPr>
                <w:i/>
                <w:color w:val="002060"/>
                <w:sz w:val="16"/>
                <w:szCs w:val="16"/>
              </w:rPr>
            </w:pPr>
            <w:r w:rsidRPr="00157CFD">
              <w:rPr>
                <w:i/>
                <w:color w:val="002060"/>
                <w:sz w:val="16"/>
                <w:szCs w:val="16"/>
              </w:rPr>
              <w:t xml:space="preserve">Referencia actualizada a fines de 2015:  </w:t>
            </w:r>
          </w:p>
          <w:p w:rsidR="00230FAA" w:rsidRPr="002F663B" w:rsidRDefault="00230FAA" w:rsidP="00230FAA">
            <w:pPr>
              <w:pStyle w:val="Default"/>
              <w:suppressLineNumbers/>
              <w:suppressAutoHyphens/>
              <w:rPr>
                <w:color w:val="002060"/>
                <w:sz w:val="16"/>
                <w:szCs w:val="16"/>
              </w:rPr>
            </w:pPr>
            <w:r w:rsidRPr="002F663B">
              <w:rPr>
                <w:color w:val="002060"/>
                <w:sz w:val="16"/>
                <w:szCs w:val="16"/>
              </w:rPr>
              <w:t xml:space="preserve">1.966 (OOB) </w:t>
            </w:r>
          </w:p>
          <w:p w:rsidR="00230FAA" w:rsidRPr="002F663B" w:rsidRDefault="00230FAA" w:rsidP="00230FAA">
            <w:pPr>
              <w:suppressLineNumbers/>
              <w:suppressAutoHyphens/>
              <w:rPr>
                <w:color w:val="002060"/>
                <w:sz w:val="16"/>
                <w:szCs w:val="16"/>
                <w:lang w:val="en-US"/>
              </w:rPr>
            </w:pPr>
            <w:r w:rsidRPr="002F663B">
              <w:rPr>
                <w:color w:val="002060"/>
                <w:sz w:val="16"/>
                <w:szCs w:val="16"/>
                <w:lang w:val="en-US"/>
              </w:rPr>
              <w:t>4.204 (OOC)</w:t>
            </w:r>
          </w:p>
          <w:p w:rsidR="00230FAA" w:rsidRPr="002F663B" w:rsidRDefault="00230FAA" w:rsidP="00230FAA">
            <w:pPr>
              <w:pStyle w:val="Default"/>
              <w:suppressLineNumbers/>
              <w:suppressAutoHyphens/>
              <w:rPr>
                <w:color w:val="002060"/>
                <w:sz w:val="16"/>
                <w:szCs w:val="16"/>
              </w:rPr>
            </w:pPr>
            <w:r w:rsidRPr="002F663B">
              <w:rPr>
                <w:color w:val="002060"/>
                <w:sz w:val="16"/>
                <w:szCs w:val="16"/>
              </w:rPr>
              <w:t>7.027 (OOJ)</w:t>
            </w:r>
          </w:p>
          <w:p w:rsidR="00230FAA" w:rsidRPr="002F663B" w:rsidRDefault="00230FAA" w:rsidP="00230FAA">
            <w:pPr>
              <w:pStyle w:val="Default"/>
              <w:suppressLineNumbers/>
              <w:suppressAutoHyphens/>
              <w:rPr>
                <w:color w:val="002060"/>
                <w:sz w:val="16"/>
                <w:szCs w:val="16"/>
              </w:rPr>
            </w:pPr>
            <w:r w:rsidRPr="002F663B">
              <w:rPr>
                <w:color w:val="002060"/>
                <w:sz w:val="16"/>
                <w:szCs w:val="16"/>
              </w:rPr>
              <w:t xml:space="preserve">4.327 (OOR) </w:t>
            </w:r>
          </w:p>
          <w:p w:rsidR="00230FAA" w:rsidRPr="002F663B" w:rsidRDefault="00230FAA" w:rsidP="00230FAA">
            <w:pPr>
              <w:pStyle w:val="Default"/>
              <w:suppressLineNumbers/>
              <w:suppressAutoHyphens/>
              <w:rPr>
                <w:color w:val="002060"/>
                <w:sz w:val="16"/>
                <w:szCs w:val="16"/>
              </w:rPr>
            </w:pPr>
            <w:r w:rsidRPr="002F663B">
              <w:rPr>
                <w:color w:val="002060"/>
                <w:sz w:val="16"/>
                <w:szCs w:val="16"/>
              </w:rPr>
              <w:t>10.042 (OOS)</w:t>
            </w:r>
          </w:p>
          <w:p w:rsidR="00230FAA" w:rsidRPr="002F663B" w:rsidRDefault="00230FAA" w:rsidP="00230FAA">
            <w:pPr>
              <w:suppressLineNumbers/>
              <w:suppressAutoHyphens/>
              <w:rPr>
                <w:sz w:val="16"/>
                <w:szCs w:val="16"/>
                <w:lang w:val="en-US"/>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9.882 (OOS)</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OOB &amp; OOJ:  </w:t>
            </w:r>
            <w:r w:rsidR="006C1C3C" w:rsidRPr="007C56C4">
              <w:rPr>
                <w:color w:val="auto"/>
                <w:sz w:val="16"/>
                <w:szCs w:val="16"/>
                <w:lang w:val="es-ES"/>
              </w:rPr>
              <w:t xml:space="preserve">Por </w:t>
            </w:r>
            <w:r w:rsidRPr="007C56C4">
              <w:rPr>
                <w:color w:val="auto"/>
                <w:sz w:val="16"/>
                <w:szCs w:val="16"/>
                <w:lang w:val="es-ES"/>
              </w:rPr>
              <w:t xml:space="preserve">determinar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0 (OOR) </w:t>
            </w:r>
          </w:p>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0 (OOC) </w:t>
            </w:r>
          </w:p>
        </w:tc>
        <w:tc>
          <w:tcPr>
            <w:tcW w:w="862" w:type="pct"/>
            <w:gridSpan w:val="4"/>
            <w:shd w:val="clear" w:color="auto" w:fill="auto"/>
            <w:tcMar>
              <w:top w:w="110" w:type="dxa"/>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 xml:space="preserve">Aumento del 5% en todas las Oficinas. </w:t>
            </w:r>
          </w:p>
        </w:tc>
        <w:tc>
          <w:tcPr>
            <w:tcW w:w="1323" w:type="pct"/>
            <w:gridSpan w:val="4"/>
            <w:shd w:val="clear" w:color="auto" w:fill="FFFFFF"/>
            <w:tcMar>
              <w:top w:w="110" w:type="dxa"/>
              <w:left w:w="58" w:type="dxa"/>
              <w:right w:w="58" w:type="dxa"/>
            </w:tcMar>
          </w:tcPr>
          <w:p w:rsidR="00230FAA" w:rsidRPr="002F663B" w:rsidRDefault="00230FAA" w:rsidP="00230FAA">
            <w:pPr>
              <w:pStyle w:val="Default"/>
              <w:suppressLineNumbers/>
              <w:suppressAutoHyphens/>
              <w:spacing w:after="120"/>
              <w:rPr>
                <w:color w:val="auto"/>
                <w:sz w:val="16"/>
                <w:szCs w:val="16"/>
              </w:rPr>
            </w:pPr>
            <w:r w:rsidRPr="002F663B">
              <w:rPr>
                <w:color w:val="auto"/>
                <w:sz w:val="16"/>
                <w:szCs w:val="16"/>
              </w:rPr>
              <w:t>2.932</w:t>
            </w:r>
            <w:r w:rsidRPr="002F663B">
              <w:rPr>
                <w:color w:val="auto"/>
                <w:sz w:val="16"/>
                <w:szCs w:val="16"/>
                <w:lang w:eastAsia="zh-CN"/>
              </w:rPr>
              <w:t xml:space="preserve"> (</w:t>
            </w:r>
            <w:r w:rsidRPr="002F663B">
              <w:rPr>
                <w:color w:val="auto"/>
                <w:sz w:val="16"/>
                <w:szCs w:val="16"/>
              </w:rPr>
              <w:t>OOB) (+49%)</w:t>
            </w:r>
          </w:p>
          <w:p w:rsidR="00230FAA" w:rsidRPr="002F663B" w:rsidRDefault="00230FAA" w:rsidP="00230FAA">
            <w:pPr>
              <w:suppressLineNumbers/>
              <w:suppressAutoHyphens/>
              <w:spacing w:after="120"/>
              <w:rPr>
                <w:sz w:val="16"/>
                <w:szCs w:val="16"/>
                <w:lang w:val="en-US"/>
              </w:rPr>
            </w:pPr>
            <w:r w:rsidRPr="002F663B">
              <w:rPr>
                <w:sz w:val="16"/>
                <w:szCs w:val="16"/>
                <w:lang w:val="en-US"/>
              </w:rPr>
              <w:t>4.722 (OOC) (+12%)</w:t>
            </w:r>
          </w:p>
          <w:p w:rsidR="00230FAA" w:rsidRPr="002F663B" w:rsidRDefault="00230FAA" w:rsidP="00230FAA">
            <w:pPr>
              <w:pStyle w:val="Default"/>
              <w:suppressLineNumbers/>
              <w:suppressAutoHyphens/>
              <w:spacing w:after="120"/>
              <w:rPr>
                <w:color w:val="auto"/>
                <w:sz w:val="16"/>
                <w:szCs w:val="16"/>
              </w:rPr>
            </w:pPr>
            <w:r w:rsidRPr="002F663B">
              <w:rPr>
                <w:color w:val="auto"/>
                <w:sz w:val="16"/>
                <w:szCs w:val="16"/>
              </w:rPr>
              <w:t>7.724</w:t>
            </w:r>
            <w:r w:rsidRPr="002F663B">
              <w:rPr>
                <w:color w:val="auto"/>
                <w:sz w:val="16"/>
                <w:szCs w:val="16"/>
                <w:lang w:eastAsia="zh-CN"/>
              </w:rPr>
              <w:t xml:space="preserve"> (</w:t>
            </w:r>
            <w:r w:rsidRPr="002F663B">
              <w:rPr>
                <w:color w:val="auto"/>
                <w:sz w:val="16"/>
                <w:szCs w:val="16"/>
              </w:rPr>
              <w:t>OOJ) (+10%)</w:t>
            </w:r>
          </w:p>
          <w:p w:rsidR="00230FAA" w:rsidRPr="002F663B" w:rsidRDefault="00230FAA" w:rsidP="00230FAA">
            <w:pPr>
              <w:pStyle w:val="Default"/>
              <w:suppressLineNumbers/>
              <w:suppressAutoHyphens/>
              <w:spacing w:after="120"/>
              <w:rPr>
                <w:color w:val="auto"/>
                <w:sz w:val="16"/>
                <w:szCs w:val="16"/>
              </w:rPr>
            </w:pPr>
            <w:r w:rsidRPr="002F663B">
              <w:rPr>
                <w:color w:val="auto"/>
                <w:sz w:val="16"/>
                <w:szCs w:val="16"/>
              </w:rPr>
              <w:t>5.894</w:t>
            </w:r>
            <w:r w:rsidRPr="002F663B" w:rsidDel="00D83105">
              <w:rPr>
                <w:color w:val="auto"/>
                <w:sz w:val="16"/>
                <w:szCs w:val="16"/>
              </w:rPr>
              <w:t xml:space="preserve"> </w:t>
            </w:r>
            <w:r w:rsidRPr="002F663B">
              <w:rPr>
                <w:color w:val="auto"/>
                <w:sz w:val="16"/>
                <w:szCs w:val="16"/>
              </w:rPr>
              <w:t>(OOR) (+36%)</w:t>
            </w:r>
          </w:p>
          <w:p w:rsidR="00230FAA" w:rsidRPr="002F663B" w:rsidRDefault="00230FAA" w:rsidP="00230FAA">
            <w:pPr>
              <w:pStyle w:val="Default"/>
              <w:suppressLineNumbers/>
              <w:suppressAutoHyphens/>
              <w:spacing w:after="120"/>
              <w:rPr>
                <w:color w:val="auto"/>
                <w:sz w:val="16"/>
                <w:szCs w:val="16"/>
              </w:rPr>
            </w:pPr>
            <w:r w:rsidRPr="002F663B">
              <w:rPr>
                <w:color w:val="auto"/>
                <w:sz w:val="16"/>
                <w:szCs w:val="16"/>
              </w:rPr>
              <w:t>7.752</w:t>
            </w:r>
            <w:r w:rsidRPr="002F663B">
              <w:rPr>
                <w:color w:val="auto"/>
                <w:sz w:val="16"/>
                <w:szCs w:val="16"/>
                <w:lang w:eastAsia="zh-CN"/>
              </w:rPr>
              <w:t xml:space="preserve"> </w:t>
            </w:r>
            <w:r w:rsidRPr="002F663B">
              <w:rPr>
                <w:color w:val="auto"/>
                <w:sz w:val="16"/>
                <w:szCs w:val="16"/>
              </w:rPr>
              <w:t>(OOS) (-23%)</w:t>
            </w:r>
          </w:p>
          <w:p w:rsidR="00230FAA" w:rsidRPr="002F663B" w:rsidRDefault="00230FAA" w:rsidP="00230FAA">
            <w:pPr>
              <w:suppressLineNumbers/>
              <w:suppressAutoHyphens/>
              <w:rPr>
                <w:sz w:val="16"/>
                <w:szCs w:val="16"/>
                <w:lang w:val="en-US"/>
              </w:rPr>
            </w:pPr>
          </w:p>
        </w:tc>
        <w:tc>
          <w:tcPr>
            <w:tcW w:w="457" w:type="pct"/>
            <w:gridSpan w:val="4"/>
            <w:shd w:val="clear" w:color="auto" w:fill="auto"/>
            <w:tcMar>
              <w:top w:w="110" w:type="dxa"/>
              <w:left w:w="58" w:type="dxa"/>
              <w:right w:w="58" w:type="dxa"/>
            </w:tcMar>
          </w:tcPr>
          <w:p w:rsidR="00230FAA" w:rsidRPr="007C56C4" w:rsidRDefault="00230FAA" w:rsidP="00230FAA">
            <w:pPr>
              <w:suppressLineNumbers/>
              <w:suppressAutoHyphens/>
              <w:spacing w:after="120"/>
              <w:jc w:val="center"/>
              <w:rPr>
                <w:rFonts w:eastAsia="Calibri"/>
                <w:b/>
                <w:sz w:val="16"/>
                <w:szCs w:val="16"/>
              </w:rPr>
            </w:pPr>
            <w:r w:rsidRPr="0050549B">
              <w:rPr>
                <w:rFonts w:eastAsia="Calibri"/>
                <w:b/>
                <w:color w:val="00B050"/>
                <w:sz w:val="16"/>
                <w:szCs w:val="16"/>
              </w:rPr>
              <w:t>Avanza</w:t>
            </w:r>
          </w:p>
          <w:p w:rsidR="00230FAA" w:rsidRPr="007C56C4" w:rsidRDefault="00230FAA" w:rsidP="00230FAA">
            <w:pPr>
              <w:suppressLineNumbers/>
              <w:suppressAutoHyphens/>
              <w:spacing w:after="120"/>
              <w:jc w:val="center"/>
              <w:rPr>
                <w:rFonts w:eastAsia="Calibri"/>
                <w:b/>
                <w:sz w:val="16"/>
                <w:szCs w:val="16"/>
              </w:rPr>
            </w:pPr>
            <w:r w:rsidRPr="0050549B">
              <w:rPr>
                <w:rFonts w:eastAsia="Calibri"/>
                <w:b/>
                <w:color w:val="00B050"/>
                <w:sz w:val="16"/>
                <w:szCs w:val="16"/>
              </w:rPr>
              <w:t>Avanza</w:t>
            </w:r>
          </w:p>
          <w:p w:rsidR="00230FAA" w:rsidRPr="007C56C4" w:rsidRDefault="00230FAA" w:rsidP="00230FAA">
            <w:pPr>
              <w:suppressLineNumbers/>
              <w:suppressAutoHyphens/>
              <w:spacing w:after="120"/>
              <w:jc w:val="center"/>
              <w:rPr>
                <w:rFonts w:eastAsia="Calibri"/>
                <w:b/>
                <w:sz w:val="16"/>
                <w:szCs w:val="16"/>
              </w:rPr>
            </w:pPr>
            <w:r w:rsidRPr="0050549B">
              <w:rPr>
                <w:rFonts w:eastAsia="Calibri"/>
                <w:b/>
                <w:color w:val="00B050"/>
                <w:sz w:val="16"/>
                <w:szCs w:val="16"/>
              </w:rPr>
              <w:t>Avanza</w:t>
            </w:r>
          </w:p>
          <w:p w:rsidR="00230FAA" w:rsidRPr="007C56C4" w:rsidRDefault="00230FAA" w:rsidP="00230FAA">
            <w:pPr>
              <w:suppressLineNumbers/>
              <w:suppressAutoHyphens/>
              <w:spacing w:after="120"/>
              <w:jc w:val="center"/>
              <w:rPr>
                <w:rFonts w:eastAsia="Calibri"/>
                <w:b/>
                <w:sz w:val="16"/>
                <w:szCs w:val="16"/>
              </w:rPr>
            </w:pPr>
            <w:r w:rsidRPr="0050549B">
              <w:rPr>
                <w:rFonts w:eastAsia="Calibri"/>
                <w:b/>
                <w:color w:val="00B050"/>
                <w:sz w:val="16"/>
                <w:szCs w:val="16"/>
              </w:rPr>
              <w:t>Avanza</w:t>
            </w:r>
          </w:p>
          <w:p w:rsidR="00230FAA" w:rsidRPr="007C56C4" w:rsidRDefault="00230FAA" w:rsidP="00230FAA">
            <w:pPr>
              <w:suppressLineNumbers/>
              <w:suppressAutoHyphens/>
              <w:spacing w:after="120"/>
              <w:jc w:val="center"/>
              <w:rPr>
                <w:b/>
                <w:sz w:val="16"/>
                <w:szCs w:val="16"/>
              </w:rPr>
            </w:pPr>
            <w:r w:rsidRPr="0050549B">
              <w:rPr>
                <w:b/>
                <w:color w:val="FF0000"/>
                <w:sz w:val="16"/>
                <w:szCs w:val="16"/>
              </w:rPr>
              <w:t>No avanza</w:t>
            </w:r>
          </w:p>
          <w:p w:rsidR="00230FAA" w:rsidRPr="007C56C4" w:rsidRDefault="00230FAA" w:rsidP="00230FAA">
            <w:pPr>
              <w:suppressLineNumbers/>
              <w:suppressAutoHyphens/>
              <w:rPr>
                <w:sz w:val="16"/>
                <w:szCs w:val="16"/>
              </w:rPr>
            </w:pPr>
          </w:p>
        </w:tc>
      </w:tr>
      <w:tr w:rsidR="00230FAA" w:rsidRPr="007C56C4" w:rsidTr="00230FAA">
        <w:trPr>
          <w:gridAfter w:val="1"/>
          <w:wAfter w:w="5" w:type="pct"/>
          <w:cantSplit/>
          <w:trHeight w:val="648"/>
        </w:trPr>
        <w:tc>
          <w:tcPr>
            <w:tcW w:w="4995" w:type="pct"/>
            <w:gridSpan w:val="14"/>
            <w:shd w:val="clear" w:color="auto" w:fill="C6D9F1" w:themeFill="text2" w:themeFillTint="33"/>
            <w:tcMar>
              <w:left w:w="58" w:type="dxa"/>
              <w:right w:w="58" w:type="dxa"/>
            </w:tcMar>
            <w:vAlign w:val="center"/>
          </w:tcPr>
          <w:p w:rsidR="00230FAA" w:rsidRPr="007C56C4" w:rsidRDefault="00230FAA" w:rsidP="00230FAA">
            <w:pPr>
              <w:keepNext/>
              <w:keepLines/>
              <w:suppressLineNumbers/>
              <w:tabs>
                <w:tab w:val="left" w:pos="1452"/>
              </w:tabs>
              <w:suppressAutoHyphens/>
              <w:ind w:left="1701" w:hanging="1701"/>
              <w:rPr>
                <w:sz w:val="16"/>
                <w:szCs w:val="16"/>
              </w:rPr>
            </w:pPr>
            <w:r w:rsidRPr="007C56C4">
              <w:rPr>
                <w:b/>
                <w:bCs/>
                <w:sz w:val="16"/>
                <w:szCs w:val="16"/>
              </w:rPr>
              <w:t>Resultado previsto:</w:t>
            </w:r>
            <w:r w:rsidRPr="007C56C4">
              <w:rPr>
                <w:b/>
                <w:bCs/>
                <w:sz w:val="16"/>
                <w:szCs w:val="16"/>
              </w:rPr>
              <w:tab/>
            </w:r>
            <w:r w:rsidRPr="007C56C4">
              <w:rPr>
                <w:sz w:val="16"/>
                <w:szCs w:val="16"/>
              </w:rPr>
              <w:t xml:space="preserve">VIII.2  Mejora en la prestación de servicios y la atención de consultas </w:t>
            </w:r>
          </w:p>
        </w:tc>
      </w:tr>
      <w:tr w:rsidR="00230FAA" w:rsidRPr="007C56C4" w:rsidTr="00230FAA">
        <w:trPr>
          <w:gridAfter w:val="1"/>
          <w:wAfter w:w="5" w:type="pct"/>
          <w:cantSplit/>
        </w:trPr>
        <w:tc>
          <w:tcPr>
            <w:tcW w:w="1043" w:type="pct"/>
            <w:shd w:val="clear" w:color="auto" w:fill="auto"/>
            <w:tcMar>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Indicadores de rendimiento</w:t>
            </w:r>
          </w:p>
        </w:tc>
        <w:tc>
          <w:tcPr>
            <w:tcW w:w="1316" w:type="pct"/>
            <w:gridSpan w:val="2"/>
            <w:shd w:val="clear" w:color="auto" w:fill="auto"/>
            <w:tcMar>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Referencia</w:t>
            </w:r>
          </w:p>
        </w:tc>
        <w:tc>
          <w:tcPr>
            <w:tcW w:w="862" w:type="pct"/>
            <w:gridSpan w:val="4"/>
            <w:shd w:val="clear" w:color="auto" w:fill="auto"/>
            <w:tcMar>
              <w:top w:w="110" w:type="dxa"/>
              <w:left w:w="58" w:type="dxa"/>
              <w:right w:w="58" w:type="dxa"/>
            </w:tcMar>
            <w:vAlign w:val="center"/>
          </w:tcPr>
          <w:p w:rsidR="00230FAA" w:rsidRPr="007C56C4" w:rsidRDefault="00230FAA" w:rsidP="00230FAA">
            <w:pPr>
              <w:keepNext/>
              <w:keepLines/>
              <w:suppressLineNumbers/>
              <w:tabs>
                <w:tab w:val="left" w:pos="290"/>
              </w:tabs>
              <w:suppressAutoHyphens/>
              <w:rPr>
                <w:b/>
                <w:bCs/>
                <w:sz w:val="16"/>
                <w:szCs w:val="16"/>
              </w:rPr>
            </w:pPr>
            <w:r w:rsidRPr="007C56C4">
              <w:rPr>
                <w:b/>
                <w:bCs/>
                <w:sz w:val="16"/>
                <w:szCs w:val="16"/>
              </w:rPr>
              <w:t>Objetivos</w:t>
            </w:r>
          </w:p>
        </w:tc>
        <w:tc>
          <w:tcPr>
            <w:tcW w:w="1282" w:type="pct"/>
            <w:gridSpan w:val="3"/>
            <w:shd w:val="clear" w:color="auto" w:fill="FFFFFF"/>
            <w:tcMar>
              <w:top w:w="110" w:type="dxa"/>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Datos sobre el rendimiento</w:t>
            </w:r>
          </w:p>
        </w:tc>
        <w:tc>
          <w:tcPr>
            <w:tcW w:w="492" w:type="pct"/>
            <w:gridSpan w:val="4"/>
            <w:shd w:val="clear" w:color="auto" w:fill="auto"/>
            <w:tcMar>
              <w:top w:w="110" w:type="dxa"/>
              <w:left w:w="58" w:type="dxa"/>
              <w:right w:w="58" w:type="dxa"/>
            </w:tcMar>
            <w:vAlign w:val="center"/>
          </w:tcPr>
          <w:p w:rsidR="00230FAA" w:rsidRPr="007C56C4" w:rsidRDefault="00230FAA" w:rsidP="00230FAA">
            <w:pPr>
              <w:keepNext/>
              <w:keepLines/>
              <w:suppressLineNumbers/>
              <w:suppressAutoHyphens/>
              <w:jc w:val="center"/>
              <w:rPr>
                <w:b/>
                <w:bCs/>
                <w:sz w:val="16"/>
                <w:szCs w:val="16"/>
              </w:rPr>
            </w:pPr>
            <w:r w:rsidRPr="007C56C4">
              <w:rPr>
                <w:b/>
                <w:bCs/>
                <w:sz w:val="16"/>
                <w:szCs w:val="16"/>
              </w:rPr>
              <w:t>Clave de colores</w:t>
            </w:r>
          </w:p>
        </w:tc>
      </w:tr>
      <w:tr w:rsidR="00230FAA" w:rsidRPr="007C56C4" w:rsidTr="00230FAA">
        <w:trPr>
          <w:gridAfter w:val="1"/>
          <w:wAfter w:w="5" w:type="pct"/>
          <w:cantSplit/>
          <w:trHeight w:val="2572"/>
        </w:trPr>
        <w:tc>
          <w:tcPr>
            <w:tcW w:w="1043" w:type="pct"/>
            <w:shd w:val="clear" w:color="auto" w:fill="auto"/>
            <w:tcMar>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Tiempo de tramitación de las consultas</w:t>
            </w:r>
          </w:p>
        </w:tc>
        <w:tc>
          <w:tcPr>
            <w:tcW w:w="1316" w:type="pct"/>
            <w:gridSpan w:val="2"/>
            <w:shd w:val="clear" w:color="auto" w:fill="auto"/>
            <w:tcMar>
              <w:left w:w="58" w:type="dxa"/>
              <w:right w:w="58" w:type="dxa"/>
            </w:tcMar>
          </w:tcPr>
          <w:p w:rsidR="00230FAA" w:rsidRPr="00157CFD" w:rsidRDefault="00230FAA" w:rsidP="00230FAA">
            <w:pPr>
              <w:suppressLineNumbers/>
              <w:suppressAutoHyphens/>
              <w:rPr>
                <w:i/>
                <w:color w:val="002060"/>
                <w:sz w:val="16"/>
                <w:szCs w:val="16"/>
              </w:rPr>
            </w:pPr>
            <w:r w:rsidRPr="00157CFD">
              <w:rPr>
                <w:i/>
                <w:color w:val="002060"/>
                <w:sz w:val="16"/>
                <w:szCs w:val="16"/>
              </w:rPr>
              <w:t xml:space="preserve">Referencia actualizada a fines de 2015:  </w:t>
            </w:r>
          </w:p>
          <w:p w:rsidR="00230FAA" w:rsidRPr="00157CFD" w:rsidRDefault="00230FAA" w:rsidP="00867DB8">
            <w:pPr>
              <w:pStyle w:val="ListParagraph"/>
              <w:numPr>
                <w:ilvl w:val="0"/>
                <w:numId w:val="78"/>
              </w:numPr>
              <w:suppressLineNumbers/>
              <w:suppressAutoHyphens/>
              <w:ind w:left="213" w:hanging="213"/>
              <w:contextualSpacing/>
              <w:rPr>
                <w:color w:val="002060"/>
                <w:sz w:val="16"/>
                <w:szCs w:val="16"/>
                <w:lang w:val="es-ES" w:eastAsia="zh-CN"/>
              </w:rPr>
            </w:pPr>
            <w:r w:rsidRPr="00157CFD">
              <w:rPr>
                <w:color w:val="002060"/>
                <w:sz w:val="16"/>
                <w:szCs w:val="16"/>
                <w:lang w:val="es-ES" w:eastAsia="zh-CN"/>
              </w:rPr>
              <w:t>No se dispone de datos (OOB)</w:t>
            </w:r>
          </w:p>
          <w:p w:rsidR="00230FAA" w:rsidRPr="00157CFD" w:rsidRDefault="00230FAA" w:rsidP="00867DB8">
            <w:pPr>
              <w:pStyle w:val="ListParagraph"/>
              <w:numPr>
                <w:ilvl w:val="0"/>
                <w:numId w:val="78"/>
              </w:numPr>
              <w:suppressLineNumbers/>
              <w:suppressAutoHyphens/>
              <w:ind w:left="213" w:hanging="213"/>
              <w:contextualSpacing/>
              <w:rPr>
                <w:color w:val="002060"/>
                <w:sz w:val="16"/>
                <w:szCs w:val="16"/>
                <w:lang w:val="es-ES" w:eastAsia="zh-CN"/>
              </w:rPr>
            </w:pPr>
            <w:r w:rsidRPr="00157CFD">
              <w:rPr>
                <w:color w:val="002060"/>
                <w:sz w:val="16"/>
                <w:szCs w:val="16"/>
                <w:lang w:val="es-ES" w:eastAsia="zh-CN"/>
              </w:rPr>
              <w:t>No se dispone de datos (OOC)</w:t>
            </w:r>
          </w:p>
          <w:p w:rsidR="00230FAA" w:rsidRPr="00157CFD" w:rsidRDefault="00230FAA" w:rsidP="00867DB8">
            <w:pPr>
              <w:pStyle w:val="ListParagraph"/>
              <w:numPr>
                <w:ilvl w:val="0"/>
                <w:numId w:val="78"/>
              </w:numPr>
              <w:suppressLineNumbers/>
              <w:suppressAutoHyphens/>
              <w:ind w:left="213" w:hanging="213"/>
              <w:contextualSpacing/>
              <w:rPr>
                <w:color w:val="002060"/>
                <w:sz w:val="16"/>
                <w:szCs w:val="16"/>
                <w:lang w:val="es-ES" w:eastAsia="zh-CN"/>
              </w:rPr>
            </w:pPr>
            <w:r w:rsidRPr="00157CFD">
              <w:rPr>
                <w:color w:val="002060"/>
                <w:sz w:val="16"/>
                <w:szCs w:val="16"/>
                <w:lang w:val="es-ES" w:eastAsia="zh-CN"/>
              </w:rPr>
              <w:t>En el 99% de los casos se responde en un plazo de tres días laborables (OOJ)</w:t>
            </w:r>
          </w:p>
          <w:p w:rsidR="00230FAA" w:rsidRPr="00157CFD" w:rsidRDefault="00230FAA" w:rsidP="00867DB8">
            <w:pPr>
              <w:pStyle w:val="ListParagraph"/>
              <w:numPr>
                <w:ilvl w:val="0"/>
                <w:numId w:val="78"/>
              </w:numPr>
              <w:suppressLineNumbers/>
              <w:suppressAutoHyphens/>
              <w:ind w:left="213" w:hanging="213"/>
              <w:contextualSpacing/>
              <w:rPr>
                <w:color w:val="002060"/>
                <w:sz w:val="16"/>
                <w:szCs w:val="16"/>
                <w:lang w:val="es-ES" w:eastAsia="zh-CN"/>
              </w:rPr>
            </w:pPr>
            <w:r w:rsidRPr="00157CFD">
              <w:rPr>
                <w:color w:val="002060"/>
                <w:sz w:val="16"/>
                <w:szCs w:val="16"/>
                <w:lang w:val="es-ES" w:eastAsia="zh-CN"/>
              </w:rPr>
              <w:t>No se dispone de datos (OOR)</w:t>
            </w:r>
          </w:p>
          <w:p w:rsidR="00230FAA" w:rsidRPr="00157CFD" w:rsidRDefault="00230FAA" w:rsidP="00867DB8">
            <w:pPr>
              <w:pStyle w:val="ListParagraph"/>
              <w:numPr>
                <w:ilvl w:val="0"/>
                <w:numId w:val="78"/>
              </w:numPr>
              <w:suppressLineNumbers/>
              <w:suppressAutoHyphens/>
              <w:ind w:left="213" w:hanging="213"/>
              <w:contextualSpacing/>
              <w:rPr>
                <w:color w:val="002060"/>
                <w:sz w:val="16"/>
                <w:szCs w:val="16"/>
                <w:lang w:val="es-ES" w:eastAsia="zh-CN"/>
              </w:rPr>
            </w:pPr>
            <w:r w:rsidRPr="00157CFD">
              <w:rPr>
                <w:color w:val="002060"/>
                <w:sz w:val="16"/>
                <w:szCs w:val="16"/>
                <w:lang w:val="es-ES" w:eastAsia="zh-CN"/>
              </w:rPr>
              <w:t>En el 95% de los casos se responde en un plazo de tres días laborables (OOS)</w:t>
            </w:r>
          </w:p>
          <w:p w:rsidR="00230FAA" w:rsidRPr="007C56C4" w:rsidRDefault="00230FAA" w:rsidP="00230FAA">
            <w:pPr>
              <w:suppressLineNumbers/>
              <w:suppressAutoHyphens/>
              <w:rPr>
                <w:i/>
                <w:sz w:val="16"/>
                <w:szCs w:val="16"/>
                <w:lang w:bidi="th-TH"/>
              </w:rPr>
            </w:pPr>
          </w:p>
          <w:p w:rsidR="00230FAA" w:rsidRPr="007C56C4" w:rsidRDefault="00230FAA" w:rsidP="00230FAA">
            <w:pPr>
              <w:suppressLineNumbers/>
              <w:suppressAutoHyphens/>
              <w:rPr>
                <w:i/>
                <w:sz w:val="16"/>
                <w:szCs w:val="16"/>
                <w:lang w:bidi="th-TH"/>
              </w:rPr>
            </w:pPr>
            <w:r w:rsidRPr="007C56C4">
              <w:rPr>
                <w:i/>
                <w:sz w:val="16"/>
                <w:szCs w:val="16"/>
                <w:lang w:bidi="th-TH"/>
              </w:rPr>
              <w:t xml:space="preserve">Referencia original en el presupuesto de 2016/2017:  </w:t>
            </w:r>
          </w:p>
          <w:p w:rsidR="00230FAA" w:rsidRPr="007C56C4" w:rsidRDefault="006C1C3C" w:rsidP="00230FAA">
            <w:pPr>
              <w:pStyle w:val="Default"/>
              <w:suppressLineNumbers/>
              <w:suppressAutoHyphens/>
              <w:rPr>
                <w:color w:val="auto"/>
                <w:sz w:val="16"/>
                <w:szCs w:val="16"/>
                <w:lang w:val="es-ES"/>
              </w:rPr>
            </w:pPr>
            <w:r>
              <w:rPr>
                <w:color w:val="auto"/>
                <w:sz w:val="16"/>
                <w:szCs w:val="16"/>
                <w:lang w:val="es-ES"/>
              </w:rPr>
              <w:t>48h (todas las Oficinas)</w:t>
            </w:r>
          </w:p>
        </w:tc>
        <w:tc>
          <w:tcPr>
            <w:tcW w:w="862" w:type="pct"/>
            <w:gridSpan w:val="4"/>
            <w:shd w:val="clear" w:color="auto" w:fill="auto"/>
            <w:tcMar>
              <w:top w:w="110" w:type="dxa"/>
              <w:left w:w="58" w:type="dxa"/>
              <w:right w:w="58" w:type="dxa"/>
            </w:tcMar>
          </w:tcPr>
          <w:p w:rsidR="00230FAA" w:rsidRPr="007C56C4" w:rsidRDefault="00230FAA" w:rsidP="00230FAA">
            <w:pPr>
              <w:pStyle w:val="Default"/>
              <w:suppressLineNumbers/>
              <w:suppressAutoHyphens/>
              <w:rPr>
                <w:color w:val="auto"/>
                <w:sz w:val="16"/>
                <w:szCs w:val="16"/>
                <w:lang w:val="es-ES"/>
              </w:rPr>
            </w:pPr>
            <w:r w:rsidRPr="007C56C4">
              <w:rPr>
                <w:color w:val="auto"/>
                <w:sz w:val="16"/>
                <w:szCs w:val="16"/>
                <w:lang w:val="es-ES"/>
              </w:rPr>
              <w:t>36h (todas las Oficinas)</w:t>
            </w:r>
          </w:p>
        </w:tc>
        <w:tc>
          <w:tcPr>
            <w:tcW w:w="1282" w:type="pct"/>
            <w:gridSpan w:val="3"/>
            <w:shd w:val="clear" w:color="auto" w:fill="FFFFFF"/>
            <w:tcMar>
              <w:top w:w="110" w:type="dxa"/>
              <w:left w:w="58" w:type="dxa"/>
              <w:right w:w="58" w:type="dxa"/>
            </w:tcMar>
          </w:tcPr>
          <w:p w:rsidR="00230FAA" w:rsidRPr="007C56C4" w:rsidRDefault="00230FAA" w:rsidP="00230FAA">
            <w:pPr>
              <w:suppressLineNumbers/>
              <w:suppressAutoHyphens/>
              <w:rPr>
                <w:sz w:val="16"/>
                <w:szCs w:val="16"/>
              </w:rPr>
            </w:pPr>
            <w:r w:rsidRPr="007C56C4">
              <w:rPr>
                <w:sz w:val="16"/>
                <w:szCs w:val="16"/>
              </w:rPr>
              <w:t>Las respuestas se preparan en un plazo de:</w:t>
            </w:r>
          </w:p>
          <w:p w:rsidR="00230FAA" w:rsidRPr="007C56C4" w:rsidRDefault="00230FAA" w:rsidP="00867DB8">
            <w:pPr>
              <w:pStyle w:val="ListParagraph"/>
              <w:numPr>
                <w:ilvl w:val="0"/>
                <w:numId w:val="78"/>
              </w:numPr>
              <w:suppressLineNumbers/>
              <w:suppressAutoHyphens/>
              <w:ind w:left="216" w:right="-74" w:hanging="216"/>
              <w:contextualSpacing/>
              <w:rPr>
                <w:sz w:val="16"/>
                <w:szCs w:val="16"/>
                <w:lang w:val="es-ES" w:eastAsia="zh-CN"/>
              </w:rPr>
            </w:pPr>
            <w:r w:rsidRPr="007C56C4">
              <w:rPr>
                <w:sz w:val="16"/>
                <w:szCs w:val="16"/>
                <w:lang w:val="es-ES" w:eastAsia="zh-CN"/>
              </w:rPr>
              <w:t>No se dispone de datos (OOB)</w:t>
            </w:r>
            <w:r w:rsidR="006C1C3C">
              <w:rPr>
                <w:sz w:val="16"/>
                <w:szCs w:val="16"/>
                <w:lang w:val="es-ES" w:eastAsia="zh-CN"/>
              </w:rPr>
              <w:br/>
            </w:r>
          </w:p>
          <w:p w:rsidR="00230FAA" w:rsidRPr="007C56C4" w:rsidRDefault="00230FAA" w:rsidP="00230FAA">
            <w:pPr>
              <w:pStyle w:val="ListParagraph"/>
              <w:suppressLineNumbers/>
              <w:suppressAutoHyphens/>
              <w:ind w:left="216"/>
              <w:rPr>
                <w:sz w:val="6"/>
                <w:szCs w:val="6"/>
                <w:lang w:val="es-ES" w:eastAsia="zh-CN"/>
              </w:rPr>
            </w:pPr>
          </w:p>
          <w:p w:rsidR="00230FAA" w:rsidRPr="007C56C4" w:rsidRDefault="00230FAA" w:rsidP="00867DB8">
            <w:pPr>
              <w:pStyle w:val="ListParagraph"/>
              <w:numPr>
                <w:ilvl w:val="0"/>
                <w:numId w:val="78"/>
              </w:numPr>
              <w:suppressLineNumbers/>
              <w:suppressAutoHyphens/>
              <w:ind w:left="216" w:hanging="216"/>
              <w:contextualSpacing/>
              <w:rPr>
                <w:sz w:val="16"/>
                <w:szCs w:val="16"/>
                <w:lang w:val="es-ES" w:eastAsia="zh-CN"/>
              </w:rPr>
            </w:pPr>
            <w:r w:rsidRPr="007C56C4">
              <w:rPr>
                <w:sz w:val="16"/>
                <w:szCs w:val="16"/>
                <w:lang w:val="es-ES" w:eastAsia="zh-CN"/>
              </w:rPr>
              <w:t>90% en un plazo de 24h (OOC)</w:t>
            </w:r>
          </w:p>
          <w:p w:rsidR="00230FAA" w:rsidRPr="007C56C4" w:rsidRDefault="00230FAA" w:rsidP="00230FAA">
            <w:pPr>
              <w:suppressLineNumbers/>
              <w:suppressAutoHyphens/>
              <w:rPr>
                <w:sz w:val="16"/>
                <w:szCs w:val="16"/>
              </w:rPr>
            </w:pPr>
          </w:p>
          <w:p w:rsidR="00230FAA" w:rsidRPr="007C56C4" w:rsidRDefault="00230FAA" w:rsidP="00867DB8">
            <w:pPr>
              <w:pStyle w:val="ListParagraph"/>
              <w:numPr>
                <w:ilvl w:val="0"/>
                <w:numId w:val="78"/>
              </w:numPr>
              <w:suppressLineNumbers/>
              <w:suppressAutoHyphens/>
              <w:ind w:left="216" w:hanging="216"/>
              <w:contextualSpacing/>
              <w:rPr>
                <w:sz w:val="16"/>
                <w:szCs w:val="16"/>
                <w:lang w:val="es-ES" w:eastAsia="zh-CN"/>
              </w:rPr>
            </w:pPr>
            <w:r w:rsidRPr="007C56C4">
              <w:rPr>
                <w:sz w:val="16"/>
                <w:szCs w:val="16"/>
                <w:lang w:val="es-ES" w:eastAsia="zh-CN"/>
              </w:rPr>
              <w:t>100% en un plazo de 24h (OOJ)</w:t>
            </w:r>
          </w:p>
          <w:p w:rsidR="00230FAA" w:rsidRPr="007C56C4" w:rsidRDefault="00230FAA" w:rsidP="00230FAA">
            <w:pPr>
              <w:pStyle w:val="ListParagraph"/>
              <w:suppressLineNumbers/>
              <w:suppressAutoHyphens/>
              <w:ind w:left="216"/>
              <w:rPr>
                <w:sz w:val="16"/>
                <w:szCs w:val="16"/>
                <w:lang w:val="es-ES" w:eastAsia="zh-CN"/>
              </w:rPr>
            </w:pPr>
          </w:p>
          <w:p w:rsidR="00230FAA" w:rsidRPr="007C56C4" w:rsidRDefault="00230FAA" w:rsidP="00867DB8">
            <w:pPr>
              <w:pStyle w:val="ListParagraph"/>
              <w:numPr>
                <w:ilvl w:val="0"/>
                <w:numId w:val="78"/>
              </w:numPr>
              <w:suppressLineNumbers/>
              <w:suppressAutoHyphens/>
              <w:ind w:left="216" w:hanging="216"/>
              <w:contextualSpacing/>
              <w:rPr>
                <w:sz w:val="16"/>
                <w:szCs w:val="16"/>
                <w:lang w:val="es-ES" w:eastAsia="zh-CN"/>
              </w:rPr>
            </w:pPr>
            <w:r w:rsidRPr="007C56C4">
              <w:rPr>
                <w:sz w:val="16"/>
                <w:szCs w:val="16"/>
                <w:lang w:val="es-ES" w:eastAsia="zh-CN"/>
              </w:rPr>
              <w:t>100% en un plazo de 24h (OOR)</w:t>
            </w:r>
          </w:p>
          <w:p w:rsidR="00230FAA" w:rsidRPr="007C56C4" w:rsidRDefault="00230FAA" w:rsidP="00230FAA">
            <w:pPr>
              <w:suppressLineNumbers/>
              <w:suppressAutoHyphens/>
              <w:rPr>
                <w:sz w:val="16"/>
                <w:szCs w:val="16"/>
              </w:rPr>
            </w:pPr>
          </w:p>
          <w:p w:rsidR="00230FAA" w:rsidRPr="007C56C4" w:rsidRDefault="00230FAA" w:rsidP="00867DB8">
            <w:pPr>
              <w:pStyle w:val="ListParagraph"/>
              <w:numPr>
                <w:ilvl w:val="0"/>
                <w:numId w:val="78"/>
              </w:numPr>
              <w:suppressLineNumbers/>
              <w:suppressAutoHyphens/>
              <w:ind w:left="216" w:hanging="216"/>
              <w:contextualSpacing/>
              <w:rPr>
                <w:sz w:val="16"/>
                <w:szCs w:val="16"/>
                <w:lang w:val="es-ES" w:eastAsia="zh-CN"/>
              </w:rPr>
            </w:pPr>
            <w:r w:rsidRPr="007C56C4">
              <w:rPr>
                <w:sz w:val="16"/>
                <w:szCs w:val="16"/>
                <w:lang w:val="es-ES" w:eastAsia="zh-CN"/>
              </w:rPr>
              <w:t>100% en un plazo de 24h (OOS)</w:t>
            </w:r>
          </w:p>
        </w:tc>
        <w:tc>
          <w:tcPr>
            <w:tcW w:w="492" w:type="pct"/>
            <w:gridSpan w:val="4"/>
            <w:shd w:val="clear" w:color="auto" w:fill="auto"/>
            <w:tcMar>
              <w:top w:w="110" w:type="dxa"/>
              <w:left w:w="58" w:type="dxa"/>
              <w:right w:w="58" w:type="dxa"/>
            </w:tcMar>
          </w:tcPr>
          <w:p w:rsidR="00230FAA" w:rsidRDefault="00230FAA" w:rsidP="00230FAA">
            <w:pPr>
              <w:suppressLineNumbers/>
              <w:suppressAutoHyphens/>
              <w:jc w:val="center"/>
              <w:rPr>
                <w:b/>
                <w:color w:val="808080"/>
                <w:sz w:val="13"/>
                <w:szCs w:val="13"/>
              </w:rPr>
            </w:pPr>
          </w:p>
          <w:p w:rsidR="00230FAA" w:rsidRDefault="00230FAA" w:rsidP="00230FAA">
            <w:pPr>
              <w:suppressLineNumbers/>
              <w:suppressAutoHyphens/>
              <w:jc w:val="center"/>
              <w:rPr>
                <w:b/>
                <w:color w:val="808080"/>
                <w:sz w:val="13"/>
                <w:szCs w:val="13"/>
              </w:rPr>
            </w:pPr>
          </w:p>
          <w:p w:rsidR="00230FAA" w:rsidRPr="007C56C4" w:rsidRDefault="00230FAA" w:rsidP="00230FAA">
            <w:pPr>
              <w:suppressLineNumbers/>
              <w:suppressAutoHyphens/>
              <w:jc w:val="center"/>
              <w:rPr>
                <w:sz w:val="13"/>
                <w:szCs w:val="13"/>
              </w:rPr>
            </w:pPr>
            <w:r w:rsidRPr="006C1C3C">
              <w:rPr>
                <w:b/>
                <w:color w:val="808080"/>
                <w:sz w:val="16"/>
                <w:szCs w:val="16"/>
              </w:rPr>
              <w:t>No mensura</w:t>
            </w:r>
            <w:r w:rsidR="006C1C3C">
              <w:rPr>
                <w:b/>
                <w:color w:val="808080"/>
                <w:sz w:val="16"/>
                <w:szCs w:val="16"/>
              </w:rPr>
              <w:t>-</w:t>
            </w:r>
            <w:proofErr w:type="spellStart"/>
            <w:r w:rsidRPr="006C1C3C">
              <w:rPr>
                <w:b/>
                <w:color w:val="808080"/>
                <w:sz w:val="16"/>
                <w:szCs w:val="16"/>
              </w:rPr>
              <w:t>ble</w:t>
            </w:r>
            <w:proofErr w:type="spellEnd"/>
          </w:p>
          <w:p w:rsidR="00230FAA" w:rsidRPr="007C56C4" w:rsidRDefault="00230FAA" w:rsidP="00230FAA">
            <w:pPr>
              <w:suppressLineNumbers/>
              <w:suppressAutoHyphens/>
              <w:jc w:val="center"/>
              <w:rPr>
                <w:rFonts w:eastAsia="Calibri"/>
                <w:b/>
                <w:sz w:val="16"/>
                <w:szCs w:val="16"/>
              </w:rPr>
            </w:pPr>
          </w:p>
          <w:p w:rsidR="00230FAA" w:rsidRPr="007C56C4" w:rsidRDefault="00230FAA" w:rsidP="00230FAA">
            <w:pPr>
              <w:suppressLineNumbers/>
              <w:suppressAutoHyphens/>
              <w:jc w:val="center"/>
              <w:rPr>
                <w:rFonts w:eastAsia="Calibri"/>
                <w:b/>
                <w:sz w:val="16"/>
                <w:szCs w:val="16"/>
              </w:rPr>
            </w:pPr>
            <w:r w:rsidRPr="0050549B">
              <w:rPr>
                <w:rFonts w:eastAsia="Calibri"/>
                <w:b/>
                <w:color w:val="00B050"/>
                <w:sz w:val="16"/>
                <w:szCs w:val="16"/>
              </w:rPr>
              <w:t>Avanza</w:t>
            </w:r>
          </w:p>
          <w:p w:rsidR="00230FAA" w:rsidRDefault="00230FAA" w:rsidP="00230FAA">
            <w:pPr>
              <w:suppressLineNumbers/>
              <w:suppressAutoHyphens/>
              <w:rPr>
                <w:rFonts w:eastAsia="Calibri"/>
                <w:b/>
                <w:sz w:val="16"/>
                <w:szCs w:val="16"/>
              </w:rPr>
            </w:pPr>
          </w:p>
          <w:p w:rsidR="00230FAA" w:rsidRPr="007C56C4" w:rsidRDefault="00230FAA" w:rsidP="00230FAA">
            <w:pPr>
              <w:suppressLineNumbers/>
              <w:suppressAutoHyphens/>
              <w:rPr>
                <w:rFonts w:eastAsia="Calibri"/>
                <w:b/>
                <w:sz w:val="16"/>
                <w:szCs w:val="16"/>
              </w:rPr>
            </w:pPr>
          </w:p>
          <w:p w:rsidR="00230FAA" w:rsidRPr="007C56C4" w:rsidRDefault="00230FAA" w:rsidP="00230FAA">
            <w:pPr>
              <w:suppressLineNumbers/>
              <w:suppressAutoHyphens/>
              <w:jc w:val="center"/>
              <w:rPr>
                <w:rFonts w:eastAsia="Calibri"/>
                <w:b/>
                <w:sz w:val="16"/>
                <w:szCs w:val="16"/>
              </w:rPr>
            </w:pPr>
            <w:r w:rsidRPr="0050549B">
              <w:rPr>
                <w:rFonts w:eastAsia="Calibri"/>
                <w:b/>
                <w:color w:val="00B050"/>
                <w:sz w:val="16"/>
                <w:szCs w:val="16"/>
              </w:rPr>
              <w:t>Avanza</w:t>
            </w:r>
          </w:p>
          <w:p w:rsidR="00230FAA" w:rsidRDefault="00230FAA" w:rsidP="00230FAA">
            <w:pPr>
              <w:suppressLineNumbers/>
              <w:suppressAutoHyphens/>
              <w:jc w:val="center"/>
              <w:rPr>
                <w:rFonts w:eastAsia="Calibri"/>
                <w:b/>
                <w:sz w:val="16"/>
                <w:szCs w:val="16"/>
              </w:rPr>
            </w:pPr>
          </w:p>
          <w:p w:rsidR="00230FAA" w:rsidRPr="007C56C4" w:rsidRDefault="00230FAA" w:rsidP="00230FAA">
            <w:pPr>
              <w:suppressLineNumbers/>
              <w:suppressAutoHyphens/>
              <w:jc w:val="center"/>
              <w:rPr>
                <w:rFonts w:eastAsia="Calibri"/>
                <w:b/>
                <w:sz w:val="16"/>
                <w:szCs w:val="16"/>
              </w:rPr>
            </w:pPr>
          </w:p>
          <w:p w:rsidR="00230FAA" w:rsidRPr="007C56C4" w:rsidRDefault="00230FAA" w:rsidP="00230FAA">
            <w:pPr>
              <w:suppressLineNumbers/>
              <w:suppressAutoHyphens/>
              <w:jc w:val="center"/>
              <w:rPr>
                <w:rFonts w:eastAsia="Calibri"/>
                <w:b/>
                <w:sz w:val="16"/>
                <w:szCs w:val="16"/>
              </w:rPr>
            </w:pPr>
            <w:r w:rsidRPr="0050549B">
              <w:rPr>
                <w:rFonts w:eastAsia="Calibri"/>
                <w:b/>
                <w:color w:val="00B050"/>
                <w:sz w:val="16"/>
                <w:szCs w:val="16"/>
              </w:rPr>
              <w:t>Avanza</w:t>
            </w:r>
          </w:p>
          <w:p w:rsidR="00230FAA" w:rsidRDefault="00230FAA" w:rsidP="00230FAA">
            <w:pPr>
              <w:suppressLineNumbers/>
              <w:suppressAutoHyphens/>
              <w:jc w:val="center"/>
              <w:rPr>
                <w:rFonts w:eastAsia="Calibri"/>
                <w:b/>
                <w:sz w:val="16"/>
                <w:szCs w:val="16"/>
              </w:rPr>
            </w:pPr>
          </w:p>
          <w:p w:rsidR="00230FAA" w:rsidRPr="007C56C4" w:rsidRDefault="00230FAA" w:rsidP="00230FAA">
            <w:pPr>
              <w:suppressLineNumbers/>
              <w:suppressAutoHyphens/>
              <w:jc w:val="center"/>
              <w:rPr>
                <w:rFonts w:eastAsia="Calibri"/>
                <w:b/>
                <w:sz w:val="16"/>
                <w:szCs w:val="16"/>
              </w:rPr>
            </w:pPr>
          </w:p>
          <w:p w:rsidR="00230FAA" w:rsidRPr="007C56C4" w:rsidRDefault="00230FAA" w:rsidP="00230FAA">
            <w:pPr>
              <w:suppressLineNumbers/>
              <w:suppressAutoHyphens/>
              <w:jc w:val="center"/>
              <w:rPr>
                <w:rFonts w:eastAsia="Calibri"/>
                <w:b/>
                <w:sz w:val="16"/>
                <w:szCs w:val="16"/>
              </w:rPr>
            </w:pPr>
            <w:r w:rsidRPr="0050549B">
              <w:rPr>
                <w:rFonts w:eastAsia="Calibri"/>
                <w:b/>
                <w:color w:val="00B050"/>
                <w:sz w:val="16"/>
                <w:szCs w:val="16"/>
              </w:rPr>
              <w:t>Avanza</w:t>
            </w:r>
          </w:p>
          <w:p w:rsidR="00230FAA" w:rsidRPr="007C56C4" w:rsidRDefault="00230FAA" w:rsidP="00230FAA">
            <w:pPr>
              <w:suppressLineNumbers/>
              <w:suppressAutoHyphens/>
              <w:jc w:val="center"/>
              <w:rPr>
                <w:sz w:val="16"/>
                <w:szCs w:val="16"/>
              </w:rPr>
            </w:pPr>
          </w:p>
        </w:tc>
      </w:tr>
      <w:tr w:rsidR="00230FAA" w:rsidRPr="007C56C4" w:rsidTr="003E0A02">
        <w:trPr>
          <w:gridAfter w:val="1"/>
          <w:wAfter w:w="5" w:type="pct"/>
          <w:cantSplit/>
          <w:trHeight w:val="648"/>
        </w:trPr>
        <w:tc>
          <w:tcPr>
            <w:tcW w:w="4995" w:type="pct"/>
            <w:gridSpan w:val="14"/>
            <w:shd w:val="clear" w:color="auto" w:fill="C6D9F1" w:themeFill="text2" w:themeFillTint="33"/>
            <w:tcMar>
              <w:left w:w="58" w:type="dxa"/>
              <w:right w:w="58" w:type="dxa"/>
            </w:tcMar>
            <w:vAlign w:val="center"/>
          </w:tcPr>
          <w:p w:rsidR="00230FAA" w:rsidRPr="007C56C4" w:rsidRDefault="00230FAA" w:rsidP="003E0A02">
            <w:pPr>
              <w:keepNext/>
              <w:keepLines/>
              <w:suppressLineNumbers/>
              <w:tabs>
                <w:tab w:val="left" w:pos="1452"/>
              </w:tabs>
              <w:suppressAutoHyphens/>
              <w:ind w:left="1701" w:hanging="1701"/>
              <w:rPr>
                <w:sz w:val="16"/>
                <w:szCs w:val="16"/>
              </w:rPr>
            </w:pPr>
            <w:r w:rsidRPr="007C56C4">
              <w:rPr>
                <w:b/>
                <w:bCs/>
                <w:sz w:val="16"/>
                <w:szCs w:val="16"/>
              </w:rPr>
              <w:lastRenderedPageBreak/>
              <w:t>Resultado previsto:</w:t>
            </w:r>
            <w:r w:rsidRPr="007C56C4">
              <w:rPr>
                <w:b/>
                <w:bCs/>
                <w:sz w:val="16"/>
                <w:szCs w:val="16"/>
              </w:rPr>
              <w:tab/>
            </w:r>
            <w:r w:rsidRPr="007C56C4">
              <w:rPr>
                <w:sz w:val="16"/>
                <w:szCs w:val="16"/>
              </w:rPr>
              <w:t xml:space="preserve">VIII.5  La OMPI participa y colabora eficazmente en los procesos y negociaciones de la ONU y otras OIG </w:t>
            </w:r>
          </w:p>
        </w:tc>
      </w:tr>
      <w:tr w:rsidR="00230FAA" w:rsidRPr="007C56C4" w:rsidTr="00230FAA">
        <w:trPr>
          <w:cantSplit/>
        </w:trPr>
        <w:tc>
          <w:tcPr>
            <w:tcW w:w="1046" w:type="pct"/>
            <w:gridSpan w:val="2"/>
            <w:shd w:val="clear" w:color="auto" w:fill="auto"/>
            <w:tcMar>
              <w:left w:w="58" w:type="dxa"/>
              <w:right w:w="58" w:type="dxa"/>
            </w:tcMar>
            <w:vAlign w:val="center"/>
          </w:tcPr>
          <w:p w:rsidR="00230FAA" w:rsidRPr="007C56C4" w:rsidRDefault="00230FAA" w:rsidP="003E0A02">
            <w:pPr>
              <w:keepNext/>
              <w:keepLines/>
              <w:suppressLineNumbers/>
              <w:suppressAutoHyphens/>
              <w:rPr>
                <w:b/>
                <w:bCs/>
                <w:sz w:val="16"/>
                <w:szCs w:val="16"/>
              </w:rPr>
            </w:pPr>
            <w:r w:rsidRPr="007C56C4">
              <w:rPr>
                <w:b/>
                <w:bCs/>
                <w:sz w:val="16"/>
                <w:szCs w:val="16"/>
              </w:rPr>
              <w:t>Indicadores de rendimiento</w:t>
            </w:r>
          </w:p>
        </w:tc>
        <w:tc>
          <w:tcPr>
            <w:tcW w:w="1318" w:type="pct"/>
            <w:gridSpan w:val="2"/>
            <w:shd w:val="clear" w:color="auto" w:fill="auto"/>
            <w:tcMar>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Referencia</w:t>
            </w:r>
          </w:p>
        </w:tc>
        <w:tc>
          <w:tcPr>
            <w:tcW w:w="862" w:type="pct"/>
            <w:gridSpan w:val="4"/>
            <w:shd w:val="clear" w:color="auto" w:fill="auto"/>
            <w:tcMar>
              <w:top w:w="110" w:type="dxa"/>
              <w:left w:w="58" w:type="dxa"/>
              <w:right w:w="58" w:type="dxa"/>
            </w:tcMar>
            <w:vAlign w:val="center"/>
          </w:tcPr>
          <w:p w:rsidR="00230FAA" w:rsidRPr="007C56C4" w:rsidRDefault="00230FAA" w:rsidP="00230FAA">
            <w:pPr>
              <w:keepNext/>
              <w:keepLines/>
              <w:suppressLineNumbers/>
              <w:tabs>
                <w:tab w:val="left" w:pos="290"/>
              </w:tabs>
              <w:suppressAutoHyphens/>
              <w:rPr>
                <w:b/>
                <w:bCs/>
                <w:sz w:val="16"/>
                <w:szCs w:val="16"/>
              </w:rPr>
            </w:pPr>
            <w:r w:rsidRPr="007C56C4">
              <w:rPr>
                <w:b/>
                <w:bCs/>
                <w:sz w:val="16"/>
                <w:szCs w:val="16"/>
              </w:rPr>
              <w:t>Objetivos</w:t>
            </w:r>
          </w:p>
        </w:tc>
        <w:tc>
          <w:tcPr>
            <w:tcW w:w="1323" w:type="pct"/>
            <w:gridSpan w:val="4"/>
            <w:shd w:val="clear" w:color="auto" w:fill="FFFFFF"/>
            <w:tcMar>
              <w:top w:w="110" w:type="dxa"/>
              <w:left w:w="58" w:type="dxa"/>
              <w:right w:w="58" w:type="dxa"/>
            </w:tcMar>
            <w:vAlign w:val="center"/>
          </w:tcPr>
          <w:p w:rsidR="00230FAA" w:rsidRPr="007C56C4" w:rsidRDefault="00230FAA" w:rsidP="00230FAA">
            <w:pPr>
              <w:keepNext/>
              <w:keepLines/>
              <w:suppressLineNumbers/>
              <w:suppressAutoHyphens/>
              <w:rPr>
                <w:b/>
                <w:bCs/>
                <w:sz w:val="16"/>
                <w:szCs w:val="16"/>
              </w:rPr>
            </w:pPr>
            <w:r w:rsidRPr="007C56C4">
              <w:rPr>
                <w:b/>
                <w:bCs/>
                <w:sz w:val="16"/>
                <w:szCs w:val="16"/>
              </w:rPr>
              <w:t>Datos sobre el rendimiento</w:t>
            </w:r>
          </w:p>
        </w:tc>
        <w:tc>
          <w:tcPr>
            <w:tcW w:w="451" w:type="pct"/>
            <w:gridSpan w:val="3"/>
            <w:shd w:val="clear" w:color="auto" w:fill="auto"/>
            <w:tcMar>
              <w:top w:w="110" w:type="dxa"/>
              <w:left w:w="58" w:type="dxa"/>
              <w:right w:w="58" w:type="dxa"/>
            </w:tcMar>
            <w:vAlign w:val="center"/>
          </w:tcPr>
          <w:p w:rsidR="00230FAA" w:rsidRPr="007C56C4" w:rsidRDefault="00230FAA" w:rsidP="00230FAA">
            <w:pPr>
              <w:keepNext/>
              <w:keepLines/>
              <w:suppressLineNumbers/>
              <w:suppressAutoHyphens/>
              <w:jc w:val="center"/>
              <w:rPr>
                <w:b/>
                <w:bCs/>
                <w:sz w:val="16"/>
                <w:szCs w:val="16"/>
              </w:rPr>
            </w:pPr>
            <w:r w:rsidRPr="007C56C4">
              <w:rPr>
                <w:b/>
                <w:bCs/>
                <w:sz w:val="16"/>
                <w:szCs w:val="16"/>
              </w:rPr>
              <w:t>Clave de colores</w:t>
            </w:r>
          </w:p>
        </w:tc>
      </w:tr>
      <w:tr w:rsidR="00230FAA" w:rsidRPr="007C56C4" w:rsidTr="00230FAA">
        <w:trPr>
          <w:cantSplit/>
          <w:trHeight w:val="1636"/>
        </w:trPr>
        <w:tc>
          <w:tcPr>
            <w:tcW w:w="1046" w:type="pct"/>
            <w:gridSpan w:val="2"/>
            <w:shd w:val="clear" w:color="auto" w:fill="auto"/>
            <w:tcMar>
              <w:left w:w="58" w:type="dxa"/>
              <w:right w:w="58" w:type="dxa"/>
            </w:tcMar>
          </w:tcPr>
          <w:p w:rsidR="00230FAA" w:rsidRPr="007C56C4" w:rsidRDefault="00230FAA" w:rsidP="003E0A02">
            <w:pPr>
              <w:pStyle w:val="Default"/>
              <w:keepNext/>
              <w:keepLines/>
              <w:suppressLineNumbers/>
              <w:suppressAutoHyphens/>
              <w:rPr>
                <w:color w:val="auto"/>
                <w:sz w:val="16"/>
                <w:szCs w:val="16"/>
                <w:lang w:val="es-ES"/>
              </w:rPr>
            </w:pPr>
            <w:r w:rsidRPr="007C56C4">
              <w:rPr>
                <w:color w:val="auto"/>
                <w:sz w:val="16"/>
                <w:szCs w:val="16"/>
                <w:lang w:val="es-ES"/>
              </w:rPr>
              <w:t xml:space="preserve">Nº de actividades comunes con la Secretaría de la ASEAN, ECAP/OAMI, Fundación Asia/Europa, AANZFTA. </w:t>
            </w:r>
          </w:p>
        </w:tc>
        <w:tc>
          <w:tcPr>
            <w:tcW w:w="1318" w:type="pct"/>
            <w:gridSpan w:val="2"/>
            <w:shd w:val="clear" w:color="auto" w:fill="auto"/>
            <w:tcMar>
              <w:left w:w="58" w:type="dxa"/>
              <w:right w:w="58" w:type="dxa"/>
            </w:tcMar>
          </w:tcPr>
          <w:p w:rsidR="00230FAA" w:rsidRPr="007C56C4" w:rsidRDefault="00230FAA" w:rsidP="00230FAA">
            <w:pPr>
              <w:pStyle w:val="Default"/>
              <w:keepNext/>
              <w:keepLines/>
              <w:suppressLineNumbers/>
              <w:suppressAutoHyphens/>
              <w:rPr>
                <w:color w:val="auto"/>
                <w:sz w:val="16"/>
                <w:szCs w:val="16"/>
                <w:lang w:val="es-ES"/>
              </w:rPr>
            </w:pPr>
            <w:r w:rsidRPr="007C56C4">
              <w:rPr>
                <w:color w:val="auto"/>
                <w:sz w:val="16"/>
                <w:szCs w:val="16"/>
                <w:lang w:val="es-ES"/>
              </w:rPr>
              <w:t>11 (OOS)</w:t>
            </w:r>
          </w:p>
        </w:tc>
        <w:tc>
          <w:tcPr>
            <w:tcW w:w="862" w:type="pct"/>
            <w:gridSpan w:val="4"/>
            <w:shd w:val="clear" w:color="auto" w:fill="auto"/>
            <w:tcMar>
              <w:top w:w="110" w:type="dxa"/>
              <w:left w:w="58" w:type="dxa"/>
              <w:right w:w="58" w:type="dxa"/>
            </w:tcMar>
          </w:tcPr>
          <w:p w:rsidR="00230FAA" w:rsidRPr="007C56C4" w:rsidRDefault="00230FAA" w:rsidP="00230FAA">
            <w:pPr>
              <w:pStyle w:val="Default"/>
              <w:keepNext/>
              <w:keepLines/>
              <w:suppressLineNumbers/>
              <w:suppressAutoHyphens/>
              <w:rPr>
                <w:color w:val="auto"/>
                <w:sz w:val="16"/>
                <w:szCs w:val="16"/>
                <w:lang w:val="es-ES"/>
              </w:rPr>
            </w:pPr>
            <w:r w:rsidRPr="007C56C4">
              <w:rPr>
                <w:color w:val="auto"/>
                <w:sz w:val="16"/>
                <w:szCs w:val="16"/>
                <w:lang w:val="es-ES"/>
              </w:rPr>
              <w:t xml:space="preserve">8 más </w:t>
            </w:r>
          </w:p>
        </w:tc>
        <w:tc>
          <w:tcPr>
            <w:tcW w:w="1323" w:type="pct"/>
            <w:gridSpan w:val="4"/>
            <w:shd w:val="clear" w:color="auto" w:fill="FFFFFF"/>
            <w:tcMar>
              <w:top w:w="110" w:type="dxa"/>
              <w:left w:w="58" w:type="dxa"/>
              <w:right w:w="58" w:type="dxa"/>
            </w:tcMar>
          </w:tcPr>
          <w:p w:rsidR="00230FAA" w:rsidRPr="007C56C4" w:rsidRDefault="00230FAA" w:rsidP="00230FAA">
            <w:pPr>
              <w:keepNext/>
              <w:keepLines/>
              <w:suppressLineNumbers/>
              <w:suppressAutoHyphens/>
              <w:rPr>
                <w:sz w:val="20"/>
              </w:rPr>
            </w:pPr>
            <w:r w:rsidRPr="007C56C4">
              <w:rPr>
                <w:rFonts w:eastAsia="Calibri"/>
                <w:sz w:val="16"/>
                <w:szCs w:val="16"/>
              </w:rPr>
              <w:t>Otras 4 actividades conjuntas:</w:t>
            </w:r>
          </w:p>
          <w:p w:rsidR="00230FAA" w:rsidRPr="007C56C4" w:rsidRDefault="00230FAA" w:rsidP="00867DB8">
            <w:pPr>
              <w:pStyle w:val="ListParagraph"/>
              <w:keepNext/>
              <w:keepLines/>
              <w:numPr>
                <w:ilvl w:val="0"/>
                <w:numId w:val="79"/>
              </w:numPr>
              <w:ind w:left="122" w:hanging="180"/>
              <w:rPr>
                <w:sz w:val="16"/>
                <w:szCs w:val="16"/>
                <w:lang w:val="es-ES"/>
              </w:rPr>
            </w:pPr>
            <w:r w:rsidRPr="007C56C4">
              <w:rPr>
                <w:sz w:val="16"/>
                <w:szCs w:val="16"/>
                <w:lang w:val="es-ES"/>
              </w:rPr>
              <w:t>Taller ASEAN-USPTO sobre el uso de la P.I. para proteger la artesanía tradicional, Bangkok, 6 a 8 de septiembre</w:t>
            </w:r>
          </w:p>
          <w:p w:rsidR="00230FAA" w:rsidRPr="007C56C4" w:rsidRDefault="00230FAA" w:rsidP="00230FAA">
            <w:pPr>
              <w:pStyle w:val="ListParagraph"/>
              <w:keepNext/>
              <w:keepLines/>
              <w:ind w:left="302"/>
              <w:rPr>
                <w:sz w:val="16"/>
                <w:szCs w:val="16"/>
                <w:lang w:val="es-ES"/>
              </w:rPr>
            </w:pPr>
          </w:p>
          <w:p w:rsidR="00230FAA" w:rsidRPr="007C56C4" w:rsidRDefault="00230FAA" w:rsidP="00867DB8">
            <w:pPr>
              <w:pStyle w:val="ListParagraph"/>
              <w:keepNext/>
              <w:keepLines/>
              <w:numPr>
                <w:ilvl w:val="0"/>
                <w:numId w:val="79"/>
              </w:numPr>
              <w:ind w:left="122" w:hanging="180"/>
              <w:rPr>
                <w:sz w:val="16"/>
                <w:szCs w:val="16"/>
                <w:lang w:val="es-ES"/>
              </w:rPr>
            </w:pPr>
            <w:r w:rsidRPr="007C56C4">
              <w:rPr>
                <w:sz w:val="16"/>
                <w:szCs w:val="16"/>
                <w:lang w:val="es-ES"/>
              </w:rPr>
              <w:t>1</w:t>
            </w:r>
            <w:r w:rsidRPr="007C56C4">
              <w:rPr>
                <w:sz w:val="16"/>
                <w:szCs w:val="16"/>
                <w:vertAlign w:val="superscript"/>
                <w:lang w:val="es-ES"/>
              </w:rPr>
              <w:t>ª</w:t>
            </w:r>
            <w:r w:rsidRPr="007C56C4">
              <w:rPr>
                <w:sz w:val="16"/>
                <w:szCs w:val="16"/>
                <w:lang w:val="es-ES"/>
              </w:rPr>
              <w:t xml:space="preserve"> sesión del Comité de TIC, Ciencia Tecnología e Innovación, CESPAP, Bangkok, 5 a 7 de octubre</w:t>
            </w:r>
          </w:p>
          <w:p w:rsidR="00230FAA" w:rsidRPr="007C56C4" w:rsidRDefault="00230FAA" w:rsidP="00230FAA">
            <w:pPr>
              <w:pStyle w:val="ListParagraph"/>
              <w:keepNext/>
              <w:keepLines/>
              <w:ind w:left="122" w:hanging="180"/>
              <w:rPr>
                <w:sz w:val="16"/>
                <w:szCs w:val="16"/>
                <w:lang w:val="es-ES"/>
              </w:rPr>
            </w:pPr>
          </w:p>
          <w:p w:rsidR="00230FAA" w:rsidRPr="007C56C4" w:rsidRDefault="00230FAA" w:rsidP="00867DB8">
            <w:pPr>
              <w:pStyle w:val="ListParagraph"/>
              <w:keepNext/>
              <w:keepLines/>
              <w:numPr>
                <w:ilvl w:val="0"/>
                <w:numId w:val="79"/>
              </w:numPr>
              <w:ind w:left="122" w:hanging="180"/>
              <w:rPr>
                <w:sz w:val="16"/>
                <w:szCs w:val="16"/>
                <w:lang w:val="es-ES"/>
              </w:rPr>
            </w:pPr>
            <w:r w:rsidRPr="007C56C4">
              <w:rPr>
                <w:sz w:val="16"/>
                <w:szCs w:val="16"/>
                <w:lang w:val="es-ES"/>
              </w:rPr>
              <w:t>7</w:t>
            </w:r>
            <w:r w:rsidRPr="007C56C4">
              <w:rPr>
                <w:sz w:val="16"/>
                <w:szCs w:val="16"/>
                <w:vertAlign w:val="superscript"/>
                <w:lang w:val="es-ES"/>
              </w:rPr>
              <w:t xml:space="preserve">ª </w:t>
            </w:r>
            <w:r w:rsidRPr="007C56C4">
              <w:rPr>
                <w:sz w:val="16"/>
                <w:szCs w:val="16"/>
                <w:lang w:val="es-ES"/>
              </w:rPr>
              <w:t>Reunión informal de proveedores de asistencia técnica en materia de P.I. para los países de la ASEAN, Bangkok, 17 de noviembre</w:t>
            </w:r>
          </w:p>
          <w:p w:rsidR="00230FAA" w:rsidRPr="007C56C4" w:rsidRDefault="00230FAA" w:rsidP="00230FAA">
            <w:pPr>
              <w:pStyle w:val="ListParagraph"/>
              <w:keepNext/>
              <w:keepLines/>
              <w:ind w:left="122" w:hanging="180"/>
              <w:rPr>
                <w:sz w:val="16"/>
                <w:szCs w:val="16"/>
                <w:lang w:val="es-ES"/>
              </w:rPr>
            </w:pPr>
          </w:p>
          <w:p w:rsidR="00230FAA" w:rsidRPr="007C56C4" w:rsidRDefault="00230FAA" w:rsidP="00867DB8">
            <w:pPr>
              <w:pStyle w:val="ListParagraph"/>
              <w:keepNext/>
              <w:keepLines/>
              <w:numPr>
                <w:ilvl w:val="0"/>
                <w:numId w:val="79"/>
              </w:numPr>
              <w:ind w:left="122" w:hanging="180"/>
              <w:rPr>
                <w:sz w:val="16"/>
                <w:szCs w:val="16"/>
                <w:lang w:val="es-ES"/>
              </w:rPr>
            </w:pPr>
            <w:r w:rsidRPr="007C56C4">
              <w:rPr>
                <w:sz w:val="16"/>
                <w:szCs w:val="16"/>
                <w:lang w:val="es-ES"/>
              </w:rPr>
              <w:t>Seminario regional sobre indicaciones geográficas, organizado por la ECAP III, Manila, 28 y 29 de noviembre,</w:t>
            </w:r>
          </w:p>
          <w:p w:rsidR="00230FAA" w:rsidRPr="007C56C4" w:rsidRDefault="00230FAA" w:rsidP="00230FAA">
            <w:pPr>
              <w:keepNext/>
              <w:keepLines/>
              <w:rPr>
                <w:sz w:val="16"/>
                <w:szCs w:val="16"/>
              </w:rPr>
            </w:pPr>
          </w:p>
          <w:p w:rsidR="00230FAA" w:rsidRPr="007C56C4" w:rsidRDefault="00230FAA" w:rsidP="00230FAA">
            <w:pPr>
              <w:keepNext/>
              <w:keepLines/>
              <w:suppressLineNumbers/>
              <w:suppressAutoHyphens/>
              <w:rPr>
                <w:sz w:val="16"/>
                <w:szCs w:val="16"/>
              </w:rPr>
            </w:pPr>
            <w:r w:rsidRPr="007C56C4">
              <w:rPr>
                <w:sz w:val="16"/>
                <w:szCs w:val="16"/>
              </w:rPr>
              <w:t>(15 en total)</w:t>
            </w:r>
          </w:p>
        </w:tc>
        <w:tc>
          <w:tcPr>
            <w:tcW w:w="451" w:type="pct"/>
            <w:gridSpan w:val="3"/>
            <w:shd w:val="clear" w:color="auto" w:fill="auto"/>
            <w:tcMar>
              <w:top w:w="110" w:type="dxa"/>
              <w:left w:w="58" w:type="dxa"/>
              <w:right w:w="58" w:type="dxa"/>
            </w:tcMar>
          </w:tcPr>
          <w:p w:rsidR="00230FAA" w:rsidRPr="007C56C4" w:rsidRDefault="00230FAA" w:rsidP="00230FAA">
            <w:pPr>
              <w:keepNext/>
              <w:keepLines/>
              <w:suppressLineNumbers/>
              <w:suppressAutoHyphens/>
              <w:jc w:val="center"/>
              <w:rPr>
                <w:sz w:val="16"/>
                <w:szCs w:val="16"/>
              </w:rPr>
            </w:pPr>
            <w:r w:rsidRPr="0050549B">
              <w:rPr>
                <w:b/>
                <w:color w:val="00B050"/>
                <w:sz w:val="16"/>
                <w:szCs w:val="16"/>
              </w:rPr>
              <w:t>Avanza</w:t>
            </w:r>
          </w:p>
        </w:tc>
      </w:tr>
    </w:tbl>
    <w:p w:rsidR="00230FAA" w:rsidRPr="007C56C4" w:rsidRDefault="00230FAA" w:rsidP="00230FAA">
      <w:pPr>
        <w:rPr>
          <w:sz w:val="20"/>
        </w:rPr>
      </w:pPr>
    </w:p>
    <w:p w:rsidR="00230FAA" w:rsidRPr="007C56C4" w:rsidRDefault="00230FAA" w:rsidP="00230FAA">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230FAA" w:rsidRPr="007C56C4" w:rsidTr="00230FAA">
        <w:trPr>
          <w:trHeight w:val="423"/>
          <w:jc w:val="center"/>
        </w:trPr>
        <w:tc>
          <w:tcPr>
            <w:tcW w:w="9571" w:type="dxa"/>
            <w:shd w:val="clear" w:color="auto" w:fill="C6D9F1" w:themeFill="text2" w:themeFillTint="33"/>
            <w:vAlign w:val="center"/>
          </w:tcPr>
          <w:p w:rsidR="00230FAA" w:rsidRPr="007C56C4" w:rsidRDefault="00230FAA" w:rsidP="00230FAA">
            <w:pPr>
              <w:jc w:val="center"/>
              <w:rPr>
                <w:b/>
                <w:sz w:val="20"/>
              </w:rPr>
            </w:pPr>
            <w:r w:rsidRPr="007C56C4">
              <w:rPr>
                <w:sz w:val="20"/>
              </w:rPr>
              <w:br w:type="page"/>
            </w:r>
            <w:r w:rsidRPr="007C56C4">
              <w:rPr>
                <w:b/>
                <w:sz w:val="20"/>
              </w:rPr>
              <w:t>Utilización de los recursos del programa 20</w:t>
            </w:r>
          </w:p>
        </w:tc>
      </w:tr>
    </w:tbl>
    <w:p w:rsidR="00230FAA" w:rsidRDefault="00230FAA" w:rsidP="00230FAA">
      <w:pPr>
        <w:rPr>
          <w:sz w:val="16"/>
          <w:szCs w:val="16"/>
        </w:rPr>
      </w:pPr>
    </w:p>
    <w:p w:rsidR="00156844" w:rsidRPr="007C56C4" w:rsidRDefault="00156844" w:rsidP="00156844">
      <w:pPr>
        <w:pStyle w:val="NormalWeb"/>
        <w:spacing w:before="0" w:beforeAutospacing="0" w:after="0" w:afterAutospacing="0"/>
        <w:jc w:val="center"/>
        <w:rPr>
          <w:lang w:val="es-ES"/>
        </w:rPr>
      </w:pPr>
      <w:r w:rsidRPr="007C56C4">
        <w:rPr>
          <w:lang w:val="es-ES"/>
        </w:rPr>
        <w:t xml:space="preserve">Presupuesto y gastos reales (de personal y no relativos a personal) </w:t>
      </w:r>
    </w:p>
    <w:p w:rsidR="00156844" w:rsidRPr="007C56C4" w:rsidRDefault="00156844" w:rsidP="00156844">
      <w:pPr>
        <w:pStyle w:val="NormalWeb"/>
        <w:spacing w:before="0" w:beforeAutospacing="0" w:after="0" w:afterAutospacing="0"/>
        <w:jc w:val="center"/>
        <w:rPr>
          <w:i/>
          <w:iCs/>
          <w:sz w:val="16"/>
          <w:szCs w:val="16"/>
          <w:lang w:val="es-ES"/>
        </w:rPr>
      </w:pPr>
      <w:r w:rsidRPr="007C56C4">
        <w:rPr>
          <w:i/>
          <w:iCs/>
          <w:sz w:val="16"/>
          <w:szCs w:val="16"/>
          <w:lang w:val="es-ES"/>
        </w:rPr>
        <w:t>(en miles de francos suizos)</w:t>
      </w:r>
    </w:p>
    <w:p w:rsidR="00156844" w:rsidRPr="007C56C4" w:rsidRDefault="00156844" w:rsidP="00156844">
      <w:pPr>
        <w:pStyle w:val="NormalWeb"/>
        <w:spacing w:before="0" w:beforeAutospacing="0" w:after="0" w:afterAutospacing="0"/>
        <w:jc w:val="center"/>
        <w:rPr>
          <w:i/>
          <w:iCs/>
          <w:sz w:val="16"/>
          <w:szCs w:val="16"/>
          <w:lang w:val="es-ES"/>
        </w:rPr>
      </w:pPr>
    </w:p>
    <w:tbl>
      <w:tblPr>
        <w:tblW w:w="8120" w:type="dxa"/>
        <w:jc w:val="center"/>
        <w:tblInd w:w="93" w:type="dxa"/>
        <w:tblLook w:val="04A0" w:firstRow="1" w:lastRow="0" w:firstColumn="1" w:lastColumn="0" w:noHBand="0" w:noVBand="1"/>
      </w:tblPr>
      <w:tblGrid>
        <w:gridCol w:w="2440"/>
        <w:gridCol w:w="1420"/>
        <w:gridCol w:w="1420"/>
        <w:gridCol w:w="1420"/>
        <w:gridCol w:w="1420"/>
      </w:tblGrid>
      <w:tr w:rsidR="00156844" w:rsidRPr="007C56C4" w:rsidTr="00B705C2">
        <w:trPr>
          <w:trHeight w:val="685"/>
          <w:jc w:val="center"/>
        </w:trPr>
        <w:tc>
          <w:tcPr>
            <w:tcW w:w="2440" w:type="dxa"/>
            <w:tcBorders>
              <w:top w:val="nil"/>
              <w:left w:val="nil"/>
              <w:bottom w:val="nil"/>
              <w:right w:val="nil"/>
            </w:tcBorders>
            <w:shd w:val="clear" w:color="000000" w:fill="C5D9F1"/>
            <w:noWrap/>
            <w:vAlign w:val="center"/>
            <w:hideMark/>
          </w:tcPr>
          <w:p w:rsidR="00156844" w:rsidRPr="007C56C4" w:rsidRDefault="00156844" w:rsidP="00B705C2">
            <w:pPr>
              <w:rPr>
                <w:sz w:val="16"/>
                <w:szCs w:val="16"/>
              </w:rPr>
            </w:pPr>
            <w:r w:rsidRPr="007C56C4">
              <w:rPr>
                <w:sz w:val="16"/>
                <w:szCs w:val="16"/>
              </w:rPr>
              <w:t> </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Gastos en 2016*</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Índice de utilización (%)</w:t>
            </w:r>
          </w:p>
        </w:tc>
      </w:tr>
      <w:tr w:rsidR="00156844" w:rsidRPr="007C56C4" w:rsidTr="00B705C2">
        <w:trPr>
          <w:trHeight w:val="315"/>
          <w:jc w:val="center"/>
        </w:trPr>
        <w:tc>
          <w:tcPr>
            <w:tcW w:w="2440" w:type="dxa"/>
            <w:tcBorders>
              <w:top w:val="nil"/>
              <w:left w:val="nil"/>
              <w:bottom w:val="nil"/>
              <w:right w:val="nil"/>
            </w:tcBorders>
            <w:shd w:val="clear" w:color="auto" w:fill="auto"/>
            <w:noWrap/>
            <w:vAlign w:val="center"/>
            <w:hideMark/>
          </w:tcPr>
          <w:p w:rsidR="00156844" w:rsidRPr="007C56C4" w:rsidRDefault="00156844" w:rsidP="00B705C2">
            <w:pPr>
              <w:rPr>
                <w:sz w:val="16"/>
                <w:szCs w:val="16"/>
              </w:rPr>
            </w:pPr>
            <w:r w:rsidRPr="007C56C4">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 xml:space="preserve">9.525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 xml:space="preserve">9.102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 xml:space="preserve">3.895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43%</w:t>
            </w:r>
          </w:p>
        </w:tc>
      </w:tr>
      <w:tr w:rsidR="00156844" w:rsidRPr="007C56C4" w:rsidTr="00B705C2">
        <w:trPr>
          <w:trHeight w:val="315"/>
          <w:jc w:val="center"/>
        </w:trPr>
        <w:tc>
          <w:tcPr>
            <w:tcW w:w="2440" w:type="dxa"/>
            <w:tcBorders>
              <w:top w:val="nil"/>
              <w:left w:val="nil"/>
              <w:bottom w:val="nil"/>
              <w:right w:val="nil"/>
            </w:tcBorders>
            <w:shd w:val="clear" w:color="auto" w:fill="auto"/>
            <w:noWrap/>
            <w:vAlign w:val="center"/>
            <w:hideMark/>
          </w:tcPr>
          <w:p w:rsidR="00156844" w:rsidRPr="007C56C4" w:rsidRDefault="00156844" w:rsidP="00B705C2">
            <w:pPr>
              <w:rPr>
                <w:sz w:val="16"/>
                <w:szCs w:val="16"/>
              </w:rPr>
            </w:pPr>
            <w:r w:rsidRPr="007C56C4">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 xml:space="preserve">2.869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 xml:space="preserve">3.077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 xml:space="preserve">1.282 </w:t>
            </w:r>
          </w:p>
        </w:tc>
        <w:tc>
          <w:tcPr>
            <w:tcW w:w="1420" w:type="dxa"/>
            <w:tcBorders>
              <w:top w:val="nil"/>
              <w:left w:val="nil"/>
              <w:bottom w:val="nil"/>
              <w:right w:val="nil"/>
            </w:tcBorders>
            <w:shd w:val="clear" w:color="auto" w:fill="auto"/>
            <w:vAlign w:val="center"/>
            <w:hideMark/>
          </w:tcPr>
          <w:p w:rsidR="00156844" w:rsidRPr="007C56C4" w:rsidRDefault="00156844" w:rsidP="00B705C2">
            <w:pPr>
              <w:jc w:val="center"/>
              <w:rPr>
                <w:sz w:val="16"/>
                <w:szCs w:val="16"/>
              </w:rPr>
            </w:pPr>
            <w:r w:rsidRPr="007C56C4">
              <w:rPr>
                <w:sz w:val="16"/>
                <w:szCs w:val="16"/>
              </w:rPr>
              <w:t>42%</w:t>
            </w:r>
          </w:p>
        </w:tc>
      </w:tr>
      <w:tr w:rsidR="00156844" w:rsidRPr="007C56C4" w:rsidTr="00B705C2">
        <w:trPr>
          <w:trHeight w:val="225"/>
          <w:jc w:val="center"/>
        </w:trPr>
        <w:tc>
          <w:tcPr>
            <w:tcW w:w="2440" w:type="dxa"/>
            <w:tcBorders>
              <w:top w:val="nil"/>
              <w:left w:val="nil"/>
              <w:bottom w:val="nil"/>
              <w:right w:val="nil"/>
            </w:tcBorders>
            <w:shd w:val="clear" w:color="000000" w:fill="C5D9F1"/>
            <w:noWrap/>
            <w:vAlign w:val="center"/>
            <w:hideMark/>
          </w:tcPr>
          <w:p w:rsidR="00156844" w:rsidRPr="007C56C4" w:rsidRDefault="00156844" w:rsidP="00B705C2">
            <w:pPr>
              <w:jc w:val="right"/>
              <w:rPr>
                <w:b/>
                <w:bCs/>
                <w:sz w:val="16"/>
                <w:szCs w:val="16"/>
              </w:rPr>
            </w:pPr>
            <w:r w:rsidRPr="007C56C4">
              <w:rPr>
                <w:b/>
                <w:bCs/>
                <w:sz w:val="16"/>
                <w:szCs w:val="16"/>
              </w:rPr>
              <w:t xml:space="preserve"> Total </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 xml:space="preserve">12.395 </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 xml:space="preserve">12.178 </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 xml:space="preserve">5.177 </w:t>
            </w:r>
          </w:p>
        </w:tc>
        <w:tc>
          <w:tcPr>
            <w:tcW w:w="1420" w:type="dxa"/>
            <w:tcBorders>
              <w:top w:val="nil"/>
              <w:left w:val="nil"/>
              <w:bottom w:val="nil"/>
              <w:right w:val="nil"/>
            </w:tcBorders>
            <w:shd w:val="clear" w:color="000000" w:fill="C5D9F1"/>
            <w:vAlign w:val="center"/>
            <w:hideMark/>
          </w:tcPr>
          <w:p w:rsidR="00156844" w:rsidRPr="007C56C4" w:rsidRDefault="00156844" w:rsidP="00B705C2">
            <w:pPr>
              <w:jc w:val="center"/>
              <w:rPr>
                <w:b/>
                <w:bCs/>
                <w:sz w:val="16"/>
                <w:szCs w:val="16"/>
              </w:rPr>
            </w:pPr>
            <w:r w:rsidRPr="007C56C4">
              <w:rPr>
                <w:b/>
                <w:bCs/>
                <w:sz w:val="16"/>
                <w:szCs w:val="16"/>
              </w:rPr>
              <w:t>43%</w:t>
            </w:r>
          </w:p>
        </w:tc>
      </w:tr>
      <w:tr w:rsidR="00156844" w:rsidRPr="007C56C4" w:rsidTr="00B705C2">
        <w:trPr>
          <w:trHeight w:val="300"/>
          <w:jc w:val="center"/>
        </w:trPr>
        <w:tc>
          <w:tcPr>
            <w:tcW w:w="8120" w:type="dxa"/>
            <w:gridSpan w:val="5"/>
            <w:tcBorders>
              <w:top w:val="nil"/>
              <w:left w:val="nil"/>
              <w:bottom w:val="nil"/>
              <w:right w:val="nil"/>
            </w:tcBorders>
            <w:shd w:val="clear" w:color="auto" w:fill="auto"/>
            <w:noWrap/>
            <w:vAlign w:val="center"/>
            <w:hideMark/>
          </w:tcPr>
          <w:p w:rsidR="00156844" w:rsidRPr="007C56C4" w:rsidRDefault="00156844" w:rsidP="00B705C2">
            <w:pPr>
              <w:rPr>
                <w:i/>
                <w:iCs/>
                <w:sz w:val="16"/>
                <w:szCs w:val="16"/>
              </w:rPr>
            </w:pPr>
            <w:r w:rsidRPr="007C56C4">
              <w:rPr>
                <w:i/>
                <w:iCs/>
                <w:sz w:val="16"/>
                <w:szCs w:val="16"/>
              </w:rPr>
              <w:t xml:space="preserve"> *Las cifras relativas a gastos en 2016 son preliminares, a reserva de verificación por el Auditor Externo </w:t>
            </w:r>
          </w:p>
        </w:tc>
      </w:tr>
    </w:tbl>
    <w:p w:rsidR="00156844" w:rsidRPr="007C56C4" w:rsidRDefault="00156844" w:rsidP="00156844">
      <w:pPr>
        <w:ind w:left="567" w:right="424"/>
        <w:rPr>
          <w:i/>
          <w:sz w:val="16"/>
          <w:szCs w:val="16"/>
        </w:rPr>
      </w:pPr>
    </w:p>
    <w:p w:rsidR="00156844" w:rsidRPr="007C56C4" w:rsidRDefault="00156844" w:rsidP="00156844">
      <w:pPr>
        <w:ind w:left="567" w:right="424"/>
        <w:rPr>
          <w:i/>
          <w:sz w:val="16"/>
          <w:szCs w:val="16"/>
        </w:rPr>
      </w:pPr>
      <w:r w:rsidRPr="007C56C4">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156844" w:rsidRPr="007C56C4" w:rsidRDefault="00156844" w:rsidP="00230FAA">
      <w:pPr>
        <w:rPr>
          <w:sz w:val="16"/>
          <w:szCs w:val="16"/>
        </w:rPr>
      </w:pPr>
    </w:p>
    <w:p w:rsidR="00230FAA" w:rsidRPr="007C56C4" w:rsidRDefault="00230FAA" w:rsidP="00156844">
      <w:pPr>
        <w:pStyle w:val="NormalWeb"/>
        <w:keepNext/>
        <w:keepLines/>
        <w:spacing w:before="0" w:beforeAutospacing="0" w:after="0" w:afterAutospacing="0"/>
        <w:jc w:val="center"/>
        <w:rPr>
          <w:lang w:val="es-ES"/>
        </w:rPr>
      </w:pPr>
      <w:r w:rsidRPr="007C56C4">
        <w:rPr>
          <w:lang w:val="es-ES"/>
        </w:rPr>
        <w:lastRenderedPageBreak/>
        <w:t>Presupuesto y gastos reales (por resultado)</w:t>
      </w:r>
    </w:p>
    <w:p w:rsidR="00230FAA" w:rsidRPr="007C56C4" w:rsidRDefault="00230FAA" w:rsidP="00156844">
      <w:pPr>
        <w:pStyle w:val="NormalWeb"/>
        <w:keepNext/>
        <w:keepLines/>
        <w:spacing w:before="0" w:beforeAutospacing="0" w:after="0" w:afterAutospacing="0"/>
        <w:jc w:val="center"/>
        <w:rPr>
          <w:i/>
          <w:iCs/>
          <w:sz w:val="16"/>
          <w:szCs w:val="16"/>
          <w:lang w:val="es-ES"/>
        </w:rPr>
      </w:pPr>
      <w:r w:rsidRPr="007C56C4">
        <w:rPr>
          <w:i/>
          <w:iCs/>
          <w:sz w:val="16"/>
          <w:szCs w:val="16"/>
          <w:lang w:val="es-ES"/>
        </w:rPr>
        <w:t>(en miles de francos suizos)</w:t>
      </w:r>
    </w:p>
    <w:p w:rsidR="00230FAA" w:rsidRPr="007C56C4" w:rsidRDefault="00230FAA" w:rsidP="00156844">
      <w:pPr>
        <w:pStyle w:val="NormalWeb"/>
        <w:keepNext/>
        <w:keepLines/>
        <w:spacing w:before="0" w:beforeAutospacing="0" w:after="0" w:afterAutospacing="0"/>
        <w:jc w:val="center"/>
        <w:rPr>
          <w:i/>
          <w:iCs/>
          <w:sz w:val="16"/>
          <w:szCs w:val="16"/>
          <w:lang w:val="es-ES"/>
        </w:rPr>
      </w:pPr>
    </w:p>
    <w:tbl>
      <w:tblPr>
        <w:tblW w:w="8373" w:type="dxa"/>
        <w:jc w:val="center"/>
        <w:tblInd w:w="93" w:type="dxa"/>
        <w:tblLook w:val="04A0" w:firstRow="1" w:lastRow="0" w:firstColumn="1" w:lastColumn="0" w:noHBand="0" w:noVBand="1"/>
      </w:tblPr>
      <w:tblGrid>
        <w:gridCol w:w="627"/>
        <w:gridCol w:w="4236"/>
        <w:gridCol w:w="1186"/>
        <w:gridCol w:w="1310"/>
        <w:gridCol w:w="1203"/>
      </w:tblGrid>
      <w:tr w:rsidR="00230FAA" w:rsidRPr="007C56C4" w:rsidTr="00230FAA">
        <w:trPr>
          <w:trHeight w:val="626"/>
          <w:jc w:val="center"/>
        </w:trPr>
        <w:tc>
          <w:tcPr>
            <w:tcW w:w="4863" w:type="dxa"/>
            <w:gridSpan w:val="2"/>
            <w:tcBorders>
              <w:top w:val="nil"/>
              <w:left w:val="nil"/>
              <w:bottom w:val="nil"/>
              <w:right w:val="nil"/>
            </w:tcBorders>
            <w:shd w:val="clear" w:color="000000" w:fill="C5D9F1"/>
            <w:noWrap/>
            <w:vAlign w:val="center"/>
            <w:hideMark/>
          </w:tcPr>
          <w:p w:rsidR="00230FAA" w:rsidRPr="007C56C4" w:rsidRDefault="00230FAA" w:rsidP="00156844">
            <w:pPr>
              <w:keepNext/>
              <w:keepLines/>
              <w:jc w:val="center"/>
              <w:rPr>
                <w:b/>
                <w:bCs/>
                <w:sz w:val="16"/>
                <w:szCs w:val="16"/>
              </w:rPr>
            </w:pPr>
            <w:r w:rsidRPr="007C56C4">
              <w:rPr>
                <w:b/>
                <w:bCs/>
                <w:sz w:val="16"/>
                <w:szCs w:val="16"/>
              </w:rPr>
              <w:t xml:space="preserve">Número del resultado previsto y descripción </w:t>
            </w:r>
          </w:p>
        </w:tc>
        <w:tc>
          <w:tcPr>
            <w:tcW w:w="1154" w:type="dxa"/>
            <w:tcBorders>
              <w:top w:val="nil"/>
              <w:left w:val="nil"/>
              <w:bottom w:val="nil"/>
              <w:right w:val="nil"/>
            </w:tcBorders>
            <w:shd w:val="clear" w:color="000000" w:fill="C5D9F1"/>
            <w:vAlign w:val="center"/>
            <w:hideMark/>
          </w:tcPr>
          <w:p w:rsidR="00230FAA" w:rsidRPr="007C56C4" w:rsidRDefault="00230FAA" w:rsidP="00156844">
            <w:pPr>
              <w:keepNext/>
              <w:keepLines/>
              <w:jc w:val="center"/>
              <w:rPr>
                <w:b/>
                <w:bCs/>
                <w:sz w:val="16"/>
                <w:szCs w:val="16"/>
              </w:rPr>
            </w:pPr>
            <w:r w:rsidRPr="007C56C4">
              <w:rPr>
                <w:b/>
                <w:bCs/>
                <w:sz w:val="16"/>
                <w:szCs w:val="16"/>
              </w:rPr>
              <w:t xml:space="preserve"> Presupuesto aprobado de 2016/17 </w:t>
            </w:r>
          </w:p>
        </w:tc>
        <w:tc>
          <w:tcPr>
            <w:tcW w:w="1153" w:type="dxa"/>
            <w:tcBorders>
              <w:top w:val="nil"/>
              <w:left w:val="nil"/>
              <w:bottom w:val="nil"/>
              <w:right w:val="nil"/>
            </w:tcBorders>
            <w:shd w:val="clear" w:color="000000" w:fill="C5D9F1"/>
            <w:vAlign w:val="center"/>
            <w:hideMark/>
          </w:tcPr>
          <w:p w:rsidR="00230FAA" w:rsidRPr="007C56C4" w:rsidRDefault="00230FAA" w:rsidP="00156844">
            <w:pPr>
              <w:keepNext/>
              <w:keepLines/>
              <w:jc w:val="center"/>
              <w:rPr>
                <w:b/>
                <w:bCs/>
                <w:sz w:val="16"/>
                <w:szCs w:val="16"/>
              </w:rPr>
            </w:pPr>
            <w:r w:rsidRPr="007C56C4">
              <w:rPr>
                <w:b/>
                <w:bCs/>
                <w:sz w:val="16"/>
                <w:szCs w:val="16"/>
              </w:rPr>
              <w:t xml:space="preserve"> Presupuesto de 2016/17 tras las transferencias </w:t>
            </w:r>
          </w:p>
        </w:tc>
        <w:tc>
          <w:tcPr>
            <w:tcW w:w="1203" w:type="dxa"/>
            <w:tcBorders>
              <w:top w:val="nil"/>
              <w:left w:val="nil"/>
              <w:bottom w:val="nil"/>
              <w:right w:val="nil"/>
            </w:tcBorders>
            <w:shd w:val="clear" w:color="000000" w:fill="C5D9F1"/>
            <w:vAlign w:val="center"/>
            <w:hideMark/>
          </w:tcPr>
          <w:p w:rsidR="00230FAA" w:rsidRPr="007C56C4" w:rsidRDefault="00230FAA" w:rsidP="00156844">
            <w:pPr>
              <w:keepNext/>
              <w:keepLines/>
              <w:jc w:val="center"/>
              <w:rPr>
                <w:b/>
                <w:bCs/>
                <w:sz w:val="16"/>
                <w:szCs w:val="16"/>
              </w:rPr>
            </w:pPr>
            <w:r w:rsidRPr="007C56C4">
              <w:rPr>
                <w:b/>
                <w:bCs/>
                <w:sz w:val="16"/>
                <w:szCs w:val="16"/>
              </w:rPr>
              <w:t xml:space="preserve"> Gastos en 2016* </w:t>
            </w:r>
          </w:p>
        </w:tc>
      </w:tr>
      <w:tr w:rsidR="00230FAA" w:rsidRPr="007C56C4" w:rsidTr="00230FAA">
        <w:trPr>
          <w:trHeight w:val="723"/>
          <w:jc w:val="center"/>
        </w:trPr>
        <w:tc>
          <w:tcPr>
            <w:tcW w:w="627" w:type="dxa"/>
            <w:tcBorders>
              <w:top w:val="nil"/>
              <w:left w:val="nil"/>
              <w:bottom w:val="nil"/>
              <w:right w:val="nil"/>
            </w:tcBorders>
            <w:shd w:val="clear" w:color="000000" w:fill="FFFFFF"/>
            <w:noWrap/>
            <w:vAlign w:val="center"/>
            <w:hideMark/>
          </w:tcPr>
          <w:p w:rsidR="00230FAA" w:rsidRPr="007C56C4" w:rsidRDefault="00230FAA" w:rsidP="00156844">
            <w:pPr>
              <w:keepNext/>
              <w:keepLines/>
              <w:rPr>
                <w:sz w:val="16"/>
                <w:szCs w:val="16"/>
              </w:rPr>
            </w:pPr>
            <w:r w:rsidRPr="007C56C4">
              <w:rPr>
                <w:sz w:val="16"/>
                <w:szCs w:val="16"/>
              </w:rPr>
              <w:t>I.1</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 xml:space="preserve">Mayor cooperación entre los Estados miembros en la elaboración de marcos normativos internacionales de P.I. equilibrados </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685</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679</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372</w:t>
            </w:r>
          </w:p>
        </w:tc>
      </w:tr>
      <w:tr w:rsidR="00230FAA" w:rsidRPr="007C56C4" w:rsidTr="00230FAA">
        <w:trPr>
          <w:trHeight w:val="436"/>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II.1</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Mayor y más eficaz utilización del Sistema del PCT para presentar solicitudes internacionales de patentes</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857</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904</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398</w:t>
            </w:r>
          </w:p>
        </w:tc>
      </w:tr>
      <w:tr w:rsidR="00230FAA" w:rsidRPr="007C56C4" w:rsidTr="00230FAA">
        <w:trPr>
          <w:trHeight w:val="556"/>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II.4</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Mayor y más eficaz utilización del Sistema de La Haya, entre otros por los países en desarrollo y los PMA</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729</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535</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213</w:t>
            </w:r>
          </w:p>
        </w:tc>
      </w:tr>
      <w:tr w:rsidR="00230FAA" w:rsidRPr="007C56C4" w:rsidTr="00230FAA">
        <w:trPr>
          <w:trHeight w:val="338"/>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II.6</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Mayor y más eficaz utilización del Sistema de Lisboa, entre otros por los países en desarrollo y los PMA</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789</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526</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229</w:t>
            </w:r>
          </w:p>
        </w:tc>
      </w:tr>
      <w:tr w:rsidR="00230FAA" w:rsidRPr="007C56C4" w:rsidTr="00230FAA">
        <w:trPr>
          <w:trHeight w:val="1051"/>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III.2</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Aumento de las capacidades en recursos humanos para hacer frente a la gran diversidad de exigencias que supone la utilización eficaz de la P.I. para fomentar el desarrollo en los países en desarrollo, PMA y países con economías en transición</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858</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1.516</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582</w:t>
            </w:r>
          </w:p>
        </w:tc>
      </w:tr>
      <w:tr w:rsidR="00230FAA" w:rsidRPr="007C56C4" w:rsidTr="00230FAA">
        <w:trPr>
          <w:trHeight w:val="429"/>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IV.2</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Mejora del acceso y uso de información de P.I. por parte de instituciones de P.I. y el público para fomentar la innovación y la creatividad</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1.209</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1.075</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433</w:t>
            </w:r>
          </w:p>
        </w:tc>
      </w:tr>
      <w:tr w:rsidR="00230FAA" w:rsidRPr="007C56C4" w:rsidTr="00230FAA">
        <w:trPr>
          <w:trHeight w:val="1018"/>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IV.4</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264</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43</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32</w:t>
            </w:r>
          </w:p>
        </w:tc>
      </w:tr>
      <w:tr w:rsidR="00230FAA" w:rsidRPr="007C56C4" w:rsidTr="00230FAA">
        <w:trPr>
          <w:trHeight w:val="705"/>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VII.2</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Plataformas y herramientas de P.I. utilizadas para la transferencia de conocimientos y la difusión y adaptación de tecnología de los países desarrollados a los países en desarrollo, en particular, a los menos adelantados, con el fin de atender los desafíos mundiales</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452</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456</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207</w:t>
            </w:r>
          </w:p>
        </w:tc>
      </w:tr>
      <w:tr w:rsidR="00230FAA" w:rsidRPr="007C56C4" w:rsidTr="00230FAA">
        <w:trPr>
          <w:trHeight w:val="532"/>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VIII.1</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Comunicación más eficaz con el público en general acerca de la P.I. y la función de la OMPI</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878</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1.521</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535</w:t>
            </w:r>
          </w:p>
        </w:tc>
      </w:tr>
      <w:tr w:rsidR="00230FAA" w:rsidRPr="007C56C4" w:rsidTr="00230FAA">
        <w:trPr>
          <w:trHeight w:val="456"/>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VIII.2</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Mejora en la prestación de servicios y la atención de consultas</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544</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486</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190</w:t>
            </w:r>
          </w:p>
        </w:tc>
      </w:tr>
      <w:tr w:rsidR="00230FAA" w:rsidRPr="007C56C4" w:rsidTr="00230FAA">
        <w:trPr>
          <w:trHeight w:val="532"/>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VIII.4</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Intercambios abiertos, transparentes y dinámicos con las partes interesadas no gubernamentales</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666</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207</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87</w:t>
            </w:r>
          </w:p>
        </w:tc>
      </w:tr>
      <w:tr w:rsidR="00230FAA" w:rsidRPr="007C56C4" w:rsidTr="00230FAA">
        <w:trPr>
          <w:trHeight w:val="426"/>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VIII.5</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La OMPI participa y colabora eficazmente en los procesos y negociaciones de la ONU y otras OIG</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4.152</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4.098</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1.862</w:t>
            </w:r>
          </w:p>
        </w:tc>
      </w:tr>
      <w:tr w:rsidR="00230FAA" w:rsidRPr="007C56C4" w:rsidTr="00230FAA">
        <w:trPr>
          <w:trHeight w:val="716"/>
          <w:jc w:val="center"/>
        </w:trPr>
        <w:tc>
          <w:tcPr>
            <w:tcW w:w="627"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r w:rsidRPr="007C56C4">
              <w:rPr>
                <w:sz w:val="16"/>
                <w:szCs w:val="16"/>
              </w:rPr>
              <w:t>IX.1</w:t>
            </w:r>
          </w:p>
        </w:tc>
        <w:tc>
          <w:tcPr>
            <w:tcW w:w="4236" w:type="dxa"/>
            <w:tcBorders>
              <w:top w:val="nil"/>
              <w:left w:val="nil"/>
              <w:bottom w:val="nil"/>
              <w:right w:val="nil"/>
            </w:tcBorders>
            <w:shd w:val="clear" w:color="auto" w:fill="auto"/>
            <w:vAlign w:val="center"/>
            <w:hideMark/>
          </w:tcPr>
          <w:p w:rsidR="00230FAA" w:rsidRPr="007C56C4" w:rsidRDefault="00230FAA" w:rsidP="00156844">
            <w:pPr>
              <w:keepNext/>
              <w:keepLines/>
              <w:rPr>
                <w:sz w:val="16"/>
                <w:szCs w:val="16"/>
              </w:rPr>
            </w:pPr>
            <w:r w:rsidRPr="007C56C4">
              <w:rPr>
                <w:sz w:val="16"/>
                <w:szCs w:val="16"/>
              </w:rPr>
              <w:t>Servicios de apoyo eficaces, eficientes, de calidad y orientados al cliente, tanto a los usuarios internos como a las partes interesadas externas</w:t>
            </w:r>
          </w:p>
        </w:tc>
        <w:tc>
          <w:tcPr>
            <w:tcW w:w="1154"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311</w:t>
            </w:r>
          </w:p>
        </w:tc>
        <w:tc>
          <w:tcPr>
            <w:tcW w:w="115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132</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jc w:val="center"/>
              <w:rPr>
                <w:sz w:val="16"/>
                <w:szCs w:val="16"/>
              </w:rPr>
            </w:pPr>
            <w:r w:rsidRPr="007C56C4">
              <w:rPr>
                <w:sz w:val="16"/>
                <w:szCs w:val="16"/>
              </w:rPr>
              <w:t>38</w:t>
            </w:r>
          </w:p>
        </w:tc>
      </w:tr>
      <w:tr w:rsidR="00230FAA" w:rsidRPr="007C56C4" w:rsidTr="00230FAA">
        <w:trPr>
          <w:trHeight w:val="225"/>
          <w:jc w:val="center"/>
        </w:trPr>
        <w:tc>
          <w:tcPr>
            <w:tcW w:w="627" w:type="dxa"/>
            <w:tcBorders>
              <w:top w:val="nil"/>
              <w:left w:val="nil"/>
              <w:bottom w:val="nil"/>
              <w:right w:val="nil"/>
            </w:tcBorders>
            <w:shd w:val="clear" w:color="000000" w:fill="C5D9F1"/>
            <w:noWrap/>
            <w:vAlign w:val="bottom"/>
            <w:hideMark/>
          </w:tcPr>
          <w:p w:rsidR="00230FAA" w:rsidRPr="007C56C4" w:rsidRDefault="00230FAA" w:rsidP="00156844">
            <w:pPr>
              <w:keepNext/>
              <w:keepLines/>
              <w:rPr>
                <w:sz w:val="16"/>
                <w:szCs w:val="16"/>
              </w:rPr>
            </w:pPr>
            <w:r w:rsidRPr="007C56C4">
              <w:rPr>
                <w:sz w:val="16"/>
                <w:szCs w:val="16"/>
              </w:rPr>
              <w:t> </w:t>
            </w:r>
          </w:p>
        </w:tc>
        <w:tc>
          <w:tcPr>
            <w:tcW w:w="4236" w:type="dxa"/>
            <w:tcBorders>
              <w:top w:val="nil"/>
              <w:left w:val="nil"/>
              <w:bottom w:val="nil"/>
              <w:right w:val="nil"/>
            </w:tcBorders>
            <w:shd w:val="clear" w:color="000000" w:fill="C5D9F1"/>
            <w:noWrap/>
            <w:vAlign w:val="bottom"/>
            <w:hideMark/>
          </w:tcPr>
          <w:p w:rsidR="00230FAA" w:rsidRPr="007C56C4" w:rsidRDefault="00230FAA" w:rsidP="00156844">
            <w:pPr>
              <w:keepNext/>
              <w:keepLines/>
              <w:jc w:val="right"/>
              <w:rPr>
                <w:b/>
                <w:bCs/>
                <w:sz w:val="16"/>
                <w:szCs w:val="16"/>
              </w:rPr>
            </w:pPr>
            <w:r w:rsidRPr="007C56C4">
              <w:rPr>
                <w:b/>
                <w:bCs/>
                <w:sz w:val="16"/>
                <w:szCs w:val="16"/>
              </w:rPr>
              <w:t>Total</w:t>
            </w:r>
          </w:p>
        </w:tc>
        <w:tc>
          <w:tcPr>
            <w:tcW w:w="1154" w:type="dxa"/>
            <w:tcBorders>
              <w:top w:val="nil"/>
              <w:left w:val="nil"/>
              <w:bottom w:val="nil"/>
              <w:right w:val="nil"/>
            </w:tcBorders>
            <w:shd w:val="clear" w:color="000000" w:fill="C5D9F1"/>
            <w:noWrap/>
            <w:vAlign w:val="center"/>
            <w:hideMark/>
          </w:tcPr>
          <w:p w:rsidR="00230FAA" w:rsidRPr="007C56C4" w:rsidRDefault="00230FAA" w:rsidP="00156844">
            <w:pPr>
              <w:keepNext/>
              <w:keepLines/>
              <w:jc w:val="center"/>
              <w:rPr>
                <w:sz w:val="16"/>
                <w:szCs w:val="16"/>
              </w:rPr>
            </w:pPr>
            <w:r w:rsidRPr="007C56C4">
              <w:rPr>
                <w:sz w:val="16"/>
                <w:szCs w:val="16"/>
              </w:rPr>
              <w:t>12.395</w:t>
            </w:r>
          </w:p>
        </w:tc>
        <w:tc>
          <w:tcPr>
            <w:tcW w:w="1153" w:type="dxa"/>
            <w:tcBorders>
              <w:top w:val="nil"/>
              <w:left w:val="nil"/>
              <w:bottom w:val="nil"/>
              <w:right w:val="nil"/>
            </w:tcBorders>
            <w:shd w:val="clear" w:color="000000" w:fill="C5D9F1"/>
            <w:noWrap/>
            <w:vAlign w:val="center"/>
            <w:hideMark/>
          </w:tcPr>
          <w:p w:rsidR="00230FAA" w:rsidRPr="007C56C4" w:rsidRDefault="00230FAA" w:rsidP="00156844">
            <w:pPr>
              <w:keepNext/>
              <w:keepLines/>
              <w:jc w:val="center"/>
              <w:rPr>
                <w:sz w:val="16"/>
                <w:szCs w:val="16"/>
              </w:rPr>
            </w:pPr>
            <w:r w:rsidRPr="007C56C4">
              <w:rPr>
                <w:sz w:val="16"/>
                <w:szCs w:val="16"/>
              </w:rPr>
              <w:t>12.178</w:t>
            </w:r>
          </w:p>
        </w:tc>
        <w:tc>
          <w:tcPr>
            <w:tcW w:w="1203" w:type="dxa"/>
            <w:tcBorders>
              <w:top w:val="nil"/>
              <w:left w:val="nil"/>
              <w:bottom w:val="nil"/>
              <w:right w:val="nil"/>
            </w:tcBorders>
            <w:shd w:val="clear" w:color="000000" w:fill="C5D9F1"/>
            <w:noWrap/>
            <w:vAlign w:val="center"/>
            <w:hideMark/>
          </w:tcPr>
          <w:p w:rsidR="00230FAA" w:rsidRPr="007C56C4" w:rsidRDefault="00230FAA" w:rsidP="00156844">
            <w:pPr>
              <w:keepNext/>
              <w:keepLines/>
              <w:jc w:val="center"/>
              <w:rPr>
                <w:sz w:val="16"/>
                <w:szCs w:val="16"/>
              </w:rPr>
            </w:pPr>
            <w:r w:rsidRPr="007C56C4">
              <w:rPr>
                <w:sz w:val="16"/>
                <w:szCs w:val="16"/>
              </w:rPr>
              <w:t>5.177</w:t>
            </w:r>
          </w:p>
        </w:tc>
      </w:tr>
      <w:tr w:rsidR="00230FAA" w:rsidRPr="007C56C4" w:rsidTr="00230FAA">
        <w:trPr>
          <w:trHeight w:val="330"/>
          <w:jc w:val="center"/>
        </w:trPr>
        <w:tc>
          <w:tcPr>
            <w:tcW w:w="7170" w:type="dxa"/>
            <w:gridSpan w:val="4"/>
            <w:tcBorders>
              <w:top w:val="nil"/>
              <w:left w:val="nil"/>
              <w:bottom w:val="nil"/>
              <w:right w:val="nil"/>
            </w:tcBorders>
            <w:shd w:val="clear" w:color="auto" w:fill="auto"/>
            <w:noWrap/>
            <w:vAlign w:val="center"/>
            <w:hideMark/>
          </w:tcPr>
          <w:p w:rsidR="00230FAA" w:rsidRPr="007C56C4" w:rsidRDefault="00230FAA" w:rsidP="00156844">
            <w:pPr>
              <w:keepNext/>
              <w:keepLines/>
              <w:rPr>
                <w:i/>
                <w:iCs/>
                <w:sz w:val="16"/>
                <w:szCs w:val="16"/>
              </w:rPr>
            </w:pPr>
            <w:r w:rsidRPr="007C56C4">
              <w:rPr>
                <w:i/>
                <w:iCs/>
                <w:sz w:val="16"/>
                <w:szCs w:val="16"/>
              </w:rPr>
              <w:t>*Las cifras relativas a gastos en 2016 son preliminares, a reserva de verificación por el Auditor Externo</w:t>
            </w:r>
          </w:p>
        </w:tc>
        <w:tc>
          <w:tcPr>
            <w:tcW w:w="1203" w:type="dxa"/>
            <w:tcBorders>
              <w:top w:val="nil"/>
              <w:left w:val="nil"/>
              <w:bottom w:val="nil"/>
              <w:right w:val="nil"/>
            </w:tcBorders>
            <w:shd w:val="clear" w:color="auto" w:fill="auto"/>
            <w:noWrap/>
            <w:vAlign w:val="center"/>
            <w:hideMark/>
          </w:tcPr>
          <w:p w:rsidR="00230FAA" w:rsidRPr="007C56C4" w:rsidRDefault="00230FAA" w:rsidP="00156844">
            <w:pPr>
              <w:keepNext/>
              <w:keepLines/>
              <w:rPr>
                <w:sz w:val="16"/>
                <w:szCs w:val="16"/>
              </w:rPr>
            </w:pPr>
          </w:p>
        </w:tc>
      </w:tr>
    </w:tbl>
    <w:p w:rsidR="00230FAA" w:rsidRPr="007C56C4" w:rsidRDefault="00230FAA" w:rsidP="00230FAA">
      <w:pPr>
        <w:pStyle w:val="NormalWeb"/>
        <w:spacing w:before="0" w:beforeAutospacing="0" w:after="0" w:afterAutospacing="0"/>
        <w:jc w:val="center"/>
        <w:rPr>
          <w:sz w:val="16"/>
          <w:szCs w:val="16"/>
          <w:lang w:val="es-ES"/>
        </w:rPr>
      </w:pPr>
    </w:p>
    <w:p w:rsidR="00230FAA" w:rsidRPr="007C56C4" w:rsidRDefault="00230FAA" w:rsidP="00230FAA"/>
    <w:p w:rsidR="00230FAA" w:rsidRPr="007C56C4" w:rsidRDefault="00230FAA" w:rsidP="00230FAA">
      <w:pPr>
        <w:jc w:val="both"/>
        <w:rPr>
          <w:sz w:val="20"/>
          <w:u w:val="single"/>
        </w:rPr>
      </w:pPr>
      <w:r w:rsidRPr="007C56C4">
        <w:rPr>
          <w:sz w:val="20"/>
        </w:rPr>
        <w:t>A.</w:t>
      </w:r>
      <w:r w:rsidRPr="007C56C4">
        <w:rPr>
          <w:sz w:val="20"/>
        </w:rPr>
        <w:tab/>
      </w:r>
      <w:r w:rsidRPr="007C56C4">
        <w:rPr>
          <w:sz w:val="20"/>
          <w:u w:val="single"/>
        </w:rPr>
        <w:t>Presupuesto de 2016/17 tras las transferencias</w:t>
      </w:r>
    </w:p>
    <w:p w:rsidR="00230FAA" w:rsidRPr="007C56C4" w:rsidRDefault="00230FAA" w:rsidP="00230FAA">
      <w:pPr>
        <w:jc w:val="both"/>
        <w:rPr>
          <w:sz w:val="20"/>
          <w:u w:val="single"/>
        </w:rPr>
      </w:pPr>
    </w:p>
    <w:p w:rsidR="00230FAA" w:rsidRPr="007C56C4" w:rsidRDefault="00230FAA" w:rsidP="00867DB8">
      <w:pPr>
        <w:pStyle w:val="ListParagraph"/>
        <w:numPr>
          <w:ilvl w:val="0"/>
          <w:numId w:val="81"/>
        </w:numPr>
        <w:ind w:firstLine="0"/>
        <w:contextualSpacing/>
        <w:jc w:val="both"/>
        <w:rPr>
          <w:lang w:val="es-ES"/>
        </w:rPr>
      </w:pPr>
      <w:r w:rsidRPr="007C56C4">
        <w:rPr>
          <w:lang w:val="es-ES"/>
        </w:rPr>
        <w:t>El aumento de los recursos no relativos a personal se debió a:  i) la asignación de fondos adicionales para cubrir las necesidades operacionales de la Oficina de Coordinación de la OMPI en Nueva York en 2017 reflejados en el resultado previsto VIII.5 (La OMPI participa y colabora eficazmente en los procesos y negociaciones de la ONU y otras OIG); y ii) la transferencia de fondos a la Oficina de la OMPI en China (OOC) para la Conferencia Internacional de alto nivel sobre el fomento del respeto por la P.I., que tuvo lugar en Shanghái en noviembre de 2016.</w:t>
      </w:r>
    </w:p>
    <w:p w:rsidR="00230FAA" w:rsidRPr="007C56C4" w:rsidRDefault="00230FAA" w:rsidP="00230FAA">
      <w:pPr>
        <w:jc w:val="both"/>
        <w:rPr>
          <w:sz w:val="20"/>
        </w:rPr>
      </w:pPr>
    </w:p>
    <w:p w:rsidR="00230FAA" w:rsidRPr="007C56C4" w:rsidRDefault="00230FAA" w:rsidP="00867DB8">
      <w:pPr>
        <w:pStyle w:val="ListParagraph"/>
        <w:numPr>
          <w:ilvl w:val="0"/>
          <w:numId w:val="81"/>
        </w:numPr>
        <w:ind w:firstLine="0"/>
        <w:contextualSpacing/>
        <w:jc w:val="both"/>
        <w:rPr>
          <w:lang w:val="es-ES"/>
        </w:rPr>
      </w:pPr>
      <w:r w:rsidRPr="007C56C4">
        <w:rPr>
          <w:lang w:val="es-ES"/>
        </w:rPr>
        <w:t xml:space="preserve">La disminución neta de los recursos de personal, en comparación con el presupuesto aprobado de 2016/17, reflejó, por una parte, la transferencia al programa de personal adicional para fortalecer la labor de las Oficinas en el exterior, entre otros, el Director de la Oficina de la OMPI en la Federación de Rusia (OOR) y dos funcionarios profesionales nacionales en la OOC;  y, por otra, la transferencia de recursos de personal, a saber:  i) la transferencia provisional de un puesto para prestar apoyo a las </w:t>
      </w:r>
      <w:r w:rsidRPr="007C56C4">
        <w:rPr>
          <w:lang w:val="es-ES"/>
        </w:rPr>
        <w:lastRenderedPageBreak/>
        <w:t>prioridades en las comunicaciones (programa 19), reflejado en el resultado previsto VIII.4 (Intercambios abiertos, transparentes y dinámicos con las partes interesadas no gubernamentales);  ii) la transferencia de un puesto temporal para prestar apoyo a la prioridad de la labor sobre los Centros de Apoyo a la Tecnología y la Innovación (programa 14);  iii) la transferencia temporal de un puesto para prestar apoyo a la iniciativa de reforma del Sistema de Madrid (programa 6);  y iv) la transferencia de los ahorros acumulados para dar cabida a otras prioridades institucionales.  La incidencia de estos dos últimos factores queda reflejada a lo largo de los resultados previstos.</w:t>
      </w:r>
    </w:p>
    <w:p w:rsidR="00230FAA" w:rsidRPr="007C56C4" w:rsidRDefault="00230FAA" w:rsidP="00230FAA">
      <w:pPr>
        <w:jc w:val="both"/>
        <w:rPr>
          <w:sz w:val="20"/>
        </w:rPr>
      </w:pPr>
    </w:p>
    <w:p w:rsidR="00230FAA" w:rsidRPr="007C56C4" w:rsidRDefault="00230FAA" w:rsidP="00867DB8">
      <w:pPr>
        <w:pStyle w:val="ListParagraph"/>
        <w:numPr>
          <w:ilvl w:val="0"/>
          <w:numId w:val="81"/>
        </w:numPr>
        <w:ind w:firstLine="0"/>
        <w:contextualSpacing/>
        <w:jc w:val="both"/>
        <w:rPr>
          <w:lang w:val="es-ES"/>
        </w:rPr>
      </w:pPr>
      <w:r w:rsidRPr="007C56C4">
        <w:rPr>
          <w:lang w:val="es-ES"/>
        </w:rPr>
        <w:t>El aumento de los recursos asignados al:  i) resultado previsto III.2 (Aumento de las capacidades en recursos humanos para hacer frente a la gran diversidad de exigencias que supone la utilización eficaz de la P.I. para fomentar el desarrollo en los países en desarrollo, PMA y países con economías en transición);  y al ii) resultado previsto VIII.1 (Comunicación más eficaz con el público en general acerca de la P.I. y la función de la OMPI) reflejó la mayor importancia otorgada entre las Oficinas en el exterior al fomento de la sensibilización y a la promoción de la OMPI.</w:t>
      </w:r>
    </w:p>
    <w:p w:rsidR="00230FAA" w:rsidRPr="007C56C4" w:rsidRDefault="00230FAA" w:rsidP="00230FAA">
      <w:pPr>
        <w:jc w:val="both"/>
        <w:rPr>
          <w:sz w:val="20"/>
          <w:u w:val="single"/>
        </w:rPr>
      </w:pPr>
    </w:p>
    <w:p w:rsidR="00230FAA" w:rsidRPr="007C56C4" w:rsidRDefault="00230FAA" w:rsidP="00230FAA">
      <w:pPr>
        <w:jc w:val="both"/>
        <w:rPr>
          <w:sz w:val="20"/>
          <w:u w:val="single"/>
        </w:rPr>
      </w:pPr>
      <w:r w:rsidRPr="007C56C4">
        <w:rPr>
          <w:sz w:val="20"/>
        </w:rPr>
        <w:t>B.</w:t>
      </w:r>
      <w:r w:rsidRPr="007C56C4">
        <w:rPr>
          <w:sz w:val="20"/>
        </w:rPr>
        <w:tab/>
      </w:r>
      <w:r w:rsidRPr="007C56C4">
        <w:rPr>
          <w:sz w:val="20"/>
          <w:u w:val="single"/>
        </w:rPr>
        <w:t>Utilización del presupuesto en 2016/17</w:t>
      </w:r>
    </w:p>
    <w:p w:rsidR="00230FAA" w:rsidRPr="007C56C4" w:rsidRDefault="00230FAA" w:rsidP="00230FAA">
      <w:pPr>
        <w:jc w:val="both"/>
        <w:rPr>
          <w:sz w:val="20"/>
          <w:u w:val="single"/>
        </w:rPr>
      </w:pPr>
    </w:p>
    <w:p w:rsidR="00230FAA" w:rsidRPr="007C56C4" w:rsidRDefault="00230FAA" w:rsidP="00867DB8">
      <w:pPr>
        <w:pStyle w:val="ListParagraph"/>
        <w:numPr>
          <w:ilvl w:val="0"/>
          <w:numId w:val="81"/>
        </w:numPr>
        <w:ind w:firstLine="0"/>
        <w:contextualSpacing/>
        <w:jc w:val="both"/>
        <w:rPr>
          <w:lang w:val="es-ES"/>
        </w:rPr>
      </w:pPr>
      <w:r w:rsidRPr="007C56C4">
        <w:rPr>
          <w:lang w:val="es-ES"/>
        </w:rPr>
        <w:t xml:space="preserve">La utilización del presupuesto se ha mantenido dentro de los límites establecidos (40-60%) durante el primer año del bienio.  </w:t>
      </w:r>
    </w:p>
    <w:p w:rsidR="00867DB8" w:rsidRDefault="00867DB8">
      <w:pPr>
        <w:rPr>
          <w:rFonts w:eastAsia="Times New Roman" w:cs="Times New Roman"/>
          <w:sz w:val="20"/>
          <w:szCs w:val="24"/>
          <w:lang w:eastAsia="en-US"/>
        </w:rPr>
      </w:pPr>
      <w:r>
        <w:rPr>
          <w:rFonts w:eastAsia="Times New Roman" w:cs="Times New Roman"/>
          <w:sz w:val="20"/>
          <w:szCs w:val="24"/>
          <w:lang w:eastAsia="en-US"/>
        </w:rPr>
        <w:br w:type="page"/>
      </w:r>
    </w:p>
    <w:p w:rsidR="00EE1CCE" w:rsidRPr="008F3D8D" w:rsidRDefault="00EE1CCE" w:rsidP="00425619">
      <w:pPr>
        <w:pStyle w:val="Heading2"/>
        <w:spacing w:before="0" w:after="0"/>
        <w:jc w:val="center"/>
        <w:rPr>
          <w:b/>
          <w:sz w:val="20"/>
          <w:szCs w:val="20"/>
        </w:rPr>
      </w:pPr>
      <w:bookmarkStart w:id="71" w:name="_Toc482711272"/>
      <w:bookmarkStart w:id="72" w:name="_Toc422210509"/>
      <w:bookmarkStart w:id="73" w:name="_Toc367350601"/>
      <w:r w:rsidRPr="008F3D8D">
        <w:rPr>
          <w:b/>
          <w:sz w:val="20"/>
          <w:szCs w:val="20"/>
          <w:lang w:val="es-ES_tradnl"/>
        </w:rPr>
        <w:lastRenderedPageBreak/>
        <w:t>META ESTRATÉGICA IX</w:t>
      </w:r>
      <w:bookmarkEnd w:id="71"/>
    </w:p>
    <w:p w:rsidR="00EE1CCE" w:rsidRPr="008F3D8D" w:rsidRDefault="00EE1CCE" w:rsidP="00425619">
      <w:pPr>
        <w:jc w:val="center"/>
        <w:rPr>
          <w:b/>
          <w:sz w:val="20"/>
        </w:rPr>
      </w:pPr>
    </w:p>
    <w:p w:rsidR="00EE1CCE" w:rsidRPr="008F3D8D" w:rsidRDefault="00EE1CCE" w:rsidP="00425619">
      <w:pPr>
        <w:jc w:val="center"/>
        <w:rPr>
          <w:b/>
          <w:sz w:val="20"/>
        </w:rPr>
      </w:pPr>
      <w:r w:rsidRPr="008F3D8D">
        <w:rPr>
          <w:b/>
          <w:sz w:val="20"/>
          <w:lang w:val="es-ES_tradnl"/>
        </w:rPr>
        <w:t>APOYO ADMINISTRATIVO Y FINANCIERO EFICIENTE</w:t>
      </w:r>
      <w:r w:rsidR="00027A9C">
        <w:rPr>
          <w:b/>
          <w:sz w:val="20"/>
          <w:lang w:val="es-ES_tradnl"/>
        </w:rPr>
        <w:t>S</w:t>
      </w:r>
    </w:p>
    <w:p w:rsidR="00EE1CCE" w:rsidRPr="008F3D8D" w:rsidRDefault="00EE1CCE" w:rsidP="00425619">
      <w:pPr>
        <w:rPr>
          <w:sz w:val="20"/>
        </w:rPr>
      </w:pPr>
    </w:p>
    <w:p w:rsidR="00EE1CCE" w:rsidRPr="008F3D8D" w:rsidRDefault="00EE1CCE" w:rsidP="00425619">
      <w:pPr>
        <w:jc w:val="center"/>
        <w:rPr>
          <w:b/>
          <w:sz w:val="20"/>
        </w:rPr>
      </w:pPr>
      <w:r w:rsidRPr="008F3D8D">
        <w:rPr>
          <w:b/>
          <w:sz w:val="20"/>
        </w:rPr>
        <w:t>Tablero de control del rendimiento a mediano plazo (2016)</w:t>
      </w:r>
    </w:p>
    <w:p w:rsidR="00EE1CCE" w:rsidRPr="008F3D8D" w:rsidRDefault="00EE1CCE" w:rsidP="00EE1CCE">
      <w:pPr>
        <w:jc w:val="both"/>
        <w:rPr>
          <w:sz w:val="20"/>
        </w:rPr>
      </w:pPr>
    </w:p>
    <w:p w:rsidR="00EE1CCE" w:rsidRPr="008F3D8D" w:rsidRDefault="00EE1CCE" w:rsidP="00EE1CCE">
      <w:pPr>
        <w:jc w:val="both"/>
        <w:rPr>
          <w:sz w:val="20"/>
        </w:rPr>
      </w:pPr>
      <w:r w:rsidRPr="008F3D8D">
        <w:rPr>
          <w:sz w:val="20"/>
          <w:lang w:val="es-ES_tradnl"/>
        </w:rPr>
        <w:t>En el siguiente tablero de control se reseñan los avances realizados hacia la consecución de los resultados en 2016, medidos con arreglo a los indicadores de los programas que contribuyen al logro de esta meta estratégica.</w:t>
      </w:r>
    </w:p>
    <w:p w:rsidR="00EE1CCE" w:rsidRPr="008F3D8D" w:rsidRDefault="00EE1CCE" w:rsidP="00EE1CCE">
      <w:pPr>
        <w:jc w:val="center"/>
        <w:rPr>
          <w:sz w:val="20"/>
        </w:rPr>
      </w:pPr>
      <w:r w:rsidRPr="008F3D8D">
        <w:rPr>
          <w:noProof/>
          <w:lang w:val="en-US" w:eastAsia="en-US"/>
        </w:rPr>
        <w:drawing>
          <wp:inline distT="0" distB="0" distL="0" distR="0" wp14:anchorId="237206ED" wp14:editId="68808963">
            <wp:extent cx="4086296" cy="26860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094035" cy="2691137"/>
                    </a:xfrm>
                    <a:prstGeom prst="rect">
                      <a:avLst/>
                    </a:prstGeom>
                    <a:noFill/>
                    <a:ln>
                      <a:noFill/>
                    </a:ln>
                  </pic:spPr>
                </pic:pic>
              </a:graphicData>
            </a:graphic>
          </wp:inline>
        </w:drawing>
      </w:r>
    </w:p>
    <w:tbl>
      <w:tblPr>
        <w:tblW w:w="9295" w:type="dxa"/>
        <w:tblInd w:w="108" w:type="dxa"/>
        <w:tblLayout w:type="fixed"/>
        <w:tblLook w:val="0000" w:firstRow="0" w:lastRow="0" w:firstColumn="0" w:lastColumn="0" w:noHBand="0" w:noVBand="0"/>
      </w:tblPr>
      <w:tblGrid>
        <w:gridCol w:w="2552"/>
        <w:gridCol w:w="4110"/>
        <w:gridCol w:w="1586"/>
        <w:gridCol w:w="1047"/>
      </w:tblGrid>
      <w:tr w:rsidR="00EE1CCE" w:rsidRPr="008F3D8D" w:rsidTr="00F82C35">
        <w:trPr>
          <w:cantSplit/>
          <w:trHeight w:val="317"/>
          <w:tblHeader/>
        </w:trPr>
        <w:tc>
          <w:tcPr>
            <w:tcW w:w="1373" w:type="pct"/>
            <w:shd w:val="clear" w:color="auto" w:fill="B8CCE4" w:themeFill="accent1" w:themeFillTint="66"/>
            <w:tcMar>
              <w:top w:w="113" w:type="dxa"/>
              <w:bottom w:w="85" w:type="dxa"/>
            </w:tcMar>
            <w:vAlign w:val="center"/>
          </w:tcPr>
          <w:p w:rsidR="00EE1CCE" w:rsidRPr="008F3D8D" w:rsidRDefault="00EE1CCE" w:rsidP="00A34E19">
            <w:pPr>
              <w:spacing w:after="120"/>
              <w:rPr>
                <w:b/>
                <w:bCs/>
                <w:sz w:val="18"/>
                <w:szCs w:val="18"/>
              </w:rPr>
            </w:pPr>
            <w:r w:rsidRPr="008F3D8D">
              <w:rPr>
                <w:b/>
                <w:bCs/>
                <w:sz w:val="18"/>
                <w:szCs w:val="18"/>
                <w:lang w:val="es-ES_tradnl"/>
              </w:rPr>
              <w:t>Resultado previsto:</w:t>
            </w:r>
          </w:p>
        </w:tc>
        <w:tc>
          <w:tcPr>
            <w:tcW w:w="2211" w:type="pct"/>
            <w:shd w:val="clear" w:color="auto" w:fill="B8CCE4" w:themeFill="accent1" w:themeFillTint="66"/>
            <w:tcMar>
              <w:top w:w="113" w:type="dxa"/>
              <w:bottom w:w="85" w:type="dxa"/>
            </w:tcMar>
            <w:vAlign w:val="center"/>
          </w:tcPr>
          <w:p w:rsidR="00EE1CCE" w:rsidRPr="008F3D8D" w:rsidRDefault="00EE1CCE" w:rsidP="00A34E19">
            <w:pPr>
              <w:spacing w:after="120"/>
              <w:rPr>
                <w:b/>
                <w:sz w:val="18"/>
                <w:szCs w:val="18"/>
              </w:rPr>
            </w:pPr>
            <w:r w:rsidRPr="008F3D8D">
              <w:rPr>
                <w:b/>
                <w:sz w:val="18"/>
                <w:szCs w:val="18"/>
                <w:lang w:val="es-ES_tradnl"/>
              </w:rPr>
              <w:t>Indicadores de rendimiento</w:t>
            </w:r>
          </w:p>
        </w:tc>
        <w:tc>
          <w:tcPr>
            <w:tcW w:w="853" w:type="pct"/>
            <w:shd w:val="clear" w:color="auto" w:fill="B8CCE4" w:themeFill="accent1" w:themeFillTint="66"/>
            <w:tcMar>
              <w:top w:w="113" w:type="dxa"/>
              <w:bottom w:w="85" w:type="dxa"/>
            </w:tcMar>
            <w:vAlign w:val="center"/>
          </w:tcPr>
          <w:p w:rsidR="00EE1CCE" w:rsidRPr="008F3D8D" w:rsidRDefault="00EE1CCE" w:rsidP="00A34E19">
            <w:pPr>
              <w:spacing w:after="120"/>
              <w:ind w:left="85"/>
              <w:rPr>
                <w:sz w:val="18"/>
                <w:szCs w:val="18"/>
              </w:rPr>
            </w:pPr>
            <w:r w:rsidRPr="008F3D8D">
              <w:rPr>
                <w:b/>
                <w:sz w:val="18"/>
                <w:szCs w:val="18"/>
                <w:lang w:val="es-ES_tradnl"/>
              </w:rPr>
              <w:t>Programas responsables</w:t>
            </w:r>
          </w:p>
        </w:tc>
        <w:tc>
          <w:tcPr>
            <w:tcW w:w="563" w:type="pct"/>
            <w:shd w:val="clear" w:color="auto" w:fill="B8CCE4" w:themeFill="accent1" w:themeFillTint="66"/>
            <w:vAlign w:val="center"/>
          </w:tcPr>
          <w:p w:rsidR="00EE1CCE" w:rsidRPr="008F3D8D" w:rsidRDefault="00EE1CCE" w:rsidP="00A34E19">
            <w:pPr>
              <w:spacing w:after="120"/>
              <w:ind w:left="85"/>
              <w:jc w:val="center"/>
              <w:rPr>
                <w:b/>
                <w:bCs/>
                <w:sz w:val="18"/>
                <w:szCs w:val="18"/>
              </w:rPr>
            </w:pPr>
            <w:r w:rsidRPr="008F3D8D">
              <w:rPr>
                <w:b/>
                <w:bCs/>
                <w:sz w:val="18"/>
                <w:szCs w:val="18"/>
                <w:lang w:val="es-ES_tradnl"/>
              </w:rPr>
              <w:t>Clave de colores</w:t>
            </w:r>
          </w:p>
        </w:tc>
      </w:tr>
      <w:tr w:rsidR="00EE1CCE" w:rsidRPr="008F3D8D" w:rsidTr="00F82C35">
        <w:trPr>
          <w:cantSplit/>
          <w:trHeight w:val="319"/>
        </w:trPr>
        <w:tc>
          <w:tcPr>
            <w:tcW w:w="1373"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IX.1  Servicios de apoyo eficaces, eficientes, de calidad y orientados al cliente, tanto a los usuarios internos como a las partes interesadas externas</w:t>
            </w: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peticiones de asesoramiento y servicios jurídicos que reciben respuestas rápidas de la Oficina del Consejero Jurídico.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21</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Suministro de informes y análisis financieros y de gestión solicitados por el personal directivo superior, los directores de programas y los Estados miembros, con arreglo a los plazos acordados.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22</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FF0000"/>
                <w:szCs w:val="22"/>
              </w:rPr>
              <w:sym w:font="Wingdings" w:char="F06C"/>
            </w:r>
          </w:p>
        </w:tc>
      </w:tr>
      <w:tr w:rsidR="00EE1CCE" w:rsidRPr="008F3D8D" w:rsidTr="00F82C35">
        <w:trPr>
          <w:cantSplit/>
          <w:trHeight w:val="242"/>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bCs/>
                <w:sz w:val="16"/>
                <w:szCs w:val="16"/>
              </w:rPr>
            </w:pPr>
            <w:r w:rsidRPr="008F3D8D">
              <w:rPr>
                <w:bCs/>
                <w:sz w:val="16"/>
                <w:szCs w:val="16"/>
                <w:lang w:val="es-ES_tradnl"/>
              </w:rPr>
              <w:t>N.º de documentos del PBC presentados a tiempo a los Estados miembros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22</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472"/>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El sistema de la OMPI de PRI (AIMS) funciona eficazmente con arreglo a las necesidades operacionales y en concordancia con las mejores prácticas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22</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p>
        </w:tc>
      </w:tr>
      <w:tr w:rsidR="00EE1CCE" w:rsidRPr="008F3D8D" w:rsidTr="00F82C35">
        <w:trPr>
          <w:cantSplit/>
          <w:trHeight w:val="34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Los proyectos de PRI se ejecutan con arreglo a lo previsto y en el marco del presupuesto de la cartera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22</w:t>
            </w:r>
          </w:p>
        </w:tc>
        <w:tc>
          <w:tcPr>
            <w:tcW w:w="563" w:type="pct"/>
            <w:shd w:val="clear" w:color="auto" w:fill="auto"/>
          </w:tcPr>
          <w:p w:rsidR="00EE1CCE" w:rsidRPr="008F3D8D" w:rsidRDefault="00EE1CCE" w:rsidP="00A34E19">
            <w:pPr>
              <w:jc w:val="center"/>
            </w:pPr>
            <w:r w:rsidRPr="008F3D8D">
              <w:rPr>
                <w:color w:val="FF0000"/>
                <w:szCs w:val="22"/>
              </w:rPr>
              <w:sym w:font="Wingdings" w:char="F06C"/>
            </w:r>
          </w:p>
        </w:tc>
      </w:tr>
      <w:tr w:rsidR="00EE1CCE" w:rsidRPr="008F3D8D" w:rsidTr="00F82C35">
        <w:trPr>
          <w:cantSplit/>
          <w:trHeight w:val="198"/>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miembros del personal satisfechos de los servicios de recursos humanos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23</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70C0"/>
                <w:szCs w:val="22"/>
              </w:rPr>
              <w:sym w:font="Wingdings" w:char="F06C"/>
            </w:r>
          </w:p>
        </w:tc>
      </w:tr>
      <w:tr w:rsidR="00EE1CCE" w:rsidRPr="008F3D8D" w:rsidTr="00F82C35">
        <w:trPr>
          <w:cantSplit/>
          <w:trHeight w:val="17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bCs/>
                <w:sz w:val="16"/>
                <w:szCs w:val="16"/>
              </w:rPr>
            </w:pPr>
            <w:r w:rsidRPr="008F3D8D">
              <w:rPr>
                <w:bCs/>
                <w:sz w:val="16"/>
                <w:szCs w:val="16"/>
                <w:lang w:val="es-ES_tradnl"/>
              </w:rPr>
              <w:t>Aumento de los procedimientos automatizados en lugar de los procesos que actualmente se efectúan a mano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23</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42"/>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consultas solucionadas en el plazo de 5 días hábiles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23</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70C0"/>
                <w:szCs w:val="22"/>
              </w:rPr>
              <w:sym w:font="Wingdings" w:char="F06C"/>
            </w:r>
          </w:p>
        </w:tc>
      </w:tr>
      <w:tr w:rsidR="00EE1CCE" w:rsidRPr="008F3D8D" w:rsidTr="00F82C35">
        <w:trPr>
          <w:cantSplit/>
          <w:trHeight w:val="19"/>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Cobertura de seguros optimizada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23</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153"/>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Disminución de los costos de adquisición de productos y servicios por la OMPI (derivada de solicitudes de ofertas o negociaciones directas)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24</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FF0000"/>
                <w:szCs w:val="22"/>
              </w:rPr>
              <w:sym w:font="Wingdings" w:char="F06C"/>
            </w:r>
          </w:p>
        </w:tc>
      </w:tr>
      <w:tr w:rsidR="00EE1CCE" w:rsidRPr="008F3D8D" w:rsidTr="00F82C35">
        <w:trPr>
          <w:cantSplit/>
          <w:trHeight w:val="1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Tiempo de tramitación de peticiones electrónicas de actividades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24</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1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Tiempo de tramitación de autorizaciones electrónicas de viaje</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24</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118"/>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Tiempo de tramitación de visados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82"/>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D01136">
            <w:pPr>
              <w:rPr>
                <w:bCs/>
                <w:sz w:val="16"/>
                <w:szCs w:val="16"/>
              </w:rPr>
            </w:pPr>
            <w:r w:rsidRPr="008F3D8D">
              <w:rPr>
                <w:bCs/>
                <w:sz w:val="16"/>
                <w:szCs w:val="16"/>
                <w:lang w:val="es-ES_tradnl"/>
              </w:rPr>
              <w:t xml:space="preserve">Precio medio general del billete </w:t>
            </w:r>
            <w:r w:rsidR="00D01136">
              <w:rPr>
                <w:bCs/>
                <w:sz w:val="16"/>
                <w:szCs w:val="16"/>
                <w:lang w:val="es-ES_tradnl"/>
              </w:rPr>
              <w:t>que ofrece</w:t>
            </w:r>
            <w:r w:rsidRPr="008F3D8D">
              <w:rPr>
                <w:bCs/>
                <w:sz w:val="16"/>
                <w:szCs w:val="16"/>
                <w:lang w:val="es-ES_tradnl"/>
              </w:rPr>
              <w:t xml:space="preserve"> la empresa de gestión de viajes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224"/>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Precio medio general del billete</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21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Promedio de la tasa de servicio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Los locales y las instalaciones de la OMPI siguen sirviendo a los fines establecidos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343"/>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Utilización y ocupación óptimas de los locales y todos los tipos de espacios de la OMPI</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209"/>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bCs/>
                <w:sz w:val="16"/>
                <w:szCs w:val="16"/>
              </w:rPr>
            </w:pPr>
            <w:r w:rsidRPr="008F3D8D">
              <w:rPr>
                <w:bCs/>
                <w:sz w:val="16"/>
                <w:szCs w:val="16"/>
                <w:lang w:val="es-ES_tradnl"/>
              </w:rPr>
              <w:t>% de artículos de elevado valor (ej. &gt;5.000 francos suizos) inventariados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203"/>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artículos de valor (1.000-5.000 francos suizos), obras de arte y artículos atractivos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70C0"/>
                <w:szCs w:val="22"/>
              </w:rPr>
              <w:sym w:font="Wingdings" w:char="F06C"/>
            </w:r>
          </w:p>
        </w:tc>
      </w:tr>
      <w:tr w:rsidR="00EE1CCE" w:rsidRPr="008F3D8D" w:rsidTr="00F82C35">
        <w:trPr>
          <w:cantSplit/>
          <w:trHeight w:val="211"/>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bCs/>
                <w:sz w:val="16"/>
                <w:szCs w:val="16"/>
                <w:lang w:val="es-ES_tradnl"/>
              </w:rPr>
              <w:t>Alojamiento y gestión costoeficaces de las plataformas de TIC en concordancia con las necesidades operativas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25</w:t>
            </w:r>
          </w:p>
        </w:tc>
        <w:tc>
          <w:tcPr>
            <w:tcW w:w="563" w:type="pct"/>
            <w:shd w:val="clear" w:color="auto" w:fill="auto"/>
          </w:tcPr>
          <w:p w:rsidR="00EE1CCE" w:rsidRPr="008F3D8D" w:rsidRDefault="00EE1CCE" w:rsidP="00A34E19">
            <w:pPr>
              <w:jc w:val="center"/>
              <w:rPr>
                <w:color w:val="00B050"/>
                <w:szCs w:val="22"/>
              </w:rPr>
            </w:pPr>
            <w:r w:rsidRPr="008F3D8D">
              <w:rPr>
                <w:color w:val="00B050"/>
                <w:szCs w:val="22"/>
              </w:rPr>
              <w:sym w:font="Wingdings" w:char="F06C"/>
            </w:r>
            <w:r w:rsidRPr="008F3D8D">
              <w:rPr>
                <w:color w:val="FF0000"/>
                <w:szCs w:val="22"/>
              </w:rPr>
              <w:sym w:font="Wingdings" w:char="F06C"/>
            </w:r>
            <w:r w:rsidRPr="008F3D8D">
              <w:rPr>
                <w:color w:val="FF0000"/>
                <w:szCs w:val="22"/>
              </w:rPr>
              <w:sym w:font="Wingdings" w:char="F06C"/>
            </w:r>
            <w:r w:rsidRPr="008F3D8D">
              <w:rPr>
                <w:color w:val="00B050"/>
                <w:szCs w:val="22"/>
              </w:rPr>
              <w:sym w:font="Wingdings" w:char="F06C"/>
            </w:r>
          </w:p>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222"/>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Las actividades de desarrollo de aplicaciones se ajustan a las normas relativas a los datos maestros y de referencia de la OMPI</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25</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FF0000"/>
                <w:szCs w:val="22"/>
              </w:rPr>
              <w:sym w:font="Wingdings" w:char="F06C"/>
            </w:r>
          </w:p>
        </w:tc>
      </w:tr>
      <w:tr w:rsidR="00EE1CCE" w:rsidRPr="008F3D8D" w:rsidTr="00F82C35">
        <w:trPr>
          <w:cantSplit/>
          <w:trHeight w:val="230"/>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clientes satisfechos con los servicios prestados por el servicio de asistencia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25</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51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Los proyectos de TIC de la OMPI se administran de conformidad con las Directrices para la gestión de proyectos y las Directrices de transición del servicio de la OMPI</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25</w:t>
            </w:r>
          </w:p>
        </w:tc>
        <w:tc>
          <w:tcPr>
            <w:tcW w:w="563" w:type="pct"/>
            <w:shd w:val="clear" w:color="auto" w:fill="auto"/>
          </w:tcPr>
          <w:p w:rsidR="00EE1CCE" w:rsidRPr="008F3D8D" w:rsidRDefault="00EE1CCE" w:rsidP="00A34E19">
            <w:pPr>
              <w:jc w:val="center"/>
            </w:pP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usuarios internos y externos satisfechos con los Servicios de Conferencias de la OMPI</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27</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18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Aplicación eficaz de la Política Lingüística de la OMPI</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27</w:t>
            </w:r>
          </w:p>
        </w:tc>
        <w:tc>
          <w:tcPr>
            <w:tcW w:w="563" w:type="pct"/>
            <w:shd w:val="clear" w:color="auto" w:fill="auto"/>
          </w:tcPr>
          <w:p w:rsidR="00EE1CCE" w:rsidRPr="008F3D8D" w:rsidRDefault="00EE1CCE" w:rsidP="00A34E19">
            <w:pPr>
              <w:jc w:val="center"/>
            </w:pP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22"/>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Disminución de los costos de impresión (por página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27</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FF000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Publicación a tiempo de los documentos para los comités y grupos de trabajo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27</w:t>
            </w:r>
          </w:p>
        </w:tc>
        <w:tc>
          <w:tcPr>
            <w:tcW w:w="563" w:type="pct"/>
            <w:shd w:val="clear" w:color="auto" w:fill="auto"/>
          </w:tcPr>
          <w:p w:rsidR="00EE1CCE" w:rsidRPr="008F3D8D" w:rsidRDefault="00EE1CCE" w:rsidP="00A34E19">
            <w:pPr>
              <w:jc w:val="center"/>
            </w:pPr>
            <w:r w:rsidRPr="008F3D8D">
              <w:rPr>
                <w:color w:val="FF0000"/>
                <w:szCs w:val="22"/>
              </w:rPr>
              <w:sym w:font="Wingdings" w:char="F06C"/>
            </w:r>
          </w:p>
        </w:tc>
      </w:tr>
      <w:tr w:rsidR="00EE1CCE" w:rsidRPr="008F3D8D" w:rsidTr="00F82C35">
        <w:trPr>
          <w:cantSplit/>
          <w:trHeight w:val="149"/>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Costo por palabra traducida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27</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141"/>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Definición y fortalecimiento de la gobernanza en materia de aseguramiento de la información</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28</w:t>
            </w:r>
            <w:r w:rsidRPr="008F3D8D">
              <w:rPr>
                <w:sz w:val="16"/>
                <w:szCs w:val="16"/>
                <w:lang w:bidi="th-TH"/>
              </w:rPr>
              <w:t xml:space="preserve"> </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miembros del personal consciente de sus responsabilidades con respecto a la seguridad de la información, las políticas de seguridad y las prácticas más extendidas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28</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FF0000"/>
                <w:szCs w:val="22"/>
              </w:rPr>
              <w:sym w:font="Wingdings" w:char="F06C"/>
            </w:r>
          </w:p>
        </w:tc>
      </w:tr>
      <w:tr w:rsidR="00EE1CCE" w:rsidRPr="008F3D8D" w:rsidTr="00F82C35">
        <w:trPr>
          <w:cantSplit/>
          <w:trHeight w:val="335"/>
        </w:trPr>
        <w:tc>
          <w:tcPr>
            <w:tcW w:w="1373"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IX.2  Funcionamiento sin contratiempos de la Secretaría, provista de un personal bien </w:t>
            </w:r>
            <w:r w:rsidRPr="008F3D8D">
              <w:rPr>
                <w:sz w:val="16"/>
                <w:szCs w:val="16"/>
                <w:lang w:val="es-ES_tradnl"/>
              </w:rPr>
              <w:lastRenderedPageBreak/>
              <w:t>dirigido, dotado de las competencias adecuadas, y capaz de conseguir resultados</w:t>
            </w: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lastRenderedPageBreak/>
              <w:t>Establecimiento de un nuevo marco institucional de reacción y recuperación y continuidad de las actividades y documentación conexa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335"/>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Informe financiero satisfactorio del auditor externo que confirma la conformidad de las operaciones contables con los convenios y tratados de la OMPI, el Reglamento y Reglamentación Financieros de la OMPI y las IPSAS, según proceda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239"/>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Fomento del desarrollo de la gestión por resultados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pPr>
            <w:r w:rsidRPr="008F3D8D">
              <w:rPr>
                <w:color w:val="0070C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BD10A5">
            <w:pPr>
              <w:rPr>
                <w:sz w:val="16"/>
                <w:szCs w:val="16"/>
              </w:rPr>
            </w:pPr>
            <w:r w:rsidRPr="008F3D8D">
              <w:rPr>
                <w:sz w:val="16"/>
                <w:szCs w:val="16"/>
                <w:lang w:val="es-ES_tradnl"/>
              </w:rPr>
              <w:t xml:space="preserve">Rendimiento del capital invertido en concordancia con los parámetros establecidos por </w:t>
            </w:r>
            <w:r w:rsidR="00BD10A5">
              <w:rPr>
                <w:sz w:val="16"/>
                <w:szCs w:val="16"/>
                <w:lang w:val="es-ES_tradnl"/>
              </w:rPr>
              <w:t>la Comisión</w:t>
            </w:r>
            <w:r w:rsidRPr="008F3D8D">
              <w:rPr>
                <w:sz w:val="16"/>
                <w:szCs w:val="16"/>
                <w:lang w:val="es-ES_tradnl"/>
              </w:rPr>
              <w:t xml:space="preserve"> Asesor</w:t>
            </w:r>
            <w:r w:rsidR="00BD10A5">
              <w:rPr>
                <w:sz w:val="16"/>
                <w:szCs w:val="16"/>
                <w:lang w:val="es-ES_tradnl"/>
              </w:rPr>
              <w:t>a</w:t>
            </w:r>
            <w:r w:rsidRPr="008F3D8D">
              <w:rPr>
                <w:sz w:val="16"/>
                <w:szCs w:val="16"/>
                <w:lang w:val="es-ES_tradnl"/>
              </w:rPr>
              <w:t xml:space="preserve"> </w:t>
            </w:r>
            <w:r w:rsidR="00BD10A5">
              <w:rPr>
                <w:sz w:val="16"/>
                <w:szCs w:val="16"/>
                <w:lang w:val="es-ES_tradnl"/>
              </w:rPr>
              <w:t>sobr</w:t>
            </w:r>
            <w:r w:rsidRPr="008F3D8D">
              <w:rPr>
                <w:sz w:val="16"/>
                <w:szCs w:val="16"/>
                <w:lang w:val="es-ES_tradnl"/>
              </w:rPr>
              <w:t>e Inversiones (CAI)</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18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Gestión eficaz de los gastos y las reservas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21"/>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Los pagos (incluidas las tasas correspondientes a los Sistemas de Madrid y de La Haya) se efectúan en el plazo estipulado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110"/>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lang w:val="es-ES_tradnl"/>
              </w:rPr>
            </w:pPr>
            <w:r w:rsidRPr="008F3D8D">
              <w:rPr>
                <w:sz w:val="16"/>
                <w:szCs w:val="16"/>
                <w:lang w:val="es-ES_tradnl"/>
              </w:rPr>
              <w:t>% de mujeres en cargos de categorías profesional y superior</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rPr>
                <w:color w:val="A6A6A6"/>
              </w:rPr>
            </w:pPr>
            <w:r w:rsidRPr="008F3D8D">
              <w:rPr>
                <w:color w:val="FF0000"/>
                <w:szCs w:val="22"/>
              </w:rPr>
              <w:sym w:font="Wingdings" w:char="F06C"/>
            </w: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p>
        </w:tc>
      </w:tr>
      <w:tr w:rsidR="00EE1CCE" w:rsidRPr="008F3D8D" w:rsidTr="00F82C35">
        <w:trPr>
          <w:cantSplit/>
          <w:trHeight w:val="102"/>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Duración del proceso de contratación</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miembros del personal cuyo desempeño se evalúa en función de objetivos y competencias específicos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días para:  i) notificar al funcionario decisiones relativas a peticiones de revisión o reclamaciones, ii) notificar al funcionario decisiones relativas a casos de refutación o faltas disciplinarias, y iii) ofrecer respuestas a consultas de asesoramiento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1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Diversidad geográfica – porcentaje de funcionarios por región</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pPr>
            <w:r w:rsidRPr="008F3D8D">
              <w:rPr>
                <w:color w:val="A6A6A6" w:themeColor="background1" w:themeShade="A6"/>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N.º de solicitudes recibidas por parte de Estados miembros no representados, como porcentaje del total</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1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Mayor consolidación de la planificación de los recursos humanos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pPr>
            <w:r w:rsidRPr="008F3D8D">
              <w:rPr>
                <w:color w:val="0070C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necesidades de formación satisfechas, de las cuales:  i) necesidades esenciales de formación colectiva y  ii) necesidades de formación individuales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23</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335"/>
        </w:trPr>
        <w:tc>
          <w:tcPr>
            <w:tcW w:w="1373"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IX.3  Entorno de trabajo propicio basado en un marco regulador eficaz y medios adecuados para atender los temas de interés del personal</w:t>
            </w: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miembros del personal de la OMPI que tienen conocimiento de los servicios disponibles en la Oficina del Mediador y del mecanismo informal de solución de conflictos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3" w:type="pct"/>
            <w:shd w:val="clear" w:color="auto" w:fill="auto"/>
          </w:tcPr>
          <w:p w:rsidR="00EE1CCE" w:rsidRPr="008F3D8D" w:rsidRDefault="00EE1CCE" w:rsidP="00A34E19">
            <w:pPr>
              <w:jc w:val="center"/>
            </w:pPr>
            <w:r w:rsidRPr="008F3D8D">
              <w:rPr>
                <w:color w:val="A6A6A6" w:themeColor="background1" w:themeShade="A6"/>
                <w:szCs w:val="22"/>
              </w:rPr>
              <w:sym w:font="Wingdings" w:char="F06C"/>
            </w:r>
          </w:p>
        </w:tc>
      </w:tr>
      <w:tr w:rsidR="00EE1CCE" w:rsidRPr="008F3D8D" w:rsidTr="00F82C35">
        <w:trPr>
          <w:cantSplit/>
          <w:trHeight w:val="335"/>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miembros del personal de la OMPI que tienen conocimiento de los principios y políticas de la OMPI en materia de ética</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21</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El Reglamento y la Reglamentación Financieros y las órdenes de servicio pertinentes están actualizados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Fomento del desarrollo de la gestión de riesgos y controles internos, de conformidad con la Hoja de ruta de control interno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40"/>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Seguimiento eficaz de las recomendaciones en materia de supervisión</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rPr>
              <w:t>Programa 22</w:t>
            </w:r>
          </w:p>
        </w:tc>
        <w:tc>
          <w:tcPr>
            <w:tcW w:w="563" w:type="pct"/>
            <w:shd w:val="clear" w:color="auto" w:fill="auto"/>
          </w:tcPr>
          <w:p w:rsidR="00EE1CCE" w:rsidRPr="008F3D8D" w:rsidRDefault="00EE1CCE" w:rsidP="00A34E19">
            <w:pPr>
              <w:jc w:val="cente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335"/>
        </w:trPr>
        <w:tc>
          <w:tcPr>
            <w:tcW w:w="1373"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xml:space="preserve">IX.4  Una Organización responsable con el medio ambiente y la sociedad en la que se garantiza la seguridad </w:t>
            </w:r>
            <w:r w:rsidRPr="008F3D8D">
              <w:rPr>
                <w:sz w:val="16"/>
                <w:szCs w:val="16"/>
                <w:lang w:val="es-ES_tradnl"/>
              </w:rPr>
              <w:lastRenderedPageBreak/>
              <w:t>del personal de la OMPI, los delegados, los visitantes, la información y los activos físicos</w:t>
            </w: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lastRenderedPageBreak/>
              <w:t>Reducción de las repercusiones de las actividades de la OMPI sobre el medio ambiente</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r w:rsidRPr="008F3D8D">
              <w:rPr>
                <w:color w:val="00B050"/>
                <w:szCs w:val="22"/>
              </w:rPr>
              <w:sym w:font="Wingdings" w:char="F06C"/>
            </w:r>
            <w:r w:rsidRPr="008F3D8D">
              <w:rPr>
                <w:color w:val="00B050"/>
                <w:szCs w:val="22"/>
              </w:rPr>
              <w:sym w:font="Wingdings" w:char="F06C"/>
            </w:r>
            <w:r w:rsidRPr="008F3D8D">
              <w:rPr>
                <w:color w:val="FF0000"/>
                <w:szCs w:val="22"/>
              </w:rPr>
              <w:sym w:font="Wingdings" w:char="F06C"/>
            </w:r>
            <w:r w:rsidRPr="008F3D8D">
              <w:rPr>
                <w:color w:val="FF0000"/>
                <w:szCs w:val="22"/>
              </w:rPr>
              <w:sym w:font="Wingdings" w:char="F06C"/>
            </w:r>
          </w:p>
        </w:tc>
      </w:tr>
      <w:tr w:rsidR="00EE1CCE" w:rsidRPr="008F3D8D" w:rsidTr="00F82C35">
        <w:trPr>
          <w:cantSplit/>
          <w:trHeight w:val="20"/>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Mejora de la accesibilidad al recinto de la OMPI</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24</w:t>
            </w:r>
          </w:p>
        </w:tc>
        <w:tc>
          <w:tcPr>
            <w:tcW w:w="563" w:type="pct"/>
            <w:shd w:val="clear" w:color="auto" w:fill="auto"/>
          </w:tcPr>
          <w:p w:rsidR="00EE1CCE" w:rsidRPr="008F3D8D" w:rsidRDefault="00EE1CCE" w:rsidP="00A34E19">
            <w:pPr>
              <w:jc w:val="center"/>
            </w:pPr>
            <w:r w:rsidRPr="008F3D8D">
              <w:rPr>
                <w:color w:val="FF0000"/>
                <w:szCs w:val="22"/>
              </w:rPr>
              <w:sym w:font="Wingdings" w:char="F06C"/>
            </w:r>
            <w:r w:rsidRPr="008F3D8D">
              <w:rPr>
                <w:color w:val="FF0000"/>
                <w:szCs w:val="22"/>
              </w:rPr>
              <w:sym w:font="Wingdings" w:char="F06C"/>
            </w:r>
          </w:p>
        </w:tc>
      </w:tr>
      <w:tr w:rsidR="00EE1CCE" w:rsidRPr="008F3D8D" w:rsidTr="00F82C35">
        <w:trPr>
          <w:cantSplit/>
          <w:trHeight w:val="20"/>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Continuidad en el funcionamiento de los sistemas vitales de TIC</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25</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riesgos de la información, incluidos los riesgos con respecto a terceros, presentado y gestionado de manera coherente en el marco de la tolerancia de la OMPI a los riesgos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28</w:t>
            </w:r>
          </w:p>
        </w:tc>
        <w:tc>
          <w:tcPr>
            <w:tcW w:w="563" w:type="pct"/>
            <w:shd w:val="clear" w:color="auto" w:fill="auto"/>
          </w:tcPr>
          <w:p w:rsidR="00EE1CCE" w:rsidRPr="008F3D8D" w:rsidRDefault="00EE1CCE" w:rsidP="00A34E19">
            <w:pPr>
              <w:jc w:val="center"/>
            </w:pP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Identificación dinámica y subsanación puntual de las vulnerabilidades en el marco de los niveles de servicio acordados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28</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16"/>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Incremento de la observancia de las políticas y las normas de aseguramiento de la información</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28</w:t>
            </w:r>
          </w:p>
        </w:tc>
        <w:tc>
          <w:tcPr>
            <w:tcW w:w="563" w:type="pct"/>
            <w:shd w:val="clear" w:color="auto" w:fill="auto"/>
          </w:tcPr>
          <w:p w:rsidR="00EE1CCE" w:rsidRPr="008F3D8D" w:rsidRDefault="00EE1CCE" w:rsidP="00A34E19">
            <w:pPr>
              <w:jc w:val="center"/>
              <w:rPr>
                <w:color w:val="0070C0"/>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Amplia adopción de la política de clasificación y gestión de la información para asegurar la confidencialidad de la información</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lang w:bidi="th-TH"/>
              </w:rPr>
            </w:pPr>
            <w:r w:rsidRPr="008F3D8D">
              <w:rPr>
                <w:sz w:val="16"/>
                <w:szCs w:val="16"/>
                <w:lang w:val="es-ES_tradnl" w:bidi="th-TH"/>
              </w:rPr>
              <w:t>Programa 28</w:t>
            </w:r>
          </w:p>
        </w:tc>
        <w:tc>
          <w:tcPr>
            <w:tcW w:w="563" w:type="pct"/>
            <w:shd w:val="clear" w:color="auto" w:fill="auto"/>
          </w:tcPr>
          <w:p w:rsidR="00EE1CCE" w:rsidRPr="008F3D8D" w:rsidRDefault="00EE1CCE" w:rsidP="00A34E19">
            <w:pPr>
              <w:jc w:val="center"/>
              <w:rPr>
                <w:color w:val="A6A6A6" w:themeColor="background1" w:themeShade="A6"/>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Se reduce la necesidad de duplicación de las capacidades técnicas de seguridad de la información mediante la aplicación de modelos reutilizables de arquitectura de la seguridad</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28</w:t>
            </w:r>
          </w:p>
        </w:tc>
        <w:tc>
          <w:tcPr>
            <w:tcW w:w="563" w:type="pct"/>
            <w:shd w:val="clear" w:color="auto" w:fill="auto"/>
          </w:tcPr>
          <w:p w:rsidR="00EE1CCE" w:rsidRPr="008F3D8D" w:rsidRDefault="00EE1CCE" w:rsidP="00A34E19">
            <w:pPr>
              <w:jc w:val="center"/>
              <w:rPr>
                <w:color w:val="008000"/>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Mayor capacidad para detectar amenazas contra la seguridad de la información y dar respuesta a las mismas con mucha mayor rapidez, garantizando la mínima perturbación de las operaciones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28</w:t>
            </w:r>
          </w:p>
        </w:tc>
        <w:tc>
          <w:tcPr>
            <w:tcW w:w="563" w:type="pct"/>
            <w:shd w:val="clear" w:color="auto" w:fill="auto"/>
          </w:tcPr>
          <w:p w:rsidR="00EE1CCE" w:rsidRPr="008F3D8D" w:rsidRDefault="00EE1CCE" w:rsidP="00A34E19">
            <w:pPr>
              <w:jc w:val="center"/>
              <w:rPr>
                <w:color w:val="008000"/>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 de miembros del personal de la OMPI, delegados y visitantes que comunican lesiones o incidentes relacionados con el trabajo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28</w:t>
            </w:r>
          </w:p>
        </w:tc>
        <w:tc>
          <w:tcPr>
            <w:tcW w:w="563" w:type="pct"/>
            <w:shd w:val="clear" w:color="auto" w:fill="auto"/>
          </w:tcPr>
          <w:p w:rsidR="00EE1CCE" w:rsidRPr="008F3D8D" w:rsidRDefault="00EE1CCE" w:rsidP="00A34E19">
            <w:pPr>
              <w:jc w:val="center"/>
              <w:rPr>
                <w:color w:val="008000"/>
                <w:szCs w:val="22"/>
              </w:rPr>
            </w:pP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rPr>
              <w:t>% de conferencias y eventos cubiertos por seguridad, en Ginebra y en otros sitios</w:t>
            </w:r>
            <w:r w:rsidRPr="008F3D8D">
              <w:rPr>
                <w:rStyle w:val="FootnoteReference"/>
                <w:sz w:val="16"/>
                <w:szCs w:val="16"/>
              </w:rPr>
              <w:footnoteReference w:id="85"/>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28</w:t>
            </w:r>
          </w:p>
        </w:tc>
        <w:tc>
          <w:tcPr>
            <w:tcW w:w="563" w:type="pct"/>
            <w:shd w:val="clear" w:color="auto" w:fill="auto"/>
          </w:tcPr>
          <w:p w:rsidR="00EE1CCE" w:rsidRPr="008F3D8D" w:rsidRDefault="00EE1CCE" w:rsidP="00A34E19">
            <w:pPr>
              <w:jc w:val="center"/>
              <w:rPr>
                <w:color w:val="008000"/>
                <w:szCs w:val="22"/>
              </w:rPr>
            </w:pPr>
            <w:r w:rsidRPr="008F3D8D">
              <w:rPr>
                <w:color w:val="00B050"/>
                <w:szCs w:val="22"/>
              </w:rPr>
              <w:sym w:font="Wingdings" w:char="F06C"/>
            </w:r>
          </w:p>
        </w:tc>
      </w:tr>
      <w:tr w:rsidR="00EE1CCE" w:rsidRPr="008F3D8D" w:rsidTr="00F82C35">
        <w:trPr>
          <w:cantSplit/>
          <w:trHeight w:val="335"/>
        </w:trPr>
        <w:tc>
          <w:tcPr>
            <w:tcW w:w="1373" w:type="pct"/>
            <w:vMerge w:val="restar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IX.8  Mejor rendición de cuentas, aprendizaje institucional, uso óptimo de los recursos, administración, control interno y buen gobierno gracias a la ayuda que proporciona una supervisión eficaz e independiente</w:t>
            </w: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INDEPENDENCIA - No interferencia y grado de independencia percibido por las principales partes interesadas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26</w:t>
            </w:r>
          </w:p>
        </w:tc>
        <w:tc>
          <w:tcPr>
            <w:tcW w:w="563" w:type="pct"/>
            <w:shd w:val="clear" w:color="auto" w:fill="auto"/>
          </w:tcPr>
          <w:p w:rsidR="00EE1CCE" w:rsidRPr="008F3D8D" w:rsidRDefault="00EE1CCE" w:rsidP="00A34E19">
            <w:pPr>
              <w:jc w:val="center"/>
              <w:rPr>
                <w:color w:val="008000"/>
                <w:szCs w:val="22"/>
              </w:rPr>
            </w:pPr>
            <w:r w:rsidRPr="008F3D8D">
              <w:rPr>
                <w:color w:val="00B050"/>
                <w:szCs w:val="22"/>
              </w:rPr>
              <w:sym w:font="Wingdings" w:char="F06C"/>
            </w:r>
          </w:p>
        </w:tc>
      </w:tr>
      <w:tr w:rsidR="00EE1CCE" w:rsidRPr="008F3D8D" w:rsidTr="00F82C35">
        <w:trPr>
          <w:cantSplit/>
          <w:trHeight w:val="335"/>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EFECTIVIDAD - el porcentaje de la labor que abarca ámbitos de importancia y de alto riesgo de conformidad con la estrategia de la Organización</w:t>
            </w:r>
            <w:r w:rsidRPr="008F3D8D">
              <w:rPr>
                <w:sz w:val="16"/>
                <w:szCs w:val="16"/>
              </w:rPr>
              <w:t xml:space="preserve"> </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26</w:t>
            </w:r>
          </w:p>
        </w:tc>
        <w:tc>
          <w:tcPr>
            <w:tcW w:w="563" w:type="pct"/>
            <w:shd w:val="clear" w:color="auto" w:fill="auto"/>
          </w:tcPr>
          <w:p w:rsidR="00EE1CCE" w:rsidRPr="008F3D8D" w:rsidRDefault="00EE1CCE" w:rsidP="00A34E19">
            <w:pPr>
              <w:jc w:val="center"/>
              <w:rPr>
                <w:color w:val="008000"/>
                <w:szCs w:val="22"/>
              </w:rPr>
            </w:pPr>
            <w:r w:rsidRPr="008F3D8D">
              <w:rPr>
                <w:color w:val="00B050"/>
                <w:szCs w:val="22"/>
              </w:rPr>
              <w:sym w:font="Wingdings" w:char="F06C"/>
            </w:r>
          </w:p>
        </w:tc>
      </w:tr>
      <w:tr w:rsidR="00EE1CCE" w:rsidRPr="008F3D8D" w:rsidTr="00F82C35">
        <w:trPr>
          <w:cantSplit/>
          <w:trHeight w:val="335"/>
        </w:trPr>
        <w:tc>
          <w:tcPr>
            <w:tcW w:w="1373" w:type="pct"/>
            <w:vMerge/>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EFICACIA – los informes de la DSI se elaboran oportunamente y se ajustan a las recomendaciones SMART (específicas, mensurables, realizables, pertinentes y sujetas a plazo)</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26</w:t>
            </w:r>
          </w:p>
        </w:tc>
        <w:tc>
          <w:tcPr>
            <w:tcW w:w="563" w:type="pct"/>
            <w:shd w:val="clear" w:color="auto" w:fill="auto"/>
          </w:tcPr>
          <w:p w:rsidR="00EE1CCE" w:rsidRPr="008F3D8D" w:rsidRDefault="00EE1CCE" w:rsidP="00A34E19">
            <w:pPr>
              <w:jc w:val="center"/>
              <w:rPr>
                <w:color w:val="008000"/>
                <w:szCs w:val="22"/>
              </w:rPr>
            </w:pPr>
            <w:r w:rsidRPr="008F3D8D">
              <w:rPr>
                <w:color w:val="FF0000"/>
                <w:szCs w:val="22"/>
              </w:rPr>
              <w:sym w:font="Wingdings" w:char="F06C"/>
            </w:r>
            <w:r w:rsidRPr="008F3D8D">
              <w:rPr>
                <w:color w:val="FF0000"/>
                <w:szCs w:val="22"/>
              </w:rPr>
              <w:sym w:font="Wingdings" w:char="F06C"/>
            </w: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APRENDIZAJE INSTITUCIONAL - Adopción de las enseñanzas y recomendaciones extraídas de los procesos de supervisión</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26</w:t>
            </w:r>
          </w:p>
        </w:tc>
        <w:tc>
          <w:tcPr>
            <w:tcW w:w="563" w:type="pct"/>
            <w:shd w:val="clear" w:color="auto" w:fill="auto"/>
          </w:tcPr>
          <w:p w:rsidR="00EE1CCE" w:rsidRPr="008F3D8D" w:rsidRDefault="00EE1CCE" w:rsidP="00A34E19">
            <w:pPr>
              <w:jc w:val="center"/>
              <w:rPr>
                <w:color w:val="00B050"/>
                <w:szCs w:val="22"/>
              </w:rPr>
            </w:pPr>
            <w:r w:rsidRPr="008F3D8D">
              <w:rPr>
                <w:color w:val="00B050"/>
                <w:szCs w:val="22"/>
              </w:rPr>
              <w:sym w:font="Wingdings" w:char="F06C"/>
            </w:r>
            <w:r w:rsidRPr="008F3D8D">
              <w:rPr>
                <w:color w:val="00B050"/>
                <w:szCs w:val="22"/>
              </w:rPr>
              <w:sym w:font="Wingdings" w:char="F06C"/>
            </w:r>
          </w:p>
        </w:tc>
      </w:tr>
      <w:tr w:rsidR="00EE1CCE" w:rsidRPr="008F3D8D" w:rsidTr="00F82C35">
        <w:trPr>
          <w:cantSplit/>
          <w:trHeight w:val="335"/>
        </w:trPr>
        <w:tc>
          <w:tcPr>
            <w:tcW w:w="1373" w:type="pct"/>
            <w:shd w:val="clear" w:color="auto" w:fill="auto"/>
            <w:tcMar>
              <w:top w:w="113" w:type="dxa"/>
              <w:bottom w:w="85" w:type="dxa"/>
            </w:tcMar>
          </w:tcPr>
          <w:p w:rsidR="00EE1CCE" w:rsidRPr="008F3D8D" w:rsidRDefault="00EE1CCE" w:rsidP="00A34E19">
            <w:pPr>
              <w:rPr>
                <w:sz w:val="16"/>
                <w:szCs w:val="16"/>
              </w:rPr>
            </w:pPr>
          </w:p>
        </w:tc>
        <w:tc>
          <w:tcPr>
            <w:tcW w:w="2211" w:type="pct"/>
            <w:shd w:val="clear" w:color="auto" w:fill="auto"/>
            <w:tcMar>
              <w:top w:w="113" w:type="dxa"/>
              <w:bottom w:w="85" w:type="dxa"/>
            </w:tcMar>
          </w:tcPr>
          <w:p w:rsidR="00EE1CCE" w:rsidRPr="008F3D8D" w:rsidRDefault="00EE1CCE" w:rsidP="00A34E19">
            <w:pPr>
              <w:rPr>
                <w:sz w:val="16"/>
                <w:szCs w:val="16"/>
              </w:rPr>
            </w:pPr>
            <w:r w:rsidRPr="008F3D8D">
              <w:rPr>
                <w:sz w:val="16"/>
                <w:szCs w:val="16"/>
                <w:lang w:val="es-ES_tradnl"/>
              </w:rPr>
              <w:t>PERTINENCIA, VALOR AÑADIDO Y ADMINISTRACIÓN - Ahorros o mejoras tangibles en los procedimientos y sistemas operacionales</w:t>
            </w:r>
          </w:p>
        </w:tc>
        <w:tc>
          <w:tcPr>
            <w:tcW w:w="853" w:type="pct"/>
            <w:shd w:val="clear" w:color="auto" w:fill="FFFFFF"/>
            <w:tcMar>
              <w:top w:w="113" w:type="dxa"/>
              <w:bottom w:w="85" w:type="dxa"/>
            </w:tcMar>
          </w:tcPr>
          <w:p w:rsidR="00EE1CCE" w:rsidRPr="008F3D8D" w:rsidRDefault="00EE1CCE" w:rsidP="00A34E19">
            <w:pPr>
              <w:spacing w:before="40"/>
              <w:jc w:val="center"/>
              <w:rPr>
                <w:sz w:val="16"/>
                <w:szCs w:val="16"/>
              </w:rPr>
            </w:pPr>
            <w:r w:rsidRPr="008F3D8D">
              <w:rPr>
                <w:sz w:val="16"/>
                <w:szCs w:val="16"/>
                <w:lang w:val="es-ES_tradnl"/>
              </w:rPr>
              <w:t>Programa 26</w:t>
            </w:r>
          </w:p>
        </w:tc>
        <w:tc>
          <w:tcPr>
            <w:tcW w:w="563" w:type="pct"/>
            <w:shd w:val="clear" w:color="auto" w:fill="auto"/>
          </w:tcPr>
          <w:p w:rsidR="00EE1CCE" w:rsidRPr="008F3D8D" w:rsidRDefault="00EE1CCE" w:rsidP="00A34E19">
            <w:pPr>
              <w:jc w:val="center"/>
              <w:rPr>
                <w:color w:val="008000"/>
                <w:szCs w:val="22"/>
              </w:rPr>
            </w:pPr>
            <w:r w:rsidRPr="008F3D8D">
              <w:rPr>
                <w:color w:val="00B050"/>
                <w:szCs w:val="22"/>
              </w:rPr>
              <w:sym w:font="Wingdings" w:char="F06C"/>
            </w:r>
            <w:r w:rsidRPr="008F3D8D">
              <w:rPr>
                <w:color w:val="FF0000"/>
                <w:szCs w:val="22"/>
              </w:rPr>
              <w:sym w:font="Wingdings" w:char="F06C"/>
            </w:r>
          </w:p>
        </w:tc>
      </w:tr>
      <w:bookmarkEnd w:id="72"/>
      <w:bookmarkEnd w:id="73"/>
    </w:tbl>
    <w:p w:rsidR="00EE1CCE" w:rsidRPr="008F3D8D" w:rsidRDefault="00EE1CCE" w:rsidP="00EE1CCE">
      <w:pPr>
        <w:jc w:val="both"/>
        <w:rPr>
          <w:color w:val="000000"/>
          <w:sz w:val="20"/>
        </w:rPr>
      </w:pPr>
    </w:p>
    <w:p w:rsidR="006C527B" w:rsidRDefault="006C527B">
      <w:pPr>
        <w:rPr>
          <w:b/>
          <w:sz w:val="20"/>
        </w:rPr>
      </w:pPr>
      <w:r>
        <w:rPr>
          <w:b/>
          <w:sz w:val="20"/>
        </w:rPr>
        <w:br w:type="page"/>
      </w:r>
    </w:p>
    <w:p w:rsidR="002E3AE7" w:rsidRPr="003175EE" w:rsidRDefault="002E3AE7" w:rsidP="003E0A02">
      <w:pPr>
        <w:pStyle w:val="Heading2"/>
        <w:tabs>
          <w:tab w:val="left" w:pos="2268"/>
        </w:tabs>
        <w:rPr>
          <w:b/>
        </w:rPr>
      </w:pPr>
      <w:bookmarkStart w:id="74" w:name="_Toc482711273"/>
      <w:r w:rsidRPr="003175EE">
        <w:rPr>
          <w:b/>
          <w:lang w:val="es-ES_tradnl"/>
        </w:rPr>
        <w:lastRenderedPageBreak/>
        <w:t>PROGRAMA 21</w:t>
      </w:r>
      <w:r w:rsidRPr="003175EE">
        <w:rPr>
          <w:lang w:val="es-ES_tradnl"/>
        </w:rPr>
        <w:tab/>
      </w:r>
      <w:r w:rsidRPr="003175EE">
        <w:rPr>
          <w:b/>
          <w:lang w:val="es-ES_tradnl"/>
        </w:rPr>
        <w:t>GESTIÓN EJECUTIVA</w:t>
      </w:r>
      <w:bookmarkEnd w:id="74"/>
    </w:p>
    <w:p w:rsidR="002E3AE7" w:rsidRPr="003175EE" w:rsidRDefault="002E3AE7" w:rsidP="003E0A02"/>
    <w:p w:rsidR="002E3AE7" w:rsidRPr="003175EE" w:rsidRDefault="002E3AE7" w:rsidP="003E0A02">
      <w:pPr>
        <w:tabs>
          <w:tab w:val="left" w:pos="2268"/>
        </w:tabs>
      </w:pPr>
      <w:r w:rsidRPr="003175EE">
        <w:rPr>
          <w:b/>
          <w:lang w:val="es-ES_tradnl"/>
        </w:rPr>
        <w:t>Director de programa</w:t>
      </w:r>
      <w:r w:rsidRPr="003175EE">
        <w:rPr>
          <w:lang w:val="es-ES_tradnl"/>
        </w:rPr>
        <w:tab/>
      </w:r>
      <w:r w:rsidRPr="003175EE">
        <w:rPr>
          <w:b/>
          <w:lang w:val="es-ES_tradnl"/>
        </w:rPr>
        <w:t>Director general</w:t>
      </w:r>
    </w:p>
    <w:p w:rsidR="002E3AE7" w:rsidRPr="003175EE" w:rsidRDefault="002E3AE7" w:rsidP="003E0A02">
      <w:pPr>
        <w:jc w:val="center"/>
      </w:pPr>
      <w:r w:rsidRPr="003175EE">
        <w:rPr>
          <w:noProof/>
          <w:lang w:val="en-US" w:eastAsia="en-US"/>
        </w:rPr>
        <w:drawing>
          <wp:inline distT="0" distB="0" distL="0" distR="0" wp14:anchorId="66DF3DD4" wp14:editId="1D53E814">
            <wp:extent cx="4831307" cy="2497186"/>
            <wp:effectExtent l="0" t="0" r="7620" b="0"/>
            <wp:docPr id="112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831210" cy="2497136"/>
                    </a:xfrm>
                    <a:prstGeom prst="rect">
                      <a:avLst/>
                    </a:prstGeom>
                    <a:noFill/>
                    <a:ln>
                      <a:noFill/>
                    </a:ln>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80"/>
        <w:gridCol w:w="2610"/>
        <w:gridCol w:w="1288"/>
        <w:gridCol w:w="2412"/>
        <w:gridCol w:w="925"/>
      </w:tblGrid>
      <w:tr w:rsidR="002E3AE7" w:rsidRPr="003175EE" w:rsidTr="003E0A02">
        <w:trPr>
          <w:trHeight w:val="565"/>
        </w:trPr>
        <w:tc>
          <w:tcPr>
            <w:tcW w:w="5000" w:type="pct"/>
            <w:gridSpan w:val="5"/>
            <w:shd w:val="clear" w:color="auto" w:fill="C6D9F1" w:themeFill="text2" w:themeFillTint="33"/>
            <w:tcMar>
              <w:left w:w="58" w:type="dxa"/>
              <w:right w:w="58" w:type="dxa"/>
            </w:tcMar>
            <w:vAlign w:val="center"/>
          </w:tcPr>
          <w:p w:rsidR="002E3AE7" w:rsidRPr="003175EE" w:rsidRDefault="002E3AE7" w:rsidP="003E0A02">
            <w:pPr>
              <w:widowControl w:val="0"/>
              <w:tabs>
                <w:tab w:val="left" w:pos="1452"/>
              </w:tabs>
              <w:ind w:left="1701" w:hanging="1701"/>
              <w:rPr>
                <w:bCs/>
                <w:sz w:val="16"/>
                <w:szCs w:val="16"/>
              </w:rPr>
            </w:pPr>
            <w:r w:rsidRPr="003175EE">
              <w:rPr>
                <w:b/>
                <w:bCs/>
                <w:sz w:val="16"/>
                <w:szCs w:val="16"/>
              </w:rPr>
              <w:t>Resultado previsto:</w:t>
            </w:r>
            <w:r w:rsidRPr="003175EE">
              <w:rPr>
                <w:b/>
                <w:bCs/>
                <w:sz w:val="16"/>
                <w:szCs w:val="16"/>
              </w:rPr>
              <w:tab/>
            </w:r>
            <w:r w:rsidRPr="003175EE">
              <w:rPr>
                <w:bCs/>
                <w:sz w:val="16"/>
                <w:szCs w:val="16"/>
                <w:lang w:val="es-ES_tradnl"/>
              </w:rPr>
              <w:t>IV.2  Mejora del acceso y uso de información de P.I. por parte de instituciones de P.I. y el público para fomentar la innovación y la creatividad</w:t>
            </w:r>
          </w:p>
        </w:tc>
      </w:tr>
      <w:tr w:rsidR="002E3AE7" w:rsidRPr="003175EE" w:rsidTr="003E0A02">
        <w:tc>
          <w:tcPr>
            <w:tcW w:w="1074"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Indicadores de rendimiento</w:t>
            </w:r>
          </w:p>
        </w:tc>
        <w:tc>
          <w:tcPr>
            <w:tcW w:w="1416"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Referencia de base</w:t>
            </w:r>
          </w:p>
        </w:tc>
        <w:tc>
          <w:tcPr>
            <w:tcW w:w="699" w:type="pct"/>
            <w:shd w:val="clear" w:color="auto" w:fill="auto"/>
            <w:tcMar>
              <w:top w:w="110" w:type="dxa"/>
              <w:left w:w="58" w:type="dxa"/>
              <w:right w:w="58" w:type="dxa"/>
            </w:tcMar>
            <w:vAlign w:val="center"/>
          </w:tcPr>
          <w:p w:rsidR="002E3AE7" w:rsidRPr="003175EE" w:rsidRDefault="002E3AE7" w:rsidP="003E0A02">
            <w:pPr>
              <w:widowControl w:val="0"/>
              <w:tabs>
                <w:tab w:val="left" w:pos="290"/>
              </w:tabs>
              <w:rPr>
                <w:b/>
                <w:bCs/>
                <w:sz w:val="16"/>
                <w:szCs w:val="16"/>
              </w:rPr>
            </w:pPr>
            <w:r w:rsidRPr="003175EE">
              <w:rPr>
                <w:b/>
                <w:bCs/>
                <w:sz w:val="16"/>
                <w:szCs w:val="16"/>
                <w:lang w:val="es-ES_tradnl"/>
              </w:rPr>
              <w:t>Objetivos</w:t>
            </w:r>
          </w:p>
        </w:tc>
        <w:tc>
          <w:tcPr>
            <w:tcW w:w="1309" w:type="pct"/>
            <w:shd w:val="clear" w:color="auto" w:fill="FFFFFF"/>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Datos sobre el rendimiento</w:t>
            </w:r>
          </w:p>
        </w:tc>
        <w:tc>
          <w:tcPr>
            <w:tcW w:w="501" w:type="pct"/>
            <w:shd w:val="clear" w:color="auto" w:fill="auto"/>
            <w:tcMar>
              <w:top w:w="110" w:type="dxa"/>
              <w:left w:w="58" w:type="dxa"/>
              <w:right w:w="58" w:type="dxa"/>
            </w:tcMar>
            <w:vAlign w:val="center"/>
          </w:tcPr>
          <w:p w:rsidR="002E3AE7" w:rsidRPr="003175EE" w:rsidRDefault="002E3AE7" w:rsidP="003E0A02">
            <w:pPr>
              <w:widowControl w:val="0"/>
              <w:jc w:val="center"/>
              <w:rPr>
                <w:b/>
                <w:bCs/>
                <w:sz w:val="16"/>
                <w:szCs w:val="16"/>
              </w:rPr>
            </w:pPr>
            <w:r w:rsidRPr="003175EE">
              <w:rPr>
                <w:b/>
                <w:bCs/>
                <w:sz w:val="16"/>
                <w:szCs w:val="16"/>
                <w:lang w:val="es-ES_tradnl"/>
              </w:rPr>
              <w:t>Clave de colores</w:t>
            </w:r>
          </w:p>
        </w:tc>
      </w:tr>
      <w:tr w:rsidR="002E3AE7" w:rsidRPr="003175EE" w:rsidTr="003E0A02">
        <w:trPr>
          <w:trHeight w:val="1946"/>
        </w:trPr>
        <w:tc>
          <w:tcPr>
            <w:tcW w:w="1074" w:type="pct"/>
            <w:shd w:val="clear" w:color="auto" w:fill="auto"/>
            <w:tcMar>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Aumento del número de usuarios de WIPO Lex</w:t>
            </w:r>
            <w:r w:rsidRPr="003175EE">
              <w:rPr>
                <w:sz w:val="16"/>
                <w:szCs w:val="16"/>
              </w:rPr>
              <w:t xml:space="preserve"> </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widowControl w:val="0"/>
              <w:rPr>
                <w:i/>
                <w:color w:val="002060"/>
                <w:sz w:val="16"/>
                <w:szCs w:val="16"/>
              </w:rPr>
            </w:pPr>
            <w:r w:rsidRPr="00CE4FE2">
              <w:rPr>
                <w:color w:val="002060"/>
                <w:sz w:val="16"/>
                <w:szCs w:val="16"/>
              </w:rPr>
              <w:t>3.350.643 (2014/15)</w:t>
            </w:r>
          </w:p>
          <w:p w:rsidR="002E3AE7" w:rsidRPr="00CE4FE2" w:rsidRDefault="002E3AE7" w:rsidP="00F82C35">
            <w:pPr>
              <w:pStyle w:val="ListParagraph"/>
              <w:widowControl w:val="0"/>
              <w:numPr>
                <w:ilvl w:val="0"/>
                <w:numId w:val="84"/>
              </w:numPr>
              <w:ind w:left="160" w:hanging="160"/>
              <w:rPr>
                <w:color w:val="002060"/>
                <w:sz w:val="16"/>
                <w:szCs w:val="16"/>
                <w:lang w:val="es-ES"/>
              </w:rPr>
            </w:pPr>
            <w:r w:rsidRPr="00CE4FE2">
              <w:rPr>
                <w:color w:val="002060"/>
                <w:sz w:val="16"/>
                <w:szCs w:val="16"/>
                <w:lang w:val="es-ES"/>
              </w:rPr>
              <w:t>1.844.135 (2015)</w:t>
            </w:r>
          </w:p>
          <w:p w:rsidR="002E3AE7" w:rsidRPr="00CE4FE2" w:rsidRDefault="002E3AE7" w:rsidP="00F82C35">
            <w:pPr>
              <w:pStyle w:val="ListParagraph"/>
              <w:widowControl w:val="0"/>
              <w:numPr>
                <w:ilvl w:val="0"/>
                <w:numId w:val="84"/>
              </w:numPr>
              <w:ind w:left="160" w:hanging="160"/>
              <w:rPr>
                <w:color w:val="002060"/>
                <w:sz w:val="16"/>
                <w:szCs w:val="16"/>
                <w:lang w:val="es-ES"/>
              </w:rPr>
            </w:pPr>
            <w:r w:rsidRPr="00CE4FE2">
              <w:rPr>
                <w:rFonts w:cs="Arial"/>
                <w:color w:val="002060"/>
                <w:sz w:val="16"/>
                <w:szCs w:val="16"/>
                <w:lang w:val="es-ES"/>
              </w:rPr>
              <w:t>1.506.508 (2014)</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widowControl w:val="0"/>
              <w:ind w:left="41" w:hanging="41"/>
              <w:rPr>
                <w:sz w:val="16"/>
                <w:szCs w:val="16"/>
              </w:rPr>
            </w:pPr>
            <w:r w:rsidRPr="003175EE">
              <w:rPr>
                <w:sz w:val="16"/>
                <w:szCs w:val="16"/>
              </w:rPr>
              <w:t>2.236.486 (2012/13)</w:t>
            </w:r>
          </w:p>
          <w:p w:rsidR="002E3AE7" w:rsidRPr="003175EE" w:rsidRDefault="002E3AE7" w:rsidP="003E0A02">
            <w:pPr>
              <w:widowControl w:val="0"/>
              <w:rPr>
                <w:sz w:val="16"/>
                <w:szCs w:val="16"/>
              </w:rPr>
            </w:pPr>
            <w:r w:rsidRPr="003175EE">
              <w:rPr>
                <w:sz w:val="16"/>
                <w:szCs w:val="16"/>
              </w:rPr>
              <w:t>1.506.508 (2014)</w:t>
            </w:r>
          </w:p>
        </w:tc>
        <w:tc>
          <w:tcPr>
            <w:tcW w:w="699" w:type="pct"/>
            <w:shd w:val="clear" w:color="auto" w:fill="auto"/>
            <w:tcMar>
              <w:top w:w="110" w:type="dxa"/>
              <w:left w:w="58" w:type="dxa"/>
              <w:right w:w="58" w:type="dxa"/>
            </w:tcMar>
          </w:tcPr>
          <w:p w:rsidR="002E3AE7" w:rsidRPr="00CE4FE2" w:rsidRDefault="002E3AE7" w:rsidP="003E0A02">
            <w:pPr>
              <w:rPr>
                <w:i/>
                <w:color w:val="002060"/>
                <w:sz w:val="16"/>
                <w:szCs w:val="16"/>
              </w:rPr>
            </w:pPr>
            <w:r w:rsidRPr="00CE4FE2">
              <w:rPr>
                <w:i/>
                <w:color w:val="002060"/>
                <w:sz w:val="16"/>
                <w:szCs w:val="16"/>
                <w:lang w:val="es-ES_tradnl"/>
              </w:rPr>
              <w:t>Objetivo actualizado:</w:t>
            </w:r>
            <w:r w:rsidRPr="00CE4FE2">
              <w:rPr>
                <w:i/>
                <w:color w:val="002060"/>
                <w:sz w:val="16"/>
                <w:szCs w:val="16"/>
              </w:rPr>
              <w:t xml:space="preserve"> </w:t>
            </w:r>
          </w:p>
          <w:p w:rsidR="002E3AE7" w:rsidRPr="00CE4FE2" w:rsidRDefault="002E3AE7" w:rsidP="003E0A02">
            <w:pPr>
              <w:widowControl w:val="0"/>
              <w:ind w:left="-42" w:right="-31" w:firstLine="14"/>
              <w:rPr>
                <w:color w:val="002060"/>
                <w:sz w:val="16"/>
                <w:szCs w:val="16"/>
              </w:rPr>
            </w:pPr>
            <w:r w:rsidRPr="00CE4FE2">
              <w:rPr>
                <w:color w:val="002060"/>
                <w:sz w:val="16"/>
                <w:szCs w:val="16"/>
              </w:rPr>
              <w:t>20% de aumento bienal</w:t>
            </w:r>
          </w:p>
          <w:p w:rsidR="002E3AE7" w:rsidRPr="003175EE" w:rsidRDefault="002E3AE7" w:rsidP="003E0A02">
            <w:pPr>
              <w:widowControl w:val="0"/>
              <w:rPr>
                <w:sz w:val="16"/>
                <w:szCs w:val="16"/>
              </w:rPr>
            </w:pPr>
          </w:p>
          <w:p w:rsidR="002E3AE7" w:rsidRPr="003175EE" w:rsidRDefault="002E3AE7" w:rsidP="003E0A02">
            <w:pPr>
              <w:rPr>
                <w:i/>
                <w:sz w:val="16"/>
                <w:szCs w:val="16"/>
                <w:lang w:bidi="th-TH"/>
              </w:rPr>
            </w:pPr>
            <w:r w:rsidRPr="003175EE">
              <w:rPr>
                <w:i/>
                <w:sz w:val="16"/>
                <w:szCs w:val="16"/>
                <w:lang w:val="es-ES_tradnl" w:bidi="th-TH"/>
              </w:rPr>
              <w:t>Objetivo original en el presupuesto 2016/17:</w:t>
            </w:r>
            <w:r w:rsidRPr="003175EE">
              <w:rPr>
                <w:i/>
                <w:sz w:val="16"/>
                <w:szCs w:val="16"/>
                <w:lang w:bidi="th-TH"/>
              </w:rPr>
              <w:t xml:space="preserve">  </w:t>
            </w:r>
          </w:p>
          <w:p w:rsidR="002E3AE7" w:rsidRPr="003175EE" w:rsidRDefault="002E3AE7" w:rsidP="003E0A02">
            <w:pPr>
              <w:widowControl w:val="0"/>
              <w:ind w:left="-42" w:right="-31" w:firstLine="14"/>
              <w:rPr>
                <w:sz w:val="16"/>
                <w:szCs w:val="16"/>
              </w:rPr>
            </w:pPr>
            <w:r w:rsidRPr="003175EE">
              <w:rPr>
                <w:sz w:val="16"/>
                <w:szCs w:val="16"/>
                <w:lang w:val="es-ES_tradnl"/>
              </w:rPr>
              <w:t>20% de aumento</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2.044.648 (+10,9% en comparación con 2015)</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565"/>
        </w:trPr>
        <w:tc>
          <w:tcPr>
            <w:tcW w:w="5000" w:type="pct"/>
            <w:gridSpan w:val="5"/>
            <w:shd w:val="clear" w:color="auto" w:fill="C6D9F1" w:themeFill="text2" w:themeFillTint="33"/>
            <w:tcMar>
              <w:left w:w="58" w:type="dxa"/>
              <w:right w:w="58" w:type="dxa"/>
            </w:tcMar>
            <w:vAlign w:val="center"/>
          </w:tcPr>
          <w:p w:rsidR="002E3AE7" w:rsidRPr="003175EE" w:rsidRDefault="002E3AE7" w:rsidP="003E0A02">
            <w:pPr>
              <w:widowControl w:val="0"/>
              <w:tabs>
                <w:tab w:val="left" w:pos="1452"/>
              </w:tabs>
              <w:ind w:left="1701" w:hanging="1701"/>
              <w:rPr>
                <w:bCs/>
                <w:sz w:val="16"/>
                <w:szCs w:val="16"/>
              </w:rPr>
            </w:pPr>
            <w:r w:rsidRPr="003175EE">
              <w:rPr>
                <w:b/>
                <w:bCs/>
                <w:sz w:val="16"/>
                <w:szCs w:val="16"/>
              </w:rPr>
              <w:t>Resultado previsto:</w:t>
            </w:r>
            <w:r w:rsidRPr="003175EE">
              <w:rPr>
                <w:b/>
                <w:bCs/>
                <w:sz w:val="16"/>
                <w:szCs w:val="16"/>
              </w:rPr>
              <w:tab/>
            </w:r>
            <w:r w:rsidRPr="003175EE">
              <w:rPr>
                <w:bCs/>
                <w:sz w:val="16"/>
                <w:szCs w:val="16"/>
                <w:lang w:val="es-ES_tradnl"/>
              </w:rPr>
              <w:t>VIII.3  Atención eficaz a los Estados miembros</w:t>
            </w:r>
          </w:p>
        </w:tc>
      </w:tr>
      <w:tr w:rsidR="002E3AE7" w:rsidRPr="003175EE" w:rsidTr="003E0A02">
        <w:tc>
          <w:tcPr>
            <w:tcW w:w="1074"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Indicadores de rendimiento</w:t>
            </w:r>
          </w:p>
        </w:tc>
        <w:tc>
          <w:tcPr>
            <w:tcW w:w="1416"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Referencias de base</w:t>
            </w:r>
          </w:p>
        </w:tc>
        <w:tc>
          <w:tcPr>
            <w:tcW w:w="699" w:type="pct"/>
            <w:shd w:val="clear" w:color="auto" w:fill="auto"/>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Objetivos</w:t>
            </w:r>
          </w:p>
        </w:tc>
        <w:tc>
          <w:tcPr>
            <w:tcW w:w="1309" w:type="pct"/>
            <w:shd w:val="clear" w:color="auto" w:fill="FFFFFF"/>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Datos sobre el rendimiento</w:t>
            </w:r>
          </w:p>
        </w:tc>
        <w:tc>
          <w:tcPr>
            <w:tcW w:w="501" w:type="pct"/>
            <w:shd w:val="clear" w:color="auto" w:fill="auto"/>
            <w:tcMar>
              <w:top w:w="110" w:type="dxa"/>
              <w:left w:w="58" w:type="dxa"/>
              <w:right w:w="58" w:type="dxa"/>
            </w:tcMar>
            <w:vAlign w:val="center"/>
          </w:tcPr>
          <w:p w:rsidR="002E3AE7" w:rsidRPr="003175EE" w:rsidRDefault="002E3AE7" w:rsidP="003E0A02">
            <w:pPr>
              <w:widowControl w:val="0"/>
              <w:jc w:val="center"/>
              <w:rPr>
                <w:b/>
                <w:bCs/>
                <w:sz w:val="16"/>
                <w:szCs w:val="16"/>
              </w:rPr>
            </w:pPr>
            <w:r w:rsidRPr="003175EE">
              <w:rPr>
                <w:b/>
                <w:bCs/>
                <w:sz w:val="16"/>
                <w:szCs w:val="16"/>
                <w:lang w:val="es-ES_tradnl"/>
              </w:rPr>
              <w:t>Clave de colores</w:t>
            </w:r>
          </w:p>
        </w:tc>
      </w:tr>
      <w:tr w:rsidR="002E3AE7" w:rsidRPr="003175EE" w:rsidTr="003E0A02">
        <w:trPr>
          <w:trHeight w:val="1438"/>
        </w:trPr>
        <w:tc>
          <w:tcPr>
            <w:tcW w:w="1074" w:type="pct"/>
            <w:shd w:val="clear" w:color="auto" w:fill="auto"/>
            <w:tcMar>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 de sesiones de comités precedidas de reuniones informativas para los Estados miembros</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widowControl w:val="0"/>
              <w:rPr>
                <w:color w:val="002060"/>
                <w:sz w:val="16"/>
                <w:szCs w:val="16"/>
              </w:rPr>
            </w:pPr>
            <w:r w:rsidRPr="00CE4FE2">
              <w:rPr>
                <w:color w:val="002060"/>
                <w:sz w:val="16"/>
                <w:szCs w:val="16"/>
                <w:lang w:val="es-ES_tradnl"/>
              </w:rPr>
              <w:t>97% según una encuesta entre los secretarios de los comités</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widowControl w:val="0"/>
              <w:rPr>
                <w:sz w:val="16"/>
                <w:szCs w:val="16"/>
              </w:rPr>
            </w:pPr>
            <w:r w:rsidRPr="003175EE">
              <w:rPr>
                <w:sz w:val="16"/>
                <w:szCs w:val="16"/>
                <w:lang w:val="es-ES_tradnl"/>
              </w:rPr>
              <w:t>93% (al final de 2014)</w:t>
            </w:r>
          </w:p>
        </w:tc>
        <w:tc>
          <w:tcPr>
            <w:tcW w:w="699" w:type="pct"/>
            <w:shd w:val="clear" w:color="auto" w:fill="auto"/>
            <w:tcMar>
              <w:top w:w="110" w:type="dxa"/>
              <w:left w:w="58" w:type="dxa"/>
              <w:right w:w="58" w:type="dxa"/>
            </w:tcMar>
          </w:tcPr>
          <w:p w:rsidR="002E3AE7" w:rsidRPr="003175EE" w:rsidRDefault="002E3AE7" w:rsidP="003E0A02">
            <w:pPr>
              <w:widowControl w:val="0"/>
              <w:ind w:right="176"/>
              <w:rPr>
                <w:sz w:val="16"/>
                <w:szCs w:val="16"/>
              </w:rPr>
            </w:pPr>
            <w:r w:rsidRPr="003175EE">
              <w:rPr>
                <w:sz w:val="16"/>
                <w:szCs w:val="16"/>
              </w:rPr>
              <w:t>90%</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lang w:val="es-ES_tradnl"/>
              </w:rPr>
              <w:t>100% según una encuesta entre los secretarios de los comités</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1186"/>
        </w:trPr>
        <w:tc>
          <w:tcPr>
            <w:tcW w:w="1074" w:type="pct"/>
            <w:shd w:val="clear" w:color="auto" w:fill="auto"/>
            <w:tcMar>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 de notificaciones de adhesión y otras medidas relacionadas con los tratados tramitadas de manera puntual</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3175EE" w:rsidRDefault="002E3AE7" w:rsidP="003E0A02">
            <w:pPr>
              <w:widowControl w:val="0"/>
              <w:rPr>
                <w:sz w:val="16"/>
                <w:szCs w:val="16"/>
              </w:rPr>
            </w:pPr>
            <w:r w:rsidRPr="00CE4FE2">
              <w:rPr>
                <w:color w:val="002060"/>
                <w:sz w:val="16"/>
                <w:szCs w:val="16"/>
                <w:lang w:val="es-ES_tradnl"/>
              </w:rPr>
              <w:t>El 90% de las notificaciones de adhesión y otras medidas relacionadas con los tratados se tramitaron en un plazo de tres días</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widowControl w:val="0"/>
              <w:rPr>
                <w:sz w:val="16"/>
                <w:szCs w:val="16"/>
              </w:rPr>
            </w:pPr>
            <w:r w:rsidRPr="003175EE">
              <w:rPr>
                <w:sz w:val="16"/>
                <w:szCs w:val="16"/>
                <w:lang w:val="es-ES_tradnl"/>
              </w:rPr>
              <w:t>El 95% se tramitó en un plazo de tres días (al final de 2014).</w:t>
            </w:r>
          </w:p>
        </w:tc>
        <w:tc>
          <w:tcPr>
            <w:tcW w:w="699" w:type="pct"/>
            <w:shd w:val="clear" w:color="auto" w:fill="auto"/>
            <w:tcMar>
              <w:top w:w="110" w:type="dxa"/>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El 95% tramitado en un plazo de tres días</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El 91% (39 de 43) de todas las medidas relacionadas con tratados fue tramitado en un plazo de tres días</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968"/>
        </w:trPr>
        <w:tc>
          <w:tcPr>
            <w:tcW w:w="1074" w:type="pct"/>
            <w:shd w:val="clear" w:color="auto" w:fill="auto"/>
            <w:tcMar>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Publicación puntual de los documentos de las Asambleas</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rPr>
                <w:color w:val="002060"/>
                <w:sz w:val="16"/>
                <w:szCs w:val="16"/>
              </w:rPr>
            </w:pPr>
            <w:r w:rsidRPr="00CE4FE2">
              <w:rPr>
                <w:color w:val="002060"/>
                <w:sz w:val="16"/>
                <w:szCs w:val="16"/>
                <w:lang w:val="es-ES_tradnl"/>
              </w:rPr>
              <w:t>En 2014/15 el 97% de los documentos pertinentes fueron publicados dos meses antes de las Asambleas</w:t>
            </w:r>
          </w:p>
          <w:p w:rsidR="002E3AE7" w:rsidRPr="00F82C35" w:rsidRDefault="002E3AE7" w:rsidP="00F82C35">
            <w:pPr>
              <w:contextualSpacing/>
              <w:rPr>
                <w:color w:val="002060"/>
                <w:sz w:val="16"/>
                <w:szCs w:val="16"/>
              </w:rPr>
            </w:pPr>
          </w:p>
          <w:p w:rsidR="002E3AE7" w:rsidRPr="003175EE" w:rsidRDefault="002E3AE7" w:rsidP="003E0A02">
            <w:pPr>
              <w:keepNext/>
              <w:keepLines/>
              <w:widowControl w:val="0"/>
              <w:rPr>
                <w:i/>
                <w:sz w:val="16"/>
                <w:szCs w:val="16"/>
                <w:lang w:bidi="th-TH"/>
              </w:rPr>
            </w:pPr>
          </w:p>
          <w:p w:rsidR="002E3AE7" w:rsidRPr="003175EE" w:rsidRDefault="002E3AE7" w:rsidP="003E0A02">
            <w:pPr>
              <w:keepNext/>
              <w:keepLines/>
              <w:widowControl w:val="0"/>
              <w:rPr>
                <w:i/>
                <w:sz w:val="16"/>
                <w:szCs w:val="16"/>
                <w:lang w:bidi="th-TH"/>
              </w:rPr>
            </w:pPr>
            <w:r w:rsidRPr="003175EE">
              <w:rPr>
                <w:i/>
                <w:sz w:val="16"/>
                <w:szCs w:val="16"/>
                <w:lang w:val="es-ES_tradnl" w:bidi="th-TH"/>
              </w:rPr>
              <w:lastRenderedPageBreak/>
              <w:t>Referencia original en el presupuesto de 2016/17:</w:t>
            </w:r>
            <w:r w:rsidRPr="003175EE">
              <w:rPr>
                <w:i/>
                <w:sz w:val="16"/>
                <w:szCs w:val="16"/>
                <w:lang w:bidi="th-TH"/>
              </w:rPr>
              <w:t xml:space="preserve">  </w:t>
            </w:r>
          </w:p>
          <w:p w:rsidR="002E3AE7" w:rsidRPr="003175EE" w:rsidRDefault="002E3AE7" w:rsidP="002C00CD">
            <w:pPr>
              <w:keepNext/>
              <w:keepLines/>
              <w:widowControl w:val="0"/>
              <w:rPr>
                <w:sz w:val="16"/>
                <w:szCs w:val="16"/>
              </w:rPr>
            </w:pPr>
            <w:r w:rsidRPr="003175EE">
              <w:rPr>
                <w:sz w:val="16"/>
                <w:szCs w:val="16"/>
                <w:lang w:val="es-ES_tradnl"/>
              </w:rPr>
              <w:t>E</w:t>
            </w:r>
            <w:r w:rsidR="002C00CD">
              <w:rPr>
                <w:sz w:val="16"/>
                <w:szCs w:val="16"/>
                <w:lang w:val="es-ES_tradnl"/>
              </w:rPr>
              <w:t>n 2014 e</w:t>
            </w:r>
            <w:r w:rsidRPr="003175EE">
              <w:rPr>
                <w:sz w:val="16"/>
                <w:szCs w:val="16"/>
                <w:lang w:val="es-ES_tradnl"/>
              </w:rPr>
              <w:t>l 9</w:t>
            </w:r>
            <w:r w:rsidR="002C00CD">
              <w:rPr>
                <w:sz w:val="16"/>
                <w:szCs w:val="16"/>
                <w:lang w:val="es-ES_tradnl"/>
              </w:rPr>
              <w:t>5</w:t>
            </w:r>
            <w:r w:rsidRPr="003175EE">
              <w:rPr>
                <w:sz w:val="16"/>
                <w:szCs w:val="16"/>
                <w:lang w:val="es-ES_tradnl"/>
              </w:rPr>
              <w:t xml:space="preserve">% de </w:t>
            </w:r>
            <w:r w:rsidR="002C00CD">
              <w:rPr>
                <w:sz w:val="16"/>
                <w:szCs w:val="16"/>
                <w:lang w:val="es-ES_tradnl"/>
              </w:rPr>
              <w:t xml:space="preserve">todos </w:t>
            </w:r>
            <w:r w:rsidRPr="003175EE">
              <w:rPr>
                <w:sz w:val="16"/>
                <w:szCs w:val="16"/>
                <w:lang w:val="es-ES_tradnl"/>
              </w:rPr>
              <w:t xml:space="preserve">los documentos pertinentes </w:t>
            </w:r>
            <w:r w:rsidR="002C00CD">
              <w:rPr>
                <w:sz w:val="16"/>
                <w:szCs w:val="16"/>
                <w:lang w:val="es-ES_tradnl"/>
              </w:rPr>
              <w:t xml:space="preserve">fueron </w:t>
            </w:r>
            <w:r w:rsidRPr="003175EE">
              <w:rPr>
                <w:sz w:val="16"/>
                <w:szCs w:val="16"/>
                <w:lang w:val="es-ES_tradnl"/>
              </w:rPr>
              <w:t xml:space="preserve">publicados </w:t>
            </w:r>
            <w:r w:rsidR="002C00CD">
              <w:rPr>
                <w:sz w:val="16"/>
                <w:szCs w:val="16"/>
                <w:lang w:val="es-ES_tradnl"/>
              </w:rPr>
              <w:t>2</w:t>
            </w:r>
            <w:r w:rsidRPr="003175EE">
              <w:rPr>
                <w:sz w:val="16"/>
                <w:szCs w:val="16"/>
                <w:lang w:val="es-ES_tradnl"/>
              </w:rPr>
              <w:t xml:space="preserve"> meses antes de las Asambleas</w:t>
            </w:r>
          </w:p>
        </w:tc>
        <w:tc>
          <w:tcPr>
            <w:tcW w:w="699" w:type="pct"/>
            <w:shd w:val="clear" w:color="auto" w:fill="auto"/>
            <w:tcMar>
              <w:top w:w="110" w:type="dxa"/>
              <w:left w:w="58" w:type="dxa"/>
              <w:right w:w="58" w:type="dxa"/>
            </w:tcMar>
          </w:tcPr>
          <w:p w:rsidR="002E3AE7" w:rsidRPr="003175EE" w:rsidRDefault="002E3AE7" w:rsidP="002C00CD">
            <w:pPr>
              <w:widowControl w:val="0"/>
              <w:ind w:right="-28"/>
              <w:rPr>
                <w:sz w:val="16"/>
                <w:szCs w:val="16"/>
              </w:rPr>
            </w:pPr>
            <w:r w:rsidRPr="003175EE">
              <w:rPr>
                <w:sz w:val="16"/>
                <w:szCs w:val="16"/>
                <w:lang w:val="es-ES_tradnl"/>
              </w:rPr>
              <w:lastRenderedPageBreak/>
              <w:t xml:space="preserve">95% de </w:t>
            </w:r>
            <w:r w:rsidR="002C00CD">
              <w:rPr>
                <w:sz w:val="16"/>
                <w:szCs w:val="16"/>
                <w:lang w:val="es-ES_tradnl"/>
              </w:rPr>
              <w:t xml:space="preserve">todos </w:t>
            </w:r>
            <w:r w:rsidRPr="003175EE">
              <w:rPr>
                <w:sz w:val="16"/>
                <w:szCs w:val="16"/>
                <w:lang w:val="es-ES_tradnl"/>
              </w:rPr>
              <w:t xml:space="preserve">los documentos pertinentes publicados </w:t>
            </w:r>
            <w:r w:rsidR="002C00CD">
              <w:rPr>
                <w:sz w:val="16"/>
                <w:szCs w:val="16"/>
                <w:lang w:val="es-ES_tradnl"/>
              </w:rPr>
              <w:t>2</w:t>
            </w:r>
            <w:r w:rsidRPr="003175EE">
              <w:rPr>
                <w:sz w:val="16"/>
                <w:szCs w:val="16"/>
                <w:lang w:val="es-ES_tradnl"/>
              </w:rPr>
              <w:t xml:space="preserve"> meses antes de las Asambleas</w:t>
            </w:r>
          </w:p>
        </w:tc>
        <w:tc>
          <w:tcPr>
            <w:tcW w:w="1309" w:type="pct"/>
            <w:shd w:val="clear" w:color="auto" w:fill="FFFFFF"/>
            <w:tcMar>
              <w:top w:w="110" w:type="dxa"/>
              <w:left w:w="58" w:type="dxa"/>
              <w:right w:w="58" w:type="dxa"/>
            </w:tcMar>
          </w:tcPr>
          <w:p w:rsidR="002E3AE7" w:rsidRPr="003175EE" w:rsidRDefault="002E3AE7" w:rsidP="003E0A02">
            <w:pPr>
              <w:rPr>
                <w:sz w:val="16"/>
                <w:szCs w:val="16"/>
              </w:rPr>
            </w:pPr>
            <w:r w:rsidRPr="003175EE">
              <w:rPr>
                <w:sz w:val="16"/>
                <w:szCs w:val="16"/>
                <w:lang w:val="es-ES_tradnl"/>
              </w:rPr>
              <w:t>E</w:t>
            </w:r>
            <w:r w:rsidR="002C00CD">
              <w:rPr>
                <w:sz w:val="16"/>
                <w:szCs w:val="16"/>
                <w:lang w:val="es-ES_tradnl"/>
              </w:rPr>
              <w:t>l</w:t>
            </w:r>
            <w:r w:rsidRPr="003175EE">
              <w:rPr>
                <w:sz w:val="16"/>
                <w:szCs w:val="16"/>
                <w:lang w:val="es-ES_tradnl"/>
              </w:rPr>
              <w:t xml:space="preserve"> 93,5% de </w:t>
            </w:r>
            <w:r w:rsidR="002C00CD">
              <w:rPr>
                <w:sz w:val="16"/>
                <w:szCs w:val="16"/>
                <w:lang w:val="es-ES_tradnl"/>
              </w:rPr>
              <w:t xml:space="preserve">todos </w:t>
            </w:r>
            <w:r w:rsidRPr="003175EE">
              <w:rPr>
                <w:sz w:val="16"/>
                <w:szCs w:val="16"/>
                <w:lang w:val="es-ES_tradnl"/>
              </w:rPr>
              <w:t xml:space="preserve">los documentos pertinentes fueron publicados </w:t>
            </w:r>
            <w:r w:rsidR="002C00CD">
              <w:rPr>
                <w:sz w:val="16"/>
                <w:szCs w:val="16"/>
                <w:lang w:val="es-ES_tradnl"/>
              </w:rPr>
              <w:t>2</w:t>
            </w:r>
            <w:r w:rsidRPr="003175EE">
              <w:rPr>
                <w:sz w:val="16"/>
                <w:szCs w:val="16"/>
                <w:lang w:val="es-ES_tradnl"/>
              </w:rPr>
              <w:t xml:space="preserve"> meses antes de las Asambleas</w:t>
            </w:r>
          </w:p>
          <w:p w:rsidR="002E3AE7" w:rsidRPr="003175EE" w:rsidRDefault="002E3AE7" w:rsidP="003E0A02">
            <w:pPr>
              <w:widowControl w:val="0"/>
              <w:rPr>
                <w:sz w:val="16"/>
                <w:szCs w:val="16"/>
              </w:rPr>
            </w:pP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250"/>
        </w:trPr>
        <w:tc>
          <w:tcPr>
            <w:tcW w:w="1074" w:type="pct"/>
            <w:shd w:val="clear" w:color="auto" w:fill="auto"/>
            <w:tcMar>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lastRenderedPageBreak/>
              <w:t>Índice de satisfacción de los Estados miembros y otras partes interesadas con la organización de eventos</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widowControl w:val="0"/>
              <w:rPr>
                <w:color w:val="002060"/>
                <w:sz w:val="16"/>
                <w:szCs w:val="16"/>
              </w:rPr>
            </w:pPr>
            <w:r w:rsidRPr="00CE4FE2">
              <w:rPr>
                <w:color w:val="002060"/>
                <w:sz w:val="16"/>
                <w:szCs w:val="16"/>
              </w:rPr>
              <w:t>91% de Estados miembros satisfechos con los eventos</w:t>
            </w:r>
          </w:p>
          <w:p w:rsidR="002E3AE7" w:rsidRPr="00CE4FE2" w:rsidRDefault="002E3AE7" w:rsidP="003E0A02">
            <w:pPr>
              <w:widowControl w:val="0"/>
              <w:rPr>
                <w:color w:val="002060"/>
                <w:sz w:val="16"/>
                <w:szCs w:val="16"/>
              </w:rPr>
            </w:pPr>
            <w:r w:rsidRPr="00CE4FE2">
              <w:rPr>
                <w:color w:val="002060"/>
                <w:sz w:val="16"/>
                <w:szCs w:val="16"/>
                <w:lang w:val="es-ES_tradnl"/>
              </w:rPr>
              <w:t>(según la encuesta hecha en las Asambleas de la OMPI de 2015)</w:t>
            </w:r>
            <w:r w:rsidRPr="00CE4FE2">
              <w:rPr>
                <w:color w:val="002060"/>
                <w:sz w:val="16"/>
                <w:szCs w:val="16"/>
              </w:rPr>
              <w:t xml:space="preserve"> </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widowControl w:val="0"/>
              <w:rPr>
                <w:sz w:val="16"/>
                <w:szCs w:val="16"/>
              </w:rPr>
            </w:pPr>
            <w:r w:rsidRPr="003175EE">
              <w:rPr>
                <w:sz w:val="16"/>
                <w:szCs w:val="16"/>
                <w:lang w:val="es-ES_tradnl"/>
              </w:rPr>
              <w:t>Resultados de la encuesta de 2014:  el 82%</w:t>
            </w:r>
          </w:p>
        </w:tc>
        <w:tc>
          <w:tcPr>
            <w:tcW w:w="699" w:type="pct"/>
            <w:shd w:val="clear" w:color="auto" w:fill="auto"/>
            <w:tcMar>
              <w:top w:w="110" w:type="dxa"/>
              <w:left w:w="58" w:type="dxa"/>
              <w:right w:w="58" w:type="dxa"/>
            </w:tcMar>
          </w:tcPr>
          <w:p w:rsidR="002E3AE7" w:rsidRPr="00CE4FE2" w:rsidRDefault="002E3AE7" w:rsidP="003E0A02">
            <w:pPr>
              <w:rPr>
                <w:i/>
                <w:color w:val="002060"/>
                <w:sz w:val="16"/>
                <w:szCs w:val="16"/>
              </w:rPr>
            </w:pPr>
            <w:r w:rsidRPr="00CE4FE2">
              <w:rPr>
                <w:i/>
                <w:color w:val="002060"/>
                <w:sz w:val="16"/>
                <w:szCs w:val="16"/>
                <w:lang w:val="es-ES_tradnl"/>
              </w:rPr>
              <w:t>Objetivo actualizado:</w:t>
            </w:r>
            <w:r w:rsidRPr="00CE4FE2">
              <w:rPr>
                <w:i/>
                <w:color w:val="002060"/>
                <w:sz w:val="16"/>
                <w:szCs w:val="16"/>
              </w:rPr>
              <w:t xml:space="preserve">  </w:t>
            </w:r>
          </w:p>
          <w:p w:rsidR="002E3AE7" w:rsidRPr="00CE4FE2" w:rsidRDefault="002E3AE7" w:rsidP="003E0A02">
            <w:pPr>
              <w:keepNext/>
              <w:keepLines/>
              <w:rPr>
                <w:color w:val="002060"/>
                <w:sz w:val="16"/>
                <w:szCs w:val="16"/>
              </w:rPr>
            </w:pPr>
            <w:r w:rsidRPr="00CE4FE2">
              <w:rPr>
                <w:color w:val="002060"/>
                <w:sz w:val="16"/>
                <w:szCs w:val="16"/>
                <w:lang w:val="es-ES_tradnl"/>
              </w:rPr>
              <w:t>90% satisfecho con los eventos</w:t>
            </w:r>
          </w:p>
          <w:p w:rsidR="002E3AE7" w:rsidRPr="003175EE" w:rsidRDefault="002E3AE7" w:rsidP="003E0A02">
            <w:pPr>
              <w:keepNext/>
              <w:keepLines/>
              <w:rPr>
                <w:sz w:val="16"/>
                <w:szCs w:val="16"/>
              </w:rPr>
            </w:pPr>
          </w:p>
          <w:p w:rsidR="002E3AE7" w:rsidRPr="003175EE" w:rsidRDefault="002E3AE7" w:rsidP="003E0A02">
            <w:pPr>
              <w:keepNext/>
              <w:keepLines/>
              <w:rPr>
                <w:sz w:val="16"/>
                <w:szCs w:val="16"/>
              </w:rPr>
            </w:pPr>
          </w:p>
          <w:p w:rsidR="002E3AE7" w:rsidRPr="003175EE" w:rsidRDefault="002E3AE7" w:rsidP="003E0A02">
            <w:pPr>
              <w:rPr>
                <w:i/>
                <w:sz w:val="16"/>
                <w:szCs w:val="16"/>
                <w:lang w:bidi="th-TH"/>
              </w:rPr>
            </w:pPr>
            <w:r w:rsidRPr="003175EE">
              <w:rPr>
                <w:i/>
                <w:sz w:val="16"/>
                <w:szCs w:val="16"/>
                <w:lang w:val="es-ES_tradnl" w:bidi="th-TH"/>
              </w:rPr>
              <w:t>Objetivo original en el presupuesto 2016/17:</w:t>
            </w:r>
            <w:r w:rsidRPr="003175EE">
              <w:rPr>
                <w:i/>
                <w:sz w:val="16"/>
                <w:szCs w:val="16"/>
                <w:lang w:bidi="th-TH"/>
              </w:rPr>
              <w:t xml:space="preserve">  </w:t>
            </w:r>
          </w:p>
          <w:p w:rsidR="002E3AE7" w:rsidRPr="003175EE" w:rsidRDefault="002E3AE7" w:rsidP="003E0A02">
            <w:pPr>
              <w:widowControl w:val="0"/>
              <w:tabs>
                <w:tab w:val="left" w:pos="222"/>
              </w:tabs>
              <w:ind w:right="176"/>
              <w:rPr>
                <w:sz w:val="16"/>
                <w:szCs w:val="16"/>
              </w:rPr>
            </w:pPr>
            <w:r w:rsidRPr="003175EE">
              <w:rPr>
                <w:sz w:val="16"/>
                <w:szCs w:val="16"/>
              </w:rPr>
              <w:t>85%</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 xml:space="preserve">87% de Estados miembros satisfechos con los eventos </w:t>
            </w:r>
            <w:r w:rsidRPr="003175EE">
              <w:rPr>
                <w:sz w:val="16"/>
                <w:szCs w:val="16"/>
                <w:lang w:val="es-ES_tradnl"/>
              </w:rPr>
              <w:t>(según la encuesta hecha en las Asambleas de la OMPI de 2016)</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2284"/>
        </w:trPr>
        <w:tc>
          <w:tcPr>
            <w:tcW w:w="1074" w:type="pct"/>
            <w:shd w:val="clear" w:color="auto" w:fill="auto"/>
            <w:tcMar>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Grado de satisfacción de los delegados con la organización de las Asambleas</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widowControl w:val="0"/>
              <w:rPr>
                <w:color w:val="002060"/>
                <w:sz w:val="16"/>
                <w:szCs w:val="16"/>
              </w:rPr>
            </w:pPr>
            <w:r w:rsidRPr="00CE4FE2">
              <w:rPr>
                <w:color w:val="002060"/>
                <w:sz w:val="16"/>
                <w:szCs w:val="16"/>
                <w:lang w:val="es-ES_tradnl"/>
              </w:rPr>
              <w:t>90%</w:t>
            </w:r>
            <w:r w:rsidR="002C00CD">
              <w:rPr>
                <w:color w:val="002060"/>
                <w:sz w:val="16"/>
                <w:szCs w:val="16"/>
                <w:lang w:val="es-ES_tradnl"/>
              </w:rPr>
              <w:t xml:space="preserve"> satisfecho con las disposiciones adoptadas</w:t>
            </w:r>
            <w:r w:rsidRPr="00CE4FE2">
              <w:rPr>
                <w:color w:val="002060"/>
                <w:sz w:val="16"/>
                <w:szCs w:val="16"/>
                <w:lang w:val="es-ES_tradnl"/>
              </w:rPr>
              <w:t xml:space="preserve"> (según la encuesta hecha en las Asambleas de la OMPI de 2015)</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156844">
            <w:pPr>
              <w:widowControl w:val="0"/>
              <w:spacing w:after="60"/>
              <w:rPr>
                <w:sz w:val="16"/>
                <w:szCs w:val="16"/>
              </w:rPr>
            </w:pPr>
            <w:r w:rsidRPr="003175EE">
              <w:rPr>
                <w:sz w:val="16"/>
                <w:szCs w:val="16"/>
                <w:lang w:val="es-ES_tradnl"/>
              </w:rPr>
              <w:t>El 87% satisfecho con las disposiciones adoptadas (según la encuesta hecha en las Asambleas de la OMPI de 2014).</w:t>
            </w:r>
          </w:p>
        </w:tc>
        <w:tc>
          <w:tcPr>
            <w:tcW w:w="699" w:type="pct"/>
            <w:shd w:val="clear" w:color="auto" w:fill="auto"/>
            <w:tcMar>
              <w:top w:w="110" w:type="dxa"/>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80% satisfecho con las disposiciones adoptadas</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lang w:val="es-ES_tradnl"/>
              </w:rPr>
              <w:t xml:space="preserve">94% </w:t>
            </w:r>
            <w:r w:rsidR="002C00CD">
              <w:rPr>
                <w:sz w:val="16"/>
                <w:szCs w:val="16"/>
                <w:lang w:val="es-ES_tradnl"/>
              </w:rPr>
              <w:t xml:space="preserve">satisfecho con las disposiciones adoptadas </w:t>
            </w:r>
            <w:r w:rsidRPr="003175EE">
              <w:rPr>
                <w:sz w:val="16"/>
                <w:szCs w:val="16"/>
                <w:lang w:val="es-ES_tradnl"/>
              </w:rPr>
              <w:t>(según la encuesta hecha en las Asambleas de la OMPI de 2016)</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565"/>
        </w:trPr>
        <w:tc>
          <w:tcPr>
            <w:tcW w:w="5000" w:type="pct"/>
            <w:gridSpan w:val="5"/>
            <w:shd w:val="clear" w:color="auto" w:fill="C6D9F1" w:themeFill="text2" w:themeFillTint="33"/>
            <w:tcMar>
              <w:left w:w="58" w:type="dxa"/>
              <w:right w:w="58" w:type="dxa"/>
            </w:tcMar>
            <w:vAlign w:val="center"/>
          </w:tcPr>
          <w:p w:rsidR="002E3AE7" w:rsidRPr="003175EE" w:rsidRDefault="002E3AE7" w:rsidP="003E0A02">
            <w:pPr>
              <w:widowControl w:val="0"/>
              <w:ind w:left="1701" w:hanging="1701"/>
              <w:rPr>
                <w:sz w:val="16"/>
                <w:szCs w:val="16"/>
              </w:rPr>
            </w:pPr>
            <w:r w:rsidRPr="003175EE">
              <w:rPr>
                <w:b/>
                <w:bCs/>
                <w:sz w:val="16"/>
                <w:szCs w:val="16"/>
              </w:rPr>
              <w:t>Resultado previsto:</w:t>
            </w:r>
            <w:r w:rsidRPr="003175EE">
              <w:rPr>
                <w:b/>
                <w:bCs/>
                <w:sz w:val="16"/>
                <w:szCs w:val="16"/>
              </w:rPr>
              <w:tab/>
            </w:r>
            <w:r w:rsidRPr="003175EE">
              <w:rPr>
                <w:sz w:val="16"/>
                <w:szCs w:val="16"/>
                <w:lang w:val="es-ES_tradnl"/>
              </w:rPr>
              <w:t>VIII.4  Intercambios abiertos, transparentes y dinámicos con las partes interesadas no gubernamentales</w:t>
            </w:r>
            <w:r w:rsidRPr="003175EE">
              <w:rPr>
                <w:sz w:val="16"/>
                <w:szCs w:val="16"/>
              </w:rPr>
              <w:t xml:space="preserve"> </w:t>
            </w:r>
          </w:p>
        </w:tc>
      </w:tr>
      <w:tr w:rsidR="002E3AE7" w:rsidRPr="003175EE" w:rsidTr="003E0A02">
        <w:tc>
          <w:tcPr>
            <w:tcW w:w="1074"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Indicadores de rendimiento</w:t>
            </w:r>
          </w:p>
        </w:tc>
        <w:tc>
          <w:tcPr>
            <w:tcW w:w="1416"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Referencia de base</w:t>
            </w:r>
          </w:p>
        </w:tc>
        <w:tc>
          <w:tcPr>
            <w:tcW w:w="699" w:type="pct"/>
            <w:shd w:val="clear" w:color="auto" w:fill="auto"/>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Objetivos</w:t>
            </w:r>
          </w:p>
        </w:tc>
        <w:tc>
          <w:tcPr>
            <w:tcW w:w="1309" w:type="pct"/>
            <w:shd w:val="clear" w:color="auto" w:fill="FFFFFF"/>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Datos sobre el rendimiento</w:t>
            </w:r>
          </w:p>
        </w:tc>
        <w:tc>
          <w:tcPr>
            <w:tcW w:w="501" w:type="pct"/>
            <w:shd w:val="clear" w:color="auto" w:fill="auto"/>
            <w:tcMar>
              <w:top w:w="110" w:type="dxa"/>
              <w:left w:w="58" w:type="dxa"/>
              <w:right w:w="58" w:type="dxa"/>
            </w:tcMar>
            <w:vAlign w:val="center"/>
          </w:tcPr>
          <w:p w:rsidR="002E3AE7" w:rsidRPr="003175EE" w:rsidRDefault="002E3AE7" w:rsidP="003E0A02">
            <w:pPr>
              <w:widowControl w:val="0"/>
              <w:jc w:val="center"/>
              <w:rPr>
                <w:b/>
                <w:bCs/>
                <w:sz w:val="16"/>
                <w:szCs w:val="16"/>
              </w:rPr>
            </w:pPr>
            <w:r w:rsidRPr="003175EE">
              <w:rPr>
                <w:b/>
                <w:bCs/>
                <w:sz w:val="16"/>
                <w:szCs w:val="16"/>
                <w:lang w:val="es-ES_tradnl"/>
              </w:rPr>
              <w:t>Clave de colores</w:t>
            </w:r>
          </w:p>
        </w:tc>
      </w:tr>
      <w:tr w:rsidR="002E3AE7" w:rsidRPr="003175EE" w:rsidTr="003E0A02">
        <w:trPr>
          <w:trHeight w:val="1964"/>
        </w:trPr>
        <w:tc>
          <w:tcPr>
            <w:tcW w:w="1074" w:type="pct"/>
            <w:shd w:val="clear" w:color="auto" w:fill="auto"/>
            <w:tcMar>
              <w:left w:w="58" w:type="dxa"/>
              <w:right w:w="58" w:type="dxa"/>
            </w:tcMar>
          </w:tcPr>
          <w:p w:rsidR="002E3AE7" w:rsidRPr="003175EE" w:rsidRDefault="002E3AE7" w:rsidP="003E0A02">
            <w:pPr>
              <w:widowControl w:val="0"/>
              <w:ind w:right="176"/>
              <w:rPr>
                <w:sz w:val="16"/>
                <w:szCs w:val="16"/>
              </w:rPr>
            </w:pPr>
            <w:r w:rsidRPr="003175EE">
              <w:rPr>
                <w:sz w:val="16"/>
                <w:szCs w:val="16"/>
                <w:lang w:val="es-ES_tradnl"/>
              </w:rPr>
              <w:t>N.º de ONG con calidad de observador permanente que participan en las actividades de la OMPI y viceversa</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rPr>
                <w:color w:val="002060"/>
                <w:sz w:val="16"/>
                <w:szCs w:val="16"/>
              </w:rPr>
            </w:pPr>
            <w:r w:rsidRPr="00CE4FE2">
              <w:rPr>
                <w:color w:val="002060"/>
                <w:sz w:val="16"/>
                <w:szCs w:val="16"/>
              </w:rPr>
              <w:t xml:space="preserve">En 2014/15 asistieron a reuniones de comités de la OMPI 488 representantes de ONG con acreditación permanente </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widowControl w:val="0"/>
              <w:rPr>
                <w:sz w:val="16"/>
                <w:szCs w:val="16"/>
              </w:rPr>
            </w:pPr>
            <w:r w:rsidRPr="003175EE">
              <w:rPr>
                <w:sz w:val="16"/>
                <w:szCs w:val="16"/>
                <w:lang w:val="es-ES_tradnl"/>
              </w:rPr>
              <w:t>Por determinar</w:t>
            </w:r>
          </w:p>
        </w:tc>
        <w:tc>
          <w:tcPr>
            <w:tcW w:w="699" w:type="pct"/>
            <w:shd w:val="clear" w:color="auto" w:fill="auto"/>
            <w:tcMar>
              <w:top w:w="110" w:type="dxa"/>
              <w:left w:w="58" w:type="dxa"/>
              <w:right w:w="58" w:type="dxa"/>
            </w:tcMar>
          </w:tcPr>
          <w:p w:rsidR="002E3AE7" w:rsidRPr="003175EE" w:rsidRDefault="002E3AE7" w:rsidP="003E0A02">
            <w:pPr>
              <w:widowControl w:val="0"/>
              <w:rPr>
                <w:sz w:val="16"/>
                <w:szCs w:val="16"/>
              </w:rPr>
            </w:pPr>
            <w:r w:rsidRPr="003175EE">
              <w:rPr>
                <w:sz w:val="16"/>
                <w:szCs w:val="16"/>
                <w:lang w:val="es-ES_tradnl"/>
              </w:rPr>
              <w:t>Mantener o aumentar la participación</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 xml:space="preserve">259 </w:t>
            </w:r>
            <w:r w:rsidRPr="003175EE">
              <w:rPr>
                <w:sz w:val="16"/>
              </w:rPr>
              <w:t xml:space="preserve">representantes de ONG con acreditación permanente asistieron a sesiones de comités de la OMPI, lo que representó el </w:t>
            </w:r>
            <w:r w:rsidRPr="003175EE">
              <w:rPr>
                <w:sz w:val="16"/>
                <w:szCs w:val="16"/>
              </w:rPr>
              <w:t>53% del número total  de ONG que asistieron a tales reuniones en el bienio 2014/15</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565"/>
        </w:trPr>
        <w:tc>
          <w:tcPr>
            <w:tcW w:w="5000" w:type="pct"/>
            <w:gridSpan w:val="5"/>
            <w:shd w:val="clear" w:color="auto" w:fill="C6D9F1" w:themeFill="text2" w:themeFillTint="33"/>
            <w:tcMar>
              <w:left w:w="58" w:type="dxa"/>
              <w:right w:w="58" w:type="dxa"/>
            </w:tcMar>
            <w:vAlign w:val="center"/>
          </w:tcPr>
          <w:p w:rsidR="002E3AE7" w:rsidRPr="003175EE" w:rsidRDefault="002E3AE7" w:rsidP="003E0A02">
            <w:pPr>
              <w:widowControl w:val="0"/>
              <w:tabs>
                <w:tab w:val="left" w:pos="1452"/>
              </w:tabs>
              <w:ind w:left="1701" w:hanging="1701"/>
              <w:rPr>
                <w:bCs/>
                <w:sz w:val="16"/>
                <w:szCs w:val="16"/>
              </w:rPr>
            </w:pPr>
            <w:r w:rsidRPr="003175EE">
              <w:rPr>
                <w:b/>
                <w:bCs/>
                <w:sz w:val="16"/>
                <w:szCs w:val="16"/>
              </w:rPr>
              <w:t>Resultado previsto:</w:t>
            </w:r>
            <w:r w:rsidRPr="003175EE">
              <w:rPr>
                <w:b/>
                <w:bCs/>
                <w:sz w:val="16"/>
                <w:szCs w:val="16"/>
              </w:rPr>
              <w:tab/>
            </w:r>
            <w:r w:rsidRPr="003175EE">
              <w:rPr>
                <w:bCs/>
                <w:sz w:val="16"/>
                <w:szCs w:val="16"/>
                <w:lang w:val="es-ES_tradnl"/>
              </w:rPr>
              <w:t>VIII.5  La OMPI participa y colabora eficazmente en los procesos y negociaciones de la ONU y otras OIG</w:t>
            </w:r>
          </w:p>
        </w:tc>
      </w:tr>
      <w:tr w:rsidR="002E3AE7" w:rsidRPr="003175EE" w:rsidTr="003E0A02">
        <w:tc>
          <w:tcPr>
            <w:tcW w:w="1074"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Indicadores de rendimiento</w:t>
            </w:r>
          </w:p>
        </w:tc>
        <w:tc>
          <w:tcPr>
            <w:tcW w:w="1416"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Referencia de base</w:t>
            </w:r>
          </w:p>
        </w:tc>
        <w:tc>
          <w:tcPr>
            <w:tcW w:w="699" w:type="pct"/>
            <w:shd w:val="clear" w:color="auto" w:fill="auto"/>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Objetivos</w:t>
            </w:r>
          </w:p>
        </w:tc>
        <w:tc>
          <w:tcPr>
            <w:tcW w:w="1309" w:type="pct"/>
            <w:shd w:val="clear" w:color="auto" w:fill="FFFFFF"/>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Datos sobre el rendimiento</w:t>
            </w:r>
          </w:p>
        </w:tc>
        <w:tc>
          <w:tcPr>
            <w:tcW w:w="501" w:type="pct"/>
            <w:shd w:val="clear" w:color="auto" w:fill="auto"/>
            <w:tcMar>
              <w:top w:w="110" w:type="dxa"/>
              <w:left w:w="58" w:type="dxa"/>
              <w:right w:w="58" w:type="dxa"/>
            </w:tcMar>
            <w:vAlign w:val="center"/>
          </w:tcPr>
          <w:p w:rsidR="002E3AE7" w:rsidRPr="003175EE" w:rsidRDefault="002E3AE7" w:rsidP="003E0A02">
            <w:pPr>
              <w:widowControl w:val="0"/>
              <w:jc w:val="center"/>
              <w:rPr>
                <w:b/>
                <w:bCs/>
                <w:sz w:val="16"/>
                <w:szCs w:val="16"/>
              </w:rPr>
            </w:pPr>
            <w:r w:rsidRPr="003175EE">
              <w:rPr>
                <w:b/>
                <w:bCs/>
                <w:sz w:val="16"/>
                <w:szCs w:val="16"/>
                <w:lang w:val="es-ES_tradnl"/>
              </w:rPr>
              <w:t>Clave de colores</w:t>
            </w:r>
          </w:p>
        </w:tc>
      </w:tr>
      <w:tr w:rsidR="002E3AE7" w:rsidRPr="003175EE" w:rsidTr="003E0A02">
        <w:trPr>
          <w:trHeight w:val="3486"/>
        </w:trPr>
        <w:tc>
          <w:tcPr>
            <w:tcW w:w="1074" w:type="pct"/>
            <w:shd w:val="clear" w:color="auto" w:fill="auto"/>
            <w:tcMar>
              <w:left w:w="58" w:type="dxa"/>
              <w:right w:w="58" w:type="dxa"/>
            </w:tcMar>
          </w:tcPr>
          <w:p w:rsidR="002E3AE7" w:rsidRPr="003175EE" w:rsidRDefault="002E3AE7" w:rsidP="003E0A02">
            <w:pPr>
              <w:widowControl w:val="0"/>
              <w:ind w:left="-18"/>
              <w:rPr>
                <w:sz w:val="16"/>
                <w:szCs w:val="16"/>
              </w:rPr>
            </w:pPr>
            <w:r w:rsidRPr="003175EE">
              <w:rPr>
                <w:sz w:val="16"/>
                <w:szCs w:val="16"/>
                <w:lang w:val="es-ES_tradnl"/>
              </w:rPr>
              <w:t>Nuevas iniciativas conjuntas llevadas a cabo con otros organismos de la ONU/OIG</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keepNext/>
              <w:keepLines/>
              <w:rPr>
                <w:color w:val="002060"/>
                <w:sz w:val="16"/>
                <w:szCs w:val="16"/>
                <w:lang w:bidi="th-TH"/>
              </w:rPr>
            </w:pPr>
            <w:r w:rsidRPr="00CE4FE2">
              <w:rPr>
                <w:color w:val="002060"/>
                <w:sz w:val="16"/>
                <w:szCs w:val="16"/>
                <w:lang w:val="es-ES_tradnl" w:bidi="th-TH"/>
              </w:rPr>
              <w:t>El director general ha emprendido 2 nuevas iniciativas:</w:t>
            </w:r>
            <w:r w:rsidRPr="00CE4FE2">
              <w:rPr>
                <w:color w:val="002060"/>
                <w:sz w:val="16"/>
                <w:szCs w:val="16"/>
                <w:lang w:bidi="th-TH"/>
              </w:rPr>
              <w:t xml:space="preserve">  </w:t>
            </w:r>
          </w:p>
          <w:p w:rsidR="002E3AE7" w:rsidRPr="00CE4FE2" w:rsidRDefault="002E3AE7" w:rsidP="002E3AE7">
            <w:pPr>
              <w:pStyle w:val="ListParagraph"/>
              <w:keepNext/>
              <w:keepLines/>
              <w:numPr>
                <w:ilvl w:val="0"/>
                <w:numId w:val="83"/>
              </w:numPr>
              <w:ind w:left="201" w:hanging="201"/>
              <w:contextualSpacing/>
              <w:rPr>
                <w:rFonts w:eastAsia="SimSun" w:cs="Arial"/>
                <w:color w:val="002060"/>
                <w:sz w:val="16"/>
                <w:szCs w:val="16"/>
                <w:lang w:val="es-ES" w:eastAsia="zh-CN"/>
              </w:rPr>
            </w:pPr>
            <w:r w:rsidRPr="00CE4FE2">
              <w:rPr>
                <w:rFonts w:eastAsia="SimSun" w:cs="Arial"/>
                <w:color w:val="002060"/>
                <w:sz w:val="16"/>
                <w:szCs w:val="16"/>
                <w:lang w:val="es-ES_tradnl" w:eastAsia="zh-CN"/>
              </w:rPr>
              <w:t>Solicitud de condición de observador ante la Organización Internacional para las Migraciones (OIM) en 2014;</w:t>
            </w:r>
            <w:r w:rsidRPr="00CE4FE2">
              <w:rPr>
                <w:rFonts w:eastAsia="SimSun" w:cs="Arial"/>
                <w:color w:val="002060"/>
                <w:sz w:val="16"/>
                <w:szCs w:val="16"/>
                <w:lang w:val="es-ES" w:eastAsia="zh-CN"/>
              </w:rPr>
              <w:t xml:space="preserve">  </w:t>
            </w:r>
          </w:p>
          <w:p w:rsidR="002E3AE7" w:rsidRPr="00CE4FE2" w:rsidRDefault="002E3AE7" w:rsidP="002E3AE7">
            <w:pPr>
              <w:pStyle w:val="ListParagraph"/>
              <w:keepNext/>
              <w:keepLines/>
              <w:numPr>
                <w:ilvl w:val="0"/>
                <w:numId w:val="83"/>
              </w:numPr>
              <w:ind w:left="201" w:hanging="201"/>
              <w:contextualSpacing/>
              <w:rPr>
                <w:rFonts w:eastAsia="SimSun" w:cs="Arial"/>
                <w:color w:val="002060"/>
                <w:sz w:val="16"/>
                <w:szCs w:val="16"/>
                <w:lang w:val="es-ES" w:eastAsia="zh-CN"/>
              </w:rPr>
            </w:pPr>
            <w:r w:rsidRPr="00CE4FE2">
              <w:rPr>
                <w:rFonts w:eastAsia="SimSun" w:cs="Arial"/>
                <w:color w:val="002060"/>
                <w:sz w:val="16"/>
                <w:szCs w:val="16"/>
                <w:lang w:val="es-ES_tradnl" w:eastAsia="zh-CN"/>
              </w:rPr>
              <w:t>Incorporación en 2015 al Grupo de Trabajo Interinstitucional de las Naciones Unidas sobre un Mecanismo de Facilitación de la Tecnología (establecido en el marco de la Agenda de Acción de Addis Abeba)</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widowControl w:val="0"/>
              <w:ind w:left="-18"/>
              <w:rPr>
                <w:sz w:val="16"/>
                <w:szCs w:val="16"/>
              </w:rPr>
            </w:pPr>
            <w:r w:rsidRPr="003175EE">
              <w:rPr>
                <w:sz w:val="16"/>
                <w:szCs w:val="16"/>
              </w:rPr>
              <w:t>Una (2014)</w:t>
            </w:r>
          </w:p>
        </w:tc>
        <w:tc>
          <w:tcPr>
            <w:tcW w:w="699" w:type="pct"/>
            <w:shd w:val="clear" w:color="auto" w:fill="auto"/>
            <w:tcMar>
              <w:top w:w="110" w:type="dxa"/>
              <w:left w:w="58" w:type="dxa"/>
              <w:right w:w="58" w:type="dxa"/>
            </w:tcMar>
          </w:tcPr>
          <w:p w:rsidR="002E3AE7" w:rsidRPr="003175EE" w:rsidRDefault="002E3AE7" w:rsidP="003E0A02">
            <w:pPr>
              <w:widowControl w:val="0"/>
              <w:tabs>
                <w:tab w:val="left" w:pos="220"/>
              </w:tabs>
              <w:ind w:left="-18"/>
              <w:rPr>
                <w:sz w:val="16"/>
                <w:szCs w:val="16"/>
              </w:rPr>
            </w:pPr>
            <w:r w:rsidRPr="003175EE">
              <w:rPr>
                <w:sz w:val="16"/>
                <w:szCs w:val="16"/>
              </w:rPr>
              <w:t>Dos</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Simposio técnico OMC-OMPI-OMS sobre la resistencia a los antimicrobianos: Cómo promover la innovación, el acceso y un uso apropiado en materia de antibióticos, organizado por la OMPI, Ginebra, 26 de octubre de 2016 (1 iniciativa conjunta presidida por el Director General)</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565"/>
        </w:trPr>
        <w:tc>
          <w:tcPr>
            <w:tcW w:w="5000" w:type="pct"/>
            <w:gridSpan w:val="5"/>
            <w:shd w:val="clear" w:color="auto" w:fill="C6D9F1" w:themeFill="text2" w:themeFillTint="33"/>
            <w:tcMar>
              <w:left w:w="58" w:type="dxa"/>
              <w:right w:w="58" w:type="dxa"/>
            </w:tcMar>
            <w:vAlign w:val="center"/>
          </w:tcPr>
          <w:p w:rsidR="002E3AE7" w:rsidRPr="003175EE" w:rsidRDefault="002E3AE7" w:rsidP="003E0A02">
            <w:pPr>
              <w:keepNext/>
              <w:keepLines/>
              <w:widowControl w:val="0"/>
              <w:tabs>
                <w:tab w:val="left" w:pos="1452"/>
              </w:tabs>
              <w:ind w:left="1701" w:hanging="1701"/>
              <w:rPr>
                <w:bCs/>
                <w:sz w:val="16"/>
                <w:szCs w:val="16"/>
              </w:rPr>
            </w:pPr>
            <w:r w:rsidRPr="003175EE">
              <w:rPr>
                <w:b/>
                <w:bCs/>
                <w:sz w:val="16"/>
                <w:szCs w:val="16"/>
              </w:rPr>
              <w:lastRenderedPageBreak/>
              <w:t>Resultado previsto:</w:t>
            </w:r>
            <w:r w:rsidRPr="003175EE">
              <w:rPr>
                <w:b/>
                <w:bCs/>
                <w:sz w:val="16"/>
                <w:szCs w:val="16"/>
              </w:rPr>
              <w:tab/>
            </w:r>
            <w:r w:rsidRPr="003175EE">
              <w:rPr>
                <w:bCs/>
                <w:sz w:val="16"/>
                <w:szCs w:val="16"/>
                <w:lang w:val="es-ES_tradnl"/>
              </w:rPr>
              <w:t>IX.1  Servicios de apoyo eficaces, eficientes, de calidad y orientados al cliente, tanto a los usuarios internos como a las partes interesadas externas</w:t>
            </w:r>
          </w:p>
        </w:tc>
      </w:tr>
      <w:tr w:rsidR="002E3AE7" w:rsidRPr="003175EE" w:rsidTr="003E0A02">
        <w:tc>
          <w:tcPr>
            <w:tcW w:w="1074" w:type="pct"/>
            <w:shd w:val="clear" w:color="auto" w:fill="auto"/>
            <w:tcMar>
              <w:left w:w="58" w:type="dxa"/>
              <w:right w:w="58" w:type="dxa"/>
            </w:tcMar>
            <w:vAlign w:val="center"/>
          </w:tcPr>
          <w:p w:rsidR="002E3AE7" w:rsidRPr="003175EE" w:rsidRDefault="002E3AE7" w:rsidP="003E0A02">
            <w:pPr>
              <w:keepNext/>
              <w:keepLines/>
              <w:widowControl w:val="0"/>
              <w:rPr>
                <w:b/>
                <w:bCs/>
                <w:sz w:val="16"/>
                <w:szCs w:val="16"/>
              </w:rPr>
            </w:pPr>
            <w:r w:rsidRPr="003175EE">
              <w:rPr>
                <w:b/>
                <w:bCs/>
                <w:sz w:val="16"/>
                <w:szCs w:val="16"/>
                <w:lang w:val="es-ES_tradnl"/>
              </w:rPr>
              <w:t>Indicadores de rendimiento</w:t>
            </w:r>
          </w:p>
        </w:tc>
        <w:tc>
          <w:tcPr>
            <w:tcW w:w="1416" w:type="pct"/>
            <w:shd w:val="clear" w:color="auto" w:fill="auto"/>
            <w:tcMar>
              <w:left w:w="58" w:type="dxa"/>
              <w:right w:w="58" w:type="dxa"/>
            </w:tcMar>
            <w:vAlign w:val="center"/>
          </w:tcPr>
          <w:p w:rsidR="002E3AE7" w:rsidRPr="003175EE" w:rsidRDefault="002E3AE7" w:rsidP="003E0A02">
            <w:pPr>
              <w:keepNext/>
              <w:keepLines/>
              <w:widowControl w:val="0"/>
              <w:rPr>
                <w:b/>
                <w:bCs/>
                <w:sz w:val="16"/>
                <w:szCs w:val="16"/>
              </w:rPr>
            </w:pPr>
            <w:r w:rsidRPr="003175EE">
              <w:rPr>
                <w:b/>
                <w:bCs/>
                <w:sz w:val="16"/>
                <w:szCs w:val="16"/>
                <w:lang w:val="es-ES_tradnl"/>
              </w:rPr>
              <w:t>Referencia de base</w:t>
            </w:r>
          </w:p>
        </w:tc>
        <w:tc>
          <w:tcPr>
            <w:tcW w:w="699" w:type="pct"/>
            <w:shd w:val="clear" w:color="auto" w:fill="auto"/>
            <w:tcMar>
              <w:top w:w="110" w:type="dxa"/>
              <w:left w:w="58" w:type="dxa"/>
              <w:right w:w="58" w:type="dxa"/>
            </w:tcMar>
            <w:vAlign w:val="center"/>
          </w:tcPr>
          <w:p w:rsidR="002E3AE7" w:rsidRPr="003175EE" w:rsidRDefault="002E3AE7" w:rsidP="003E0A02">
            <w:pPr>
              <w:keepNext/>
              <w:keepLines/>
              <w:widowControl w:val="0"/>
              <w:rPr>
                <w:b/>
                <w:bCs/>
                <w:sz w:val="16"/>
                <w:szCs w:val="16"/>
              </w:rPr>
            </w:pPr>
            <w:r w:rsidRPr="003175EE">
              <w:rPr>
                <w:b/>
                <w:bCs/>
                <w:sz w:val="16"/>
                <w:szCs w:val="16"/>
                <w:lang w:val="es-ES_tradnl"/>
              </w:rPr>
              <w:t>Objetivos</w:t>
            </w:r>
          </w:p>
        </w:tc>
        <w:tc>
          <w:tcPr>
            <w:tcW w:w="1309" w:type="pct"/>
            <w:shd w:val="clear" w:color="auto" w:fill="FFFFFF"/>
            <w:tcMar>
              <w:top w:w="110" w:type="dxa"/>
              <w:left w:w="58" w:type="dxa"/>
              <w:right w:w="58" w:type="dxa"/>
            </w:tcMar>
            <w:vAlign w:val="center"/>
          </w:tcPr>
          <w:p w:rsidR="002E3AE7" w:rsidRPr="003175EE" w:rsidRDefault="002E3AE7" w:rsidP="003E0A02">
            <w:pPr>
              <w:keepNext/>
              <w:keepLines/>
              <w:widowControl w:val="0"/>
              <w:rPr>
                <w:b/>
                <w:bCs/>
                <w:sz w:val="16"/>
                <w:szCs w:val="16"/>
              </w:rPr>
            </w:pPr>
            <w:r w:rsidRPr="003175EE">
              <w:rPr>
                <w:b/>
                <w:bCs/>
                <w:sz w:val="16"/>
                <w:szCs w:val="16"/>
                <w:lang w:val="es-ES_tradnl"/>
              </w:rPr>
              <w:t>Datos sobre el rendimiento</w:t>
            </w:r>
          </w:p>
        </w:tc>
        <w:tc>
          <w:tcPr>
            <w:tcW w:w="501" w:type="pct"/>
            <w:shd w:val="clear" w:color="auto" w:fill="auto"/>
            <w:tcMar>
              <w:top w:w="110" w:type="dxa"/>
              <w:left w:w="58" w:type="dxa"/>
              <w:right w:w="58" w:type="dxa"/>
            </w:tcMar>
            <w:vAlign w:val="center"/>
          </w:tcPr>
          <w:p w:rsidR="002E3AE7" w:rsidRPr="003175EE" w:rsidRDefault="002E3AE7" w:rsidP="003E0A02">
            <w:pPr>
              <w:keepNext/>
              <w:keepLines/>
              <w:widowControl w:val="0"/>
              <w:jc w:val="center"/>
              <w:rPr>
                <w:b/>
                <w:bCs/>
                <w:sz w:val="16"/>
                <w:szCs w:val="16"/>
              </w:rPr>
            </w:pPr>
            <w:r w:rsidRPr="003175EE">
              <w:rPr>
                <w:b/>
                <w:bCs/>
                <w:sz w:val="16"/>
                <w:szCs w:val="16"/>
                <w:lang w:val="es-ES_tradnl"/>
              </w:rPr>
              <w:t>Clave de colores</w:t>
            </w:r>
          </w:p>
        </w:tc>
      </w:tr>
      <w:tr w:rsidR="002E3AE7" w:rsidRPr="003175EE" w:rsidTr="003E0A02">
        <w:trPr>
          <w:trHeight w:val="1390"/>
        </w:trPr>
        <w:tc>
          <w:tcPr>
            <w:tcW w:w="1074" w:type="pct"/>
            <w:shd w:val="clear" w:color="auto" w:fill="auto"/>
            <w:tcMar>
              <w:left w:w="58" w:type="dxa"/>
              <w:right w:w="58" w:type="dxa"/>
            </w:tcMar>
          </w:tcPr>
          <w:p w:rsidR="002E3AE7" w:rsidRPr="003175EE" w:rsidRDefault="002E3AE7" w:rsidP="003E0A02">
            <w:pPr>
              <w:keepNext/>
              <w:keepLines/>
              <w:widowControl w:val="0"/>
              <w:ind w:left="-18"/>
              <w:rPr>
                <w:sz w:val="16"/>
                <w:szCs w:val="16"/>
              </w:rPr>
            </w:pPr>
            <w:r w:rsidRPr="003175EE">
              <w:rPr>
                <w:sz w:val="16"/>
                <w:szCs w:val="16"/>
                <w:lang w:val="es-ES_tradnl"/>
              </w:rPr>
              <w:t>% de peticiones de asesoramiento y servicios jurídicos que reciben respuestas rápidas de la Oficina del Consejero Jurídico</w:t>
            </w:r>
          </w:p>
        </w:tc>
        <w:tc>
          <w:tcPr>
            <w:tcW w:w="1416" w:type="pct"/>
            <w:shd w:val="clear" w:color="auto" w:fill="auto"/>
            <w:tcMar>
              <w:left w:w="58" w:type="dxa"/>
              <w:right w:w="58" w:type="dxa"/>
            </w:tcMar>
          </w:tcPr>
          <w:p w:rsidR="002E3AE7" w:rsidRPr="00CE4FE2" w:rsidRDefault="002E3AE7" w:rsidP="003E0A02">
            <w:pPr>
              <w:keepNext/>
              <w:keepLines/>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keepNext/>
              <w:keepLines/>
              <w:widowControl w:val="0"/>
              <w:rPr>
                <w:color w:val="002060"/>
                <w:sz w:val="16"/>
                <w:szCs w:val="16"/>
              </w:rPr>
            </w:pPr>
            <w:r w:rsidRPr="00CE4FE2">
              <w:rPr>
                <w:color w:val="002060"/>
                <w:sz w:val="16"/>
                <w:szCs w:val="16"/>
              </w:rPr>
              <w:t>95% en 2014/15</w:t>
            </w:r>
          </w:p>
          <w:p w:rsidR="002E3AE7" w:rsidRPr="003175EE" w:rsidRDefault="002E3AE7" w:rsidP="003E0A02">
            <w:pPr>
              <w:keepNext/>
              <w:keepLines/>
              <w:widowControl w:val="0"/>
              <w:rPr>
                <w:sz w:val="16"/>
                <w:szCs w:val="16"/>
              </w:rPr>
            </w:pPr>
          </w:p>
          <w:p w:rsidR="002E3AE7" w:rsidRPr="003175EE" w:rsidRDefault="002E3AE7" w:rsidP="003E0A02">
            <w:pPr>
              <w:keepNext/>
              <w:keepLines/>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keepNext/>
              <w:keepLines/>
              <w:widowControl w:val="0"/>
              <w:ind w:left="-18"/>
              <w:rPr>
                <w:sz w:val="16"/>
                <w:szCs w:val="16"/>
              </w:rPr>
            </w:pPr>
            <w:r w:rsidRPr="003175EE">
              <w:rPr>
                <w:sz w:val="16"/>
                <w:szCs w:val="16"/>
              </w:rPr>
              <w:t>95%</w:t>
            </w:r>
          </w:p>
        </w:tc>
        <w:tc>
          <w:tcPr>
            <w:tcW w:w="699" w:type="pct"/>
            <w:shd w:val="clear" w:color="auto" w:fill="auto"/>
            <w:tcMar>
              <w:top w:w="110" w:type="dxa"/>
              <w:left w:w="58" w:type="dxa"/>
              <w:right w:w="58" w:type="dxa"/>
            </w:tcMar>
          </w:tcPr>
          <w:p w:rsidR="002E3AE7" w:rsidRPr="003175EE" w:rsidRDefault="002E3AE7" w:rsidP="003E0A02">
            <w:pPr>
              <w:keepNext/>
              <w:keepLines/>
              <w:widowControl w:val="0"/>
              <w:tabs>
                <w:tab w:val="left" w:pos="267"/>
              </w:tabs>
              <w:ind w:left="-18"/>
              <w:rPr>
                <w:sz w:val="16"/>
                <w:szCs w:val="16"/>
              </w:rPr>
            </w:pPr>
            <w:r w:rsidRPr="003175EE">
              <w:rPr>
                <w:sz w:val="16"/>
                <w:szCs w:val="16"/>
              </w:rPr>
              <w:t xml:space="preserve"> 95%</w:t>
            </w:r>
          </w:p>
        </w:tc>
        <w:tc>
          <w:tcPr>
            <w:tcW w:w="1309" w:type="pct"/>
            <w:shd w:val="clear" w:color="auto" w:fill="FFFFFF"/>
            <w:tcMar>
              <w:top w:w="110" w:type="dxa"/>
              <w:left w:w="58" w:type="dxa"/>
              <w:right w:w="58" w:type="dxa"/>
            </w:tcMar>
          </w:tcPr>
          <w:p w:rsidR="002E3AE7" w:rsidRPr="003175EE" w:rsidRDefault="002E3AE7" w:rsidP="003E0A02">
            <w:pPr>
              <w:keepNext/>
              <w:keepLines/>
              <w:widowControl w:val="0"/>
              <w:rPr>
                <w:sz w:val="16"/>
                <w:szCs w:val="16"/>
              </w:rPr>
            </w:pPr>
            <w:r w:rsidRPr="003175EE">
              <w:rPr>
                <w:sz w:val="16"/>
                <w:szCs w:val="16"/>
              </w:rPr>
              <w:t>El 95% recibió una respuesta rápida de la Oficina del Consejero Jurídico</w:t>
            </w:r>
          </w:p>
        </w:tc>
        <w:tc>
          <w:tcPr>
            <w:tcW w:w="501" w:type="pct"/>
            <w:shd w:val="clear" w:color="auto" w:fill="auto"/>
            <w:tcMar>
              <w:top w:w="110" w:type="dxa"/>
              <w:left w:w="58" w:type="dxa"/>
              <w:right w:w="58" w:type="dxa"/>
            </w:tcMar>
          </w:tcPr>
          <w:p w:rsidR="002E3AE7" w:rsidRPr="003175EE" w:rsidRDefault="002E3AE7" w:rsidP="003E0A02">
            <w:pPr>
              <w:keepNext/>
              <w:keepLines/>
              <w:widowControl w:val="0"/>
              <w:jc w:val="center"/>
              <w:rPr>
                <w:sz w:val="16"/>
                <w:szCs w:val="16"/>
              </w:rPr>
            </w:pPr>
            <w:r w:rsidRPr="003175EE">
              <w:rPr>
                <w:b/>
                <w:color w:val="00B050"/>
                <w:sz w:val="16"/>
                <w:szCs w:val="16"/>
                <w:lang w:val="es-ES_tradnl"/>
              </w:rPr>
              <w:t>Avanza</w:t>
            </w:r>
          </w:p>
        </w:tc>
      </w:tr>
      <w:tr w:rsidR="002E3AE7" w:rsidRPr="003175EE" w:rsidTr="003E0A02">
        <w:trPr>
          <w:trHeight w:val="565"/>
        </w:trPr>
        <w:tc>
          <w:tcPr>
            <w:tcW w:w="5000" w:type="pct"/>
            <w:gridSpan w:val="5"/>
            <w:shd w:val="clear" w:color="auto" w:fill="C6D9F1" w:themeFill="text2" w:themeFillTint="33"/>
            <w:tcMar>
              <w:left w:w="58" w:type="dxa"/>
              <w:right w:w="58" w:type="dxa"/>
            </w:tcMar>
            <w:vAlign w:val="center"/>
          </w:tcPr>
          <w:p w:rsidR="002E3AE7" w:rsidRPr="003175EE" w:rsidRDefault="002E3AE7" w:rsidP="003E0A02">
            <w:pPr>
              <w:widowControl w:val="0"/>
              <w:tabs>
                <w:tab w:val="left" w:pos="1452"/>
              </w:tabs>
              <w:ind w:left="1701" w:hanging="1701"/>
              <w:rPr>
                <w:bCs/>
                <w:sz w:val="16"/>
                <w:szCs w:val="16"/>
              </w:rPr>
            </w:pPr>
            <w:r w:rsidRPr="003175EE">
              <w:rPr>
                <w:b/>
                <w:bCs/>
                <w:sz w:val="16"/>
                <w:szCs w:val="16"/>
              </w:rPr>
              <w:t>Resultado previsto:</w:t>
            </w:r>
            <w:r w:rsidRPr="003175EE">
              <w:rPr>
                <w:b/>
                <w:bCs/>
                <w:sz w:val="16"/>
                <w:szCs w:val="16"/>
              </w:rPr>
              <w:tab/>
            </w:r>
            <w:r w:rsidRPr="003175EE">
              <w:rPr>
                <w:bCs/>
                <w:sz w:val="16"/>
                <w:szCs w:val="16"/>
                <w:lang w:val="es-ES_tradnl"/>
              </w:rPr>
              <w:t>IX.2  Funcionamiento sin contratiempos de la Secretaría, provista de un personal bien dirigido, dotado de las competencias adecuadas, y capaz de conseguir resultados</w:t>
            </w:r>
          </w:p>
        </w:tc>
      </w:tr>
      <w:tr w:rsidR="002E3AE7" w:rsidRPr="003175EE" w:rsidTr="003E0A02">
        <w:tc>
          <w:tcPr>
            <w:tcW w:w="1074"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Indicadores de rendimiento</w:t>
            </w:r>
          </w:p>
        </w:tc>
        <w:tc>
          <w:tcPr>
            <w:tcW w:w="1416"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Referencia de base</w:t>
            </w:r>
          </w:p>
        </w:tc>
        <w:tc>
          <w:tcPr>
            <w:tcW w:w="699" w:type="pct"/>
            <w:shd w:val="clear" w:color="auto" w:fill="auto"/>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Objetivos</w:t>
            </w:r>
          </w:p>
        </w:tc>
        <w:tc>
          <w:tcPr>
            <w:tcW w:w="1309" w:type="pct"/>
            <w:shd w:val="clear" w:color="auto" w:fill="FFFFFF"/>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Datos sobre el rendimiento</w:t>
            </w:r>
          </w:p>
        </w:tc>
        <w:tc>
          <w:tcPr>
            <w:tcW w:w="501" w:type="pct"/>
            <w:shd w:val="clear" w:color="auto" w:fill="auto"/>
            <w:tcMar>
              <w:top w:w="110" w:type="dxa"/>
              <w:left w:w="58" w:type="dxa"/>
              <w:right w:w="58" w:type="dxa"/>
            </w:tcMar>
            <w:vAlign w:val="center"/>
          </w:tcPr>
          <w:p w:rsidR="002E3AE7" w:rsidRPr="003175EE" w:rsidRDefault="002E3AE7" w:rsidP="003E0A02">
            <w:pPr>
              <w:widowControl w:val="0"/>
              <w:jc w:val="center"/>
              <w:rPr>
                <w:b/>
                <w:bCs/>
                <w:sz w:val="16"/>
                <w:szCs w:val="16"/>
              </w:rPr>
            </w:pPr>
            <w:r w:rsidRPr="003175EE">
              <w:rPr>
                <w:b/>
                <w:bCs/>
                <w:sz w:val="16"/>
                <w:szCs w:val="16"/>
                <w:lang w:val="es-ES_tradnl"/>
              </w:rPr>
              <w:t>Clave de colores</w:t>
            </w:r>
          </w:p>
        </w:tc>
      </w:tr>
      <w:tr w:rsidR="002E3AE7" w:rsidRPr="003175EE" w:rsidTr="003E0A02">
        <w:trPr>
          <w:trHeight w:val="1749"/>
        </w:trPr>
        <w:tc>
          <w:tcPr>
            <w:tcW w:w="1074" w:type="pct"/>
            <w:shd w:val="clear" w:color="auto" w:fill="auto"/>
            <w:tcMar>
              <w:left w:w="58" w:type="dxa"/>
              <w:right w:w="58" w:type="dxa"/>
            </w:tcMar>
          </w:tcPr>
          <w:p w:rsidR="002E3AE7" w:rsidRPr="003175EE" w:rsidRDefault="002E3AE7" w:rsidP="003E0A02">
            <w:pPr>
              <w:widowControl w:val="0"/>
              <w:ind w:left="-18"/>
              <w:rPr>
                <w:sz w:val="16"/>
                <w:szCs w:val="16"/>
              </w:rPr>
            </w:pPr>
            <w:r w:rsidRPr="003175EE">
              <w:rPr>
                <w:sz w:val="16"/>
                <w:szCs w:val="16"/>
              </w:rPr>
              <w:t>Establecimiento de un nuevo marco institucional de reacción y recuperación y de continuidad de las actividades y documentación conexa</w:t>
            </w:r>
          </w:p>
        </w:tc>
        <w:tc>
          <w:tcPr>
            <w:tcW w:w="1416" w:type="pct"/>
            <w:shd w:val="clear" w:color="auto" w:fill="auto"/>
            <w:tcMar>
              <w:left w:w="58" w:type="dxa"/>
              <w:right w:w="58" w:type="dxa"/>
            </w:tcMar>
          </w:tcPr>
          <w:p w:rsidR="002E3AE7" w:rsidRPr="003175EE" w:rsidRDefault="002E3AE7" w:rsidP="003E0A02">
            <w:pPr>
              <w:widowControl w:val="0"/>
              <w:ind w:left="-18"/>
              <w:rPr>
                <w:sz w:val="16"/>
                <w:szCs w:val="16"/>
              </w:rPr>
            </w:pPr>
            <w:r w:rsidRPr="003175EE">
              <w:rPr>
                <w:sz w:val="16"/>
                <w:szCs w:val="16"/>
              </w:rPr>
              <w:t>El marco actual no es lo suficientemente amplio y debe ser reemplazado</w:t>
            </w:r>
          </w:p>
        </w:tc>
        <w:tc>
          <w:tcPr>
            <w:tcW w:w="699" w:type="pct"/>
            <w:shd w:val="clear" w:color="auto" w:fill="auto"/>
            <w:tcMar>
              <w:top w:w="110" w:type="dxa"/>
              <w:left w:w="58" w:type="dxa"/>
              <w:right w:w="58" w:type="dxa"/>
            </w:tcMar>
          </w:tcPr>
          <w:p w:rsidR="002E3AE7" w:rsidRPr="00156844" w:rsidRDefault="002E3AE7" w:rsidP="00156844">
            <w:pPr>
              <w:widowControl w:val="0"/>
              <w:spacing w:after="60"/>
              <w:ind w:left="-18"/>
              <w:rPr>
                <w:sz w:val="16"/>
                <w:szCs w:val="16"/>
                <w:lang w:val="es-ES_tradnl"/>
              </w:rPr>
            </w:pPr>
            <w:r w:rsidRPr="003175EE">
              <w:rPr>
                <w:sz w:val="16"/>
                <w:szCs w:val="16"/>
                <w:lang w:val="es-ES_tradnl"/>
              </w:rPr>
              <w:t>Elaboración de estrategias y planes institucionales de reacción y recuperación y de continuidad de las actividades para las es</w:t>
            </w:r>
            <w:r w:rsidR="00156844">
              <w:rPr>
                <w:sz w:val="16"/>
                <w:szCs w:val="16"/>
                <w:lang w:val="es-ES_tradnl"/>
              </w:rPr>
              <w:t>feras clave de la Organización.</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 se elaboró y publicó un plan de pandemia</w:t>
            </w:r>
          </w:p>
          <w:p w:rsidR="002E3AE7" w:rsidRPr="003175EE" w:rsidRDefault="002E3AE7" w:rsidP="003E0A02">
            <w:pPr>
              <w:widowControl w:val="0"/>
              <w:rPr>
                <w:sz w:val="16"/>
                <w:szCs w:val="16"/>
              </w:rPr>
            </w:pPr>
            <w:r w:rsidRPr="003175EE">
              <w:rPr>
                <w:sz w:val="16"/>
                <w:szCs w:val="16"/>
              </w:rPr>
              <w:t>- se llevaron a cabo 15 análisis de incidencia en las operaciones respecto de las funciones esenciales,  las funciones de apoyo y los datos y sistemas esenciales de la Organización</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r w:rsidR="002E3AE7" w:rsidRPr="003175EE" w:rsidTr="003E0A02">
        <w:trPr>
          <w:trHeight w:val="565"/>
        </w:trPr>
        <w:tc>
          <w:tcPr>
            <w:tcW w:w="5000" w:type="pct"/>
            <w:gridSpan w:val="5"/>
            <w:shd w:val="clear" w:color="auto" w:fill="C6D9F1" w:themeFill="text2" w:themeFillTint="33"/>
            <w:tcMar>
              <w:left w:w="58" w:type="dxa"/>
              <w:right w:w="58" w:type="dxa"/>
            </w:tcMar>
            <w:vAlign w:val="center"/>
          </w:tcPr>
          <w:p w:rsidR="002E3AE7" w:rsidRPr="003175EE" w:rsidRDefault="002E3AE7" w:rsidP="003E0A02">
            <w:pPr>
              <w:widowControl w:val="0"/>
              <w:tabs>
                <w:tab w:val="left" w:pos="1452"/>
              </w:tabs>
              <w:ind w:left="1701" w:hanging="1701"/>
              <w:rPr>
                <w:bCs/>
                <w:sz w:val="16"/>
                <w:szCs w:val="16"/>
              </w:rPr>
            </w:pPr>
            <w:r w:rsidRPr="003175EE">
              <w:rPr>
                <w:b/>
                <w:bCs/>
                <w:sz w:val="16"/>
                <w:szCs w:val="16"/>
              </w:rPr>
              <w:t>Resultado previsto:</w:t>
            </w:r>
            <w:r w:rsidRPr="003175EE">
              <w:rPr>
                <w:b/>
                <w:bCs/>
                <w:sz w:val="16"/>
                <w:szCs w:val="16"/>
              </w:rPr>
              <w:tab/>
            </w:r>
            <w:r w:rsidRPr="003175EE">
              <w:rPr>
                <w:bCs/>
                <w:sz w:val="16"/>
                <w:szCs w:val="16"/>
                <w:lang w:val="es-ES_tradnl"/>
              </w:rPr>
              <w:t>IX.3  Entorno de trabajo propicio basado en un marco regulador eficaz y medios adecuados para atender los temas de interés del personal</w:t>
            </w:r>
          </w:p>
        </w:tc>
      </w:tr>
      <w:tr w:rsidR="002E3AE7" w:rsidRPr="003175EE" w:rsidTr="003E0A02">
        <w:tc>
          <w:tcPr>
            <w:tcW w:w="1074"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Indicadores de rendimiento</w:t>
            </w:r>
          </w:p>
        </w:tc>
        <w:tc>
          <w:tcPr>
            <w:tcW w:w="1416" w:type="pct"/>
            <w:shd w:val="clear" w:color="auto" w:fill="auto"/>
            <w:tcMar>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Referencias de base</w:t>
            </w:r>
          </w:p>
        </w:tc>
        <w:tc>
          <w:tcPr>
            <w:tcW w:w="699" w:type="pct"/>
            <w:shd w:val="clear" w:color="auto" w:fill="auto"/>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Objetivos</w:t>
            </w:r>
          </w:p>
        </w:tc>
        <w:tc>
          <w:tcPr>
            <w:tcW w:w="1309" w:type="pct"/>
            <w:shd w:val="clear" w:color="auto" w:fill="FFFFFF"/>
            <w:tcMar>
              <w:top w:w="110" w:type="dxa"/>
              <w:left w:w="58" w:type="dxa"/>
              <w:right w:w="58" w:type="dxa"/>
            </w:tcMar>
            <w:vAlign w:val="center"/>
          </w:tcPr>
          <w:p w:rsidR="002E3AE7" w:rsidRPr="003175EE" w:rsidRDefault="002E3AE7" w:rsidP="003E0A02">
            <w:pPr>
              <w:widowControl w:val="0"/>
              <w:rPr>
                <w:b/>
                <w:bCs/>
                <w:sz w:val="16"/>
                <w:szCs w:val="16"/>
              </w:rPr>
            </w:pPr>
            <w:r w:rsidRPr="003175EE">
              <w:rPr>
                <w:b/>
                <w:bCs/>
                <w:sz w:val="16"/>
                <w:szCs w:val="16"/>
                <w:lang w:val="es-ES_tradnl"/>
              </w:rPr>
              <w:t>Datos sobre el rendimiento</w:t>
            </w:r>
          </w:p>
        </w:tc>
        <w:tc>
          <w:tcPr>
            <w:tcW w:w="501" w:type="pct"/>
            <w:shd w:val="clear" w:color="auto" w:fill="auto"/>
            <w:tcMar>
              <w:top w:w="110" w:type="dxa"/>
              <w:left w:w="58" w:type="dxa"/>
              <w:right w:w="58" w:type="dxa"/>
            </w:tcMar>
            <w:vAlign w:val="center"/>
          </w:tcPr>
          <w:p w:rsidR="002E3AE7" w:rsidRPr="003175EE" w:rsidRDefault="002E3AE7" w:rsidP="003E0A02">
            <w:pPr>
              <w:widowControl w:val="0"/>
              <w:jc w:val="center"/>
              <w:rPr>
                <w:b/>
                <w:bCs/>
                <w:sz w:val="16"/>
                <w:szCs w:val="16"/>
              </w:rPr>
            </w:pPr>
            <w:r w:rsidRPr="003175EE">
              <w:rPr>
                <w:b/>
                <w:bCs/>
                <w:sz w:val="16"/>
                <w:szCs w:val="16"/>
                <w:lang w:val="es-ES_tradnl"/>
              </w:rPr>
              <w:t>Clave de colores</w:t>
            </w:r>
          </w:p>
        </w:tc>
      </w:tr>
      <w:tr w:rsidR="002E3AE7" w:rsidRPr="003175EE" w:rsidTr="00156844">
        <w:trPr>
          <w:trHeight w:val="1931"/>
        </w:trPr>
        <w:tc>
          <w:tcPr>
            <w:tcW w:w="1074" w:type="pct"/>
            <w:shd w:val="clear" w:color="auto" w:fill="auto"/>
            <w:tcMar>
              <w:left w:w="58" w:type="dxa"/>
              <w:right w:w="58" w:type="dxa"/>
            </w:tcMar>
          </w:tcPr>
          <w:p w:rsidR="002E3AE7" w:rsidRPr="003175EE" w:rsidRDefault="002E3AE7" w:rsidP="003E0A02">
            <w:pPr>
              <w:widowControl w:val="0"/>
              <w:ind w:left="-18"/>
              <w:rPr>
                <w:sz w:val="16"/>
                <w:szCs w:val="16"/>
              </w:rPr>
            </w:pPr>
            <w:r w:rsidRPr="003175EE">
              <w:rPr>
                <w:sz w:val="16"/>
                <w:szCs w:val="16"/>
              </w:rPr>
              <w:t>% de miembros del personal de la OMPI que tiene conocimiento de los servicios disponibles en la Oficina del Mediador y del mecanismo informal de solución de conflictos</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widowControl w:val="0"/>
              <w:rPr>
                <w:color w:val="002060"/>
                <w:sz w:val="16"/>
                <w:szCs w:val="16"/>
              </w:rPr>
            </w:pPr>
            <w:r w:rsidRPr="00CE4FE2">
              <w:rPr>
                <w:color w:val="002060"/>
                <w:sz w:val="16"/>
                <w:szCs w:val="16"/>
                <w:lang w:val="es-ES_tradnl"/>
              </w:rPr>
              <w:t>La encuesta entre el personal prevista para 2015 no se realizó.</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156844">
            <w:pPr>
              <w:widowControl w:val="0"/>
              <w:ind w:left="-18"/>
              <w:rPr>
                <w:sz w:val="16"/>
                <w:szCs w:val="16"/>
              </w:rPr>
            </w:pPr>
            <w:r w:rsidRPr="003175EE">
              <w:rPr>
                <w:sz w:val="16"/>
                <w:szCs w:val="16"/>
                <w:lang w:val="es-ES_tradnl"/>
              </w:rPr>
              <w:t>Encuesta de 2013:  el 63% tiene pleno conocimiento.</w:t>
            </w:r>
            <w:r w:rsidRPr="003175EE">
              <w:rPr>
                <w:sz w:val="16"/>
                <w:szCs w:val="16"/>
              </w:rPr>
              <w:t xml:space="preserve">  </w:t>
            </w:r>
            <w:r w:rsidRPr="003175EE">
              <w:rPr>
                <w:sz w:val="16"/>
                <w:szCs w:val="16"/>
                <w:lang w:val="es-ES_tradnl"/>
              </w:rPr>
              <w:t>Se prevé realizar otra encuesta en 2015.</w:t>
            </w:r>
          </w:p>
        </w:tc>
        <w:tc>
          <w:tcPr>
            <w:tcW w:w="699" w:type="pct"/>
            <w:shd w:val="clear" w:color="auto" w:fill="auto"/>
            <w:tcMar>
              <w:top w:w="110" w:type="dxa"/>
              <w:left w:w="58" w:type="dxa"/>
              <w:right w:w="58" w:type="dxa"/>
            </w:tcMar>
          </w:tcPr>
          <w:p w:rsidR="002E3AE7" w:rsidRPr="003175EE" w:rsidRDefault="002E3AE7" w:rsidP="003E0A02">
            <w:pPr>
              <w:widowControl w:val="0"/>
              <w:tabs>
                <w:tab w:val="left" w:pos="220"/>
              </w:tabs>
              <w:ind w:left="-18"/>
              <w:rPr>
                <w:sz w:val="16"/>
                <w:szCs w:val="16"/>
              </w:rPr>
            </w:pPr>
            <w:r w:rsidRPr="003175EE">
              <w:rPr>
                <w:sz w:val="16"/>
                <w:szCs w:val="16"/>
              </w:rPr>
              <w:t>70%</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No se realizó una encuesta en 2016</w:t>
            </w:r>
          </w:p>
        </w:tc>
        <w:tc>
          <w:tcPr>
            <w:tcW w:w="501" w:type="pct"/>
            <w:shd w:val="clear" w:color="auto" w:fill="auto"/>
            <w:tcMar>
              <w:top w:w="110" w:type="dxa"/>
              <w:left w:w="58" w:type="dxa"/>
              <w:right w:w="58" w:type="dxa"/>
            </w:tcMar>
          </w:tcPr>
          <w:p w:rsidR="002E3AE7" w:rsidRPr="002C00CD" w:rsidRDefault="0092565D" w:rsidP="003E0A02">
            <w:pPr>
              <w:widowControl w:val="0"/>
              <w:jc w:val="center"/>
              <w:rPr>
                <w:b/>
                <w:sz w:val="16"/>
                <w:szCs w:val="16"/>
              </w:rPr>
            </w:pPr>
            <w:r w:rsidRPr="006C1C3C">
              <w:rPr>
                <w:b/>
                <w:color w:val="808080"/>
                <w:sz w:val="16"/>
                <w:szCs w:val="16"/>
              </w:rPr>
              <w:t>No mensura</w:t>
            </w:r>
            <w:r>
              <w:rPr>
                <w:b/>
                <w:color w:val="808080"/>
                <w:sz w:val="16"/>
                <w:szCs w:val="16"/>
              </w:rPr>
              <w:t>-</w:t>
            </w:r>
            <w:proofErr w:type="spellStart"/>
            <w:r w:rsidRPr="006C1C3C">
              <w:rPr>
                <w:b/>
                <w:color w:val="808080"/>
                <w:sz w:val="16"/>
                <w:szCs w:val="16"/>
              </w:rPr>
              <w:t>ble</w:t>
            </w:r>
            <w:proofErr w:type="spellEnd"/>
          </w:p>
        </w:tc>
      </w:tr>
      <w:tr w:rsidR="002E3AE7" w:rsidRPr="003175EE" w:rsidTr="003E0A02">
        <w:trPr>
          <w:trHeight w:val="1582"/>
        </w:trPr>
        <w:tc>
          <w:tcPr>
            <w:tcW w:w="1074" w:type="pct"/>
            <w:shd w:val="clear" w:color="auto" w:fill="auto"/>
            <w:tcMar>
              <w:left w:w="58" w:type="dxa"/>
              <w:right w:w="58" w:type="dxa"/>
            </w:tcMar>
          </w:tcPr>
          <w:p w:rsidR="002E3AE7" w:rsidRPr="003175EE" w:rsidRDefault="002E3AE7" w:rsidP="003E0A02">
            <w:pPr>
              <w:widowControl w:val="0"/>
              <w:ind w:left="-18"/>
              <w:rPr>
                <w:sz w:val="16"/>
                <w:szCs w:val="16"/>
              </w:rPr>
            </w:pPr>
            <w:r w:rsidRPr="003175EE">
              <w:rPr>
                <w:sz w:val="16"/>
                <w:szCs w:val="16"/>
                <w:lang w:val="es-ES_tradnl"/>
              </w:rPr>
              <w:t>% de miembros del personal de la OMPI que tiene conocimiento de los principios y políticas de la OMPI en materia de ética</w:t>
            </w:r>
          </w:p>
        </w:tc>
        <w:tc>
          <w:tcPr>
            <w:tcW w:w="1416" w:type="pct"/>
            <w:shd w:val="clear" w:color="auto" w:fill="auto"/>
            <w:tcMar>
              <w:left w:w="58" w:type="dxa"/>
              <w:right w:w="58" w:type="dxa"/>
            </w:tcMar>
          </w:tcPr>
          <w:p w:rsidR="002E3AE7" w:rsidRPr="00CE4FE2" w:rsidRDefault="002E3AE7" w:rsidP="003E0A02">
            <w:pPr>
              <w:widowControl w:val="0"/>
              <w:rPr>
                <w:i/>
                <w:color w:val="002060"/>
                <w:sz w:val="16"/>
                <w:szCs w:val="16"/>
              </w:rPr>
            </w:pPr>
            <w:r w:rsidRPr="00CE4FE2">
              <w:rPr>
                <w:i/>
                <w:color w:val="002060"/>
                <w:sz w:val="16"/>
                <w:szCs w:val="16"/>
                <w:lang w:val="es-ES_tradnl"/>
              </w:rPr>
              <w:t>Referencia actualizada a fines de 2015:</w:t>
            </w:r>
            <w:r w:rsidRPr="00CE4FE2">
              <w:rPr>
                <w:i/>
                <w:color w:val="002060"/>
                <w:sz w:val="16"/>
                <w:szCs w:val="16"/>
              </w:rPr>
              <w:t xml:space="preserve">  </w:t>
            </w:r>
          </w:p>
          <w:p w:rsidR="002E3AE7" w:rsidRPr="00CE4FE2" w:rsidRDefault="002E3AE7" w:rsidP="003E0A02">
            <w:pPr>
              <w:widowControl w:val="0"/>
              <w:rPr>
                <w:color w:val="002060"/>
                <w:sz w:val="16"/>
                <w:szCs w:val="16"/>
              </w:rPr>
            </w:pPr>
            <w:r w:rsidRPr="00CE4FE2">
              <w:rPr>
                <w:color w:val="002060"/>
                <w:sz w:val="16"/>
                <w:szCs w:val="16"/>
                <w:lang w:val="es-ES_tradnl"/>
              </w:rPr>
              <w:t>La encuesta del personal prevista para el bienio no se llevó a cabo</w:t>
            </w:r>
          </w:p>
          <w:p w:rsidR="002E3AE7" w:rsidRPr="003175EE" w:rsidRDefault="002E3AE7" w:rsidP="003E0A02">
            <w:pPr>
              <w:widowControl w:val="0"/>
              <w:rPr>
                <w:sz w:val="16"/>
                <w:szCs w:val="16"/>
              </w:rPr>
            </w:pPr>
          </w:p>
          <w:p w:rsidR="002E3AE7" w:rsidRPr="003175EE" w:rsidRDefault="002E3AE7" w:rsidP="003E0A02">
            <w:pPr>
              <w:widowControl w:val="0"/>
              <w:rPr>
                <w:i/>
                <w:sz w:val="16"/>
                <w:szCs w:val="16"/>
                <w:lang w:bidi="th-TH"/>
              </w:rPr>
            </w:pPr>
            <w:r w:rsidRPr="003175EE">
              <w:rPr>
                <w:i/>
                <w:sz w:val="16"/>
                <w:szCs w:val="16"/>
                <w:lang w:val="es-ES_tradnl" w:bidi="th-TH"/>
              </w:rPr>
              <w:t>Referencia original en el presupuesto de 2016/17:</w:t>
            </w:r>
            <w:r w:rsidRPr="003175EE">
              <w:rPr>
                <w:i/>
                <w:sz w:val="16"/>
                <w:szCs w:val="16"/>
                <w:lang w:bidi="th-TH"/>
              </w:rPr>
              <w:t xml:space="preserve">  </w:t>
            </w:r>
          </w:p>
          <w:p w:rsidR="002E3AE7" w:rsidRPr="003175EE" w:rsidRDefault="002E3AE7" w:rsidP="003E0A02">
            <w:pPr>
              <w:widowControl w:val="0"/>
              <w:spacing w:after="240"/>
              <w:ind w:left="-18"/>
              <w:rPr>
                <w:sz w:val="16"/>
                <w:szCs w:val="16"/>
              </w:rPr>
            </w:pPr>
            <w:r w:rsidRPr="003175EE">
              <w:rPr>
                <w:sz w:val="16"/>
                <w:szCs w:val="16"/>
                <w:lang w:val="es-ES_tradnl"/>
              </w:rPr>
              <w:t>El 98%, según la encuesta sobre las prioridades centrales del Programa de Alineación Estratégica (realizada en 2013).</w:t>
            </w:r>
            <w:r w:rsidRPr="003175EE">
              <w:rPr>
                <w:sz w:val="16"/>
                <w:szCs w:val="16"/>
              </w:rPr>
              <w:t xml:space="preserve">  </w:t>
            </w:r>
            <w:r w:rsidRPr="003175EE">
              <w:rPr>
                <w:sz w:val="16"/>
                <w:szCs w:val="16"/>
                <w:lang w:val="es-ES_tradnl"/>
              </w:rPr>
              <w:t>Se prevé realizar otra encuesta en 2015.</w:t>
            </w:r>
          </w:p>
        </w:tc>
        <w:tc>
          <w:tcPr>
            <w:tcW w:w="699" w:type="pct"/>
            <w:shd w:val="clear" w:color="auto" w:fill="auto"/>
            <w:tcMar>
              <w:top w:w="110" w:type="dxa"/>
              <w:left w:w="58" w:type="dxa"/>
              <w:right w:w="58" w:type="dxa"/>
            </w:tcMar>
          </w:tcPr>
          <w:p w:rsidR="002E3AE7" w:rsidRPr="003175EE" w:rsidRDefault="002E3AE7" w:rsidP="0092565D">
            <w:pPr>
              <w:widowControl w:val="0"/>
              <w:tabs>
                <w:tab w:val="left" w:pos="220"/>
              </w:tabs>
              <w:ind w:left="-18"/>
              <w:rPr>
                <w:sz w:val="16"/>
                <w:szCs w:val="16"/>
              </w:rPr>
            </w:pPr>
            <w:r w:rsidRPr="003175EE">
              <w:rPr>
                <w:sz w:val="16"/>
                <w:szCs w:val="16"/>
                <w:lang w:val="es-ES_tradnl"/>
              </w:rPr>
              <w:t>El 95% de los miembros del personal</w:t>
            </w:r>
            <w:r w:rsidR="0092565D">
              <w:rPr>
                <w:sz w:val="16"/>
                <w:szCs w:val="16"/>
                <w:lang w:val="es-ES_tradnl"/>
              </w:rPr>
              <w:t xml:space="preserve"> está al tanto </w:t>
            </w:r>
            <w:r w:rsidRPr="003175EE">
              <w:rPr>
                <w:sz w:val="16"/>
                <w:szCs w:val="16"/>
                <w:lang w:val="es-ES_tradnl"/>
              </w:rPr>
              <w:t>de esos principios y políticas.</w:t>
            </w:r>
          </w:p>
        </w:tc>
        <w:tc>
          <w:tcPr>
            <w:tcW w:w="1309" w:type="pct"/>
            <w:shd w:val="clear" w:color="auto" w:fill="FFFFFF"/>
            <w:tcMar>
              <w:top w:w="110" w:type="dxa"/>
              <w:left w:w="58" w:type="dxa"/>
              <w:right w:w="58" w:type="dxa"/>
            </w:tcMar>
          </w:tcPr>
          <w:p w:rsidR="002E3AE7" w:rsidRPr="003175EE" w:rsidRDefault="002E3AE7" w:rsidP="003E0A02">
            <w:pPr>
              <w:widowControl w:val="0"/>
              <w:rPr>
                <w:sz w:val="16"/>
                <w:szCs w:val="16"/>
              </w:rPr>
            </w:pPr>
            <w:r w:rsidRPr="003175EE">
              <w:rPr>
                <w:sz w:val="16"/>
                <w:szCs w:val="16"/>
              </w:rPr>
              <w:t>El 86% (según una encuesta realizada en 2016 por la Oficina de Ética Profesional)</w:t>
            </w:r>
          </w:p>
        </w:tc>
        <w:tc>
          <w:tcPr>
            <w:tcW w:w="501" w:type="pct"/>
            <w:shd w:val="clear" w:color="auto" w:fill="auto"/>
            <w:tcMar>
              <w:top w:w="110" w:type="dxa"/>
              <w:left w:w="58" w:type="dxa"/>
              <w:right w:w="58" w:type="dxa"/>
            </w:tcMar>
          </w:tcPr>
          <w:p w:rsidR="002E3AE7" w:rsidRPr="003175EE" w:rsidRDefault="002E3AE7" w:rsidP="003E0A02">
            <w:pPr>
              <w:widowControl w:val="0"/>
              <w:jc w:val="center"/>
              <w:rPr>
                <w:sz w:val="16"/>
                <w:szCs w:val="16"/>
              </w:rPr>
            </w:pPr>
            <w:r w:rsidRPr="003175EE">
              <w:rPr>
                <w:b/>
                <w:color w:val="00B050"/>
                <w:sz w:val="16"/>
                <w:szCs w:val="16"/>
                <w:lang w:val="es-ES_tradnl"/>
              </w:rPr>
              <w:t>Avanza</w:t>
            </w:r>
          </w:p>
        </w:tc>
      </w:tr>
    </w:tbl>
    <w:p w:rsidR="002E3AE7" w:rsidRPr="005F276E" w:rsidRDefault="002E3AE7" w:rsidP="003E0A02">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2E3AE7" w:rsidRPr="005F276E" w:rsidTr="00156844">
        <w:trPr>
          <w:trHeight w:val="423"/>
          <w:jc w:val="center"/>
        </w:trPr>
        <w:tc>
          <w:tcPr>
            <w:tcW w:w="9287" w:type="dxa"/>
            <w:shd w:val="clear" w:color="auto" w:fill="C6D9F1" w:themeFill="text2" w:themeFillTint="33"/>
            <w:vAlign w:val="center"/>
          </w:tcPr>
          <w:p w:rsidR="002E3AE7" w:rsidRPr="005F276E" w:rsidRDefault="002E3AE7" w:rsidP="003E0A02">
            <w:pPr>
              <w:keepNext/>
              <w:keepLines/>
              <w:jc w:val="center"/>
              <w:rPr>
                <w:b/>
                <w:sz w:val="20"/>
              </w:rPr>
            </w:pPr>
            <w:r w:rsidRPr="005F276E">
              <w:rPr>
                <w:b/>
                <w:sz w:val="20"/>
              </w:rPr>
              <w:lastRenderedPageBreak/>
              <w:br w:type="page"/>
            </w:r>
            <w:r w:rsidRPr="005F276E">
              <w:rPr>
                <w:b/>
                <w:sz w:val="20"/>
                <w:lang w:val="es-ES_tradnl"/>
              </w:rPr>
              <w:t>Utilización de los recursos del programa 21</w:t>
            </w:r>
          </w:p>
        </w:tc>
      </w:tr>
    </w:tbl>
    <w:p w:rsidR="002E3AE7" w:rsidRPr="003175EE" w:rsidRDefault="002E3AE7" w:rsidP="003E0A02">
      <w:pPr>
        <w:keepNext/>
        <w:keepLines/>
      </w:pPr>
    </w:p>
    <w:p w:rsidR="002E3AE7" w:rsidRPr="003175EE" w:rsidRDefault="002E3AE7" w:rsidP="003E0A02">
      <w:pPr>
        <w:pStyle w:val="NormalWeb"/>
        <w:keepNext/>
        <w:keepLines/>
        <w:spacing w:before="0" w:beforeAutospacing="0" w:after="0" w:afterAutospacing="0"/>
        <w:jc w:val="center"/>
        <w:rPr>
          <w:lang w:val="es-ES"/>
        </w:rPr>
      </w:pPr>
      <w:r w:rsidRPr="003175EE">
        <w:rPr>
          <w:lang w:val="es-ES_tradnl"/>
        </w:rPr>
        <w:t>Presupuesto y gastos reales (por resultado)</w:t>
      </w:r>
    </w:p>
    <w:p w:rsidR="002E3AE7" w:rsidRPr="003175EE" w:rsidRDefault="002E3AE7" w:rsidP="003E0A02">
      <w:pPr>
        <w:pStyle w:val="NormalWeb"/>
        <w:keepNext/>
        <w:keepLines/>
        <w:spacing w:before="0" w:beforeAutospacing="0" w:after="0" w:afterAutospacing="0"/>
        <w:jc w:val="center"/>
        <w:rPr>
          <w:i/>
          <w:iCs/>
          <w:sz w:val="16"/>
          <w:szCs w:val="16"/>
          <w:lang w:val="es-ES"/>
        </w:rPr>
      </w:pPr>
      <w:r w:rsidRPr="003175EE">
        <w:rPr>
          <w:i/>
          <w:iCs/>
          <w:sz w:val="16"/>
          <w:szCs w:val="16"/>
          <w:lang w:val="es-ES_tradnl"/>
        </w:rPr>
        <w:t>(en miles de francos suizos)</w:t>
      </w:r>
    </w:p>
    <w:p w:rsidR="002E3AE7" w:rsidRPr="003175EE" w:rsidRDefault="002E3AE7" w:rsidP="003E0A02">
      <w:pPr>
        <w:keepNext/>
        <w:keepLines/>
      </w:pPr>
    </w:p>
    <w:tbl>
      <w:tblPr>
        <w:tblW w:w="8222" w:type="dxa"/>
        <w:jc w:val="center"/>
        <w:tblLook w:val="04A0" w:firstRow="1" w:lastRow="0" w:firstColumn="1" w:lastColumn="0" w:noHBand="0" w:noVBand="1"/>
      </w:tblPr>
      <w:tblGrid>
        <w:gridCol w:w="631"/>
        <w:gridCol w:w="4235"/>
        <w:gridCol w:w="1186"/>
        <w:gridCol w:w="1310"/>
        <w:gridCol w:w="1169"/>
      </w:tblGrid>
      <w:tr w:rsidR="002E3AE7" w:rsidRPr="003175EE" w:rsidTr="003E0A02">
        <w:trPr>
          <w:trHeight w:val="825"/>
          <w:jc w:val="center"/>
        </w:trPr>
        <w:tc>
          <w:tcPr>
            <w:tcW w:w="4866" w:type="dxa"/>
            <w:gridSpan w:val="2"/>
            <w:tcBorders>
              <w:top w:val="nil"/>
              <w:left w:val="nil"/>
              <w:bottom w:val="nil"/>
              <w:right w:val="nil"/>
            </w:tcBorders>
            <w:shd w:val="clear" w:color="000000" w:fill="C5D9F1"/>
            <w:noWrap/>
            <w:vAlign w:val="center"/>
            <w:hideMark/>
          </w:tcPr>
          <w:p w:rsidR="002E3AE7" w:rsidRPr="003175EE" w:rsidRDefault="002E3AE7" w:rsidP="003E0A02">
            <w:pPr>
              <w:keepNext/>
              <w:keepLines/>
              <w:jc w:val="center"/>
              <w:rPr>
                <w:b/>
                <w:bCs/>
                <w:sz w:val="16"/>
                <w:szCs w:val="16"/>
              </w:rPr>
            </w:pPr>
            <w:r w:rsidRPr="003175EE">
              <w:rPr>
                <w:b/>
                <w:bCs/>
                <w:sz w:val="16"/>
                <w:szCs w:val="16"/>
                <w:lang w:val="es-ES_tradnl"/>
              </w:rPr>
              <w:t>Número del resultado previsto y descripción</w:t>
            </w:r>
            <w:r w:rsidRPr="003175EE">
              <w:rPr>
                <w:b/>
                <w:bCs/>
                <w:sz w:val="16"/>
                <w:szCs w:val="16"/>
              </w:rPr>
              <w:t xml:space="preserve"> </w:t>
            </w:r>
          </w:p>
        </w:tc>
        <w:tc>
          <w:tcPr>
            <w:tcW w:w="1153" w:type="dxa"/>
            <w:tcBorders>
              <w:top w:val="nil"/>
              <w:left w:val="nil"/>
              <w:bottom w:val="nil"/>
              <w:right w:val="nil"/>
            </w:tcBorders>
            <w:shd w:val="clear" w:color="000000" w:fill="C5D9F1"/>
            <w:vAlign w:val="center"/>
            <w:hideMark/>
          </w:tcPr>
          <w:p w:rsidR="002E3AE7" w:rsidRPr="003175EE" w:rsidRDefault="002E3AE7" w:rsidP="003E0A02">
            <w:pPr>
              <w:keepNext/>
              <w:keepLines/>
              <w:jc w:val="center"/>
              <w:rPr>
                <w:b/>
                <w:bCs/>
                <w:sz w:val="16"/>
                <w:szCs w:val="16"/>
              </w:rPr>
            </w:pPr>
            <w:r w:rsidRPr="003175EE">
              <w:rPr>
                <w:b/>
                <w:bCs/>
                <w:sz w:val="16"/>
                <w:szCs w:val="16"/>
              </w:rPr>
              <w:t xml:space="preserve"> </w:t>
            </w:r>
            <w:r w:rsidRPr="003175EE">
              <w:rPr>
                <w:b/>
                <w:bCs/>
                <w:sz w:val="16"/>
                <w:szCs w:val="16"/>
                <w:lang w:val="es-ES_tradnl"/>
              </w:rPr>
              <w:t>Presupuesto aprobado de 2016/17</w:t>
            </w:r>
            <w:r w:rsidRPr="003175EE">
              <w:rPr>
                <w:b/>
                <w:bCs/>
                <w:sz w:val="16"/>
                <w:szCs w:val="16"/>
              </w:rPr>
              <w:t xml:space="preserve"> </w:t>
            </w:r>
          </w:p>
        </w:tc>
        <w:tc>
          <w:tcPr>
            <w:tcW w:w="1152" w:type="dxa"/>
            <w:tcBorders>
              <w:top w:val="nil"/>
              <w:left w:val="nil"/>
              <w:bottom w:val="nil"/>
              <w:right w:val="nil"/>
            </w:tcBorders>
            <w:shd w:val="clear" w:color="000000" w:fill="C5D9F1"/>
            <w:vAlign w:val="center"/>
            <w:hideMark/>
          </w:tcPr>
          <w:p w:rsidR="002E3AE7" w:rsidRPr="003175EE" w:rsidRDefault="002E3AE7" w:rsidP="003E0A02">
            <w:pPr>
              <w:keepNext/>
              <w:keepLines/>
              <w:jc w:val="center"/>
              <w:rPr>
                <w:b/>
                <w:bCs/>
                <w:sz w:val="16"/>
                <w:szCs w:val="16"/>
              </w:rPr>
            </w:pPr>
            <w:r w:rsidRPr="003175EE">
              <w:rPr>
                <w:b/>
                <w:bCs/>
                <w:sz w:val="16"/>
                <w:szCs w:val="16"/>
              </w:rPr>
              <w:t xml:space="preserve"> </w:t>
            </w:r>
            <w:r w:rsidRPr="003175EE">
              <w:rPr>
                <w:b/>
                <w:bCs/>
                <w:sz w:val="16"/>
                <w:szCs w:val="16"/>
                <w:lang w:val="es-ES_tradnl"/>
              </w:rPr>
              <w:t>Presupuesto de 2016/17 tras las transferencias</w:t>
            </w:r>
            <w:r w:rsidRPr="003175EE">
              <w:rPr>
                <w:b/>
                <w:bCs/>
                <w:sz w:val="16"/>
                <w:szCs w:val="16"/>
              </w:rPr>
              <w:t xml:space="preserve"> </w:t>
            </w:r>
          </w:p>
        </w:tc>
        <w:tc>
          <w:tcPr>
            <w:tcW w:w="1169" w:type="dxa"/>
            <w:tcBorders>
              <w:top w:val="nil"/>
              <w:left w:val="nil"/>
              <w:bottom w:val="nil"/>
              <w:right w:val="nil"/>
            </w:tcBorders>
            <w:shd w:val="clear" w:color="000000" w:fill="C5D9F1"/>
            <w:vAlign w:val="center"/>
            <w:hideMark/>
          </w:tcPr>
          <w:p w:rsidR="002E3AE7" w:rsidRPr="003175EE" w:rsidRDefault="002E3AE7" w:rsidP="003E0A02">
            <w:pPr>
              <w:keepNext/>
              <w:keepLines/>
              <w:jc w:val="center"/>
              <w:rPr>
                <w:b/>
                <w:bCs/>
                <w:sz w:val="16"/>
                <w:szCs w:val="16"/>
              </w:rPr>
            </w:pPr>
            <w:r w:rsidRPr="003175EE">
              <w:rPr>
                <w:b/>
                <w:bCs/>
                <w:sz w:val="16"/>
                <w:szCs w:val="16"/>
              </w:rPr>
              <w:t xml:space="preserve"> </w:t>
            </w:r>
            <w:r w:rsidRPr="003175EE">
              <w:rPr>
                <w:b/>
                <w:bCs/>
                <w:sz w:val="16"/>
                <w:szCs w:val="16"/>
                <w:lang w:val="es-ES_tradnl"/>
              </w:rPr>
              <w:t>Gastos en 2016*</w:t>
            </w:r>
            <w:r w:rsidRPr="003175EE">
              <w:rPr>
                <w:b/>
                <w:bCs/>
                <w:sz w:val="16"/>
                <w:szCs w:val="16"/>
              </w:rPr>
              <w:t xml:space="preserve"> </w:t>
            </w:r>
          </w:p>
        </w:tc>
      </w:tr>
      <w:tr w:rsidR="002E3AE7" w:rsidRPr="003175EE" w:rsidTr="003E0A02">
        <w:trPr>
          <w:trHeight w:val="682"/>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IV.2</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Mejora del acceso y uso de información de P.I. por parte de instituciones de P.I. y el público para fomentar la innovación y la creatividad</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2.357</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265</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271</w:t>
            </w:r>
          </w:p>
        </w:tc>
      </w:tr>
      <w:tr w:rsidR="002E3AE7" w:rsidRPr="003175EE" w:rsidTr="003E0A02">
        <w:trPr>
          <w:trHeight w:val="422"/>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VIII.1</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Comunicación más eficaz con el público en general acerca de la P.I. y la función de la OMPI</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0</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109</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15</w:t>
            </w:r>
          </w:p>
        </w:tc>
      </w:tr>
      <w:tr w:rsidR="002E3AE7" w:rsidRPr="003175EE" w:rsidTr="003E0A02">
        <w:trPr>
          <w:trHeight w:val="428"/>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VIII.3</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 xml:space="preserve"> Atención eficaz a los Estados miembros</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7.099</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7.040</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3.459</w:t>
            </w:r>
          </w:p>
        </w:tc>
      </w:tr>
      <w:tr w:rsidR="002E3AE7" w:rsidRPr="003175EE" w:rsidTr="003E0A02">
        <w:trPr>
          <w:trHeight w:val="278"/>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VIII.4</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Intercambios abiertos, transparentes y dinámicos con las partes interesadas no gubernamentales</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462</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374</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188</w:t>
            </w:r>
          </w:p>
        </w:tc>
      </w:tr>
      <w:tr w:rsidR="002E3AE7" w:rsidRPr="003175EE" w:rsidTr="003E0A02">
        <w:trPr>
          <w:trHeight w:val="568"/>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VIII.5</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La OMPI participa y colabora eficazmente en los procesos y negociaciones de la ONU y otras OIG</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157</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132</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61</w:t>
            </w:r>
          </w:p>
        </w:tc>
      </w:tr>
      <w:tr w:rsidR="002E3AE7" w:rsidRPr="003175EE" w:rsidTr="003E0A02">
        <w:trPr>
          <w:trHeight w:val="618"/>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IX.1</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Servicios de apoyo eficaces, eficientes, de calidad y orientados al cliente, tanto a los usuarios internos como a las partes interesadas externas</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3.694</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3.649</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1.736</w:t>
            </w:r>
          </w:p>
        </w:tc>
      </w:tr>
      <w:tr w:rsidR="002E3AE7" w:rsidRPr="003175EE" w:rsidTr="003E0A02">
        <w:trPr>
          <w:trHeight w:val="765"/>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IX.2</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Funcionamiento sin contratiempos de la Secretaría, provista de un personal bien dirigido, dotado de las competencias adecuadas, y capaz de conseguir resultados</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5.992</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6.961</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3.231</w:t>
            </w:r>
          </w:p>
        </w:tc>
      </w:tr>
      <w:tr w:rsidR="002E3AE7" w:rsidRPr="003175EE" w:rsidTr="003E0A02">
        <w:trPr>
          <w:trHeight w:val="652"/>
          <w:jc w:val="center"/>
        </w:trPr>
        <w:tc>
          <w:tcPr>
            <w:tcW w:w="631"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r w:rsidRPr="003175EE">
              <w:rPr>
                <w:sz w:val="16"/>
                <w:szCs w:val="16"/>
              </w:rPr>
              <w:t>IX.3</w:t>
            </w:r>
          </w:p>
        </w:tc>
        <w:tc>
          <w:tcPr>
            <w:tcW w:w="4235" w:type="dxa"/>
            <w:tcBorders>
              <w:top w:val="nil"/>
              <w:left w:val="nil"/>
              <w:bottom w:val="nil"/>
              <w:right w:val="nil"/>
            </w:tcBorders>
            <w:shd w:val="clear" w:color="auto" w:fill="auto"/>
            <w:vAlign w:val="center"/>
            <w:hideMark/>
          </w:tcPr>
          <w:p w:rsidR="002E3AE7" w:rsidRPr="003175EE" w:rsidRDefault="002E3AE7" w:rsidP="003E0A02">
            <w:pPr>
              <w:keepNext/>
              <w:keepLines/>
              <w:rPr>
                <w:sz w:val="16"/>
                <w:szCs w:val="16"/>
              </w:rPr>
            </w:pPr>
            <w:r w:rsidRPr="003175EE">
              <w:rPr>
                <w:sz w:val="16"/>
                <w:szCs w:val="16"/>
                <w:lang w:val="es-ES_tradnl"/>
              </w:rPr>
              <w:t>Entorno de trabajo propicio basado en un marco regulador eficaz y medios adecuados para atender los temas de interés del personal</w:t>
            </w:r>
          </w:p>
        </w:tc>
        <w:tc>
          <w:tcPr>
            <w:tcW w:w="1153"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914</w:t>
            </w:r>
          </w:p>
        </w:tc>
        <w:tc>
          <w:tcPr>
            <w:tcW w:w="1152"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909</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jc w:val="center"/>
              <w:rPr>
                <w:sz w:val="16"/>
                <w:szCs w:val="16"/>
              </w:rPr>
            </w:pPr>
            <w:r w:rsidRPr="003175EE">
              <w:rPr>
                <w:sz w:val="16"/>
                <w:szCs w:val="16"/>
              </w:rPr>
              <w:t>468</w:t>
            </w:r>
          </w:p>
        </w:tc>
      </w:tr>
      <w:tr w:rsidR="002E3AE7" w:rsidRPr="003175EE" w:rsidTr="003E0A02">
        <w:trPr>
          <w:trHeight w:val="225"/>
          <w:jc w:val="center"/>
        </w:trPr>
        <w:tc>
          <w:tcPr>
            <w:tcW w:w="631" w:type="dxa"/>
            <w:tcBorders>
              <w:top w:val="nil"/>
              <w:left w:val="nil"/>
              <w:bottom w:val="nil"/>
              <w:right w:val="nil"/>
            </w:tcBorders>
            <w:shd w:val="clear" w:color="000000" w:fill="C5D9F1"/>
            <w:noWrap/>
            <w:vAlign w:val="bottom"/>
            <w:hideMark/>
          </w:tcPr>
          <w:p w:rsidR="002E3AE7" w:rsidRPr="003175EE" w:rsidRDefault="002E3AE7" w:rsidP="003E0A02">
            <w:pPr>
              <w:keepNext/>
              <w:keepLines/>
              <w:rPr>
                <w:sz w:val="16"/>
                <w:szCs w:val="16"/>
              </w:rPr>
            </w:pPr>
            <w:r w:rsidRPr="003175EE">
              <w:rPr>
                <w:sz w:val="16"/>
                <w:szCs w:val="16"/>
              </w:rPr>
              <w:t> </w:t>
            </w:r>
          </w:p>
        </w:tc>
        <w:tc>
          <w:tcPr>
            <w:tcW w:w="4235" w:type="dxa"/>
            <w:tcBorders>
              <w:top w:val="nil"/>
              <w:left w:val="nil"/>
              <w:bottom w:val="nil"/>
              <w:right w:val="nil"/>
            </w:tcBorders>
            <w:shd w:val="clear" w:color="000000" w:fill="C5D9F1"/>
            <w:noWrap/>
            <w:vAlign w:val="bottom"/>
            <w:hideMark/>
          </w:tcPr>
          <w:p w:rsidR="002E3AE7" w:rsidRPr="003175EE" w:rsidRDefault="002E3AE7" w:rsidP="003E0A02">
            <w:pPr>
              <w:keepNext/>
              <w:keepLines/>
              <w:jc w:val="right"/>
              <w:rPr>
                <w:b/>
                <w:bCs/>
                <w:sz w:val="16"/>
                <w:szCs w:val="16"/>
              </w:rPr>
            </w:pPr>
            <w:r w:rsidRPr="003175EE">
              <w:rPr>
                <w:b/>
                <w:bCs/>
                <w:sz w:val="16"/>
                <w:szCs w:val="16"/>
                <w:lang w:val="es-ES_tradnl"/>
              </w:rPr>
              <w:t>Total</w:t>
            </w:r>
          </w:p>
        </w:tc>
        <w:tc>
          <w:tcPr>
            <w:tcW w:w="1153" w:type="dxa"/>
            <w:tcBorders>
              <w:top w:val="nil"/>
              <w:left w:val="nil"/>
              <w:bottom w:val="nil"/>
              <w:right w:val="nil"/>
            </w:tcBorders>
            <w:shd w:val="clear" w:color="000000" w:fill="C5D9F1"/>
            <w:noWrap/>
            <w:vAlign w:val="center"/>
            <w:hideMark/>
          </w:tcPr>
          <w:p w:rsidR="002E3AE7" w:rsidRPr="003175EE" w:rsidRDefault="002E3AE7" w:rsidP="003E0A02">
            <w:pPr>
              <w:keepNext/>
              <w:keepLines/>
              <w:jc w:val="center"/>
              <w:rPr>
                <w:sz w:val="16"/>
                <w:szCs w:val="16"/>
              </w:rPr>
            </w:pPr>
            <w:r w:rsidRPr="003175EE">
              <w:rPr>
                <w:sz w:val="16"/>
                <w:szCs w:val="16"/>
              </w:rPr>
              <w:t>20.675</w:t>
            </w:r>
          </w:p>
        </w:tc>
        <w:tc>
          <w:tcPr>
            <w:tcW w:w="1152" w:type="dxa"/>
            <w:tcBorders>
              <w:top w:val="nil"/>
              <w:left w:val="nil"/>
              <w:bottom w:val="nil"/>
              <w:right w:val="nil"/>
            </w:tcBorders>
            <w:shd w:val="clear" w:color="000000" w:fill="C5D9F1"/>
            <w:noWrap/>
            <w:vAlign w:val="center"/>
            <w:hideMark/>
          </w:tcPr>
          <w:p w:rsidR="002E3AE7" w:rsidRPr="003175EE" w:rsidRDefault="002E3AE7" w:rsidP="003E0A02">
            <w:pPr>
              <w:keepNext/>
              <w:keepLines/>
              <w:jc w:val="center"/>
              <w:rPr>
                <w:sz w:val="16"/>
                <w:szCs w:val="16"/>
              </w:rPr>
            </w:pPr>
            <w:r w:rsidRPr="003175EE">
              <w:rPr>
                <w:sz w:val="16"/>
                <w:szCs w:val="16"/>
              </w:rPr>
              <w:t>19.439</w:t>
            </w:r>
          </w:p>
        </w:tc>
        <w:tc>
          <w:tcPr>
            <w:tcW w:w="1169" w:type="dxa"/>
            <w:tcBorders>
              <w:top w:val="nil"/>
              <w:left w:val="nil"/>
              <w:bottom w:val="nil"/>
              <w:right w:val="nil"/>
            </w:tcBorders>
            <w:shd w:val="clear" w:color="000000" w:fill="C5D9F1"/>
            <w:noWrap/>
            <w:vAlign w:val="center"/>
            <w:hideMark/>
          </w:tcPr>
          <w:p w:rsidR="002E3AE7" w:rsidRPr="003175EE" w:rsidRDefault="002E3AE7" w:rsidP="003E0A02">
            <w:pPr>
              <w:keepNext/>
              <w:keepLines/>
              <w:jc w:val="center"/>
              <w:rPr>
                <w:sz w:val="16"/>
                <w:szCs w:val="16"/>
              </w:rPr>
            </w:pPr>
            <w:r w:rsidRPr="003175EE">
              <w:rPr>
                <w:sz w:val="16"/>
                <w:szCs w:val="16"/>
              </w:rPr>
              <w:t>9.429</w:t>
            </w:r>
          </w:p>
        </w:tc>
      </w:tr>
      <w:tr w:rsidR="002E3AE7" w:rsidRPr="003175EE" w:rsidTr="003E0A02">
        <w:trPr>
          <w:trHeight w:val="330"/>
          <w:jc w:val="center"/>
        </w:trPr>
        <w:tc>
          <w:tcPr>
            <w:tcW w:w="7171" w:type="dxa"/>
            <w:gridSpan w:val="4"/>
            <w:tcBorders>
              <w:top w:val="nil"/>
              <w:left w:val="nil"/>
              <w:bottom w:val="nil"/>
              <w:right w:val="nil"/>
            </w:tcBorders>
            <w:shd w:val="clear" w:color="auto" w:fill="auto"/>
            <w:noWrap/>
            <w:vAlign w:val="center"/>
            <w:hideMark/>
          </w:tcPr>
          <w:p w:rsidR="002E3AE7" w:rsidRPr="003175EE" w:rsidRDefault="002E3AE7" w:rsidP="003E0A02">
            <w:pPr>
              <w:keepNext/>
              <w:keepLines/>
              <w:rPr>
                <w:i/>
                <w:iCs/>
                <w:sz w:val="16"/>
                <w:szCs w:val="16"/>
              </w:rPr>
            </w:pPr>
            <w:r w:rsidRPr="003175EE">
              <w:rPr>
                <w:i/>
                <w:iCs/>
                <w:sz w:val="16"/>
                <w:szCs w:val="16"/>
                <w:lang w:val="es-ES_tradnl"/>
              </w:rPr>
              <w:t>*Las cifras de gastos en 2016 son preliminares, a reserva de verificación por el Auditor Externo.</w:t>
            </w:r>
          </w:p>
        </w:tc>
        <w:tc>
          <w:tcPr>
            <w:tcW w:w="1169" w:type="dxa"/>
            <w:tcBorders>
              <w:top w:val="nil"/>
              <w:left w:val="nil"/>
              <w:bottom w:val="nil"/>
              <w:right w:val="nil"/>
            </w:tcBorders>
            <w:shd w:val="clear" w:color="auto" w:fill="auto"/>
            <w:noWrap/>
            <w:vAlign w:val="center"/>
            <w:hideMark/>
          </w:tcPr>
          <w:p w:rsidR="002E3AE7" w:rsidRPr="003175EE" w:rsidRDefault="002E3AE7" w:rsidP="003E0A02">
            <w:pPr>
              <w:keepNext/>
              <w:keepLines/>
              <w:rPr>
                <w:sz w:val="16"/>
                <w:szCs w:val="16"/>
              </w:rPr>
            </w:pPr>
          </w:p>
        </w:tc>
      </w:tr>
    </w:tbl>
    <w:p w:rsidR="002E3AE7" w:rsidRPr="00534901" w:rsidRDefault="002E3AE7" w:rsidP="003E0A02">
      <w:pPr>
        <w:jc w:val="center"/>
        <w:rPr>
          <w:sz w:val="20"/>
        </w:rPr>
      </w:pPr>
    </w:p>
    <w:p w:rsidR="002E3AE7" w:rsidRPr="003175EE" w:rsidRDefault="002E3AE7" w:rsidP="003E0A02">
      <w:pPr>
        <w:pStyle w:val="NormalWeb"/>
        <w:keepNext/>
        <w:keepLines/>
        <w:spacing w:before="0" w:beforeAutospacing="0" w:after="0" w:afterAutospacing="0"/>
        <w:jc w:val="center"/>
        <w:rPr>
          <w:lang w:val="es-ES"/>
        </w:rPr>
      </w:pPr>
      <w:r w:rsidRPr="003175EE">
        <w:rPr>
          <w:lang w:val="es-ES_tradnl"/>
        </w:rPr>
        <w:t>Presupuesto y gastos reales (de personal y no relativos a personal)</w:t>
      </w:r>
      <w:r w:rsidRPr="003175EE">
        <w:rPr>
          <w:lang w:val="es-ES"/>
        </w:rPr>
        <w:t xml:space="preserve"> </w:t>
      </w:r>
    </w:p>
    <w:p w:rsidR="002E3AE7" w:rsidRPr="003175EE" w:rsidRDefault="002E3AE7" w:rsidP="003E0A02">
      <w:pPr>
        <w:pStyle w:val="NormalWeb"/>
        <w:keepNext/>
        <w:keepLines/>
        <w:spacing w:before="0" w:beforeAutospacing="0" w:after="0" w:afterAutospacing="0"/>
        <w:jc w:val="center"/>
        <w:rPr>
          <w:i/>
          <w:iCs/>
          <w:sz w:val="16"/>
          <w:szCs w:val="16"/>
          <w:lang w:val="es-ES"/>
        </w:rPr>
      </w:pPr>
      <w:r w:rsidRPr="003175EE">
        <w:rPr>
          <w:i/>
          <w:iCs/>
          <w:sz w:val="16"/>
          <w:szCs w:val="16"/>
          <w:lang w:val="es-ES_tradnl"/>
        </w:rPr>
        <w:t>(en miles de francos suizos)</w:t>
      </w:r>
    </w:p>
    <w:p w:rsidR="002E3AE7" w:rsidRPr="003175EE" w:rsidRDefault="002E3AE7" w:rsidP="003E0A02">
      <w:pPr>
        <w:pStyle w:val="NormalWeb"/>
        <w:keepNext/>
        <w:keepLines/>
        <w:spacing w:before="0" w:beforeAutospacing="0" w:after="0" w:afterAutospacing="0"/>
        <w:jc w:val="center"/>
        <w:rPr>
          <w:i/>
          <w:iCs/>
          <w:sz w:val="20"/>
          <w:szCs w:val="20"/>
          <w:lang w:val="es-ES"/>
        </w:rPr>
      </w:pPr>
    </w:p>
    <w:tbl>
      <w:tblPr>
        <w:tblW w:w="8222" w:type="dxa"/>
        <w:jc w:val="center"/>
        <w:tblLook w:val="04A0" w:firstRow="1" w:lastRow="0" w:firstColumn="1" w:lastColumn="0" w:noHBand="0" w:noVBand="1"/>
      </w:tblPr>
      <w:tblGrid>
        <w:gridCol w:w="2470"/>
        <w:gridCol w:w="1438"/>
        <w:gridCol w:w="1438"/>
        <w:gridCol w:w="1438"/>
        <w:gridCol w:w="1438"/>
      </w:tblGrid>
      <w:tr w:rsidR="002E3AE7" w:rsidRPr="003175EE"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3175EE" w:rsidRDefault="002E3AE7" w:rsidP="003E0A02">
            <w:pPr>
              <w:rPr>
                <w:sz w:val="16"/>
                <w:szCs w:val="16"/>
              </w:rPr>
            </w:pPr>
            <w:r w:rsidRPr="003175EE">
              <w:rPr>
                <w:sz w:val="16"/>
                <w:szCs w:val="16"/>
              </w:rPr>
              <w:t> </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lang w:val="es-ES_tradnl"/>
              </w:rPr>
              <w:t>Índice de utilización (%)</w:t>
            </w:r>
          </w:p>
        </w:tc>
      </w:tr>
      <w:tr w:rsidR="002E3AE7" w:rsidRPr="003175EE"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3175EE" w:rsidRDefault="002E3AE7" w:rsidP="003E0A02">
            <w:pPr>
              <w:rPr>
                <w:sz w:val="16"/>
                <w:szCs w:val="16"/>
              </w:rPr>
            </w:pPr>
            <w:r w:rsidRPr="003175EE">
              <w:rPr>
                <w:sz w:val="16"/>
                <w:szCs w:val="16"/>
              </w:rPr>
              <w:t xml:space="preserve"> </w:t>
            </w:r>
            <w:r w:rsidRPr="003175EE">
              <w:rPr>
                <w:sz w:val="16"/>
                <w:szCs w:val="16"/>
                <w:lang w:val="es-ES_tradnl"/>
              </w:rPr>
              <w:t>Recursos de personal</w:t>
            </w:r>
            <w:r w:rsidRPr="003175EE">
              <w:rPr>
                <w:sz w:val="16"/>
                <w:szCs w:val="16"/>
              </w:rPr>
              <w:t xml:space="preserve">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 xml:space="preserve">18.130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 xml:space="preserve">16.254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 xml:space="preserve">7.988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49%</w:t>
            </w:r>
          </w:p>
        </w:tc>
      </w:tr>
      <w:tr w:rsidR="002E3AE7" w:rsidRPr="003175EE"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3175EE" w:rsidRDefault="002E3AE7" w:rsidP="003E0A02">
            <w:pPr>
              <w:rPr>
                <w:sz w:val="16"/>
                <w:szCs w:val="16"/>
              </w:rPr>
            </w:pPr>
            <w:r w:rsidRPr="003175EE">
              <w:rPr>
                <w:sz w:val="16"/>
                <w:szCs w:val="16"/>
              </w:rPr>
              <w:t xml:space="preserve"> </w:t>
            </w:r>
            <w:r w:rsidRPr="003175EE">
              <w:rPr>
                <w:sz w:val="16"/>
                <w:szCs w:val="16"/>
                <w:lang w:val="es-ES_tradnl"/>
              </w:rPr>
              <w:t>Recursos no relativos a personal</w:t>
            </w:r>
            <w:r w:rsidRPr="003175EE">
              <w:rPr>
                <w:sz w:val="16"/>
                <w:szCs w:val="16"/>
              </w:rPr>
              <w:t xml:space="preserve">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 xml:space="preserve">2.545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 xml:space="preserve">3.185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 xml:space="preserve">1.441 </w:t>
            </w:r>
          </w:p>
        </w:tc>
        <w:tc>
          <w:tcPr>
            <w:tcW w:w="1420" w:type="dxa"/>
            <w:tcBorders>
              <w:top w:val="nil"/>
              <w:left w:val="nil"/>
              <w:bottom w:val="nil"/>
              <w:right w:val="nil"/>
            </w:tcBorders>
            <w:shd w:val="clear" w:color="auto" w:fill="auto"/>
            <w:vAlign w:val="center"/>
            <w:hideMark/>
          </w:tcPr>
          <w:p w:rsidR="002E3AE7" w:rsidRPr="003175EE" w:rsidRDefault="002E3AE7" w:rsidP="003E0A02">
            <w:pPr>
              <w:jc w:val="center"/>
              <w:rPr>
                <w:sz w:val="16"/>
                <w:szCs w:val="16"/>
              </w:rPr>
            </w:pPr>
            <w:r w:rsidRPr="003175EE">
              <w:rPr>
                <w:sz w:val="16"/>
                <w:szCs w:val="16"/>
              </w:rPr>
              <w:t>45%</w:t>
            </w:r>
          </w:p>
        </w:tc>
      </w:tr>
      <w:tr w:rsidR="002E3AE7" w:rsidRPr="003175EE"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3175EE" w:rsidRDefault="002E3AE7" w:rsidP="003E0A02">
            <w:pPr>
              <w:jc w:val="right"/>
              <w:rPr>
                <w:b/>
                <w:bCs/>
                <w:sz w:val="16"/>
                <w:szCs w:val="16"/>
              </w:rPr>
            </w:pPr>
            <w:r w:rsidRPr="003175EE">
              <w:rPr>
                <w:b/>
                <w:bCs/>
                <w:sz w:val="16"/>
                <w:szCs w:val="16"/>
              </w:rPr>
              <w:t xml:space="preserve"> </w:t>
            </w:r>
            <w:r w:rsidRPr="003175EE">
              <w:rPr>
                <w:b/>
                <w:bCs/>
                <w:sz w:val="16"/>
                <w:szCs w:val="16"/>
                <w:lang w:val="es-ES_tradnl"/>
              </w:rPr>
              <w:t>Total</w:t>
            </w:r>
            <w:r w:rsidRPr="003175EE">
              <w:rPr>
                <w:b/>
                <w:bCs/>
                <w:sz w:val="16"/>
                <w:szCs w:val="16"/>
              </w:rPr>
              <w:t xml:space="preserve"> </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rPr>
              <w:t xml:space="preserve">20.675 </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rPr>
              <w:t xml:space="preserve">19.439 </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rPr>
              <w:t xml:space="preserve">9.429 </w:t>
            </w:r>
          </w:p>
        </w:tc>
        <w:tc>
          <w:tcPr>
            <w:tcW w:w="1420" w:type="dxa"/>
            <w:tcBorders>
              <w:top w:val="nil"/>
              <w:left w:val="nil"/>
              <w:bottom w:val="nil"/>
              <w:right w:val="nil"/>
            </w:tcBorders>
            <w:shd w:val="clear" w:color="000000" w:fill="C5D9F1"/>
            <w:vAlign w:val="center"/>
            <w:hideMark/>
          </w:tcPr>
          <w:p w:rsidR="002E3AE7" w:rsidRPr="003175EE" w:rsidRDefault="002E3AE7" w:rsidP="003E0A02">
            <w:pPr>
              <w:jc w:val="center"/>
              <w:rPr>
                <w:b/>
                <w:bCs/>
                <w:sz w:val="16"/>
                <w:szCs w:val="16"/>
              </w:rPr>
            </w:pPr>
            <w:r w:rsidRPr="003175EE">
              <w:rPr>
                <w:b/>
                <w:bCs/>
                <w:sz w:val="16"/>
                <w:szCs w:val="16"/>
              </w:rPr>
              <w:t>49%</w:t>
            </w:r>
          </w:p>
        </w:tc>
      </w:tr>
      <w:tr w:rsidR="002E3AE7" w:rsidRPr="003175EE"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3175EE" w:rsidRDefault="002E3AE7" w:rsidP="003E0A02">
            <w:pPr>
              <w:rPr>
                <w:i/>
                <w:iCs/>
                <w:sz w:val="16"/>
                <w:szCs w:val="16"/>
              </w:rPr>
            </w:pPr>
            <w:r w:rsidRPr="003175EE">
              <w:rPr>
                <w:i/>
                <w:iCs/>
                <w:sz w:val="16"/>
                <w:szCs w:val="16"/>
              </w:rPr>
              <w:t xml:space="preserve"> </w:t>
            </w:r>
            <w:r w:rsidRPr="003175EE">
              <w:rPr>
                <w:i/>
                <w:iCs/>
                <w:sz w:val="16"/>
                <w:szCs w:val="16"/>
                <w:lang w:val="es-ES_tradnl"/>
              </w:rPr>
              <w:t>*Las cifras de gastos en 2016 son preliminares, a reserva de verificación por el Auditor Externo</w:t>
            </w:r>
            <w:r w:rsidRPr="003175EE">
              <w:rPr>
                <w:i/>
                <w:iCs/>
                <w:sz w:val="16"/>
                <w:szCs w:val="16"/>
              </w:rPr>
              <w:t>.</w:t>
            </w:r>
          </w:p>
        </w:tc>
      </w:tr>
    </w:tbl>
    <w:p w:rsidR="002E3AE7" w:rsidRPr="00534901" w:rsidRDefault="002E3AE7" w:rsidP="003E0A02">
      <w:pPr>
        <w:rPr>
          <w:sz w:val="20"/>
        </w:rPr>
      </w:pPr>
    </w:p>
    <w:p w:rsidR="002E3AE7" w:rsidRPr="003175EE" w:rsidRDefault="002E3AE7" w:rsidP="003E0A02">
      <w:pPr>
        <w:keepNext/>
        <w:keepLines/>
        <w:ind w:left="567" w:right="282"/>
        <w:rPr>
          <w:i/>
          <w:sz w:val="16"/>
          <w:szCs w:val="16"/>
        </w:rPr>
      </w:pPr>
      <w:r w:rsidRPr="003175EE">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534901" w:rsidRDefault="002E3AE7" w:rsidP="003E0A02">
      <w:pPr>
        <w:rPr>
          <w:sz w:val="20"/>
        </w:rPr>
      </w:pPr>
    </w:p>
    <w:p w:rsidR="002E3AE7" w:rsidRPr="00534901" w:rsidRDefault="002E3AE7" w:rsidP="003E0A02">
      <w:pPr>
        <w:rPr>
          <w:sz w:val="20"/>
        </w:rPr>
      </w:pPr>
    </w:p>
    <w:p w:rsidR="002E3AE7" w:rsidRPr="00534901" w:rsidRDefault="002E3AE7" w:rsidP="003E0A02">
      <w:pPr>
        <w:jc w:val="both"/>
        <w:rPr>
          <w:sz w:val="20"/>
          <w:u w:val="single"/>
        </w:rPr>
      </w:pPr>
      <w:r w:rsidRPr="00534901">
        <w:rPr>
          <w:sz w:val="20"/>
          <w:lang w:val="es-ES_tradnl"/>
        </w:rPr>
        <w:t>A.</w:t>
      </w:r>
      <w:r w:rsidRPr="00534901">
        <w:rPr>
          <w:sz w:val="20"/>
          <w:lang w:val="es-ES_tradnl"/>
        </w:rPr>
        <w:tab/>
      </w:r>
      <w:r w:rsidRPr="00534901">
        <w:rPr>
          <w:sz w:val="20"/>
          <w:u w:val="single"/>
          <w:lang w:val="es-ES_tradnl"/>
        </w:rPr>
        <w:t>Presupuesto de 2016/17 tras las transferencias</w:t>
      </w:r>
    </w:p>
    <w:p w:rsidR="002E3AE7" w:rsidRPr="00534901" w:rsidRDefault="002E3AE7" w:rsidP="003E0A02">
      <w:pPr>
        <w:jc w:val="both"/>
        <w:rPr>
          <w:sz w:val="20"/>
        </w:rPr>
      </w:pPr>
    </w:p>
    <w:p w:rsidR="002E3AE7" w:rsidRPr="00534901" w:rsidRDefault="002E3AE7" w:rsidP="002E3AE7">
      <w:pPr>
        <w:pStyle w:val="ListParagraph"/>
        <w:numPr>
          <w:ilvl w:val="0"/>
          <w:numId w:val="85"/>
        </w:numPr>
        <w:ind w:left="0" w:firstLine="0"/>
        <w:jc w:val="both"/>
        <w:rPr>
          <w:rFonts w:cs="Arial"/>
          <w:lang w:val="es-ES"/>
        </w:rPr>
      </w:pPr>
      <w:r w:rsidRPr="00534901">
        <w:rPr>
          <w:rFonts w:cs="Arial"/>
          <w:lang w:val="es-ES"/>
        </w:rPr>
        <w:t xml:space="preserve">La reducción de los recursos de personal en comparación con el presupuesto aprobado de 2016/17 fue debida principalmente a la transferencia de WIPO Lex al Servicio de bases mundiales de datos (programa 13).  Esto se ve reflejado en la disminución de los recursos destinados al resultado previsto IV.2 (Mejora del acceso a la información de P.I.).  </w:t>
      </w:r>
    </w:p>
    <w:p w:rsidR="002E3AE7" w:rsidRPr="00534901" w:rsidRDefault="002E3AE7" w:rsidP="003E0A02">
      <w:pPr>
        <w:jc w:val="both"/>
        <w:rPr>
          <w:sz w:val="20"/>
        </w:rPr>
      </w:pPr>
    </w:p>
    <w:p w:rsidR="002E3AE7" w:rsidRPr="00534901" w:rsidRDefault="002E3AE7" w:rsidP="00156844">
      <w:pPr>
        <w:pStyle w:val="ListParagraph"/>
        <w:keepNext/>
        <w:keepLines/>
        <w:numPr>
          <w:ilvl w:val="0"/>
          <w:numId w:val="85"/>
        </w:numPr>
        <w:ind w:left="0" w:firstLine="0"/>
        <w:jc w:val="both"/>
        <w:rPr>
          <w:rFonts w:cs="Arial"/>
          <w:lang w:val="es-ES"/>
        </w:rPr>
      </w:pPr>
      <w:r w:rsidRPr="00534901">
        <w:rPr>
          <w:rFonts w:cs="Arial"/>
          <w:lang w:val="es-ES"/>
        </w:rPr>
        <w:lastRenderedPageBreak/>
        <w:t>El aumento de los recursos no relativos a personal se debió principalmente a la transferencia de recursos adicionales al programa para:  i) la organización de la Conferencia internacional de la OMPI sobre el mercado mundial de contenidos digitales;  ii) la organización de varios eventos en los locales de la OMPI;  y iii) actividades relacionadas con el protocolo, todo lo cual se refleja en el resultado previsto VIII.3 (Atención eficaz a los Estados miembros);  y iv) gastos en atenciones especiales relacionadas con las Asambleas de la OMPI, como se refleja en el resultado previsto IX.3 (Entorno de trabajo propicio).  Además, algunos recursos se redistribuyeron entre los resultados previstos VIII.3 y IX.2 (Funcionamiento sin contratiempos de la Secretaría) en consonancia con los planes de trabajo de 2016.</w:t>
      </w:r>
    </w:p>
    <w:p w:rsidR="002E3AE7" w:rsidRPr="00534901" w:rsidRDefault="002E3AE7" w:rsidP="003E0A02">
      <w:pPr>
        <w:pStyle w:val="ListParagraph"/>
        <w:ind w:left="0"/>
        <w:jc w:val="both"/>
        <w:rPr>
          <w:rFonts w:cs="Arial"/>
          <w:lang w:val="es-ES"/>
        </w:rPr>
      </w:pPr>
    </w:p>
    <w:p w:rsidR="002E3AE7" w:rsidRPr="00534901" w:rsidRDefault="002E3AE7" w:rsidP="003E0A02">
      <w:pPr>
        <w:jc w:val="both"/>
        <w:rPr>
          <w:sz w:val="20"/>
        </w:rPr>
      </w:pPr>
      <w:r w:rsidRPr="00534901">
        <w:rPr>
          <w:sz w:val="20"/>
          <w:lang w:val="es-ES_tradnl"/>
        </w:rPr>
        <w:t>B.</w:t>
      </w:r>
      <w:r w:rsidRPr="00534901">
        <w:rPr>
          <w:sz w:val="20"/>
          <w:lang w:val="es-ES_tradnl"/>
        </w:rPr>
        <w:tab/>
      </w:r>
      <w:r w:rsidRPr="00534901">
        <w:rPr>
          <w:sz w:val="20"/>
          <w:u w:val="single"/>
          <w:lang w:val="es-ES_tradnl"/>
        </w:rPr>
        <w:t>Utilización del presupuesto en 2016/17</w:t>
      </w:r>
    </w:p>
    <w:p w:rsidR="002E3AE7" w:rsidRPr="00534901" w:rsidRDefault="002E3AE7" w:rsidP="003E0A02">
      <w:pPr>
        <w:jc w:val="both"/>
        <w:rPr>
          <w:sz w:val="20"/>
        </w:rPr>
      </w:pPr>
    </w:p>
    <w:p w:rsidR="002E3AE7" w:rsidRPr="00534901" w:rsidRDefault="002E3AE7" w:rsidP="002E3AE7">
      <w:pPr>
        <w:pStyle w:val="ListParagraph"/>
        <w:numPr>
          <w:ilvl w:val="0"/>
          <w:numId w:val="85"/>
        </w:numPr>
        <w:ind w:left="0" w:firstLine="0"/>
        <w:jc w:val="both"/>
        <w:rPr>
          <w:rFonts w:cs="Arial"/>
          <w:lang w:val="es-ES"/>
        </w:rPr>
      </w:pPr>
      <w:r w:rsidRPr="00534901">
        <w:rPr>
          <w:rFonts w:cs="Arial"/>
          <w:lang w:val="es-ES_tradnl"/>
        </w:rPr>
        <w:t>La utilización del presupuesto se ha mantenido dentro de los límites establecidos (40-60%) durante el primer año del bienio.</w:t>
      </w:r>
    </w:p>
    <w:p w:rsidR="002E3AE7" w:rsidRPr="00534901" w:rsidRDefault="002E3AE7" w:rsidP="003E0A02">
      <w:pPr>
        <w:pStyle w:val="ListParagraph"/>
        <w:ind w:left="0"/>
        <w:jc w:val="both"/>
        <w:rPr>
          <w:rFonts w:cs="Arial"/>
          <w:lang w:val="es-ES"/>
        </w:rPr>
      </w:pPr>
    </w:p>
    <w:p w:rsidR="002E3AE7" w:rsidRPr="00534901" w:rsidRDefault="002E3AE7" w:rsidP="003E0A02">
      <w:pPr>
        <w:pStyle w:val="ListParagraph"/>
        <w:ind w:left="0"/>
        <w:jc w:val="both"/>
        <w:rPr>
          <w:rFonts w:cs="Arial"/>
          <w:lang w:val="es-ES"/>
        </w:rPr>
      </w:pPr>
    </w:p>
    <w:p w:rsidR="00534901" w:rsidRDefault="00534901">
      <w:pPr>
        <w:rPr>
          <w:b/>
          <w:bCs/>
          <w:iCs/>
          <w:szCs w:val="28"/>
        </w:rPr>
      </w:pPr>
      <w:r>
        <w:rPr>
          <w:b/>
          <w:bCs/>
          <w:iCs/>
          <w:szCs w:val="28"/>
        </w:rPr>
        <w:br w:type="page"/>
      </w:r>
    </w:p>
    <w:p w:rsidR="002E3AE7" w:rsidRPr="00BF7464" w:rsidRDefault="002E3AE7" w:rsidP="0092565D">
      <w:pPr>
        <w:keepNext/>
        <w:tabs>
          <w:tab w:val="left" w:pos="2410"/>
          <w:tab w:val="right" w:pos="9072"/>
        </w:tabs>
        <w:outlineLvl w:val="1"/>
        <w:rPr>
          <w:b/>
          <w:bCs/>
          <w:iCs/>
          <w:szCs w:val="28"/>
        </w:rPr>
      </w:pPr>
      <w:bookmarkStart w:id="75" w:name="_Toc482711274"/>
      <w:r w:rsidRPr="00BF7464">
        <w:rPr>
          <w:b/>
          <w:bCs/>
          <w:iCs/>
          <w:szCs w:val="28"/>
        </w:rPr>
        <w:lastRenderedPageBreak/>
        <w:t>PROGRAMA 22</w:t>
      </w:r>
      <w:r w:rsidRPr="00BF7464">
        <w:rPr>
          <w:bCs/>
          <w:iCs/>
          <w:szCs w:val="28"/>
        </w:rPr>
        <w:tab/>
      </w:r>
      <w:r w:rsidRPr="00BF7464">
        <w:rPr>
          <w:b/>
          <w:bCs/>
          <w:iCs/>
          <w:szCs w:val="28"/>
        </w:rPr>
        <w:t>GESTIÓN DE PROGRAMAS Y RECURSOS</w:t>
      </w:r>
      <w:bookmarkEnd w:id="75"/>
    </w:p>
    <w:p w:rsidR="002E3AE7" w:rsidRPr="00BF7464" w:rsidRDefault="002E3AE7" w:rsidP="003E0A02">
      <w:pPr>
        <w:rPr>
          <w:rFonts w:cs="Times New Roman"/>
          <w:sz w:val="20"/>
        </w:rPr>
      </w:pPr>
    </w:p>
    <w:p w:rsidR="002E3AE7" w:rsidRPr="00BF7464" w:rsidRDefault="002E3AE7" w:rsidP="0092565D">
      <w:pPr>
        <w:tabs>
          <w:tab w:val="left" w:pos="2410"/>
        </w:tabs>
        <w:rPr>
          <w:rFonts w:cs="Times New Roman"/>
          <w:b/>
          <w:sz w:val="20"/>
          <w:szCs w:val="22"/>
        </w:rPr>
      </w:pPr>
      <w:r w:rsidRPr="00BF7464">
        <w:rPr>
          <w:rFonts w:cs="Times New Roman"/>
          <w:b/>
          <w:sz w:val="20"/>
          <w:szCs w:val="22"/>
        </w:rPr>
        <w:t>Director de programa</w:t>
      </w:r>
      <w:r w:rsidRPr="00BF7464">
        <w:rPr>
          <w:rFonts w:cs="Times New Roman"/>
          <w:sz w:val="20"/>
          <w:szCs w:val="22"/>
        </w:rPr>
        <w:tab/>
      </w:r>
      <w:r w:rsidRPr="00BF7464">
        <w:rPr>
          <w:rFonts w:cs="Times New Roman"/>
          <w:b/>
          <w:sz w:val="20"/>
          <w:szCs w:val="22"/>
        </w:rPr>
        <w:t>Sr. A. Sundaram</w:t>
      </w:r>
    </w:p>
    <w:p w:rsidR="002E3AE7" w:rsidRPr="00BF7464" w:rsidRDefault="002E3AE7" w:rsidP="003E0A02">
      <w:pPr>
        <w:jc w:val="center"/>
        <w:rPr>
          <w:rFonts w:cs="Times New Roman"/>
          <w:sz w:val="20"/>
        </w:rPr>
      </w:pPr>
      <w:r w:rsidRPr="00F66567">
        <w:rPr>
          <w:noProof/>
          <w:lang w:val="en-US" w:eastAsia="en-US"/>
        </w:rPr>
        <w:drawing>
          <wp:inline distT="0" distB="0" distL="0" distR="0" wp14:anchorId="14CD3C32" wp14:editId="1E6275EC">
            <wp:extent cx="4956127" cy="2514522"/>
            <wp:effectExtent l="0" t="0" r="0" b="635"/>
            <wp:docPr id="112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975636" cy="2524420"/>
                    </a:xfrm>
                    <a:prstGeom prst="rect">
                      <a:avLst/>
                    </a:prstGeom>
                    <a:noFill/>
                    <a:ln>
                      <a:noFill/>
                    </a:ln>
                  </pic:spPr>
                </pic:pic>
              </a:graphicData>
            </a:graphic>
          </wp:inline>
        </w:drawing>
      </w:r>
      <w:r w:rsidRPr="00BF7464">
        <w:t xml:space="preserve">  </w:t>
      </w:r>
    </w:p>
    <w:tbl>
      <w:tblPr>
        <w:tblW w:w="9214" w:type="dxa"/>
        <w:tblInd w:w="58" w:type="dxa"/>
        <w:tblLayout w:type="fixed"/>
        <w:tblCellMar>
          <w:left w:w="115" w:type="dxa"/>
          <w:right w:w="115" w:type="dxa"/>
        </w:tblCellMar>
        <w:tblLook w:val="0000" w:firstRow="0" w:lastRow="0" w:firstColumn="0" w:lastColumn="0" w:noHBand="0" w:noVBand="0"/>
      </w:tblPr>
      <w:tblGrid>
        <w:gridCol w:w="1668"/>
        <w:gridCol w:w="2718"/>
        <w:gridCol w:w="9"/>
        <w:gridCol w:w="1220"/>
        <w:gridCol w:w="175"/>
        <w:gridCol w:w="88"/>
        <w:gridCol w:w="2475"/>
        <w:gridCol w:w="11"/>
        <w:gridCol w:w="850"/>
      </w:tblGrid>
      <w:tr w:rsidR="002E3AE7" w:rsidRPr="00BF7464" w:rsidTr="003E0A02">
        <w:trPr>
          <w:trHeight w:val="565"/>
        </w:trPr>
        <w:tc>
          <w:tcPr>
            <w:tcW w:w="5000" w:type="pct"/>
            <w:gridSpan w:val="9"/>
            <w:shd w:val="clear" w:color="auto" w:fill="C6D9F1" w:themeFill="text2" w:themeFillTint="33"/>
            <w:tcMar>
              <w:left w:w="58" w:type="dxa"/>
              <w:right w:w="58" w:type="dxa"/>
            </w:tcMar>
            <w:vAlign w:val="center"/>
          </w:tcPr>
          <w:p w:rsidR="002E3AE7" w:rsidRPr="00BF7464" w:rsidRDefault="002E3AE7" w:rsidP="003E0A02">
            <w:pPr>
              <w:keepNext/>
              <w:keepLines/>
              <w:tabs>
                <w:tab w:val="left" w:pos="1452"/>
              </w:tabs>
              <w:ind w:left="1701" w:hanging="1701"/>
              <w:rPr>
                <w:b/>
                <w:bCs/>
                <w:sz w:val="16"/>
                <w:szCs w:val="16"/>
              </w:rPr>
            </w:pPr>
            <w:r w:rsidRPr="00BF7464">
              <w:rPr>
                <w:b/>
                <w:bCs/>
                <w:sz w:val="16"/>
                <w:szCs w:val="16"/>
              </w:rPr>
              <w:t>Resultado previsto:</w:t>
            </w:r>
            <w:r w:rsidRPr="00BF7464">
              <w:rPr>
                <w:b/>
                <w:bCs/>
                <w:sz w:val="16"/>
                <w:szCs w:val="16"/>
              </w:rPr>
              <w:tab/>
            </w:r>
            <w:r w:rsidRPr="00BF7464">
              <w:rPr>
                <w:sz w:val="16"/>
                <w:szCs w:val="16"/>
                <w:lang w:bidi="th-TH"/>
              </w:rPr>
              <w:t>IX.1  Servicios de apoyo eficaces, eficientes, de calidad y orientados al cliente, tanto a los usuarios internos como a las partes interesadas externas</w:t>
            </w:r>
          </w:p>
        </w:tc>
      </w:tr>
      <w:tr w:rsidR="002E3AE7" w:rsidRPr="00BF7464" w:rsidTr="003E0A02">
        <w:trPr>
          <w:trHeight w:val="16"/>
        </w:trPr>
        <w:tc>
          <w:tcPr>
            <w:tcW w:w="905" w:type="pct"/>
            <w:shd w:val="clear" w:color="auto" w:fill="auto"/>
            <w:tcMar>
              <w:left w:w="58" w:type="dxa"/>
              <w:right w:w="58" w:type="dxa"/>
            </w:tcMar>
            <w:vAlign w:val="center"/>
          </w:tcPr>
          <w:p w:rsidR="002E3AE7" w:rsidRPr="00BF7464" w:rsidRDefault="002E3AE7" w:rsidP="003E0A02">
            <w:pPr>
              <w:rPr>
                <w:b/>
                <w:bCs/>
                <w:sz w:val="16"/>
                <w:szCs w:val="16"/>
              </w:rPr>
            </w:pPr>
            <w:r w:rsidRPr="00BF7464">
              <w:rPr>
                <w:b/>
                <w:bCs/>
                <w:sz w:val="16"/>
                <w:szCs w:val="16"/>
              </w:rPr>
              <w:t>Indicadores de rendimiento</w:t>
            </w:r>
          </w:p>
        </w:tc>
        <w:tc>
          <w:tcPr>
            <w:tcW w:w="1475" w:type="pct"/>
            <w:shd w:val="clear" w:color="auto" w:fill="auto"/>
            <w:tcMar>
              <w:left w:w="58" w:type="dxa"/>
              <w:right w:w="58" w:type="dxa"/>
            </w:tcMar>
            <w:vAlign w:val="center"/>
          </w:tcPr>
          <w:p w:rsidR="002E3AE7" w:rsidRPr="00BF7464" w:rsidRDefault="002E3AE7" w:rsidP="003E0A02">
            <w:pPr>
              <w:rPr>
                <w:b/>
                <w:bCs/>
                <w:sz w:val="16"/>
                <w:szCs w:val="16"/>
              </w:rPr>
            </w:pPr>
            <w:r w:rsidRPr="00BF7464">
              <w:rPr>
                <w:b/>
                <w:bCs/>
                <w:sz w:val="16"/>
                <w:szCs w:val="16"/>
              </w:rPr>
              <w:t>Referencias de base</w:t>
            </w:r>
          </w:p>
        </w:tc>
        <w:tc>
          <w:tcPr>
            <w:tcW w:w="810" w:type="pct"/>
            <w:gridSpan w:val="4"/>
            <w:shd w:val="clear" w:color="auto" w:fill="auto"/>
            <w:tcMar>
              <w:top w:w="110" w:type="dxa"/>
              <w:left w:w="58" w:type="dxa"/>
              <w:right w:w="58" w:type="dxa"/>
            </w:tcMar>
            <w:vAlign w:val="center"/>
          </w:tcPr>
          <w:p w:rsidR="002E3AE7" w:rsidRPr="00BF7464" w:rsidRDefault="002E3AE7" w:rsidP="003E0A02">
            <w:pPr>
              <w:tabs>
                <w:tab w:val="left" w:pos="290"/>
              </w:tabs>
              <w:rPr>
                <w:b/>
                <w:bCs/>
                <w:sz w:val="16"/>
                <w:szCs w:val="16"/>
              </w:rPr>
            </w:pPr>
            <w:r w:rsidRPr="00BF7464">
              <w:rPr>
                <w:b/>
                <w:bCs/>
                <w:sz w:val="16"/>
                <w:szCs w:val="16"/>
              </w:rPr>
              <w:t>Objetivos</w:t>
            </w:r>
          </w:p>
        </w:tc>
        <w:tc>
          <w:tcPr>
            <w:tcW w:w="1343" w:type="pct"/>
            <w:shd w:val="clear" w:color="auto" w:fill="FFFFFF"/>
            <w:tcMar>
              <w:top w:w="110" w:type="dxa"/>
              <w:left w:w="58" w:type="dxa"/>
              <w:right w:w="58" w:type="dxa"/>
            </w:tcMar>
            <w:vAlign w:val="center"/>
          </w:tcPr>
          <w:p w:rsidR="002E3AE7" w:rsidRPr="00BF7464" w:rsidRDefault="002E3AE7" w:rsidP="003E0A02">
            <w:pPr>
              <w:rPr>
                <w:b/>
                <w:bCs/>
                <w:sz w:val="16"/>
                <w:szCs w:val="16"/>
              </w:rPr>
            </w:pPr>
            <w:r w:rsidRPr="00BF7464">
              <w:rPr>
                <w:b/>
                <w:bCs/>
                <w:sz w:val="16"/>
                <w:szCs w:val="16"/>
              </w:rPr>
              <w:t>Datos sobre el rendimiento</w:t>
            </w:r>
          </w:p>
        </w:tc>
        <w:tc>
          <w:tcPr>
            <w:tcW w:w="467" w:type="pct"/>
            <w:gridSpan w:val="2"/>
            <w:shd w:val="clear" w:color="auto" w:fill="auto"/>
            <w:tcMar>
              <w:top w:w="110" w:type="dxa"/>
              <w:left w:w="58" w:type="dxa"/>
              <w:right w:w="58" w:type="dxa"/>
            </w:tcMar>
            <w:vAlign w:val="center"/>
          </w:tcPr>
          <w:p w:rsidR="002E3AE7" w:rsidRPr="00BF7464" w:rsidRDefault="002E3AE7" w:rsidP="003E0A02">
            <w:pPr>
              <w:keepNext/>
              <w:keepLines/>
              <w:jc w:val="center"/>
              <w:rPr>
                <w:b/>
                <w:bCs/>
                <w:sz w:val="16"/>
                <w:szCs w:val="16"/>
              </w:rPr>
            </w:pPr>
            <w:r w:rsidRPr="00BF7464">
              <w:rPr>
                <w:b/>
                <w:bCs/>
                <w:sz w:val="16"/>
                <w:szCs w:val="16"/>
              </w:rPr>
              <w:t>Clave de colores</w:t>
            </w:r>
          </w:p>
        </w:tc>
      </w:tr>
      <w:tr w:rsidR="002E3AE7" w:rsidRPr="00BF7464" w:rsidTr="003E0A02">
        <w:trPr>
          <w:trHeight w:val="1330"/>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Suministro de informes y análisis financieros y de gestión solicitados por el personal directivo superior, los directores de programa y los Estados miembros con arreglo a los plazos acordados</w:t>
            </w:r>
          </w:p>
        </w:tc>
        <w:tc>
          <w:tcPr>
            <w:tcW w:w="1475" w:type="pct"/>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keepNext/>
              <w:keepLines/>
              <w:rPr>
                <w:color w:val="002060"/>
                <w:sz w:val="16"/>
                <w:szCs w:val="16"/>
                <w:lang w:bidi="th-TH"/>
              </w:rPr>
            </w:pPr>
            <w:r w:rsidRPr="004334C2">
              <w:rPr>
                <w:color w:val="002060"/>
                <w:sz w:val="16"/>
                <w:szCs w:val="16"/>
                <w:lang w:bidi="th-TH"/>
              </w:rPr>
              <w:t xml:space="preserve">- Cierre mensual el </w:t>
            </w:r>
            <w:r w:rsidR="0092565D">
              <w:rPr>
                <w:color w:val="002060"/>
                <w:sz w:val="16"/>
                <w:szCs w:val="16"/>
                <w:lang w:bidi="th-TH"/>
              </w:rPr>
              <w:t>10º</w:t>
            </w:r>
            <w:r w:rsidRPr="004334C2">
              <w:rPr>
                <w:color w:val="002060"/>
                <w:sz w:val="16"/>
                <w:szCs w:val="16"/>
                <w:lang w:bidi="th-TH"/>
              </w:rPr>
              <w:t xml:space="preserve"> día laborable o antes, en el marco de </w:t>
            </w:r>
            <w:r w:rsidR="0092565D">
              <w:rPr>
                <w:color w:val="002060"/>
                <w:sz w:val="16"/>
                <w:szCs w:val="16"/>
                <w:lang w:bidi="th-TH"/>
              </w:rPr>
              <w:t>10</w:t>
            </w:r>
            <w:r w:rsidRPr="004334C2">
              <w:rPr>
                <w:color w:val="002060"/>
                <w:sz w:val="16"/>
                <w:szCs w:val="16"/>
                <w:lang w:bidi="th-TH"/>
              </w:rPr>
              <w:t xml:space="preserve"> meses, a excepción de enero y octubre, como consecuencia de la mejora del sistema.  </w:t>
            </w:r>
          </w:p>
          <w:p w:rsidR="002E3AE7" w:rsidRPr="00BF7464" w:rsidRDefault="002E3AE7" w:rsidP="003E0A02">
            <w:pPr>
              <w:rPr>
                <w:sz w:val="16"/>
                <w:szCs w:val="16"/>
              </w:rPr>
            </w:pPr>
          </w:p>
          <w:p w:rsidR="002E3AE7" w:rsidRPr="00BF7464" w:rsidRDefault="002E3AE7" w:rsidP="003E0A02">
            <w:pPr>
              <w:ind w:left="33"/>
              <w:rPr>
                <w:i/>
                <w:sz w:val="16"/>
                <w:szCs w:val="16"/>
              </w:rPr>
            </w:pPr>
            <w:r w:rsidRPr="00BF7464">
              <w:rPr>
                <w:i/>
                <w:sz w:val="16"/>
                <w:szCs w:val="16"/>
              </w:rPr>
              <w:t xml:space="preserve">Referencia original en el presupuesto de 2016/17:  </w:t>
            </w:r>
          </w:p>
          <w:p w:rsidR="002E3AE7" w:rsidRPr="00BF7464" w:rsidRDefault="002E3AE7" w:rsidP="003E0A02">
            <w:pPr>
              <w:spacing w:after="240"/>
              <w:ind w:left="33"/>
              <w:rPr>
                <w:sz w:val="16"/>
                <w:szCs w:val="16"/>
              </w:rPr>
            </w:pPr>
            <w:r w:rsidRPr="00BF7464">
              <w:rPr>
                <w:sz w:val="16"/>
                <w:szCs w:val="16"/>
              </w:rPr>
              <w:t>El cierre mensual debe efectuarse 10 días laborables después del final de mes (salvo en enero, cuando el cierre se determina por los avances en el cierre anual)</w:t>
            </w:r>
          </w:p>
        </w:tc>
        <w:tc>
          <w:tcPr>
            <w:tcW w:w="810" w:type="pct"/>
            <w:gridSpan w:val="4"/>
            <w:shd w:val="clear" w:color="auto" w:fill="auto"/>
            <w:tcMar>
              <w:top w:w="110" w:type="dxa"/>
              <w:left w:w="58" w:type="dxa"/>
              <w:right w:w="58" w:type="dxa"/>
            </w:tcMar>
          </w:tcPr>
          <w:p w:rsidR="002E3AE7" w:rsidRPr="00BF7464" w:rsidRDefault="002E3AE7" w:rsidP="003E0A02">
            <w:pPr>
              <w:ind w:left="4"/>
              <w:rPr>
                <w:sz w:val="16"/>
                <w:szCs w:val="16"/>
              </w:rPr>
            </w:pPr>
            <w:r w:rsidRPr="00BF7464">
              <w:rPr>
                <w:sz w:val="16"/>
                <w:szCs w:val="16"/>
              </w:rPr>
              <w:t>Idénticos a la referencia</w:t>
            </w:r>
          </w:p>
        </w:tc>
        <w:tc>
          <w:tcPr>
            <w:tcW w:w="1343" w:type="pct"/>
            <w:shd w:val="clear" w:color="auto" w:fill="FFFFFF"/>
            <w:tcMar>
              <w:top w:w="110" w:type="dxa"/>
              <w:left w:w="58" w:type="dxa"/>
              <w:right w:w="58" w:type="dxa"/>
            </w:tcMar>
          </w:tcPr>
          <w:p w:rsidR="002E3AE7" w:rsidRPr="00BF7464" w:rsidRDefault="002E3AE7" w:rsidP="0092565D">
            <w:pPr>
              <w:rPr>
                <w:sz w:val="16"/>
                <w:szCs w:val="16"/>
              </w:rPr>
            </w:pPr>
            <w:r w:rsidRPr="00BF7464">
              <w:rPr>
                <w:sz w:val="16"/>
                <w:szCs w:val="16"/>
              </w:rPr>
              <w:t xml:space="preserve">Cierre mensual el </w:t>
            </w:r>
            <w:r w:rsidR="0092565D">
              <w:rPr>
                <w:sz w:val="16"/>
                <w:szCs w:val="16"/>
              </w:rPr>
              <w:t>10º</w:t>
            </w:r>
            <w:r w:rsidRPr="00BF7464">
              <w:rPr>
                <w:sz w:val="16"/>
                <w:szCs w:val="16"/>
              </w:rPr>
              <w:t xml:space="preserve"> día laborable o antes, en el marco de 8 meses, a excepción de enero (según la referencia), diciembre (cierre en consonancia con la planificación de cierre según la referencia), febrero (debido a problemas causados por la actualización del sistema AIMS y el cierre atrasado de diciembre de 2015) y abril (debido a retrasos en los procesos del sistema MIRIS, que causó problemas en la distribución en el marco del Sistema de Madrid)</w:t>
            </w:r>
          </w:p>
        </w:tc>
        <w:tc>
          <w:tcPr>
            <w:tcW w:w="467" w:type="pct"/>
            <w:gridSpan w:val="2"/>
            <w:shd w:val="clear" w:color="auto" w:fill="auto"/>
            <w:tcMar>
              <w:top w:w="110" w:type="dxa"/>
              <w:left w:w="58" w:type="dxa"/>
              <w:right w:w="58" w:type="dxa"/>
            </w:tcMar>
          </w:tcPr>
          <w:p w:rsidR="002E3AE7" w:rsidRPr="00BF7464" w:rsidRDefault="002E3AE7" w:rsidP="003E0A02">
            <w:pPr>
              <w:keepNext/>
              <w:keepLines/>
              <w:jc w:val="center"/>
              <w:rPr>
                <w:b/>
                <w:sz w:val="16"/>
                <w:szCs w:val="16"/>
              </w:rPr>
            </w:pPr>
            <w:r w:rsidRPr="00BF7464">
              <w:rPr>
                <w:b/>
                <w:color w:val="FF0000"/>
                <w:sz w:val="16"/>
                <w:szCs w:val="16"/>
              </w:rPr>
              <w:t>No avanza</w:t>
            </w: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sz w:val="16"/>
                <w:szCs w:val="16"/>
              </w:rPr>
            </w:pPr>
          </w:p>
        </w:tc>
      </w:tr>
      <w:tr w:rsidR="002E3AE7" w:rsidRPr="00BF7464" w:rsidTr="003E0A02">
        <w:trPr>
          <w:trHeight w:val="1912"/>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N.º de documentos del PBC presentados a tiempo a los Estados miembros</w:t>
            </w:r>
          </w:p>
        </w:tc>
        <w:tc>
          <w:tcPr>
            <w:tcW w:w="1475" w:type="pct"/>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rPr>
                <w:color w:val="002060"/>
                <w:sz w:val="16"/>
                <w:szCs w:val="16"/>
              </w:rPr>
            </w:pPr>
            <w:r w:rsidRPr="004334C2">
              <w:rPr>
                <w:color w:val="002060"/>
                <w:sz w:val="16"/>
                <w:szCs w:val="16"/>
              </w:rPr>
              <w:t>18% (sobre la base de un plazo de 8 semanas)</w:t>
            </w:r>
          </w:p>
          <w:p w:rsidR="002E3AE7" w:rsidRPr="00BF7464" w:rsidRDefault="002E3AE7" w:rsidP="003E0A02">
            <w:pPr>
              <w:rPr>
                <w:sz w:val="16"/>
                <w:szCs w:val="16"/>
              </w:rPr>
            </w:pPr>
          </w:p>
          <w:p w:rsidR="002E3AE7" w:rsidRPr="00BF7464" w:rsidRDefault="002E3AE7" w:rsidP="003E0A02">
            <w:pPr>
              <w:ind w:left="33"/>
              <w:rPr>
                <w:i/>
                <w:sz w:val="16"/>
                <w:szCs w:val="16"/>
              </w:rPr>
            </w:pPr>
            <w:r w:rsidRPr="00BF7464">
              <w:rPr>
                <w:i/>
                <w:sz w:val="16"/>
                <w:szCs w:val="16"/>
              </w:rPr>
              <w:t xml:space="preserve">Referencia original en el presupuesto de 2016/17:  </w:t>
            </w:r>
          </w:p>
          <w:p w:rsidR="002E3AE7" w:rsidRPr="00BF7464" w:rsidRDefault="002E3AE7" w:rsidP="003E0A02">
            <w:pPr>
              <w:spacing w:after="240"/>
              <w:ind w:left="34"/>
              <w:rPr>
                <w:sz w:val="16"/>
                <w:szCs w:val="16"/>
              </w:rPr>
            </w:pPr>
            <w:r w:rsidRPr="00BF7464">
              <w:rPr>
                <w:sz w:val="16"/>
                <w:szCs w:val="16"/>
              </w:rPr>
              <w:t>12% (en 2014 sobre la base de un plazo de 8 semanas)</w:t>
            </w:r>
          </w:p>
        </w:tc>
        <w:tc>
          <w:tcPr>
            <w:tcW w:w="810" w:type="pct"/>
            <w:gridSpan w:val="4"/>
            <w:shd w:val="clear" w:color="auto" w:fill="auto"/>
            <w:tcMar>
              <w:top w:w="110" w:type="dxa"/>
              <w:left w:w="58" w:type="dxa"/>
              <w:right w:w="58" w:type="dxa"/>
            </w:tcMar>
          </w:tcPr>
          <w:p w:rsidR="002E3AE7" w:rsidRPr="004334C2" w:rsidRDefault="002E3AE7" w:rsidP="003E0A02">
            <w:pPr>
              <w:rPr>
                <w:color w:val="002060"/>
                <w:sz w:val="16"/>
                <w:szCs w:val="16"/>
              </w:rPr>
            </w:pPr>
            <w:r w:rsidRPr="004334C2">
              <w:rPr>
                <w:i/>
                <w:color w:val="002060"/>
                <w:sz w:val="16"/>
                <w:szCs w:val="16"/>
              </w:rPr>
              <w:t xml:space="preserve">Objetivo actualizado:  </w:t>
            </w:r>
            <w:r w:rsidRPr="004334C2">
              <w:rPr>
                <w:color w:val="002060"/>
                <w:sz w:val="16"/>
                <w:szCs w:val="16"/>
              </w:rPr>
              <w:t>20% (sobre la base de un plazo de 8 semanas)</w:t>
            </w:r>
          </w:p>
          <w:p w:rsidR="002E3AE7" w:rsidRPr="00BF7464" w:rsidRDefault="002E3AE7" w:rsidP="003E0A02">
            <w:pPr>
              <w:rPr>
                <w:sz w:val="16"/>
                <w:szCs w:val="16"/>
              </w:rPr>
            </w:pPr>
          </w:p>
          <w:p w:rsidR="002E3AE7" w:rsidRPr="00BF7464" w:rsidRDefault="002E3AE7" w:rsidP="003E0A02">
            <w:pPr>
              <w:rPr>
                <w:sz w:val="16"/>
                <w:szCs w:val="16"/>
              </w:rPr>
            </w:pPr>
            <w:r w:rsidRPr="00BF7464">
              <w:rPr>
                <w:i/>
                <w:sz w:val="16"/>
                <w:szCs w:val="16"/>
              </w:rPr>
              <w:t xml:space="preserve">Objetivo original en el presupuesto de 2016/17:  </w:t>
            </w:r>
            <w:r w:rsidRPr="00BF7464">
              <w:rPr>
                <w:sz w:val="16"/>
                <w:szCs w:val="16"/>
              </w:rPr>
              <w:t>15% (sobre la base de un plazo de 8 semanas)</w:t>
            </w:r>
          </w:p>
        </w:tc>
        <w:tc>
          <w:tcPr>
            <w:tcW w:w="1343" w:type="pct"/>
            <w:shd w:val="clear" w:color="auto" w:fill="auto"/>
            <w:tcMar>
              <w:top w:w="110" w:type="dxa"/>
              <w:left w:w="58" w:type="dxa"/>
              <w:right w:w="58" w:type="dxa"/>
            </w:tcMar>
          </w:tcPr>
          <w:p w:rsidR="002E3AE7" w:rsidRPr="00BF7464" w:rsidRDefault="002E3AE7" w:rsidP="003E0A02">
            <w:pPr>
              <w:keepNext/>
              <w:keepLines/>
              <w:rPr>
                <w:sz w:val="16"/>
                <w:szCs w:val="16"/>
              </w:rPr>
            </w:pPr>
            <w:r w:rsidRPr="00BF7464">
              <w:rPr>
                <w:sz w:val="16"/>
                <w:szCs w:val="16"/>
              </w:rPr>
              <w:t>50% (sobre la base de un plazo de 8 semanas)</w:t>
            </w:r>
          </w:p>
        </w:tc>
        <w:tc>
          <w:tcPr>
            <w:tcW w:w="467" w:type="pct"/>
            <w:gridSpan w:val="2"/>
            <w:shd w:val="clear" w:color="auto" w:fill="auto"/>
            <w:tcMar>
              <w:top w:w="110" w:type="dxa"/>
              <w:left w:w="58" w:type="dxa"/>
              <w:right w:w="58" w:type="dxa"/>
            </w:tcMar>
          </w:tcPr>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tc>
      </w:tr>
      <w:tr w:rsidR="002E3AE7" w:rsidRPr="00BF7464" w:rsidTr="003E0A02">
        <w:trPr>
          <w:trHeight w:val="401"/>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El sistema de la OMPI de PRI (AIMS) funciona eficazmente con arreglo a las necesidades operacionales y en concordancia con las mejores prácticas</w:t>
            </w:r>
          </w:p>
        </w:tc>
        <w:tc>
          <w:tcPr>
            <w:tcW w:w="1475" w:type="pct"/>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rPr>
                <w:color w:val="002060"/>
                <w:sz w:val="16"/>
                <w:szCs w:val="16"/>
              </w:rPr>
            </w:pPr>
            <w:r w:rsidRPr="004334C2">
              <w:rPr>
                <w:color w:val="002060"/>
                <w:sz w:val="16"/>
                <w:szCs w:val="16"/>
              </w:rPr>
              <w:t xml:space="preserve">En 2015, el % de </w:t>
            </w:r>
            <w:r w:rsidR="00A31E43">
              <w:rPr>
                <w:color w:val="002060"/>
                <w:sz w:val="16"/>
                <w:szCs w:val="16"/>
              </w:rPr>
              <w:t>tiempo útil del AIMS fue del 99,</w:t>
            </w:r>
            <w:r w:rsidRPr="004334C2">
              <w:rPr>
                <w:color w:val="002060"/>
                <w:sz w:val="16"/>
                <w:szCs w:val="16"/>
              </w:rPr>
              <w:t>93%. El número más elevado de incidentes de carácter prioritario que están siendo tratados en todo momento fue de 31.</w:t>
            </w:r>
          </w:p>
          <w:p w:rsidR="002E3AE7" w:rsidRPr="00BF7464" w:rsidRDefault="002E3AE7" w:rsidP="003E0A02">
            <w:pPr>
              <w:rPr>
                <w:sz w:val="16"/>
                <w:szCs w:val="16"/>
              </w:rPr>
            </w:pPr>
          </w:p>
          <w:p w:rsidR="002E3AE7" w:rsidRPr="00BF7464" w:rsidRDefault="002E3AE7" w:rsidP="003E0A02">
            <w:pPr>
              <w:ind w:left="33"/>
              <w:rPr>
                <w:sz w:val="16"/>
                <w:szCs w:val="16"/>
              </w:rPr>
            </w:pPr>
            <w:r w:rsidRPr="00BF7464">
              <w:rPr>
                <w:i/>
                <w:sz w:val="16"/>
                <w:szCs w:val="16"/>
              </w:rPr>
              <w:t xml:space="preserve">Referencia original en el presup. de 2016/17:  </w:t>
            </w:r>
            <w:r w:rsidRPr="00BF7464">
              <w:rPr>
                <w:sz w:val="16"/>
                <w:szCs w:val="16"/>
              </w:rPr>
              <w:t>En 2014, el % de tiempo útil del AIMS fue del 99.80%.  El n.º más elevado de incidentes de carácter prioritario siendo tratado en todo momento fue de 25.</w:t>
            </w:r>
          </w:p>
        </w:tc>
        <w:tc>
          <w:tcPr>
            <w:tcW w:w="810" w:type="pct"/>
            <w:gridSpan w:val="4"/>
            <w:shd w:val="clear" w:color="auto" w:fill="auto"/>
            <w:tcMar>
              <w:top w:w="110" w:type="dxa"/>
              <w:left w:w="58" w:type="dxa"/>
              <w:right w:w="58" w:type="dxa"/>
            </w:tcMar>
          </w:tcPr>
          <w:p w:rsidR="002E3AE7" w:rsidRPr="00BF7464" w:rsidRDefault="002E3AE7" w:rsidP="003E0A02">
            <w:pPr>
              <w:spacing w:after="60"/>
              <w:ind w:left="29"/>
              <w:rPr>
                <w:sz w:val="16"/>
                <w:szCs w:val="16"/>
              </w:rPr>
            </w:pPr>
            <w:r w:rsidRPr="00BF7464">
              <w:rPr>
                <w:sz w:val="16"/>
                <w:szCs w:val="16"/>
              </w:rPr>
              <w:t>El % de tie</w:t>
            </w:r>
            <w:r w:rsidR="0092565D">
              <w:rPr>
                <w:sz w:val="16"/>
                <w:szCs w:val="16"/>
              </w:rPr>
              <w:t>mpo útil del AIMS es mayor a 99,</w:t>
            </w:r>
            <w:r w:rsidRPr="00BF7464">
              <w:rPr>
                <w:sz w:val="16"/>
                <w:szCs w:val="16"/>
              </w:rPr>
              <w:t>80%</w:t>
            </w:r>
          </w:p>
          <w:p w:rsidR="002E3AE7" w:rsidRPr="00BF7464" w:rsidRDefault="002E3AE7" w:rsidP="003E0A02">
            <w:pPr>
              <w:spacing w:after="60"/>
              <w:ind w:left="29"/>
              <w:rPr>
                <w:sz w:val="16"/>
                <w:szCs w:val="16"/>
              </w:rPr>
            </w:pPr>
            <w:r w:rsidRPr="00BF7464">
              <w:rPr>
                <w:sz w:val="16"/>
                <w:szCs w:val="16"/>
              </w:rPr>
              <w:t>No más de 20 incidentes de carácter prioritario están siendo tratados en todo momento</w:t>
            </w:r>
          </w:p>
          <w:p w:rsidR="002E3AE7" w:rsidRPr="00BF7464" w:rsidRDefault="002E3AE7" w:rsidP="003E0A02">
            <w:pPr>
              <w:spacing w:after="240"/>
              <w:ind w:left="33"/>
              <w:rPr>
                <w:sz w:val="16"/>
                <w:szCs w:val="16"/>
              </w:rPr>
            </w:pPr>
            <w:r w:rsidRPr="00BF7464">
              <w:rPr>
                <w:sz w:val="16"/>
                <w:szCs w:val="16"/>
              </w:rPr>
              <w:t>Los incidentes de carácter prioritario se resuelven en 8 días como máximo</w:t>
            </w:r>
          </w:p>
        </w:tc>
        <w:tc>
          <w:tcPr>
            <w:tcW w:w="1343" w:type="pct"/>
            <w:shd w:val="clear" w:color="auto" w:fill="FFFFFF"/>
            <w:tcMar>
              <w:top w:w="110" w:type="dxa"/>
              <w:left w:w="58" w:type="dxa"/>
              <w:right w:w="58" w:type="dxa"/>
            </w:tcMar>
          </w:tcPr>
          <w:p w:rsidR="002E3AE7" w:rsidRPr="00BF7464" w:rsidRDefault="002E3AE7" w:rsidP="003E0A02">
            <w:pPr>
              <w:keepNext/>
              <w:keepLines/>
              <w:spacing w:after="60"/>
              <w:rPr>
                <w:sz w:val="16"/>
                <w:szCs w:val="16"/>
              </w:rPr>
            </w:pPr>
            <w:r w:rsidRPr="00BF7464">
              <w:rPr>
                <w:sz w:val="16"/>
                <w:szCs w:val="16"/>
              </w:rPr>
              <w:t xml:space="preserve">El % de tiempo útil del AIMS fue del 100% en 2016. </w:t>
            </w:r>
          </w:p>
          <w:p w:rsidR="002E3AE7" w:rsidRPr="00BF7464" w:rsidRDefault="002E3AE7" w:rsidP="003E0A02">
            <w:pPr>
              <w:keepNext/>
              <w:keepLines/>
              <w:spacing w:after="60"/>
              <w:rPr>
                <w:sz w:val="16"/>
                <w:szCs w:val="16"/>
              </w:rPr>
            </w:pPr>
            <w:r w:rsidRPr="00BF7464">
              <w:rPr>
                <w:sz w:val="16"/>
                <w:szCs w:val="16"/>
              </w:rPr>
              <w:t>El número máximo de incidentes de carácter prioritario siendo tratado en todo momento fue de 16 en 2016.</w:t>
            </w:r>
          </w:p>
          <w:p w:rsidR="002E3AE7" w:rsidRPr="00BF7464" w:rsidRDefault="002E3AE7" w:rsidP="00A31E43">
            <w:pPr>
              <w:keepNext/>
              <w:keepLines/>
              <w:rPr>
                <w:sz w:val="16"/>
                <w:szCs w:val="16"/>
              </w:rPr>
            </w:pPr>
            <w:r w:rsidRPr="00BF7464">
              <w:rPr>
                <w:sz w:val="16"/>
                <w:szCs w:val="16"/>
              </w:rPr>
              <w:t xml:space="preserve">Los incidentes de carácter prioritario se resolvieron en 25 días de promedio </w:t>
            </w:r>
            <w:r w:rsidR="00A31E43">
              <w:rPr>
                <w:sz w:val="16"/>
                <w:szCs w:val="16"/>
              </w:rPr>
              <w:t>e</w:t>
            </w:r>
            <w:r w:rsidRPr="00BF7464">
              <w:rPr>
                <w:sz w:val="16"/>
                <w:szCs w:val="16"/>
              </w:rPr>
              <w:t>n 2016.</w:t>
            </w:r>
          </w:p>
        </w:tc>
        <w:tc>
          <w:tcPr>
            <w:tcW w:w="467" w:type="pct"/>
            <w:gridSpan w:val="2"/>
            <w:shd w:val="clear" w:color="auto" w:fill="auto"/>
            <w:tcMar>
              <w:top w:w="110" w:type="dxa"/>
              <w:left w:w="58" w:type="dxa"/>
              <w:right w:w="58" w:type="dxa"/>
            </w:tcMar>
          </w:tcPr>
          <w:p w:rsidR="002E3AE7" w:rsidRPr="00BF7464" w:rsidRDefault="002E3AE7" w:rsidP="003E0A02">
            <w:pPr>
              <w:keepNext/>
              <w:keepLines/>
              <w:spacing w:after="60"/>
              <w:jc w:val="center"/>
              <w:rPr>
                <w:sz w:val="16"/>
                <w:szCs w:val="16"/>
              </w:rPr>
            </w:pPr>
            <w:r w:rsidRPr="00BF7464">
              <w:rPr>
                <w:b/>
                <w:color w:val="00B050"/>
                <w:sz w:val="16"/>
                <w:szCs w:val="16"/>
              </w:rPr>
              <w:t>Avanza</w:t>
            </w: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p w:rsidR="002E3AE7" w:rsidRPr="00BF7464" w:rsidRDefault="002E3AE7" w:rsidP="003E0A02">
            <w:pPr>
              <w:keepNext/>
              <w:keepLines/>
              <w:rPr>
                <w:sz w:val="16"/>
                <w:szCs w:val="16"/>
              </w:rPr>
            </w:pPr>
          </w:p>
          <w:p w:rsidR="002E3AE7" w:rsidRPr="00BF7464" w:rsidRDefault="002E3AE7" w:rsidP="003E0A02">
            <w:pPr>
              <w:keepNext/>
              <w:keepLines/>
              <w:rPr>
                <w:sz w:val="16"/>
                <w:szCs w:val="16"/>
              </w:rPr>
            </w:pPr>
          </w:p>
          <w:p w:rsidR="002E3AE7" w:rsidRPr="00BF7464" w:rsidRDefault="002E3AE7" w:rsidP="003E0A02">
            <w:pPr>
              <w:keepNext/>
              <w:keepLines/>
              <w:jc w:val="center"/>
              <w:rPr>
                <w:sz w:val="16"/>
                <w:szCs w:val="16"/>
              </w:rPr>
            </w:pPr>
            <w:r w:rsidRPr="00BF7464">
              <w:rPr>
                <w:b/>
                <w:color w:val="FF0000"/>
                <w:sz w:val="16"/>
                <w:szCs w:val="16"/>
              </w:rPr>
              <w:t>No avanza</w:t>
            </w:r>
          </w:p>
        </w:tc>
      </w:tr>
      <w:tr w:rsidR="002E3AE7" w:rsidRPr="00BF7464" w:rsidTr="003E0A02">
        <w:trPr>
          <w:trHeight w:val="3665"/>
        </w:trPr>
        <w:tc>
          <w:tcPr>
            <w:tcW w:w="905" w:type="pct"/>
            <w:shd w:val="clear" w:color="auto" w:fill="auto"/>
            <w:tcMar>
              <w:left w:w="58" w:type="dxa"/>
              <w:right w:w="58" w:type="dxa"/>
            </w:tcMar>
          </w:tcPr>
          <w:p w:rsidR="002E3AE7" w:rsidRPr="00BF7464" w:rsidRDefault="002E3AE7" w:rsidP="003E0A02">
            <w:pPr>
              <w:spacing w:after="240"/>
              <w:ind w:left="33"/>
              <w:rPr>
                <w:sz w:val="16"/>
                <w:szCs w:val="16"/>
              </w:rPr>
            </w:pPr>
            <w:r w:rsidRPr="00BF7464">
              <w:rPr>
                <w:sz w:val="16"/>
                <w:szCs w:val="16"/>
              </w:rPr>
              <w:lastRenderedPageBreak/>
              <w:t>Los proyectos de PRI se ejecutan con arreglo a lo previsto y en el marco del presupuesto de la cartera</w:t>
            </w:r>
          </w:p>
        </w:tc>
        <w:tc>
          <w:tcPr>
            <w:tcW w:w="147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Plan actualizado comunicado a los Estados miembros en 2015.  El presupuesto corresponde al aprobado por los Estados miembros en 2010.</w:t>
            </w:r>
          </w:p>
        </w:tc>
        <w:tc>
          <w:tcPr>
            <w:tcW w:w="810" w:type="pct"/>
            <w:gridSpan w:val="4"/>
            <w:shd w:val="clear" w:color="auto" w:fill="auto"/>
            <w:tcMar>
              <w:top w:w="110" w:type="dxa"/>
              <w:left w:w="58" w:type="dxa"/>
              <w:right w:w="58" w:type="dxa"/>
            </w:tcMar>
          </w:tcPr>
          <w:p w:rsidR="002E3AE7" w:rsidRPr="00BF7464" w:rsidRDefault="002E3AE7" w:rsidP="003E0A02">
            <w:pPr>
              <w:ind w:left="33"/>
              <w:rPr>
                <w:sz w:val="16"/>
                <w:szCs w:val="16"/>
              </w:rPr>
            </w:pPr>
            <w:r w:rsidRPr="00BF7464">
              <w:rPr>
                <w:sz w:val="16"/>
                <w:szCs w:val="16"/>
              </w:rPr>
              <w:t>De conformidad con lo previsto</w:t>
            </w:r>
          </w:p>
        </w:tc>
        <w:tc>
          <w:tcPr>
            <w:tcW w:w="1343" w:type="pct"/>
            <w:shd w:val="clear" w:color="auto" w:fill="FFFFFF"/>
            <w:tcMar>
              <w:top w:w="110" w:type="dxa"/>
              <w:left w:w="58" w:type="dxa"/>
              <w:right w:w="58" w:type="dxa"/>
            </w:tcMar>
          </w:tcPr>
          <w:p w:rsidR="002E3AE7" w:rsidRPr="00BF7464" w:rsidRDefault="002E3AE7" w:rsidP="003E0A02">
            <w:pPr>
              <w:keepNext/>
              <w:keepLines/>
              <w:rPr>
                <w:sz w:val="16"/>
                <w:szCs w:val="16"/>
              </w:rPr>
            </w:pPr>
            <w:r w:rsidRPr="00BF7464">
              <w:rPr>
                <w:sz w:val="16"/>
                <w:szCs w:val="16"/>
              </w:rPr>
              <w:t>Los proyectos de PRI ejecutados hasta ahora se ajustan al presupuesto de la cartera.</w:t>
            </w:r>
          </w:p>
          <w:p w:rsidR="002E3AE7" w:rsidRPr="00BF7464" w:rsidRDefault="002E3AE7" w:rsidP="003E0A02">
            <w:pPr>
              <w:keepNext/>
              <w:keepLines/>
              <w:rPr>
                <w:sz w:val="16"/>
                <w:szCs w:val="16"/>
              </w:rPr>
            </w:pPr>
          </w:p>
          <w:p w:rsidR="002E3AE7" w:rsidRPr="00BF7464" w:rsidRDefault="002E3AE7" w:rsidP="003E0A02">
            <w:pPr>
              <w:keepNext/>
              <w:keepLines/>
              <w:spacing w:after="120"/>
              <w:rPr>
                <w:sz w:val="16"/>
                <w:szCs w:val="16"/>
              </w:rPr>
            </w:pPr>
            <w:r w:rsidRPr="00BF7464">
              <w:rPr>
                <w:sz w:val="16"/>
                <w:szCs w:val="16"/>
              </w:rPr>
              <w:t xml:space="preserve">No todos los proyectos se ejecutaron con arreglo al plan comunicado a los Estados miembros en 2015.  Además, algunos proyectos fueron suprimidos del campo de aplicación, tras su examen y la aprobación de la junta de proyectos.  Para obtener más información, consúltese el informe final sobre la marcha de la instauración de un sistema global e integrado de planificación de los recursos institucionales, que se presentará a los Estados miembros en la 27ª sesión del PBC. </w:t>
            </w:r>
          </w:p>
        </w:tc>
        <w:tc>
          <w:tcPr>
            <w:tcW w:w="467" w:type="pct"/>
            <w:gridSpan w:val="2"/>
            <w:shd w:val="clear" w:color="auto" w:fill="auto"/>
            <w:tcMar>
              <w:top w:w="110" w:type="dxa"/>
              <w:left w:w="58" w:type="dxa"/>
              <w:right w:w="58" w:type="dxa"/>
            </w:tcMar>
          </w:tcPr>
          <w:p w:rsidR="002E3AE7" w:rsidRPr="00BF7464" w:rsidRDefault="002E3AE7" w:rsidP="003E0A02">
            <w:pPr>
              <w:keepNext/>
              <w:keepLines/>
              <w:jc w:val="center"/>
              <w:rPr>
                <w:sz w:val="16"/>
                <w:szCs w:val="16"/>
              </w:rPr>
            </w:pPr>
            <w:r w:rsidRPr="00BF7464">
              <w:rPr>
                <w:b/>
                <w:color w:val="FF0000"/>
                <w:sz w:val="16"/>
                <w:szCs w:val="16"/>
              </w:rPr>
              <w:t>No avanza</w:t>
            </w:r>
          </w:p>
        </w:tc>
      </w:tr>
      <w:tr w:rsidR="002E3AE7" w:rsidRPr="00BF7464" w:rsidTr="003E0A02">
        <w:trPr>
          <w:trHeight w:val="565"/>
        </w:trPr>
        <w:tc>
          <w:tcPr>
            <w:tcW w:w="5000" w:type="pct"/>
            <w:gridSpan w:val="9"/>
            <w:shd w:val="clear" w:color="auto" w:fill="C6D9F1" w:themeFill="text2" w:themeFillTint="33"/>
            <w:tcMar>
              <w:left w:w="58" w:type="dxa"/>
              <w:right w:w="58" w:type="dxa"/>
            </w:tcMar>
            <w:vAlign w:val="center"/>
          </w:tcPr>
          <w:p w:rsidR="002E3AE7" w:rsidRPr="00BF7464" w:rsidRDefault="002E3AE7" w:rsidP="003E0A02">
            <w:pPr>
              <w:keepNext/>
              <w:keepLines/>
              <w:tabs>
                <w:tab w:val="left" w:pos="1452"/>
              </w:tabs>
              <w:ind w:left="1701" w:hanging="1701"/>
              <w:rPr>
                <w:bCs/>
                <w:sz w:val="16"/>
                <w:szCs w:val="16"/>
              </w:rPr>
            </w:pPr>
            <w:r w:rsidRPr="00BF7464">
              <w:rPr>
                <w:b/>
                <w:bCs/>
                <w:sz w:val="16"/>
                <w:szCs w:val="16"/>
              </w:rPr>
              <w:t>Resultado previsto:</w:t>
            </w:r>
            <w:r w:rsidRPr="00BF7464">
              <w:rPr>
                <w:b/>
                <w:bCs/>
                <w:sz w:val="16"/>
                <w:szCs w:val="16"/>
              </w:rPr>
              <w:tab/>
            </w:r>
            <w:r w:rsidRPr="00BF7464">
              <w:rPr>
                <w:bCs/>
                <w:sz w:val="16"/>
                <w:szCs w:val="16"/>
              </w:rPr>
              <w:t>IX.2  Funcionamiento sin contratiempos de la Secretaría, provista de un personal bien dirigido, dotado de las competencias adecuadas, y capaz de conseguir resultados</w:t>
            </w:r>
          </w:p>
        </w:tc>
      </w:tr>
      <w:tr w:rsidR="002E3AE7" w:rsidRPr="00BF7464" w:rsidTr="003E0A02">
        <w:tc>
          <w:tcPr>
            <w:tcW w:w="905" w:type="pct"/>
            <w:shd w:val="clear" w:color="auto" w:fill="auto"/>
            <w:tcMar>
              <w:left w:w="58" w:type="dxa"/>
              <w:right w:w="58" w:type="dxa"/>
            </w:tcMar>
            <w:vAlign w:val="center"/>
          </w:tcPr>
          <w:p w:rsidR="002E3AE7" w:rsidRPr="00BF7464" w:rsidRDefault="002E3AE7" w:rsidP="003E0A02">
            <w:pPr>
              <w:rPr>
                <w:b/>
                <w:bCs/>
                <w:sz w:val="16"/>
                <w:szCs w:val="16"/>
              </w:rPr>
            </w:pPr>
            <w:r w:rsidRPr="00BF7464">
              <w:rPr>
                <w:b/>
                <w:bCs/>
                <w:sz w:val="16"/>
                <w:szCs w:val="16"/>
              </w:rPr>
              <w:t>Indicadores de rendimiento</w:t>
            </w:r>
          </w:p>
        </w:tc>
        <w:tc>
          <w:tcPr>
            <w:tcW w:w="1480" w:type="pct"/>
            <w:gridSpan w:val="2"/>
            <w:shd w:val="clear" w:color="auto" w:fill="auto"/>
            <w:tcMar>
              <w:left w:w="58" w:type="dxa"/>
              <w:right w:w="58" w:type="dxa"/>
            </w:tcMar>
            <w:vAlign w:val="center"/>
          </w:tcPr>
          <w:p w:rsidR="002E3AE7" w:rsidRPr="00BF7464" w:rsidRDefault="002E3AE7" w:rsidP="003E0A02">
            <w:pPr>
              <w:rPr>
                <w:b/>
                <w:bCs/>
                <w:sz w:val="16"/>
                <w:szCs w:val="16"/>
              </w:rPr>
            </w:pPr>
            <w:r w:rsidRPr="00BF7464">
              <w:rPr>
                <w:b/>
                <w:bCs/>
                <w:sz w:val="16"/>
                <w:szCs w:val="16"/>
              </w:rPr>
              <w:t>Referencias de base</w:t>
            </w:r>
          </w:p>
        </w:tc>
        <w:tc>
          <w:tcPr>
            <w:tcW w:w="662" w:type="pct"/>
            <w:shd w:val="clear" w:color="auto" w:fill="auto"/>
            <w:tcMar>
              <w:top w:w="110" w:type="dxa"/>
              <w:left w:w="58" w:type="dxa"/>
              <w:right w:w="58" w:type="dxa"/>
            </w:tcMar>
            <w:vAlign w:val="center"/>
          </w:tcPr>
          <w:p w:rsidR="002E3AE7" w:rsidRPr="00BF7464" w:rsidRDefault="002E3AE7" w:rsidP="003E0A02">
            <w:pPr>
              <w:rPr>
                <w:b/>
                <w:bCs/>
                <w:sz w:val="16"/>
                <w:szCs w:val="16"/>
              </w:rPr>
            </w:pPr>
            <w:r w:rsidRPr="00BF7464">
              <w:rPr>
                <w:b/>
                <w:bCs/>
                <w:sz w:val="16"/>
                <w:szCs w:val="16"/>
              </w:rPr>
              <w:t>Objetivos</w:t>
            </w:r>
          </w:p>
        </w:tc>
        <w:tc>
          <w:tcPr>
            <w:tcW w:w="1486" w:type="pct"/>
            <w:gridSpan w:val="3"/>
            <w:shd w:val="clear" w:color="auto" w:fill="FFFFFF"/>
            <w:tcMar>
              <w:top w:w="110" w:type="dxa"/>
              <w:left w:w="58" w:type="dxa"/>
              <w:right w:w="58" w:type="dxa"/>
            </w:tcMar>
            <w:vAlign w:val="center"/>
          </w:tcPr>
          <w:p w:rsidR="002E3AE7" w:rsidRPr="00BF7464" w:rsidRDefault="002E3AE7" w:rsidP="003E0A02">
            <w:pPr>
              <w:rPr>
                <w:b/>
                <w:bCs/>
                <w:sz w:val="16"/>
                <w:szCs w:val="16"/>
              </w:rPr>
            </w:pPr>
            <w:r w:rsidRPr="00BF7464">
              <w:rPr>
                <w:b/>
                <w:bCs/>
                <w:sz w:val="16"/>
                <w:szCs w:val="16"/>
              </w:rPr>
              <w:t>Datos sobre el rendimiento</w:t>
            </w:r>
          </w:p>
        </w:tc>
        <w:tc>
          <w:tcPr>
            <w:tcW w:w="467" w:type="pct"/>
            <w:gridSpan w:val="2"/>
            <w:shd w:val="clear" w:color="auto" w:fill="auto"/>
            <w:tcMar>
              <w:top w:w="110" w:type="dxa"/>
              <w:left w:w="58" w:type="dxa"/>
              <w:right w:w="58" w:type="dxa"/>
            </w:tcMar>
            <w:vAlign w:val="center"/>
          </w:tcPr>
          <w:p w:rsidR="002E3AE7" w:rsidRPr="00BF7464" w:rsidRDefault="002E3AE7" w:rsidP="003E0A02">
            <w:pPr>
              <w:keepNext/>
              <w:keepLines/>
              <w:jc w:val="center"/>
              <w:rPr>
                <w:b/>
                <w:bCs/>
                <w:sz w:val="16"/>
                <w:szCs w:val="16"/>
              </w:rPr>
            </w:pPr>
            <w:r w:rsidRPr="00BF7464">
              <w:rPr>
                <w:b/>
                <w:bCs/>
                <w:sz w:val="16"/>
                <w:szCs w:val="16"/>
              </w:rPr>
              <w:t>Clave de colores</w:t>
            </w:r>
          </w:p>
        </w:tc>
      </w:tr>
      <w:tr w:rsidR="002E3AE7" w:rsidRPr="00BF7464" w:rsidTr="003E0A02">
        <w:trPr>
          <w:trHeight w:val="2856"/>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Informe financiero satisfactorio de los auditores externos que confirma la conformidad de las operaciones contables con los convenios y tratados aplicables de la OMPI,  el Reglamento Financiero y la Reglamentación Financiera de la OMPI y las IPSAS</w:t>
            </w:r>
          </w:p>
        </w:tc>
        <w:tc>
          <w:tcPr>
            <w:tcW w:w="1480" w:type="pct"/>
            <w:gridSpan w:val="2"/>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rPr>
                <w:color w:val="002060"/>
                <w:sz w:val="16"/>
                <w:szCs w:val="16"/>
              </w:rPr>
            </w:pPr>
            <w:r w:rsidRPr="004334C2">
              <w:rPr>
                <w:color w:val="002060"/>
                <w:sz w:val="16"/>
                <w:szCs w:val="16"/>
              </w:rPr>
              <w:t xml:space="preserve">Informes de auditoría satisfactorios respecto de 2014 y 2015.  </w:t>
            </w:r>
          </w:p>
          <w:p w:rsidR="002E3AE7" w:rsidRPr="004334C2" w:rsidRDefault="002E3AE7" w:rsidP="003E0A02">
            <w:pPr>
              <w:rPr>
                <w:color w:val="002060"/>
                <w:sz w:val="16"/>
                <w:szCs w:val="16"/>
              </w:rPr>
            </w:pPr>
            <w:r w:rsidRPr="004334C2">
              <w:rPr>
                <w:color w:val="002060"/>
                <w:sz w:val="16"/>
                <w:szCs w:val="16"/>
              </w:rPr>
              <w:t xml:space="preserve">En el momento de enviar a imprenta este documento, no se conocían aún los resultados de la auditoría de 2015.  </w:t>
            </w:r>
          </w:p>
          <w:p w:rsidR="002E3AE7" w:rsidRPr="004334C2" w:rsidRDefault="002E3AE7" w:rsidP="003E0A02">
            <w:pPr>
              <w:rPr>
                <w:i/>
                <w:color w:val="002060"/>
                <w:sz w:val="16"/>
                <w:szCs w:val="16"/>
              </w:rPr>
            </w:pPr>
            <w:r w:rsidRPr="004334C2">
              <w:rPr>
                <w:color w:val="002060"/>
                <w:sz w:val="16"/>
                <w:szCs w:val="16"/>
              </w:rPr>
              <w:t xml:space="preserve">Se ha respondido a todas las recomendaciones de auditoría recibidas durante 2014 y 2015.  </w:t>
            </w:r>
          </w:p>
          <w:p w:rsidR="002E3AE7" w:rsidRPr="00BF7464" w:rsidRDefault="002E3AE7" w:rsidP="003E0A02">
            <w:pPr>
              <w:rPr>
                <w:i/>
                <w:sz w:val="16"/>
                <w:szCs w:val="16"/>
              </w:rPr>
            </w:pPr>
          </w:p>
          <w:p w:rsidR="002E3AE7" w:rsidRPr="00BF7464" w:rsidRDefault="002E3AE7" w:rsidP="003E0A02">
            <w:pPr>
              <w:ind w:left="33"/>
              <w:rPr>
                <w:i/>
                <w:sz w:val="16"/>
                <w:szCs w:val="16"/>
              </w:rPr>
            </w:pPr>
            <w:r w:rsidRPr="00BF7464">
              <w:rPr>
                <w:i/>
                <w:sz w:val="16"/>
                <w:szCs w:val="16"/>
              </w:rPr>
              <w:t xml:space="preserve">Referencia original en el presupuesto de 2016/17: </w:t>
            </w:r>
          </w:p>
          <w:p w:rsidR="002E3AE7" w:rsidRPr="00BF7464" w:rsidRDefault="002E3AE7" w:rsidP="00156844">
            <w:pPr>
              <w:ind w:left="33"/>
              <w:rPr>
                <w:sz w:val="16"/>
                <w:szCs w:val="16"/>
              </w:rPr>
            </w:pPr>
            <w:r w:rsidRPr="00BF7464">
              <w:rPr>
                <w:sz w:val="16"/>
                <w:szCs w:val="16"/>
              </w:rPr>
              <w:t>Informe de auditoría satisfactorio en 2014 y 2015 y respuestas proporcionadas en relación con todas las recomendaciones de auditoría</w:t>
            </w:r>
          </w:p>
        </w:tc>
        <w:tc>
          <w:tcPr>
            <w:tcW w:w="662" w:type="pct"/>
            <w:shd w:val="clear" w:color="auto" w:fill="auto"/>
            <w:tcMar>
              <w:top w:w="110" w:type="dxa"/>
              <w:left w:w="58" w:type="dxa"/>
              <w:right w:w="58" w:type="dxa"/>
            </w:tcMar>
          </w:tcPr>
          <w:p w:rsidR="002E3AE7" w:rsidRPr="00BF7464" w:rsidRDefault="002E3AE7" w:rsidP="003E0A02">
            <w:pPr>
              <w:ind w:left="33"/>
              <w:rPr>
                <w:sz w:val="16"/>
                <w:szCs w:val="16"/>
              </w:rPr>
            </w:pPr>
            <w:r w:rsidRPr="00BF7464">
              <w:rPr>
                <w:sz w:val="16"/>
                <w:szCs w:val="16"/>
              </w:rPr>
              <w:t>Informes de auditoría satisfactorios respecto de los dos años del bienio</w:t>
            </w:r>
          </w:p>
        </w:tc>
        <w:tc>
          <w:tcPr>
            <w:tcW w:w="1486" w:type="pct"/>
            <w:gridSpan w:val="3"/>
            <w:shd w:val="clear" w:color="auto" w:fill="FFFFFF"/>
            <w:tcMar>
              <w:top w:w="110" w:type="dxa"/>
              <w:left w:w="58" w:type="dxa"/>
              <w:right w:w="58" w:type="dxa"/>
            </w:tcMar>
          </w:tcPr>
          <w:p w:rsidR="002E3AE7" w:rsidRPr="00BF7464" w:rsidRDefault="002E3AE7" w:rsidP="003E0A02">
            <w:pPr>
              <w:rPr>
                <w:sz w:val="16"/>
                <w:szCs w:val="16"/>
              </w:rPr>
            </w:pPr>
            <w:r w:rsidRPr="00BF7464">
              <w:rPr>
                <w:sz w:val="16"/>
                <w:szCs w:val="16"/>
              </w:rPr>
              <w:t xml:space="preserve">Informe de auditoría satisfactorio respecto de 2015.  En el momento de enviar a imprenta este documento, no se conocían aún los resultados de la auditoría de 2016. </w:t>
            </w:r>
          </w:p>
          <w:p w:rsidR="002E3AE7" w:rsidRPr="00BF7464" w:rsidRDefault="002E3AE7" w:rsidP="003E0A02">
            <w:pPr>
              <w:rPr>
                <w:sz w:val="16"/>
                <w:szCs w:val="16"/>
              </w:rPr>
            </w:pPr>
            <w:r w:rsidRPr="00BF7464">
              <w:rPr>
                <w:sz w:val="16"/>
                <w:szCs w:val="16"/>
              </w:rPr>
              <w:t>Se ha respondido a todas las recomendaciones de auditoría recibidas durante 2016.</w:t>
            </w:r>
          </w:p>
        </w:tc>
        <w:tc>
          <w:tcPr>
            <w:tcW w:w="467" w:type="pct"/>
            <w:gridSpan w:val="2"/>
            <w:shd w:val="clear" w:color="auto" w:fill="auto"/>
            <w:tcMar>
              <w:top w:w="110" w:type="dxa"/>
              <w:left w:w="58" w:type="dxa"/>
              <w:right w:w="58" w:type="dxa"/>
            </w:tcMar>
          </w:tcPr>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tc>
      </w:tr>
      <w:tr w:rsidR="002E3AE7" w:rsidRPr="00BF7464" w:rsidTr="003E0A02">
        <w:trPr>
          <w:trHeight w:val="1186"/>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 xml:space="preserve">Mayor desarrollo en la gestión por resultados </w:t>
            </w:r>
          </w:p>
        </w:tc>
        <w:tc>
          <w:tcPr>
            <w:tcW w:w="1480" w:type="pct"/>
            <w:gridSpan w:val="2"/>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spacing w:after="60"/>
              <w:rPr>
                <w:color w:val="002060"/>
                <w:sz w:val="16"/>
                <w:szCs w:val="16"/>
              </w:rPr>
            </w:pPr>
            <w:r w:rsidRPr="004334C2">
              <w:rPr>
                <w:color w:val="002060"/>
                <w:sz w:val="16"/>
                <w:szCs w:val="16"/>
              </w:rPr>
              <w:t>Valoración media:</w:t>
            </w:r>
            <w:r w:rsidRPr="004334C2">
              <w:rPr>
                <w:rStyle w:val="FootnoteReference"/>
                <w:i/>
                <w:color w:val="002060"/>
              </w:rPr>
              <w:footnoteReference w:id="86"/>
            </w:r>
            <w:r w:rsidRPr="004334C2">
              <w:rPr>
                <w:color w:val="002060"/>
                <w:sz w:val="16"/>
                <w:szCs w:val="16"/>
              </w:rPr>
              <w:t xml:space="preserve">  3,6</w:t>
            </w:r>
          </w:p>
          <w:p w:rsidR="002E3AE7" w:rsidRPr="004334C2" w:rsidRDefault="002E3AE7" w:rsidP="003E0A02">
            <w:pPr>
              <w:rPr>
                <w:color w:val="002060"/>
                <w:sz w:val="16"/>
                <w:szCs w:val="16"/>
              </w:rPr>
            </w:pPr>
            <w:r w:rsidRPr="004334C2">
              <w:rPr>
                <w:color w:val="002060"/>
                <w:sz w:val="16"/>
                <w:szCs w:val="16"/>
              </w:rPr>
              <w:t xml:space="preserve">Componentes:  (escala del 1 al 5) </w:t>
            </w:r>
          </w:p>
          <w:tbl>
            <w:tblPr>
              <w:tblStyle w:val="TableGrid"/>
              <w:tblW w:w="2669" w:type="dxa"/>
              <w:tblLayout w:type="fixed"/>
              <w:tblLook w:val="04A0" w:firstRow="1" w:lastRow="0" w:firstColumn="1" w:lastColumn="0" w:noHBand="0" w:noVBand="1"/>
            </w:tblPr>
            <w:tblGrid>
              <w:gridCol w:w="2102"/>
              <w:gridCol w:w="567"/>
            </w:tblGrid>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Estrategia de gestión por resultados</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3</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Marco de rendición de cuentas</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Marco de gestión del cambio</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2</w:t>
                  </w:r>
                </w:p>
              </w:tc>
            </w:tr>
            <w:tr w:rsidR="002E3AE7" w:rsidRPr="004334C2" w:rsidTr="003E0A02">
              <w:trPr>
                <w:trHeight w:val="187"/>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Marco de resultados estratégicos institucionales</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5</w:t>
                  </w:r>
                </w:p>
              </w:tc>
            </w:tr>
            <w:tr w:rsidR="002E3AE7" w:rsidRPr="004334C2" w:rsidTr="003E0A02">
              <w:trPr>
                <w:trHeight w:val="375"/>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xml:space="preserve">- Programas y proyectos de marcos de resultados </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Sistema de medición de los resultados</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Presupuestación basada en resultados</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xml:space="preserve">- Gestión de RRHH </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3</w:t>
                  </w:r>
                </w:p>
              </w:tc>
            </w:tr>
            <w:tr w:rsidR="002E3AE7" w:rsidRPr="004334C2" w:rsidTr="003E0A02">
              <w:trPr>
                <w:trHeight w:val="271"/>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lastRenderedPageBreak/>
                    <w:t xml:space="preserve">- Seguimiento de los resultados y control del rendimiento   </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375"/>
              </w:trPr>
              <w:tc>
                <w:tcPr>
                  <w:tcW w:w="2102" w:type="dxa"/>
                  <w:tcBorders>
                    <w:top w:val="nil"/>
                    <w:left w:val="nil"/>
                    <w:bottom w:val="nil"/>
                    <w:right w:val="nil"/>
                  </w:tcBorders>
                  <w:tcMar>
                    <w:left w:w="14" w:type="dxa"/>
                    <w:right w:w="0" w:type="dxa"/>
                  </w:tcMar>
                </w:tcPr>
                <w:p w:rsidR="002E3AE7" w:rsidRPr="004334C2" w:rsidRDefault="002E3AE7" w:rsidP="003E0A02">
                  <w:pPr>
                    <w:tabs>
                      <w:tab w:val="left" w:pos="111"/>
                    </w:tabs>
                    <w:rPr>
                      <w:color w:val="002060"/>
                      <w:sz w:val="16"/>
                      <w:szCs w:val="16"/>
                    </w:rPr>
                  </w:pPr>
                  <w:r w:rsidRPr="004334C2">
                    <w:rPr>
                      <w:color w:val="002060"/>
                      <w:sz w:val="16"/>
                      <w:szCs w:val="16"/>
                    </w:rPr>
                    <w:t>- Presentación de informes de los resultados y comunicación de los mismos</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p w:rsidR="002E3AE7" w:rsidRPr="004334C2" w:rsidRDefault="002E3AE7" w:rsidP="003E0A02">
                  <w:pPr>
                    <w:rPr>
                      <w:color w:val="002060"/>
                      <w:sz w:val="16"/>
                      <w:szCs w:val="16"/>
                    </w:rPr>
                  </w:pP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Evaluación</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3</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Sistemas de gestión de la información</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Internalización</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188"/>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xml:space="preserve">- Liderazgo  </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4</w:t>
                  </w:r>
                </w:p>
              </w:tc>
            </w:tr>
            <w:tr w:rsidR="002E3AE7" w:rsidRPr="004334C2" w:rsidTr="003E0A02">
              <w:trPr>
                <w:trHeight w:val="167"/>
              </w:trPr>
              <w:tc>
                <w:tcPr>
                  <w:tcW w:w="2102" w:type="dxa"/>
                  <w:tcBorders>
                    <w:top w:val="nil"/>
                    <w:left w:val="nil"/>
                    <w:bottom w:val="nil"/>
                    <w:right w:val="nil"/>
                  </w:tcBorders>
                  <w:tcMar>
                    <w:left w:w="14" w:type="dxa"/>
                    <w:right w:w="0" w:type="dxa"/>
                  </w:tcMar>
                </w:tcPr>
                <w:p w:rsidR="002E3AE7" w:rsidRPr="004334C2" w:rsidRDefault="002E3AE7" w:rsidP="003E0A02">
                  <w:pPr>
                    <w:rPr>
                      <w:color w:val="002060"/>
                      <w:sz w:val="16"/>
                      <w:szCs w:val="16"/>
                    </w:rPr>
                  </w:pPr>
                  <w:r w:rsidRPr="004334C2">
                    <w:rPr>
                      <w:color w:val="002060"/>
                      <w:sz w:val="16"/>
                      <w:szCs w:val="16"/>
                    </w:rPr>
                    <w:t>- Utilización de los resultados y responsabilidad adquirida de aprender</w:t>
                  </w:r>
                </w:p>
              </w:tc>
              <w:tc>
                <w:tcPr>
                  <w:tcW w:w="567" w:type="dxa"/>
                  <w:tcBorders>
                    <w:top w:val="nil"/>
                    <w:left w:val="nil"/>
                    <w:bottom w:val="nil"/>
                    <w:right w:val="nil"/>
                  </w:tcBorders>
                  <w:tcMar>
                    <w:left w:w="14" w:type="dxa"/>
                    <w:right w:w="0" w:type="dxa"/>
                  </w:tcMar>
                </w:tcPr>
                <w:p w:rsidR="002E3AE7" w:rsidRPr="004334C2" w:rsidRDefault="002E3AE7" w:rsidP="003E0A02">
                  <w:pPr>
                    <w:ind w:right="-10"/>
                    <w:jc w:val="center"/>
                    <w:rPr>
                      <w:color w:val="002060"/>
                      <w:sz w:val="16"/>
                      <w:szCs w:val="16"/>
                    </w:rPr>
                  </w:pPr>
                  <w:r w:rsidRPr="004334C2">
                    <w:rPr>
                      <w:color w:val="002060"/>
                      <w:sz w:val="16"/>
                      <w:szCs w:val="16"/>
                    </w:rPr>
                    <w:t>3</w:t>
                  </w:r>
                </w:p>
              </w:tc>
            </w:tr>
          </w:tbl>
          <w:p w:rsidR="002E3AE7" w:rsidRPr="00BF7464" w:rsidRDefault="002E3AE7" w:rsidP="003E0A02">
            <w:pPr>
              <w:rPr>
                <w:i/>
                <w:sz w:val="16"/>
                <w:szCs w:val="16"/>
              </w:rPr>
            </w:pPr>
          </w:p>
          <w:p w:rsidR="002E3AE7" w:rsidRPr="00BF7464" w:rsidRDefault="002E3AE7" w:rsidP="003E0A02">
            <w:pPr>
              <w:rPr>
                <w:i/>
                <w:sz w:val="16"/>
                <w:szCs w:val="16"/>
              </w:rPr>
            </w:pPr>
            <w:r w:rsidRPr="00BF7464">
              <w:rPr>
                <w:i/>
                <w:sz w:val="16"/>
                <w:szCs w:val="16"/>
              </w:rPr>
              <w:t xml:space="preserve">Referencia original en el presupuesto de 2016/17:  </w:t>
            </w:r>
          </w:p>
          <w:p w:rsidR="002E3AE7" w:rsidRPr="00BF7464" w:rsidRDefault="002E3AE7" w:rsidP="003E0A02">
            <w:pPr>
              <w:rPr>
                <w:sz w:val="16"/>
                <w:szCs w:val="16"/>
              </w:rPr>
            </w:pPr>
            <w:r w:rsidRPr="00BF7464">
              <w:rPr>
                <w:sz w:val="16"/>
                <w:szCs w:val="16"/>
              </w:rPr>
              <w:t>Nivel de desarrollo 2</w:t>
            </w:r>
          </w:p>
        </w:tc>
        <w:tc>
          <w:tcPr>
            <w:tcW w:w="662" w:type="pct"/>
            <w:shd w:val="clear" w:color="auto" w:fill="auto"/>
            <w:tcMar>
              <w:top w:w="110" w:type="dxa"/>
              <w:left w:w="58" w:type="dxa"/>
              <w:right w:w="58" w:type="dxa"/>
            </w:tcMar>
          </w:tcPr>
          <w:p w:rsidR="002E3AE7" w:rsidRPr="004334C2" w:rsidRDefault="002E3AE7" w:rsidP="003E0A02">
            <w:pPr>
              <w:ind w:right="-54"/>
              <w:rPr>
                <w:i/>
                <w:color w:val="002060"/>
                <w:sz w:val="16"/>
                <w:szCs w:val="16"/>
              </w:rPr>
            </w:pPr>
            <w:r w:rsidRPr="004334C2">
              <w:rPr>
                <w:i/>
                <w:color w:val="002060"/>
                <w:sz w:val="16"/>
                <w:szCs w:val="16"/>
              </w:rPr>
              <w:lastRenderedPageBreak/>
              <w:t xml:space="preserve">Objetivo actualizado:  </w:t>
            </w:r>
          </w:p>
          <w:p w:rsidR="002E3AE7" w:rsidRPr="004334C2" w:rsidRDefault="002E3AE7" w:rsidP="003E0A02">
            <w:pPr>
              <w:rPr>
                <w:color w:val="002060"/>
                <w:sz w:val="16"/>
                <w:szCs w:val="16"/>
              </w:rPr>
            </w:pPr>
            <w:r w:rsidRPr="004334C2">
              <w:rPr>
                <w:color w:val="002060"/>
                <w:sz w:val="16"/>
                <w:szCs w:val="16"/>
              </w:rPr>
              <w:t>Nivel de desarrollo 4</w:t>
            </w:r>
          </w:p>
          <w:p w:rsidR="002E3AE7" w:rsidRPr="00BF7464" w:rsidRDefault="002E3AE7" w:rsidP="003E0A02">
            <w:pPr>
              <w:rPr>
                <w:i/>
                <w:sz w:val="16"/>
                <w:szCs w:val="16"/>
              </w:rPr>
            </w:pPr>
          </w:p>
          <w:p w:rsidR="002E3AE7" w:rsidRPr="00BF7464" w:rsidRDefault="002E3AE7" w:rsidP="003E0A02">
            <w:pPr>
              <w:rPr>
                <w:sz w:val="16"/>
                <w:szCs w:val="16"/>
              </w:rPr>
            </w:pPr>
            <w:r w:rsidRPr="00BF7464">
              <w:rPr>
                <w:i/>
                <w:sz w:val="16"/>
                <w:szCs w:val="16"/>
              </w:rPr>
              <w:t xml:space="preserve">Objetivo original en el presupuesto de 2016/17:  </w:t>
            </w:r>
            <w:r w:rsidRPr="00BF7464">
              <w:rPr>
                <w:sz w:val="16"/>
                <w:szCs w:val="16"/>
              </w:rPr>
              <w:t>Nivel de desarrollo 3</w:t>
            </w:r>
          </w:p>
        </w:tc>
        <w:tc>
          <w:tcPr>
            <w:tcW w:w="1486" w:type="pct"/>
            <w:gridSpan w:val="3"/>
            <w:shd w:val="clear" w:color="auto" w:fill="FFFFFF"/>
            <w:tcMar>
              <w:top w:w="110" w:type="dxa"/>
              <w:left w:w="58" w:type="dxa"/>
              <w:right w:w="58" w:type="dxa"/>
            </w:tcMar>
          </w:tcPr>
          <w:p w:rsidR="002E3AE7" w:rsidRPr="00BF7464" w:rsidRDefault="002E3AE7" w:rsidP="003E0A02">
            <w:pPr>
              <w:keepNext/>
              <w:keepLines/>
              <w:rPr>
                <w:sz w:val="16"/>
                <w:szCs w:val="16"/>
              </w:rPr>
            </w:pPr>
            <w:r w:rsidRPr="00BF7464">
              <w:rPr>
                <w:sz w:val="16"/>
                <w:szCs w:val="16"/>
              </w:rPr>
              <w:t>Evaluación efectuada cada bienio</w:t>
            </w:r>
          </w:p>
        </w:tc>
        <w:tc>
          <w:tcPr>
            <w:tcW w:w="467" w:type="pct"/>
            <w:gridSpan w:val="2"/>
            <w:shd w:val="clear" w:color="auto" w:fill="auto"/>
            <w:tcMar>
              <w:top w:w="110" w:type="dxa"/>
              <w:left w:w="58" w:type="dxa"/>
              <w:right w:w="58" w:type="dxa"/>
            </w:tcMar>
          </w:tcPr>
          <w:p w:rsidR="002E3AE7" w:rsidRPr="00BF7464" w:rsidRDefault="002E3AE7" w:rsidP="003E0A02">
            <w:pPr>
              <w:keepNext/>
              <w:keepLines/>
              <w:ind w:left="-40" w:right="-58" w:firstLine="40"/>
              <w:jc w:val="center"/>
              <w:rPr>
                <w:b/>
                <w:sz w:val="16"/>
                <w:szCs w:val="16"/>
              </w:rPr>
            </w:pPr>
            <w:r w:rsidRPr="00BF7464">
              <w:rPr>
                <w:b/>
                <w:color w:val="0070C0"/>
                <w:sz w:val="16"/>
                <w:szCs w:val="16"/>
              </w:rPr>
              <w:t>No disponible para 2016</w:t>
            </w:r>
          </w:p>
        </w:tc>
      </w:tr>
      <w:tr w:rsidR="002E3AE7" w:rsidRPr="00BF7464" w:rsidTr="003E0A02">
        <w:trPr>
          <w:trHeight w:val="3806"/>
        </w:trPr>
        <w:tc>
          <w:tcPr>
            <w:tcW w:w="905" w:type="pct"/>
            <w:shd w:val="clear" w:color="auto" w:fill="auto"/>
            <w:tcMar>
              <w:left w:w="58" w:type="dxa"/>
              <w:right w:w="58" w:type="dxa"/>
            </w:tcMar>
          </w:tcPr>
          <w:p w:rsidR="002E3AE7" w:rsidRPr="00BF7464" w:rsidRDefault="002E3AE7" w:rsidP="00740E61">
            <w:pPr>
              <w:ind w:left="33"/>
              <w:rPr>
                <w:sz w:val="16"/>
                <w:szCs w:val="16"/>
              </w:rPr>
            </w:pPr>
            <w:r w:rsidRPr="00BF7464">
              <w:rPr>
                <w:sz w:val="16"/>
                <w:szCs w:val="16"/>
              </w:rPr>
              <w:lastRenderedPageBreak/>
              <w:t>Rendimiento del capital invertido en concordancia con los parámetros establecidos por</w:t>
            </w:r>
            <w:r w:rsidR="00740E61">
              <w:rPr>
                <w:sz w:val="16"/>
                <w:szCs w:val="16"/>
              </w:rPr>
              <w:t xml:space="preserve"> la Comisión</w:t>
            </w:r>
            <w:r w:rsidRPr="00BF7464">
              <w:rPr>
                <w:sz w:val="16"/>
                <w:szCs w:val="16"/>
              </w:rPr>
              <w:t xml:space="preserve"> Asesor</w:t>
            </w:r>
            <w:r w:rsidR="00740E61">
              <w:rPr>
                <w:sz w:val="16"/>
                <w:szCs w:val="16"/>
              </w:rPr>
              <w:t>a sobre</w:t>
            </w:r>
            <w:r w:rsidRPr="00BF7464">
              <w:rPr>
                <w:sz w:val="16"/>
                <w:szCs w:val="16"/>
              </w:rPr>
              <w:t xml:space="preserve"> Inversiones (CAI)</w:t>
            </w:r>
          </w:p>
        </w:tc>
        <w:tc>
          <w:tcPr>
            <w:tcW w:w="1480" w:type="pct"/>
            <w:gridSpan w:val="2"/>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rPr>
                <w:color w:val="002060"/>
                <w:sz w:val="16"/>
                <w:szCs w:val="16"/>
              </w:rPr>
            </w:pPr>
            <w:r w:rsidRPr="004334C2">
              <w:rPr>
                <w:color w:val="002060"/>
                <w:sz w:val="16"/>
                <w:szCs w:val="16"/>
              </w:rPr>
              <w:t xml:space="preserve">Se mantuvieron las inversiones con las autoridades suizas, en concordancia con los parámetros establecidos en 2014/15.  Desde mediados de octubre de 2015, los parámetros variaron con la introducción de una nueva política de inversiones </w:t>
            </w:r>
          </w:p>
          <w:p w:rsidR="002E3AE7" w:rsidRPr="00BF7464" w:rsidRDefault="002E3AE7" w:rsidP="003E0A02">
            <w:pPr>
              <w:rPr>
                <w:i/>
                <w:sz w:val="16"/>
                <w:szCs w:val="16"/>
              </w:rPr>
            </w:pPr>
          </w:p>
          <w:p w:rsidR="002E3AE7" w:rsidRPr="00BF7464" w:rsidRDefault="002E3AE7" w:rsidP="003E0A02">
            <w:pPr>
              <w:ind w:left="33"/>
              <w:rPr>
                <w:i/>
                <w:sz w:val="16"/>
                <w:szCs w:val="16"/>
              </w:rPr>
            </w:pPr>
            <w:r w:rsidRPr="00BF7464">
              <w:rPr>
                <w:i/>
                <w:sz w:val="16"/>
                <w:szCs w:val="16"/>
              </w:rPr>
              <w:t xml:space="preserve">Referencia original en el presupuesto de 2016/17:  </w:t>
            </w:r>
          </w:p>
          <w:p w:rsidR="002E3AE7" w:rsidRPr="00BF7464" w:rsidRDefault="002E3AE7" w:rsidP="00BD10A5">
            <w:pPr>
              <w:ind w:left="33"/>
              <w:rPr>
                <w:sz w:val="16"/>
                <w:szCs w:val="16"/>
              </w:rPr>
            </w:pPr>
            <w:r w:rsidRPr="00BF7464">
              <w:rPr>
                <w:sz w:val="16"/>
                <w:szCs w:val="16"/>
              </w:rPr>
              <w:t>Se sigue invirtiendo con instituciones suizas, en concordancia con los parámetros establecidos por l</w:t>
            </w:r>
            <w:r w:rsidR="00BD10A5">
              <w:rPr>
                <w:sz w:val="16"/>
                <w:szCs w:val="16"/>
              </w:rPr>
              <w:t>a</w:t>
            </w:r>
            <w:r w:rsidRPr="00BF7464">
              <w:rPr>
                <w:sz w:val="16"/>
                <w:szCs w:val="16"/>
              </w:rPr>
              <w:t xml:space="preserve"> CAI en 2014/15</w:t>
            </w:r>
          </w:p>
        </w:tc>
        <w:tc>
          <w:tcPr>
            <w:tcW w:w="662" w:type="pct"/>
            <w:shd w:val="clear" w:color="auto" w:fill="auto"/>
            <w:tcMar>
              <w:top w:w="110" w:type="dxa"/>
              <w:left w:w="58" w:type="dxa"/>
              <w:right w:w="58" w:type="dxa"/>
            </w:tcMar>
          </w:tcPr>
          <w:p w:rsidR="002E3AE7" w:rsidRPr="004334C2" w:rsidRDefault="002E3AE7" w:rsidP="003E0A02">
            <w:pPr>
              <w:ind w:right="-54"/>
              <w:rPr>
                <w:i/>
                <w:color w:val="002060"/>
                <w:sz w:val="16"/>
                <w:szCs w:val="16"/>
              </w:rPr>
            </w:pPr>
            <w:r w:rsidRPr="004334C2">
              <w:rPr>
                <w:i/>
                <w:color w:val="002060"/>
                <w:sz w:val="16"/>
                <w:szCs w:val="16"/>
              </w:rPr>
              <w:t>Objetivo actualizado:</w:t>
            </w:r>
          </w:p>
          <w:p w:rsidR="002E3AE7" w:rsidRPr="004334C2" w:rsidRDefault="002E3AE7" w:rsidP="003E0A02">
            <w:pPr>
              <w:ind w:left="33"/>
              <w:rPr>
                <w:color w:val="002060"/>
                <w:sz w:val="16"/>
                <w:szCs w:val="16"/>
              </w:rPr>
            </w:pPr>
            <w:r w:rsidRPr="004334C2">
              <w:rPr>
                <w:color w:val="002060"/>
                <w:sz w:val="16"/>
                <w:szCs w:val="16"/>
              </w:rPr>
              <w:t>Rendimiento del capital invertido en concordancia con los parámetros establecidos en la nueva política de inversiones</w:t>
            </w:r>
            <w:r w:rsidRPr="004334C2">
              <w:rPr>
                <w:rStyle w:val="FootnoteReference"/>
                <w:color w:val="002060"/>
              </w:rPr>
              <w:footnoteReference w:id="87"/>
            </w:r>
          </w:p>
          <w:p w:rsidR="002E3AE7" w:rsidRPr="00BF7464" w:rsidRDefault="002E3AE7" w:rsidP="003E0A02">
            <w:pPr>
              <w:ind w:left="33"/>
              <w:rPr>
                <w:sz w:val="16"/>
                <w:szCs w:val="16"/>
              </w:rPr>
            </w:pPr>
          </w:p>
          <w:p w:rsidR="002E3AE7" w:rsidRPr="00BF7464" w:rsidRDefault="002E3AE7" w:rsidP="003E0A02">
            <w:pPr>
              <w:rPr>
                <w:i/>
                <w:sz w:val="16"/>
                <w:szCs w:val="16"/>
              </w:rPr>
            </w:pPr>
            <w:r w:rsidRPr="00BF7464">
              <w:rPr>
                <w:i/>
                <w:sz w:val="16"/>
                <w:szCs w:val="16"/>
              </w:rPr>
              <w:t xml:space="preserve">Objetivo original en el presupuesto de 2016/17:  </w:t>
            </w:r>
          </w:p>
          <w:p w:rsidR="002E3AE7" w:rsidRPr="00BF7464" w:rsidRDefault="002E3AE7" w:rsidP="00BD10A5">
            <w:pPr>
              <w:ind w:left="34"/>
              <w:rPr>
                <w:sz w:val="16"/>
                <w:szCs w:val="16"/>
              </w:rPr>
            </w:pPr>
            <w:r w:rsidRPr="00BF7464">
              <w:rPr>
                <w:sz w:val="16"/>
                <w:szCs w:val="16"/>
              </w:rPr>
              <w:t>Rendimiento del capital invertido en concordancia con los parámetros establecidos por l</w:t>
            </w:r>
            <w:r w:rsidR="00BD10A5">
              <w:rPr>
                <w:sz w:val="16"/>
                <w:szCs w:val="16"/>
              </w:rPr>
              <w:t>a</w:t>
            </w:r>
            <w:r w:rsidRPr="00BF7464">
              <w:rPr>
                <w:sz w:val="16"/>
                <w:szCs w:val="16"/>
              </w:rPr>
              <w:t xml:space="preserve"> CAI en 2016/17</w:t>
            </w:r>
          </w:p>
        </w:tc>
        <w:tc>
          <w:tcPr>
            <w:tcW w:w="1486" w:type="pct"/>
            <w:gridSpan w:val="3"/>
            <w:shd w:val="clear" w:color="auto" w:fill="FFFFFF"/>
            <w:tcMar>
              <w:top w:w="110" w:type="dxa"/>
              <w:left w:w="58" w:type="dxa"/>
              <w:right w:w="58" w:type="dxa"/>
            </w:tcMar>
          </w:tcPr>
          <w:p w:rsidR="002E3AE7" w:rsidRPr="00BF7464" w:rsidRDefault="002E3AE7" w:rsidP="003E0A02">
            <w:pPr>
              <w:rPr>
                <w:sz w:val="16"/>
                <w:szCs w:val="16"/>
              </w:rPr>
            </w:pPr>
            <w:r w:rsidRPr="00BF7464">
              <w:rPr>
                <w:sz w:val="16"/>
                <w:szCs w:val="16"/>
              </w:rPr>
              <w:t>El rendimiento del capital invertido en francos suizos fue sistemáticamente superior, a lo largo del año, a los parámetros establecidos.  La mejora de la visibilidad y las previsiones del efectivo permitió invertir mensualmente en euros, y el rendimiento generado fue superior a los parámetros desde el inicio de las inversiones (agosto de 2016).  Con respecto a los saldos de efectivo en francos suizos, se ha evitado en gran medida el pago de tipos de interés negativos, pese al importante volumen de efectivo que genera la Organización y el muy complicado contexto de tipos de interés para las inversiones en francos suizos.</w:t>
            </w:r>
          </w:p>
        </w:tc>
        <w:tc>
          <w:tcPr>
            <w:tcW w:w="467" w:type="pct"/>
            <w:gridSpan w:val="2"/>
            <w:shd w:val="clear" w:color="auto" w:fill="auto"/>
            <w:tcMar>
              <w:top w:w="110" w:type="dxa"/>
              <w:left w:w="58" w:type="dxa"/>
              <w:right w:w="58" w:type="dxa"/>
            </w:tcMar>
          </w:tcPr>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tc>
      </w:tr>
      <w:tr w:rsidR="002E3AE7" w:rsidRPr="00BF7464" w:rsidTr="003E0A02">
        <w:trPr>
          <w:trHeight w:val="1155"/>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Gestión eficaz de los gastos y las reservas</w:t>
            </w:r>
          </w:p>
        </w:tc>
        <w:tc>
          <w:tcPr>
            <w:tcW w:w="1480" w:type="pct"/>
            <w:gridSpan w:val="2"/>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tbl>
            <w:tblPr>
              <w:tblStyle w:val="TableGrid"/>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tblGrid>
            <w:tr w:rsidR="002E3AE7" w:rsidRPr="004334C2" w:rsidTr="003E0A02">
              <w:tc>
                <w:tcPr>
                  <w:tcW w:w="2193" w:type="dxa"/>
                  <w:tcMar>
                    <w:left w:w="14" w:type="dxa"/>
                    <w:right w:w="14" w:type="dxa"/>
                  </w:tcMar>
                </w:tcPr>
                <w:p w:rsidR="002E3AE7" w:rsidRPr="004334C2" w:rsidRDefault="002E3AE7" w:rsidP="003E0A02">
                  <w:pPr>
                    <w:ind w:right="-14"/>
                    <w:rPr>
                      <w:color w:val="002060"/>
                    </w:rPr>
                  </w:pPr>
                  <w:r w:rsidRPr="004334C2">
                    <w:rPr>
                      <w:color w:val="002060"/>
                      <w:sz w:val="16"/>
                      <w:szCs w:val="16"/>
                    </w:rPr>
                    <w:t>Presupuesto aprobado:</w:t>
                  </w:r>
                </w:p>
              </w:tc>
            </w:tr>
            <w:tr w:rsidR="002E3AE7" w:rsidRPr="004334C2" w:rsidTr="003E0A02">
              <w:tc>
                <w:tcPr>
                  <w:tcW w:w="2193" w:type="dxa"/>
                  <w:tcMar>
                    <w:left w:w="14" w:type="dxa"/>
                    <w:right w:w="14" w:type="dxa"/>
                  </w:tcMar>
                </w:tcPr>
                <w:p w:rsidR="002E3AE7" w:rsidRPr="004334C2" w:rsidRDefault="002E3AE7" w:rsidP="003E0A02">
                  <w:pPr>
                    <w:ind w:right="-14"/>
                    <w:rPr>
                      <w:color w:val="002060"/>
                      <w:sz w:val="16"/>
                      <w:szCs w:val="16"/>
                    </w:rPr>
                  </w:pPr>
                  <w:r w:rsidRPr="004334C2">
                    <w:rPr>
                      <w:color w:val="002060"/>
                      <w:sz w:val="16"/>
                      <w:szCs w:val="16"/>
                    </w:rPr>
                    <w:t>673.993.000 francos suizos</w:t>
                  </w:r>
                </w:p>
              </w:tc>
            </w:tr>
            <w:tr w:rsidR="002E3AE7" w:rsidRPr="004334C2" w:rsidTr="003E0A02">
              <w:tc>
                <w:tcPr>
                  <w:tcW w:w="2193" w:type="dxa"/>
                  <w:tcMar>
                    <w:left w:w="14" w:type="dxa"/>
                    <w:right w:w="14" w:type="dxa"/>
                  </w:tcMar>
                </w:tcPr>
                <w:p w:rsidR="002E3AE7" w:rsidRPr="004334C2" w:rsidRDefault="002E3AE7" w:rsidP="003E0A02">
                  <w:pPr>
                    <w:rPr>
                      <w:color w:val="002060"/>
                      <w:sz w:val="16"/>
                      <w:szCs w:val="16"/>
                    </w:rPr>
                  </w:pPr>
                </w:p>
              </w:tc>
            </w:tr>
            <w:tr w:rsidR="002E3AE7" w:rsidRPr="004334C2" w:rsidTr="003E0A02">
              <w:tc>
                <w:tcPr>
                  <w:tcW w:w="2193" w:type="dxa"/>
                  <w:tcMar>
                    <w:left w:w="14" w:type="dxa"/>
                    <w:right w:w="14" w:type="dxa"/>
                  </w:tcMar>
                </w:tcPr>
                <w:p w:rsidR="002E3AE7" w:rsidRPr="004334C2" w:rsidRDefault="002E3AE7" w:rsidP="003E0A02">
                  <w:pPr>
                    <w:rPr>
                      <w:color w:val="002060"/>
                      <w:sz w:val="16"/>
                      <w:szCs w:val="16"/>
                    </w:rPr>
                  </w:pPr>
                  <w:r w:rsidRPr="004334C2">
                    <w:rPr>
                      <w:color w:val="002060"/>
                      <w:sz w:val="16"/>
                      <w:szCs w:val="16"/>
                    </w:rPr>
                    <w:t xml:space="preserve">Gasto real: </w:t>
                  </w:r>
                </w:p>
              </w:tc>
            </w:tr>
            <w:tr w:rsidR="002E3AE7" w:rsidRPr="004334C2" w:rsidTr="003E0A02">
              <w:tc>
                <w:tcPr>
                  <w:tcW w:w="2193" w:type="dxa"/>
                  <w:tcMar>
                    <w:left w:w="14" w:type="dxa"/>
                    <w:right w:w="14" w:type="dxa"/>
                  </w:tcMar>
                </w:tcPr>
                <w:p w:rsidR="002E3AE7" w:rsidRPr="004334C2" w:rsidRDefault="002E3AE7" w:rsidP="003E0A02">
                  <w:pPr>
                    <w:rPr>
                      <w:color w:val="002060"/>
                      <w:sz w:val="16"/>
                      <w:szCs w:val="16"/>
                    </w:rPr>
                  </w:pPr>
                  <w:r w:rsidRPr="004334C2">
                    <w:rPr>
                      <w:color w:val="002060"/>
                      <w:sz w:val="16"/>
                      <w:szCs w:val="16"/>
                    </w:rPr>
                    <w:t>642.597.000 francos suizos</w:t>
                  </w:r>
                </w:p>
                <w:p w:rsidR="002E3AE7" w:rsidRPr="004334C2" w:rsidRDefault="002E3AE7" w:rsidP="003E0A02">
                  <w:pPr>
                    <w:rPr>
                      <w:i/>
                      <w:color w:val="002060"/>
                      <w:sz w:val="16"/>
                      <w:szCs w:val="16"/>
                    </w:rPr>
                  </w:pPr>
                  <w:r w:rsidRPr="004334C2">
                    <w:rPr>
                      <w:i/>
                      <w:color w:val="002060"/>
                      <w:sz w:val="16"/>
                      <w:szCs w:val="16"/>
                    </w:rPr>
                    <w:t>(antes de</w:t>
                  </w:r>
                  <w:r w:rsidR="00740E61">
                    <w:rPr>
                      <w:i/>
                      <w:color w:val="002060"/>
                      <w:sz w:val="16"/>
                      <w:szCs w:val="16"/>
                    </w:rPr>
                    <w:t>l</w:t>
                  </w:r>
                  <w:r w:rsidRPr="004334C2">
                    <w:rPr>
                      <w:i/>
                      <w:color w:val="002060"/>
                      <w:sz w:val="16"/>
                      <w:szCs w:val="16"/>
                    </w:rPr>
                    <w:t xml:space="preserve"> ajuste IPSAS)</w:t>
                  </w:r>
                </w:p>
              </w:tc>
            </w:tr>
          </w:tbl>
          <w:p w:rsidR="002E3AE7" w:rsidRPr="004334C2" w:rsidRDefault="002E3AE7" w:rsidP="003E0A02">
            <w:pPr>
              <w:rPr>
                <w:i/>
                <w:color w:val="002060"/>
                <w:sz w:val="16"/>
                <w:szCs w:val="16"/>
              </w:rPr>
            </w:pPr>
          </w:p>
          <w:p w:rsidR="002E3AE7" w:rsidRPr="004334C2" w:rsidRDefault="002E3AE7" w:rsidP="003E0A02">
            <w:pPr>
              <w:rPr>
                <w:color w:val="002060"/>
                <w:sz w:val="16"/>
                <w:szCs w:val="16"/>
              </w:rPr>
            </w:pPr>
            <w:r w:rsidRPr="004334C2">
              <w:rPr>
                <w:color w:val="002060"/>
                <w:sz w:val="16"/>
                <w:szCs w:val="16"/>
              </w:rPr>
              <w:t xml:space="preserve">Gasto real en 2014/15:  </w:t>
            </w:r>
          </w:p>
          <w:p w:rsidR="002E3AE7" w:rsidRPr="004334C2" w:rsidRDefault="002E3AE7" w:rsidP="003E0A02">
            <w:pPr>
              <w:rPr>
                <w:color w:val="002060"/>
                <w:sz w:val="16"/>
                <w:szCs w:val="16"/>
              </w:rPr>
            </w:pPr>
            <w:r w:rsidRPr="004334C2">
              <w:rPr>
                <w:color w:val="002060"/>
                <w:sz w:val="16"/>
                <w:szCs w:val="16"/>
              </w:rPr>
              <w:t>642.597.000 francos suizos</w:t>
            </w:r>
          </w:p>
          <w:p w:rsidR="002E3AE7" w:rsidRPr="004334C2" w:rsidRDefault="002E3AE7" w:rsidP="003E0A02">
            <w:pPr>
              <w:rPr>
                <w:color w:val="002060"/>
                <w:sz w:val="16"/>
                <w:szCs w:val="16"/>
              </w:rPr>
            </w:pPr>
            <w:r w:rsidRPr="004334C2">
              <w:rPr>
                <w:color w:val="002060"/>
                <w:sz w:val="16"/>
                <w:szCs w:val="16"/>
              </w:rPr>
              <w:t>(antes de ajuste IPSAS)</w:t>
            </w:r>
          </w:p>
          <w:p w:rsidR="002E3AE7" w:rsidRPr="004334C2" w:rsidRDefault="002E3AE7" w:rsidP="003E0A02">
            <w:pPr>
              <w:rPr>
                <w:color w:val="002060"/>
                <w:sz w:val="16"/>
                <w:szCs w:val="16"/>
              </w:rPr>
            </w:pPr>
            <w:r w:rsidRPr="004334C2">
              <w:rPr>
                <w:color w:val="002060"/>
                <w:sz w:val="16"/>
                <w:szCs w:val="16"/>
              </w:rPr>
              <w:t xml:space="preserve">en comparación con: </w:t>
            </w:r>
          </w:p>
          <w:p w:rsidR="002E3AE7" w:rsidRPr="004334C2" w:rsidRDefault="002E3AE7" w:rsidP="003E0A02">
            <w:pPr>
              <w:rPr>
                <w:color w:val="002060"/>
                <w:sz w:val="16"/>
                <w:szCs w:val="16"/>
              </w:rPr>
            </w:pPr>
            <w:r w:rsidRPr="004334C2">
              <w:rPr>
                <w:color w:val="002060"/>
                <w:sz w:val="16"/>
                <w:szCs w:val="16"/>
              </w:rPr>
              <w:t xml:space="preserve">Presupuesto aprobado 2014/15: </w:t>
            </w:r>
          </w:p>
          <w:p w:rsidR="002E3AE7" w:rsidRPr="00BF7464" w:rsidRDefault="002E3AE7" w:rsidP="003E0A02">
            <w:pPr>
              <w:rPr>
                <w:sz w:val="16"/>
                <w:szCs w:val="16"/>
              </w:rPr>
            </w:pPr>
            <w:r w:rsidRPr="004334C2">
              <w:rPr>
                <w:color w:val="002060"/>
                <w:sz w:val="16"/>
                <w:szCs w:val="16"/>
              </w:rPr>
              <w:t>673.993.000 francos suizos</w:t>
            </w:r>
          </w:p>
          <w:p w:rsidR="002E3AE7" w:rsidRPr="00BF7464" w:rsidRDefault="002E3AE7" w:rsidP="003E0A02">
            <w:pPr>
              <w:rPr>
                <w:sz w:val="16"/>
                <w:szCs w:val="16"/>
              </w:rPr>
            </w:pPr>
          </w:p>
          <w:p w:rsidR="002E3AE7" w:rsidRPr="00BF7464" w:rsidRDefault="002E3AE7" w:rsidP="003E0A02">
            <w:pPr>
              <w:ind w:left="33"/>
              <w:rPr>
                <w:i/>
                <w:sz w:val="16"/>
                <w:szCs w:val="16"/>
              </w:rPr>
            </w:pPr>
            <w:r w:rsidRPr="00BF7464">
              <w:rPr>
                <w:i/>
                <w:sz w:val="16"/>
                <w:szCs w:val="16"/>
              </w:rPr>
              <w:t xml:space="preserve">Referencia original en el presupuesto de 2016/17:  </w:t>
            </w:r>
          </w:p>
          <w:p w:rsidR="002E3AE7" w:rsidRPr="00BF7464" w:rsidRDefault="002E3AE7" w:rsidP="00534901">
            <w:pPr>
              <w:ind w:left="34"/>
              <w:rPr>
                <w:sz w:val="16"/>
                <w:szCs w:val="16"/>
              </w:rPr>
            </w:pPr>
            <w:r w:rsidRPr="00BF7464">
              <w:rPr>
                <w:sz w:val="16"/>
                <w:szCs w:val="16"/>
              </w:rPr>
              <w:t>Panorama de gastos en 2014/15 (presupuesto antes de ajuste IPSAS):  659,9 millones de francos suizos (en abril del 2015).</w:t>
            </w:r>
          </w:p>
        </w:tc>
        <w:tc>
          <w:tcPr>
            <w:tcW w:w="662" w:type="pct"/>
            <w:shd w:val="clear" w:color="auto" w:fill="auto"/>
            <w:tcMar>
              <w:top w:w="110" w:type="dxa"/>
              <w:left w:w="58" w:type="dxa"/>
              <w:right w:w="58" w:type="dxa"/>
            </w:tcMar>
          </w:tcPr>
          <w:p w:rsidR="002E3AE7" w:rsidRPr="00BF7464" w:rsidRDefault="002E3AE7" w:rsidP="003E0A02">
            <w:pPr>
              <w:ind w:left="33"/>
              <w:rPr>
                <w:sz w:val="16"/>
                <w:szCs w:val="16"/>
              </w:rPr>
            </w:pPr>
            <w:r w:rsidRPr="00BF7464">
              <w:rPr>
                <w:sz w:val="16"/>
                <w:szCs w:val="16"/>
              </w:rPr>
              <w:t>Los gastos se gestionan dentro de la dotación presupuestaria global pero no deben superar a los ingresos (a menos que se previera con carácter excepcional una caída de los ingresos por debajo del gasto previsto).</w:t>
            </w:r>
          </w:p>
        </w:tc>
        <w:tc>
          <w:tcPr>
            <w:tcW w:w="1486" w:type="pct"/>
            <w:gridSpan w:val="3"/>
            <w:shd w:val="clear" w:color="auto" w:fill="FFFFFF"/>
            <w:tcMar>
              <w:top w:w="110" w:type="dxa"/>
              <w:left w:w="58" w:type="dxa"/>
              <w:right w:w="58" w:type="dxa"/>
            </w:tcMar>
          </w:tcPr>
          <w:tbl>
            <w:tblPr>
              <w:tblStyle w:val="TableGrid"/>
              <w:tblW w:w="21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93"/>
            </w:tblGrid>
            <w:tr w:rsidR="002E3AE7" w:rsidRPr="00BF7464" w:rsidTr="003E0A02">
              <w:tc>
                <w:tcPr>
                  <w:tcW w:w="2193" w:type="dxa"/>
                  <w:tcMar>
                    <w:left w:w="14" w:type="dxa"/>
                    <w:right w:w="14" w:type="dxa"/>
                  </w:tcMar>
                </w:tcPr>
                <w:p w:rsidR="002E3AE7" w:rsidRPr="00BF7464" w:rsidRDefault="002E3AE7" w:rsidP="003E0A02">
                  <w:pPr>
                    <w:ind w:right="-14"/>
                  </w:pPr>
                  <w:r w:rsidRPr="00BF7464">
                    <w:rPr>
                      <w:sz w:val="16"/>
                      <w:szCs w:val="16"/>
                    </w:rPr>
                    <w:t xml:space="preserve">Presupuesto aprobado para 2016/17 </w:t>
                  </w:r>
                </w:p>
              </w:tc>
            </w:tr>
            <w:tr w:rsidR="002E3AE7" w:rsidRPr="00BF7464" w:rsidTr="003E0A02">
              <w:tc>
                <w:tcPr>
                  <w:tcW w:w="2193" w:type="dxa"/>
                  <w:tcMar>
                    <w:left w:w="14" w:type="dxa"/>
                    <w:right w:w="14" w:type="dxa"/>
                  </w:tcMar>
                </w:tcPr>
                <w:p w:rsidR="002E3AE7" w:rsidRPr="00BF7464" w:rsidRDefault="002E3AE7" w:rsidP="003E0A02">
                  <w:pPr>
                    <w:ind w:right="-14"/>
                  </w:pPr>
                  <w:r w:rsidRPr="00BF7464">
                    <w:rPr>
                      <w:sz w:val="16"/>
                      <w:szCs w:val="16"/>
                    </w:rPr>
                    <w:t>707.036.000 CHF</w:t>
                  </w:r>
                </w:p>
              </w:tc>
            </w:tr>
            <w:tr w:rsidR="002E3AE7" w:rsidRPr="00BF7464" w:rsidTr="003E0A02">
              <w:tc>
                <w:tcPr>
                  <w:tcW w:w="2193" w:type="dxa"/>
                  <w:tcMar>
                    <w:left w:w="14" w:type="dxa"/>
                    <w:right w:w="14" w:type="dxa"/>
                  </w:tcMar>
                </w:tcPr>
                <w:p w:rsidR="002E3AE7" w:rsidRPr="00BF7464" w:rsidRDefault="002E3AE7" w:rsidP="003E0A02">
                  <w:pPr>
                    <w:rPr>
                      <w:sz w:val="16"/>
                      <w:szCs w:val="16"/>
                    </w:rPr>
                  </w:pPr>
                </w:p>
              </w:tc>
            </w:tr>
            <w:tr w:rsidR="002E3AE7" w:rsidRPr="00BF7464" w:rsidTr="003E0A02">
              <w:tc>
                <w:tcPr>
                  <w:tcW w:w="2193" w:type="dxa"/>
                  <w:tcMar>
                    <w:left w:w="14" w:type="dxa"/>
                    <w:right w:w="14" w:type="dxa"/>
                  </w:tcMar>
                </w:tcPr>
                <w:p w:rsidR="002E3AE7" w:rsidRPr="00BF7464" w:rsidRDefault="002E3AE7" w:rsidP="003E0A02">
                  <w:r w:rsidRPr="00BF7464">
                    <w:rPr>
                      <w:sz w:val="16"/>
                      <w:szCs w:val="16"/>
                    </w:rPr>
                    <w:t xml:space="preserve">Gasto real a fines de 2016 </w:t>
                  </w:r>
                </w:p>
              </w:tc>
            </w:tr>
            <w:tr w:rsidR="002E3AE7" w:rsidRPr="00BF7464" w:rsidTr="003E0A02">
              <w:tc>
                <w:tcPr>
                  <w:tcW w:w="2193" w:type="dxa"/>
                  <w:tcMar>
                    <w:left w:w="14" w:type="dxa"/>
                    <w:right w:w="14" w:type="dxa"/>
                  </w:tcMar>
                </w:tcPr>
                <w:p w:rsidR="002E3AE7" w:rsidRPr="00BF7464" w:rsidRDefault="002E3AE7" w:rsidP="003E0A02">
                  <w:pPr>
                    <w:rPr>
                      <w:sz w:val="16"/>
                      <w:szCs w:val="16"/>
                    </w:rPr>
                  </w:pPr>
                  <w:r w:rsidRPr="00BF7464">
                    <w:rPr>
                      <w:sz w:val="16"/>
                      <w:szCs w:val="16"/>
                    </w:rPr>
                    <w:t>322.178.000 CHF</w:t>
                  </w:r>
                </w:p>
                <w:p w:rsidR="002E3AE7" w:rsidRPr="00BF7464" w:rsidRDefault="002E3AE7" w:rsidP="003E0A02">
                  <w:pPr>
                    <w:rPr>
                      <w:i/>
                    </w:rPr>
                  </w:pPr>
                  <w:r w:rsidRPr="00BF7464">
                    <w:rPr>
                      <w:i/>
                      <w:sz w:val="16"/>
                      <w:szCs w:val="16"/>
                    </w:rPr>
                    <w:t>(antes de ajuste IPSAS)</w:t>
                  </w:r>
                </w:p>
              </w:tc>
            </w:tr>
          </w:tbl>
          <w:p w:rsidR="002E3AE7" w:rsidRPr="00BF7464" w:rsidRDefault="002E3AE7" w:rsidP="003E0A02">
            <w:pPr>
              <w:rPr>
                <w:i/>
                <w:sz w:val="16"/>
                <w:szCs w:val="16"/>
              </w:rPr>
            </w:pPr>
          </w:p>
          <w:p w:rsidR="002E3AE7" w:rsidRPr="00BF7464" w:rsidRDefault="002E3AE7" w:rsidP="003E0A02">
            <w:pPr>
              <w:rPr>
                <w:sz w:val="16"/>
                <w:szCs w:val="16"/>
              </w:rPr>
            </w:pPr>
          </w:p>
        </w:tc>
        <w:tc>
          <w:tcPr>
            <w:tcW w:w="467" w:type="pct"/>
            <w:gridSpan w:val="2"/>
            <w:shd w:val="clear" w:color="auto" w:fill="auto"/>
            <w:tcMar>
              <w:top w:w="110" w:type="dxa"/>
              <w:left w:w="58" w:type="dxa"/>
              <w:right w:w="58" w:type="dxa"/>
            </w:tcMar>
          </w:tcPr>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tc>
      </w:tr>
      <w:tr w:rsidR="002E3AE7" w:rsidRPr="00BF7464" w:rsidTr="003E0A02">
        <w:trPr>
          <w:trHeight w:val="246"/>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 xml:space="preserve">Los pagos (incluidas las tasas correspondientes a los Sistemas de </w:t>
            </w:r>
            <w:r w:rsidRPr="00BF7464">
              <w:rPr>
                <w:sz w:val="16"/>
                <w:szCs w:val="16"/>
              </w:rPr>
              <w:lastRenderedPageBreak/>
              <w:t>Madrid y de La Haya) se efectúan en el plazo estipulado</w:t>
            </w:r>
          </w:p>
        </w:tc>
        <w:tc>
          <w:tcPr>
            <w:tcW w:w="1480" w:type="pct"/>
            <w:gridSpan w:val="2"/>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lastRenderedPageBreak/>
              <w:t xml:space="preserve">Referencia actualizada a fines de 2015:  </w:t>
            </w:r>
          </w:p>
          <w:p w:rsidR="002E3AE7" w:rsidRPr="004334C2" w:rsidRDefault="002E3AE7" w:rsidP="003E0A02">
            <w:pPr>
              <w:rPr>
                <w:color w:val="002060"/>
                <w:sz w:val="16"/>
                <w:szCs w:val="16"/>
              </w:rPr>
            </w:pPr>
            <w:r w:rsidRPr="004334C2">
              <w:rPr>
                <w:color w:val="002060"/>
                <w:sz w:val="16"/>
                <w:szCs w:val="16"/>
              </w:rPr>
              <w:t xml:space="preserve">Los pagos de todas las facturas se efectuaron con arreglo a la </w:t>
            </w:r>
            <w:r w:rsidRPr="004334C2">
              <w:rPr>
                <w:color w:val="002060"/>
                <w:sz w:val="16"/>
                <w:szCs w:val="16"/>
              </w:rPr>
              <w:lastRenderedPageBreak/>
              <w:t xml:space="preserve">referencia, excepto las facturas ex-post facto, o cuando no hubo pedidos en el sistema.  </w:t>
            </w:r>
          </w:p>
          <w:p w:rsidR="002E3AE7" w:rsidRPr="004334C2" w:rsidRDefault="002E3AE7" w:rsidP="003E0A02">
            <w:pPr>
              <w:rPr>
                <w:color w:val="002060"/>
                <w:sz w:val="16"/>
                <w:szCs w:val="16"/>
              </w:rPr>
            </w:pPr>
          </w:p>
          <w:p w:rsidR="002E3AE7" w:rsidRPr="004334C2" w:rsidRDefault="002E3AE7" w:rsidP="003E0A02">
            <w:pPr>
              <w:rPr>
                <w:color w:val="002060"/>
                <w:sz w:val="16"/>
                <w:szCs w:val="16"/>
              </w:rPr>
            </w:pPr>
            <w:r w:rsidRPr="004334C2">
              <w:rPr>
                <w:color w:val="002060"/>
                <w:sz w:val="16"/>
                <w:szCs w:val="16"/>
              </w:rPr>
              <w:t xml:space="preserve">Las distribuciones mensuales se pagaron o se acreditaron en una cuenta corriente o se consignaron al mes siguiente al pago de contribuciones, según lo exige el Reglamento.  </w:t>
            </w:r>
          </w:p>
          <w:p w:rsidR="002E3AE7" w:rsidRPr="00BF7464" w:rsidRDefault="002E3AE7" w:rsidP="003E0A02">
            <w:pPr>
              <w:rPr>
                <w:sz w:val="16"/>
                <w:szCs w:val="16"/>
              </w:rPr>
            </w:pPr>
          </w:p>
          <w:p w:rsidR="002E3AE7" w:rsidRPr="00BF7464" w:rsidRDefault="002E3AE7" w:rsidP="003E0A02">
            <w:pPr>
              <w:ind w:left="33"/>
              <w:rPr>
                <w:i/>
                <w:sz w:val="16"/>
                <w:szCs w:val="16"/>
              </w:rPr>
            </w:pPr>
            <w:r w:rsidRPr="00BF7464">
              <w:rPr>
                <w:i/>
                <w:sz w:val="16"/>
                <w:szCs w:val="16"/>
              </w:rPr>
              <w:t xml:space="preserve">Referencia original en el presupuesto de 2016/2017:  </w:t>
            </w:r>
          </w:p>
          <w:p w:rsidR="002E3AE7" w:rsidRPr="00BF7464" w:rsidRDefault="002E3AE7" w:rsidP="003E0A02">
            <w:pPr>
              <w:spacing w:after="240"/>
              <w:ind w:left="33"/>
              <w:rPr>
                <w:sz w:val="16"/>
                <w:szCs w:val="16"/>
              </w:rPr>
            </w:pPr>
            <w:r w:rsidRPr="00BF7464">
              <w:rPr>
                <w:sz w:val="16"/>
                <w:szCs w:val="16"/>
              </w:rPr>
              <w:t>90% de los pagos efectuados en un plazo de siete días con arreglo a las condiciones de pago o la fecha de recepción (en caso de recepción tardía) cuando no haya otros problemas de flujo de trabajo (por ejemplo, la no entrega de la orden de compra, etc.)</w:t>
            </w:r>
          </w:p>
        </w:tc>
        <w:tc>
          <w:tcPr>
            <w:tcW w:w="662" w:type="pct"/>
            <w:shd w:val="clear" w:color="auto" w:fill="auto"/>
            <w:tcMar>
              <w:top w:w="110" w:type="dxa"/>
              <w:left w:w="58" w:type="dxa"/>
              <w:right w:w="58" w:type="dxa"/>
            </w:tcMar>
          </w:tcPr>
          <w:p w:rsidR="002E3AE7" w:rsidRPr="004334C2" w:rsidRDefault="002E3AE7" w:rsidP="003E0A02">
            <w:pPr>
              <w:ind w:left="33"/>
              <w:rPr>
                <w:i/>
                <w:color w:val="002060"/>
                <w:sz w:val="16"/>
                <w:szCs w:val="16"/>
              </w:rPr>
            </w:pPr>
            <w:r w:rsidRPr="004334C2">
              <w:rPr>
                <w:i/>
                <w:color w:val="002060"/>
                <w:sz w:val="16"/>
                <w:szCs w:val="16"/>
              </w:rPr>
              <w:lastRenderedPageBreak/>
              <w:t>Objetivo actualizado:</w:t>
            </w:r>
          </w:p>
          <w:p w:rsidR="002E3AE7" w:rsidRPr="004334C2" w:rsidRDefault="002E3AE7" w:rsidP="003E0A02">
            <w:pPr>
              <w:ind w:left="33"/>
              <w:rPr>
                <w:color w:val="002060"/>
                <w:sz w:val="16"/>
                <w:szCs w:val="16"/>
              </w:rPr>
            </w:pPr>
            <w:r w:rsidRPr="004334C2">
              <w:rPr>
                <w:color w:val="002060"/>
                <w:sz w:val="16"/>
                <w:szCs w:val="16"/>
              </w:rPr>
              <w:t xml:space="preserve">El 90% de los pagos se </w:t>
            </w:r>
            <w:r w:rsidRPr="004334C2">
              <w:rPr>
                <w:color w:val="002060"/>
                <w:sz w:val="16"/>
                <w:szCs w:val="16"/>
              </w:rPr>
              <w:lastRenderedPageBreak/>
              <w:t>efectuará con arreglo a los plazos que fijen los proveedores</w:t>
            </w:r>
          </w:p>
          <w:p w:rsidR="002E3AE7" w:rsidRPr="00BF7464" w:rsidRDefault="002E3AE7" w:rsidP="003E0A02">
            <w:pPr>
              <w:ind w:left="33"/>
              <w:rPr>
                <w:i/>
                <w:sz w:val="16"/>
                <w:szCs w:val="16"/>
              </w:rPr>
            </w:pPr>
          </w:p>
          <w:p w:rsidR="002E3AE7" w:rsidRPr="00BF7464" w:rsidRDefault="002E3AE7" w:rsidP="003E0A02">
            <w:pPr>
              <w:ind w:left="33"/>
              <w:rPr>
                <w:sz w:val="16"/>
                <w:szCs w:val="16"/>
              </w:rPr>
            </w:pPr>
            <w:r w:rsidRPr="00BF7464">
              <w:rPr>
                <w:i/>
                <w:sz w:val="16"/>
                <w:szCs w:val="16"/>
              </w:rPr>
              <w:t xml:space="preserve">Objetivo original en el presupuesto de 2016/17: </w:t>
            </w:r>
            <w:r w:rsidRPr="00BF7464">
              <w:rPr>
                <w:sz w:val="16"/>
                <w:szCs w:val="16"/>
              </w:rPr>
              <w:t>90% de pagos a efectuar en  el plazo de tres días desde la recepción de la factura</w:t>
            </w:r>
          </w:p>
        </w:tc>
        <w:tc>
          <w:tcPr>
            <w:tcW w:w="1486" w:type="pct"/>
            <w:gridSpan w:val="3"/>
            <w:shd w:val="clear" w:color="auto" w:fill="FFFFFF"/>
            <w:tcMar>
              <w:top w:w="110" w:type="dxa"/>
              <w:left w:w="58" w:type="dxa"/>
              <w:right w:w="58" w:type="dxa"/>
            </w:tcMar>
          </w:tcPr>
          <w:p w:rsidR="002E3AE7" w:rsidRPr="00BF7464" w:rsidRDefault="002E3AE7" w:rsidP="003E0A02">
            <w:r w:rsidRPr="00BF7464">
              <w:rPr>
                <w:sz w:val="16"/>
                <w:szCs w:val="16"/>
              </w:rPr>
              <w:lastRenderedPageBreak/>
              <w:t>Pagos netos (a 30 días)</w:t>
            </w:r>
          </w:p>
          <w:p w:rsidR="002E3AE7" w:rsidRPr="00BF7464" w:rsidRDefault="002E3AE7" w:rsidP="002E3AE7">
            <w:pPr>
              <w:pStyle w:val="ListParagraph"/>
              <w:numPr>
                <w:ilvl w:val="0"/>
                <w:numId w:val="87"/>
              </w:numPr>
              <w:spacing w:after="60"/>
              <w:contextualSpacing/>
              <w:rPr>
                <w:sz w:val="16"/>
                <w:szCs w:val="16"/>
                <w:lang w:val="es-ES"/>
              </w:rPr>
            </w:pPr>
            <w:r w:rsidRPr="00BF7464">
              <w:rPr>
                <w:sz w:val="16"/>
                <w:szCs w:val="16"/>
                <w:lang w:val="es-ES"/>
              </w:rPr>
              <w:t xml:space="preserve">94% de pagos efectuados en los plazos previstos con arreglo a la fecha de facturación </w:t>
            </w:r>
            <w:r w:rsidRPr="00BF7464">
              <w:rPr>
                <w:sz w:val="16"/>
                <w:szCs w:val="16"/>
                <w:lang w:val="es-ES"/>
              </w:rPr>
              <w:lastRenderedPageBreak/>
              <w:t>indicada por el proveedor;</w:t>
            </w:r>
          </w:p>
          <w:p w:rsidR="002E3AE7" w:rsidRPr="00BF7464" w:rsidRDefault="002E3AE7" w:rsidP="002E3AE7">
            <w:pPr>
              <w:pStyle w:val="ListParagraph"/>
              <w:numPr>
                <w:ilvl w:val="0"/>
                <w:numId w:val="87"/>
              </w:numPr>
              <w:spacing w:after="60"/>
              <w:contextualSpacing/>
              <w:rPr>
                <w:sz w:val="16"/>
                <w:szCs w:val="16"/>
                <w:lang w:val="es-ES"/>
              </w:rPr>
            </w:pPr>
            <w:r w:rsidRPr="00BF7464">
              <w:rPr>
                <w:sz w:val="16"/>
                <w:szCs w:val="16"/>
                <w:lang w:val="es-ES"/>
              </w:rPr>
              <w:t>3% de pagos efectuados en el plazo de 7 días después de la fecha de recepción, en caso de recepción tardía;  y</w:t>
            </w:r>
          </w:p>
          <w:p w:rsidR="002E3AE7" w:rsidRPr="00BF7464" w:rsidRDefault="002E3AE7" w:rsidP="002E3AE7">
            <w:pPr>
              <w:pStyle w:val="ListParagraph"/>
              <w:numPr>
                <w:ilvl w:val="0"/>
                <w:numId w:val="87"/>
              </w:numPr>
              <w:spacing w:after="60"/>
              <w:contextualSpacing/>
              <w:rPr>
                <w:sz w:val="16"/>
                <w:szCs w:val="16"/>
                <w:lang w:val="es-ES"/>
              </w:rPr>
            </w:pPr>
            <w:r w:rsidRPr="00BF7464">
              <w:rPr>
                <w:sz w:val="16"/>
                <w:szCs w:val="16"/>
                <w:lang w:val="es-ES"/>
              </w:rPr>
              <w:t xml:space="preserve">3% de pagos efectuados con retraso (facturas </w:t>
            </w:r>
            <w:r w:rsidRPr="00BF7464">
              <w:rPr>
                <w:i/>
                <w:sz w:val="16"/>
                <w:szCs w:val="16"/>
                <w:lang w:val="es-ES"/>
              </w:rPr>
              <w:t>ex-post facto</w:t>
            </w:r>
            <w:r w:rsidRPr="00BF7464">
              <w:rPr>
                <w:sz w:val="16"/>
                <w:szCs w:val="16"/>
                <w:lang w:val="es-ES"/>
              </w:rPr>
              <w:t xml:space="preserve"> o cuando no hubo pedidos en el sistema)</w:t>
            </w:r>
          </w:p>
          <w:p w:rsidR="002E3AE7" w:rsidRPr="00BF7464" w:rsidRDefault="002E3AE7" w:rsidP="003E0A02">
            <w:pPr>
              <w:rPr>
                <w:sz w:val="12"/>
                <w:szCs w:val="12"/>
              </w:rPr>
            </w:pPr>
          </w:p>
          <w:p w:rsidR="002E3AE7" w:rsidRPr="00BF7464" w:rsidRDefault="002E3AE7" w:rsidP="003E0A02">
            <w:pPr>
              <w:rPr>
                <w:sz w:val="16"/>
                <w:szCs w:val="16"/>
              </w:rPr>
            </w:pPr>
            <w:r w:rsidRPr="00BF7464">
              <w:rPr>
                <w:sz w:val="16"/>
                <w:szCs w:val="16"/>
              </w:rPr>
              <w:t>Pagos “a la vista”</w:t>
            </w:r>
          </w:p>
          <w:p w:rsidR="002E3AE7" w:rsidRPr="00BF7464" w:rsidRDefault="002E3AE7" w:rsidP="002E3AE7">
            <w:pPr>
              <w:pStyle w:val="ListParagraph"/>
              <w:numPr>
                <w:ilvl w:val="0"/>
                <w:numId w:val="87"/>
              </w:numPr>
              <w:spacing w:after="60"/>
              <w:contextualSpacing/>
              <w:rPr>
                <w:sz w:val="16"/>
                <w:szCs w:val="16"/>
                <w:lang w:val="es-ES"/>
              </w:rPr>
            </w:pPr>
            <w:r w:rsidRPr="00BF7464">
              <w:rPr>
                <w:sz w:val="16"/>
                <w:szCs w:val="16"/>
                <w:lang w:val="es-ES"/>
              </w:rPr>
              <w:t>94% de pagos efectuados en el plazo de 1 semana desde la fecha de recepción;  y</w:t>
            </w:r>
          </w:p>
          <w:p w:rsidR="002E3AE7" w:rsidRPr="00BF7464" w:rsidRDefault="002E3AE7" w:rsidP="002E3AE7">
            <w:pPr>
              <w:pStyle w:val="ListParagraph"/>
              <w:numPr>
                <w:ilvl w:val="0"/>
                <w:numId w:val="87"/>
              </w:numPr>
              <w:contextualSpacing/>
              <w:rPr>
                <w:sz w:val="16"/>
                <w:szCs w:val="16"/>
                <w:lang w:val="es-ES"/>
              </w:rPr>
            </w:pPr>
            <w:r w:rsidRPr="00BF7464">
              <w:rPr>
                <w:sz w:val="16"/>
                <w:szCs w:val="16"/>
                <w:lang w:val="es-ES"/>
              </w:rPr>
              <w:t xml:space="preserve">6% efectuados con retraso (facturas </w:t>
            </w:r>
            <w:r w:rsidRPr="00BF7464">
              <w:rPr>
                <w:i/>
                <w:sz w:val="16"/>
                <w:szCs w:val="16"/>
                <w:lang w:val="es-ES"/>
              </w:rPr>
              <w:t>ex-post facto</w:t>
            </w:r>
            <w:r w:rsidRPr="00BF7464">
              <w:rPr>
                <w:sz w:val="16"/>
                <w:szCs w:val="16"/>
                <w:lang w:val="es-ES"/>
              </w:rPr>
              <w:t xml:space="preserve"> o cuando no hubo pedidos en el sistema)</w:t>
            </w:r>
          </w:p>
          <w:p w:rsidR="002E3AE7" w:rsidRPr="00BF7464" w:rsidRDefault="002E3AE7" w:rsidP="003E0A02">
            <w:pPr>
              <w:pStyle w:val="ListParagraph"/>
              <w:ind w:left="360"/>
              <w:rPr>
                <w:sz w:val="12"/>
                <w:szCs w:val="12"/>
                <w:lang w:val="es-ES"/>
              </w:rPr>
            </w:pPr>
          </w:p>
          <w:p w:rsidR="002E3AE7" w:rsidRPr="00BF7464" w:rsidRDefault="002E3AE7" w:rsidP="00156844">
            <w:pPr>
              <w:rPr>
                <w:sz w:val="16"/>
                <w:szCs w:val="16"/>
              </w:rPr>
            </w:pPr>
            <w:r w:rsidRPr="00BF7464">
              <w:rPr>
                <w:sz w:val="16"/>
                <w:szCs w:val="16"/>
              </w:rPr>
              <w:t>Las distribuciones mensuales se pagaron o se acreditaron en una cuenta corriente o se consignaron al mes siguiente al pago de contribuciones, según lo exige el Reglamento.</w:t>
            </w:r>
          </w:p>
        </w:tc>
        <w:tc>
          <w:tcPr>
            <w:tcW w:w="467" w:type="pct"/>
            <w:gridSpan w:val="2"/>
            <w:shd w:val="clear" w:color="auto" w:fill="auto"/>
            <w:tcMar>
              <w:top w:w="110" w:type="dxa"/>
              <w:left w:w="58" w:type="dxa"/>
              <w:right w:w="58" w:type="dxa"/>
            </w:tcMar>
          </w:tcPr>
          <w:p w:rsidR="002E3AE7" w:rsidRPr="00BF7464" w:rsidRDefault="002E3AE7" w:rsidP="003E0A02">
            <w:pPr>
              <w:keepNext/>
              <w:keepLines/>
              <w:jc w:val="center"/>
              <w:rPr>
                <w:b/>
                <w:sz w:val="16"/>
                <w:szCs w:val="16"/>
              </w:rPr>
            </w:pPr>
            <w:r w:rsidRPr="00BF7464">
              <w:rPr>
                <w:b/>
                <w:color w:val="00B050"/>
                <w:sz w:val="16"/>
                <w:szCs w:val="16"/>
              </w:rPr>
              <w:lastRenderedPageBreak/>
              <w:t>Avanza</w:t>
            </w: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rPr>
                <w:b/>
                <w:sz w:val="16"/>
                <w:szCs w:val="16"/>
              </w:rPr>
            </w:pPr>
          </w:p>
          <w:p w:rsidR="002E3AE7" w:rsidRPr="00BF7464" w:rsidRDefault="002E3AE7" w:rsidP="003E0A02">
            <w:pPr>
              <w:keepNext/>
              <w:keepLines/>
              <w:jc w:val="center"/>
              <w:rPr>
                <w:b/>
                <w:sz w:val="16"/>
                <w:szCs w:val="16"/>
              </w:rPr>
            </w:pPr>
          </w:p>
          <w:p w:rsidR="002E3AE7" w:rsidRDefault="002E3AE7" w:rsidP="003E0A02">
            <w:pPr>
              <w:keepNext/>
              <w:keepLines/>
              <w:jc w:val="center"/>
              <w:rPr>
                <w:b/>
                <w:sz w:val="16"/>
                <w:szCs w:val="16"/>
              </w:rPr>
            </w:pPr>
          </w:p>
          <w:p w:rsidR="005A1290" w:rsidRDefault="005A1290" w:rsidP="003E0A02">
            <w:pPr>
              <w:keepNext/>
              <w:keepLines/>
              <w:jc w:val="center"/>
              <w:rPr>
                <w:b/>
                <w:sz w:val="16"/>
                <w:szCs w:val="16"/>
              </w:rPr>
            </w:pPr>
          </w:p>
          <w:p w:rsidR="005A1290" w:rsidRPr="00BF7464" w:rsidRDefault="005A1290" w:rsidP="003E0A02">
            <w:pPr>
              <w:keepNext/>
              <w:keepLines/>
              <w:jc w:val="center"/>
              <w:rPr>
                <w:b/>
                <w:sz w:val="16"/>
                <w:szCs w:val="16"/>
              </w:rPr>
            </w:pPr>
          </w:p>
          <w:p w:rsidR="005A1290" w:rsidRPr="00BF7464" w:rsidRDefault="005A1290" w:rsidP="005A1290">
            <w:pPr>
              <w:keepNext/>
              <w:keepLines/>
              <w:jc w:val="center"/>
              <w:rPr>
                <w:b/>
                <w:sz w:val="16"/>
                <w:szCs w:val="16"/>
              </w:rPr>
            </w:pPr>
            <w:r w:rsidRPr="00BF7464">
              <w:rPr>
                <w:b/>
                <w:color w:val="00B050"/>
                <w:sz w:val="16"/>
                <w:szCs w:val="16"/>
              </w:rPr>
              <w:t>Avanza</w:t>
            </w:r>
          </w:p>
          <w:p w:rsidR="002E3AE7" w:rsidRDefault="002E3AE7" w:rsidP="003E0A02">
            <w:pPr>
              <w:keepNext/>
              <w:keepLines/>
              <w:jc w:val="center"/>
              <w:rPr>
                <w:b/>
                <w:sz w:val="16"/>
                <w:szCs w:val="16"/>
              </w:rPr>
            </w:pPr>
          </w:p>
          <w:p w:rsidR="00F579EA" w:rsidRDefault="00F579EA" w:rsidP="003E0A02">
            <w:pPr>
              <w:keepNext/>
              <w:keepLines/>
              <w:jc w:val="center"/>
              <w:rPr>
                <w:b/>
                <w:sz w:val="16"/>
                <w:szCs w:val="16"/>
              </w:rPr>
            </w:pPr>
          </w:p>
          <w:p w:rsidR="00F579EA" w:rsidRDefault="00F579EA" w:rsidP="003E0A02">
            <w:pPr>
              <w:keepNext/>
              <w:keepLines/>
              <w:jc w:val="center"/>
              <w:rPr>
                <w:b/>
                <w:sz w:val="16"/>
                <w:szCs w:val="16"/>
              </w:rPr>
            </w:pPr>
          </w:p>
          <w:p w:rsidR="00F579EA" w:rsidRPr="00BF7464" w:rsidRDefault="00F579EA"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jc w:val="center"/>
              <w:rPr>
                <w:b/>
                <w:sz w:val="16"/>
                <w:szCs w:val="16"/>
              </w:rPr>
            </w:pPr>
          </w:p>
          <w:p w:rsidR="002E3AE7" w:rsidRPr="00BF7464" w:rsidRDefault="002E3AE7" w:rsidP="003E0A02">
            <w:pPr>
              <w:keepNext/>
              <w:keepLines/>
              <w:rPr>
                <w:b/>
                <w:sz w:val="16"/>
                <w:szCs w:val="16"/>
              </w:rPr>
            </w:pPr>
          </w:p>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tc>
      </w:tr>
      <w:tr w:rsidR="002E3AE7" w:rsidRPr="00BF7464" w:rsidTr="003E0A02">
        <w:trPr>
          <w:trHeight w:val="565"/>
        </w:trPr>
        <w:tc>
          <w:tcPr>
            <w:tcW w:w="5000" w:type="pct"/>
            <w:gridSpan w:val="9"/>
            <w:shd w:val="clear" w:color="auto" w:fill="C6D9F1" w:themeFill="text2" w:themeFillTint="33"/>
            <w:tcMar>
              <w:left w:w="58" w:type="dxa"/>
              <w:right w:w="58" w:type="dxa"/>
            </w:tcMar>
            <w:vAlign w:val="center"/>
          </w:tcPr>
          <w:p w:rsidR="002E3AE7" w:rsidRPr="00BF7464" w:rsidRDefault="002E3AE7" w:rsidP="003E0A02">
            <w:pPr>
              <w:tabs>
                <w:tab w:val="left" w:pos="1452"/>
              </w:tabs>
              <w:ind w:left="1701" w:hanging="1701"/>
              <w:rPr>
                <w:b/>
                <w:bCs/>
                <w:sz w:val="16"/>
                <w:szCs w:val="16"/>
              </w:rPr>
            </w:pPr>
            <w:r w:rsidRPr="00BF7464">
              <w:rPr>
                <w:b/>
                <w:bCs/>
                <w:sz w:val="16"/>
                <w:szCs w:val="16"/>
              </w:rPr>
              <w:lastRenderedPageBreak/>
              <w:t>Resultado previsto:</w:t>
            </w:r>
            <w:r w:rsidRPr="00BF7464">
              <w:rPr>
                <w:b/>
                <w:bCs/>
                <w:sz w:val="16"/>
                <w:szCs w:val="16"/>
              </w:rPr>
              <w:tab/>
            </w:r>
            <w:r w:rsidRPr="00BF7464">
              <w:rPr>
                <w:sz w:val="16"/>
                <w:szCs w:val="16"/>
                <w:lang w:bidi="th-TH"/>
              </w:rPr>
              <w:t>IX.3  Entorno de trabajo propicio basado en un marco regulador eficaz y medios adecuados para atender los temas de interés del personal</w:t>
            </w:r>
          </w:p>
        </w:tc>
      </w:tr>
      <w:tr w:rsidR="002E3AE7" w:rsidRPr="00BF7464" w:rsidTr="003E0A02">
        <w:tc>
          <w:tcPr>
            <w:tcW w:w="905" w:type="pct"/>
            <w:shd w:val="clear" w:color="auto" w:fill="auto"/>
            <w:tcMar>
              <w:left w:w="58" w:type="dxa"/>
              <w:right w:w="58" w:type="dxa"/>
            </w:tcMar>
            <w:vAlign w:val="center"/>
          </w:tcPr>
          <w:p w:rsidR="002E3AE7" w:rsidRPr="00BF7464" w:rsidRDefault="002E3AE7" w:rsidP="003E0A02">
            <w:pPr>
              <w:rPr>
                <w:b/>
                <w:bCs/>
                <w:sz w:val="16"/>
                <w:szCs w:val="16"/>
              </w:rPr>
            </w:pPr>
            <w:r w:rsidRPr="00BF7464">
              <w:rPr>
                <w:b/>
                <w:bCs/>
                <w:sz w:val="16"/>
                <w:szCs w:val="16"/>
              </w:rPr>
              <w:t>Indicadores de rendimiento</w:t>
            </w:r>
          </w:p>
        </w:tc>
        <w:tc>
          <w:tcPr>
            <w:tcW w:w="1480" w:type="pct"/>
            <w:gridSpan w:val="2"/>
            <w:shd w:val="clear" w:color="auto" w:fill="auto"/>
            <w:tcMar>
              <w:left w:w="58" w:type="dxa"/>
              <w:right w:w="58" w:type="dxa"/>
            </w:tcMar>
            <w:vAlign w:val="center"/>
          </w:tcPr>
          <w:p w:rsidR="002E3AE7" w:rsidRPr="00BF7464" w:rsidRDefault="002E3AE7" w:rsidP="003E0A02">
            <w:pPr>
              <w:rPr>
                <w:b/>
                <w:bCs/>
                <w:sz w:val="16"/>
                <w:szCs w:val="16"/>
              </w:rPr>
            </w:pPr>
            <w:r w:rsidRPr="00BF7464">
              <w:rPr>
                <w:b/>
                <w:bCs/>
                <w:sz w:val="16"/>
                <w:szCs w:val="16"/>
              </w:rPr>
              <w:t>Referencias de base</w:t>
            </w:r>
          </w:p>
        </w:tc>
        <w:tc>
          <w:tcPr>
            <w:tcW w:w="757" w:type="pct"/>
            <w:gridSpan w:val="2"/>
            <w:shd w:val="clear" w:color="auto" w:fill="auto"/>
            <w:tcMar>
              <w:top w:w="110" w:type="dxa"/>
              <w:left w:w="58" w:type="dxa"/>
              <w:right w:w="58" w:type="dxa"/>
            </w:tcMar>
            <w:vAlign w:val="center"/>
          </w:tcPr>
          <w:p w:rsidR="002E3AE7" w:rsidRPr="00BF7464" w:rsidRDefault="002E3AE7" w:rsidP="003E0A02">
            <w:pPr>
              <w:tabs>
                <w:tab w:val="left" w:pos="290"/>
              </w:tabs>
              <w:rPr>
                <w:b/>
                <w:bCs/>
                <w:sz w:val="16"/>
                <w:szCs w:val="16"/>
              </w:rPr>
            </w:pPr>
            <w:r w:rsidRPr="00BF7464">
              <w:rPr>
                <w:b/>
                <w:bCs/>
                <w:sz w:val="16"/>
                <w:szCs w:val="16"/>
              </w:rPr>
              <w:t>Objetivos</w:t>
            </w:r>
          </w:p>
        </w:tc>
        <w:tc>
          <w:tcPr>
            <w:tcW w:w="1397" w:type="pct"/>
            <w:gridSpan w:val="3"/>
            <w:shd w:val="clear" w:color="auto" w:fill="FFFFFF"/>
            <w:tcMar>
              <w:top w:w="110" w:type="dxa"/>
              <w:left w:w="58" w:type="dxa"/>
              <w:right w:w="58" w:type="dxa"/>
            </w:tcMar>
            <w:vAlign w:val="center"/>
          </w:tcPr>
          <w:p w:rsidR="002E3AE7" w:rsidRPr="00BF7464" w:rsidRDefault="002E3AE7" w:rsidP="003E0A02">
            <w:pPr>
              <w:rPr>
                <w:b/>
                <w:bCs/>
                <w:sz w:val="16"/>
                <w:szCs w:val="16"/>
              </w:rPr>
            </w:pPr>
            <w:r w:rsidRPr="00BF7464">
              <w:rPr>
                <w:b/>
                <w:bCs/>
                <w:sz w:val="16"/>
                <w:szCs w:val="16"/>
              </w:rPr>
              <w:t>Datos sobre el rendimiento</w:t>
            </w:r>
          </w:p>
        </w:tc>
        <w:tc>
          <w:tcPr>
            <w:tcW w:w="461" w:type="pct"/>
            <w:shd w:val="clear" w:color="auto" w:fill="auto"/>
            <w:tcMar>
              <w:top w:w="110" w:type="dxa"/>
              <w:left w:w="58" w:type="dxa"/>
              <w:right w:w="58" w:type="dxa"/>
            </w:tcMar>
            <w:vAlign w:val="center"/>
          </w:tcPr>
          <w:p w:rsidR="002E3AE7" w:rsidRPr="00BF7464" w:rsidRDefault="002E3AE7" w:rsidP="003E0A02">
            <w:pPr>
              <w:jc w:val="center"/>
              <w:rPr>
                <w:b/>
                <w:bCs/>
                <w:sz w:val="16"/>
                <w:szCs w:val="16"/>
              </w:rPr>
            </w:pPr>
            <w:r w:rsidRPr="00BF7464">
              <w:rPr>
                <w:b/>
                <w:bCs/>
                <w:sz w:val="16"/>
                <w:szCs w:val="16"/>
              </w:rPr>
              <w:t>Clave de colores</w:t>
            </w:r>
          </w:p>
        </w:tc>
      </w:tr>
      <w:tr w:rsidR="002E3AE7" w:rsidRPr="00BF7464" w:rsidTr="00156844">
        <w:trPr>
          <w:trHeight w:val="3209"/>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t>El Reglamento Financiero y la Reglamentación Financiera y las órdenes de servicio pertinentes están actualizados</w:t>
            </w:r>
          </w:p>
        </w:tc>
        <w:tc>
          <w:tcPr>
            <w:tcW w:w="1480" w:type="pct"/>
            <w:gridSpan w:val="2"/>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rPr>
                <w:i/>
                <w:color w:val="002060"/>
                <w:sz w:val="16"/>
                <w:szCs w:val="16"/>
              </w:rPr>
            </w:pPr>
            <w:r w:rsidRPr="004334C2">
              <w:rPr>
                <w:color w:val="002060"/>
                <w:sz w:val="16"/>
                <w:szCs w:val="16"/>
              </w:rPr>
              <w:t>Órdenes de servicio emitidas en 2014 y 2015.  Reglamento Financiero y Reglamentación Financiera modificados en 2014 y 2015 en la medida que sea necesario</w:t>
            </w:r>
          </w:p>
          <w:p w:rsidR="002E3AE7" w:rsidRPr="00BF7464" w:rsidRDefault="002E3AE7" w:rsidP="003E0A02">
            <w:pPr>
              <w:rPr>
                <w:sz w:val="16"/>
                <w:szCs w:val="16"/>
              </w:rPr>
            </w:pPr>
          </w:p>
          <w:p w:rsidR="002E3AE7" w:rsidRPr="00BF7464" w:rsidRDefault="002E3AE7" w:rsidP="003E0A02">
            <w:pPr>
              <w:ind w:left="33"/>
              <w:rPr>
                <w:i/>
                <w:sz w:val="16"/>
                <w:szCs w:val="16"/>
              </w:rPr>
            </w:pPr>
            <w:r w:rsidRPr="00BF7464">
              <w:rPr>
                <w:i/>
                <w:sz w:val="16"/>
                <w:szCs w:val="16"/>
              </w:rPr>
              <w:t xml:space="preserve">Referencia original en el presupuesto de 2016/17:  </w:t>
            </w:r>
          </w:p>
          <w:p w:rsidR="002E3AE7" w:rsidRPr="00BF7464" w:rsidRDefault="002E3AE7" w:rsidP="003E0A02">
            <w:pPr>
              <w:spacing w:after="240"/>
              <w:ind w:left="33"/>
              <w:rPr>
                <w:sz w:val="16"/>
                <w:szCs w:val="16"/>
              </w:rPr>
            </w:pPr>
            <w:r w:rsidRPr="00BF7464">
              <w:rPr>
                <w:sz w:val="16"/>
                <w:szCs w:val="16"/>
              </w:rPr>
              <w:t xml:space="preserve">Órdenes de servicio emitidas en 2014 y 2015. Reglamento Financiero y Reglamentación Financiera modificados en 2014 en la medida en que fue necesario </w:t>
            </w:r>
          </w:p>
        </w:tc>
        <w:tc>
          <w:tcPr>
            <w:tcW w:w="757" w:type="pct"/>
            <w:gridSpan w:val="2"/>
            <w:shd w:val="clear" w:color="auto" w:fill="auto"/>
            <w:tcMar>
              <w:top w:w="110" w:type="dxa"/>
              <w:left w:w="58" w:type="dxa"/>
              <w:right w:w="58" w:type="dxa"/>
            </w:tcMar>
          </w:tcPr>
          <w:p w:rsidR="002E3AE7" w:rsidRPr="00BF7464" w:rsidRDefault="002E3AE7" w:rsidP="003E0A02">
            <w:pPr>
              <w:ind w:left="33"/>
              <w:rPr>
                <w:sz w:val="16"/>
                <w:szCs w:val="16"/>
              </w:rPr>
            </w:pPr>
            <w:r w:rsidRPr="00BF7464">
              <w:rPr>
                <w:sz w:val="16"/>
                <w:szCs w:val="16"/>
              </w:rPr>
              <w:t>Examen y revisión del marco regulador cuando se considere apropiado</w:t>
            </w:r>
          </w:p>
        </w:tc>
        <w:tc>
          <w:tcPr>
            <w:tcW w:w="1397" w:type="pct"/>
            <w:gridSpan w:val="3"/>
            <w:shd w:val="clear" w:color="auto" w:fill="FFFFFF"/>
            <w:tcMar>
              <w:top w:w="110" w:type="dxa"/>
              <w:left w:w="58" w:type="dxa"/>
              <w:right w:w="58" w:type="dxa"/>
            </w:tcMar>
          </w:tcPr>
          <w:p w:rsidR="002E3AE7" w:rsidRPr="00BF7464" w:rsidRDefault="002E3AE7" w:rsidP="00156844">
            <w:pPr>
              <w:rPr>
                <w:sz w:val="16"/>
                <w:szCs w:val="16"/>
              </w:rPr>
            </w:pPr>
            <w:r w:rsidRPr="00BF7464">
              <w:rPr>
                <w:sz w:val="16"/>
                <w:szCs w:val="16"/>
              </w:rPr>
              <w:t>Introducción de los procedimientos formalizados con respecto al contenido, la revisión y la aprobación de las órdenes de servicio y circulares informativas.</w:t>
            </w:r>
          </w:p>
          <w:p w:rsidR="002E3AE7" w:rsidRPr="00BF7464" w:rsidRDefault="002E3AE7" w:rsidP="00156844">
            <w:pPr>
              <w:rPr>
                <w:sz w:val="16"/>
                <w:szCs w:val="16"/>
              </w:rPr>
            </w:pPr>
          </w:p>
          <w:p w:rsidR="002E3AE7" w:rsidRPr="00BF7464" w:rsidRDefault="002E3AE7" w:rsidP="00156844">
            <w:pPr>
              <w:rPr>
                <w:sz w:val="16"/>
                <w:szCs w:val="16"/>
              </w:rPr>
            </w:pPr>
            <w:r w:rsidRPr="00BF7464">
              <w:rPr>
                <w:sz w:val="16"/>
                <w:szCs w:val="16"/>
              </w:rPr>
              <w:t>Revisión o publicación en curso de órdenes de servicio en materia de:</w:t>
            </w:r>
          </w:p>
          <w:p w:rsidR="002E3AE7" w:rsidRPr="00BF7464" w:rsidRDefault="002E3AE7" w:rsidP="00156844">
            <w:pPr>
              <w:pStyle w:val="Heading"/>
              <w:numPr>
                <w:ilvl w:val="0"/>
                <w:numId w:val="86"/>
              </w:numPr>
              <w:spacing w:before="0" w:after="0"/>
              <w:jc w:val="left"/>
              <w:rPr>
                <w:rFonts w:ascii="Arial" w:hAnsi="Arial" w:cs="Arial"/>
                <w:b w:val="0"/>
                <w:bCs w:val="0"/>
                <w:sz w:val="16"/>
                <w:szCs w:val="16"/>
                <w:lang w:val="es-ES"/>
              </w:rPr>
            </w:pPr>
            <w:r w:rsidRPr="00BF7464">
              <w:rPr>
                <w:rFonts w:ascii="Arial" w:hAnsi="Arial" w:cs="Arial"/>
                <w:b w:val="0"/>
                <w:bCs w:val="0"/>
                <w:sz w:val="16"/>
                <w:szCs w:val="16"/>
                <w:lang w:val="es-ES"/>
              </w:rPr>
              <w:t>Grupo de Gestión de Riesgos:  mandato y número de miembros;</w:t>
            </w:r>
          </w:p>
          <w:p w:rsidR="002E3AE7" w:rsidRPr="00BF7464" w:rsidRDefault="002E3AE7" w:rsidP="00156844">
            <w:pPr>
              <w:pStyle w:val="Default"/>
              <w:numPr>
                <w:ilvl w:val="0"/>
                <w:numId w:val="86"/>
              </w:numPr>
              <w:rPr>
                <w:color w:val="auto"/>
                <w:sz w:val="16"/>
                <w:szCs w:val="16"/>
                <w:lang w:val="es-ES"/>
              </w:rPr>
            </w:pPr>
            <w:r w:rsidRPr="00BF7464">
              <w:rPr>
                <w:color w:val="auto"/>
                <w:sz w:val="16"/>
                <w:szCs w:val="16"/>
                <w:lang w:val="es-ES"/>
              </w:rPr>
              <w:t>Revisión del marco de adquisiciones.</w:t>
            </w:r>
          </w:p>
          <w:p w:rsidR="002E3AE7" w:rsidRPr="00BF7464" w:rsidRDefault="002E3AE7" w:rsidP="00156844">
            <w:pPr>
              <w:rPr>
                <w:sz w:val="16"/>
                <w:szCs w:val="16"/>
              </w:rPr>
            </w:pPr>
          </w:p>
          <w:p w:rsidR="002E3AE7" w:rsidRPr="00BF7464" w:rsidRDefault="002E3AE7" w:rsidP="00156844">
            <w:pPr>
              <w:rPr>
                <w:sz w:val="16"/>
                <w:szCs w:val="16"/>
              </w:rPr>
            </w:pPr>
            <w:r w:rsidRPr="00BF7464">
              <w:rPr>
                <w:sz w:val="16"/>
                <w:szCs w:val="16"/>
              </w:rPr>
              <w:t>Publicación del Manual de administración de bienes.</w:t>
            </w:r>
          </w:p>
        </w:tc>
        <w:tc>
          <w:tcPr>
            <w:tcW w:w="461" w:type="pct"/>
            <w:shd w:val="clear" w:color="auto" w:fill="auto"/>
            <w:tcMar>
              <w:top w:w="110" w:type="dxa"/>
              <w:left w:w="58" w:type="dxa"/>
              <w:right w:w="58" w:type="dxa"/>
            </w:tcMar>
          </w:tcPr>
          <w:p w:rsidR="002E3AE7" w:rsidRPr="00BF7464" w:rsidRDefault="002E3AE7" w:rsidP="003E0A02">
            <w:pPr>
              <w:jc w:val="center"/>
              <w:rPr>
                <w:b/>
                <w:sz w:val="16"/>
                <w:szCs w:val="16"/>
              </w:rPr>
            </w:pPr>
            <w:r w:rsidRPr="00BF7464">
              <w:rPr>
                <w:b/>
                <w:color w:val="00B050"/>
                <w:sz w:val="16"/>
                <w:szCs w:val="16"/>
              </w:rPr>
              <w:t>Avanza</w:t>
            </w:r>
          </w:p>
          <w:p w:rsidR="002E3AE7" w:rsidRPr="00BF7464" w:rsidRDefault="002E3AE7" w:rsidP="003E0A02">
            <w:pPr>
              <w:jc w:val="center"/>
              <w:rPr>
                <w:sz w:val="16"/>
                <w:szCs w:val="16"/>
              </w:rPr>
            </w:pPr>
          </w:p>
        </w:tc>
      </w:tr>
      <w:tr w:rsidR="00300814" w:rsidRPr="00BF7464" w:rsidTr="00156844">
        <w:trPr>
          <w:trHeight w:val="854"/>
        </w:trPr>
        <w:tc>
          <w:tcPr>
            <w:tcW w:w="905" w:type="pct"/>
            <w:shd w:val="clear" w:color="auto" w:fill="auto"/>
            <w:tcMar>
              <w:left w:w="58" w:type="dxa"/>
              <w:right w:w="58" w:type="dxa"/>
            </w:tcMar>
          </w:tcPr>
          <w:p w:rsidR="00300814" w:rsidRPr="00BF7464" w:rsidRDefault="00300814" w:rsidP="003E0A02">
            <w:pPr>
              <w:ind w:left="33"/>
              <w:rPr>
                <w:sz w:val="16"/>
                <w:szCs w:val="16"/>
              </w:rPr>
            </w:pPr>
            <w:r w:rsidRPr="00BF7464">
              <w:rPr>
                <w:sz w:val="16"/>
                <w:szCs w:val="16"/>
              </w:rPr>
              <w:t>Mayor desarrollo de la gestión de riesgos y controles internos, de conformidad con la Hoja de ruta</w:t>
            </w:r>
          </w:p>
        </w:tc>
        <w:tc>
          <w:tcPr>
            <w:tcW w:w="1480" w:type="pct"/>
            <w:gridSpan w:val="2"/>
            <w:shd w:val="clear" w:color="auto" w:fill="auto"/>
            <w:tcMar>
              <w:left w:w="58" w:type="dxa"/>
              <w:right w:w="58" w:type="dxa"/>
            </w:tcMar>
          </w:tcPr>
          <w:p w:rsidR="00300814" w:rsidRPr="004334C2" w:rsidRDefault="00300814" w:rsidP="00300814">
            <w:pPr>
              <w:rPr>
                <w:i/>
                <w:color w:val="002060"/>
                <w:sz w:val="16"/>
                <w:szCs w:val="16"/>
              </w:rPr>
            </w:pPr>
            <w:r w:rsidRPr="004334C2">
              <w:rPr>
                <w:i/>
                <w:color w:val="002060"/>
                <w:sz w:val="16"/>
                <w:szCs w:val="16"/>
              </w:rPr>
              <w:t xml:space="preserve">Referencia actualizada a fines de 2015:  </w:t>
            </w:r>
          </w:p>
          <w:p w:rsidR="00300814" w:rsidRPr="004334C2" w:rsidRDefault="00300814" w:rsidP="00300814">
            <w:pPr>
              <w:rPr>
                <w:color w:val="002060"/>
                <w:sz w:val="16"/>
                <w:szCs w:val="16"/>
              </w:rPr>
            </w:pPr>
            <w:r w:rsidRPr="004334C2">
              <w:rPr>
                <w:color w:val="002060"/>
                <w:sz w:val="16"/>
                <w:szCs w:val="16"/>
              </w:rPr>
              <w:t>Avance del 80% en la Hoja de ruta de gestión de riesgos;  avance del 30% en la Hoja de ruta de control interno</w:t>
            </w:r>
          </w:p>
          <w:p w:rsidR="00300814" w:rsidRPr="00BF7464" w:rsidRDefault="00300814" w:rsidP="00300814">
            <w:pPr>
              <w:rPr>
                <w:sz w:val="16"/>
                <w:szCs w:val="16"/>
              </w:rPr>
            </w:pPr>
          </w:p>
          <w:p w:rsidR="00300814" w:rsidRPr="00BF7464" w:rsidRDefault="00300814" w:rsidP="00300814">
            <w:pPr>
              <w:ind w:left="33"/>
              <w:rPr>
                <w:i/>
                <w:sz w:val="16"/>
                <w:szCs w:val="16"/>
              </w:rPr>
            </w:pPr>
            <w:r w:rsidRPr="00BF7464">
              <w:rPr>
                <w:i/>
                <w:sz w:val="16"/>
                <w:szCs w:val="16"/>
              </w:rPr>
              <w:t xml:space="preserve">Referencia original en el presupuesto de 2016/17:  </w:t>
            </w:r>
          </w:p>
          <w:p w:rsidR="00300814" w:rsidRPr="004334C2" w:rsidRDefault="00300814" w:rsidP="00300814">
            <w:pPr>
              <w:rPr>
                <w:i/>
                <w:color w:val="002060"/>
                <w:sz w:val="16"/>
                <w:szCs w:val="16"/>
              </w:rPr>
            </w:pPr>
            <w:r w:rsidRPr="00BF7464">
              <w:rPr>
                <w:sz w:val="16"/>
                <w:szCs w:val="16"/>
              </w:rPr>
              <w:t>Avance del 75% en la Hoja de ruta de gestión de riesgos; avance del 25% en la Hoja de ruta de control interno</w:t>
            </w:r>
          </w:p>
        </w:tc>
        <w:tc>
          <w:tcPr>
            <w:tcW w:w="757" w:type="pct"/>
            <w:gridSpan w:val="2"/>
            <w:shd w:val="clear" w:color="auto" w:fill="auto"/>
            <w:tcMar>
              <w:top w:w="110" w:type="dxa"/>
              <w:left w:w="58" w:type="dxa"/>
              <w:right w:w="58" w:type="dxa"/>
            </w:tcMar>
          </w:tcPr>
          <w:p w:rsidR="00300814" w:rsidRPr="00BF7464" w:rsidRDefault="00300814" w:rsidP="00300814">
            <w:pPr>
              <w:ind w:left="33"/>
              <w:rPr>
                <w:sz w:val="16"/>
                <w:szCs w:val="16"/>
              </w:rPr>
            </w:pPr>
            <w:r w:rsidRPr="00BF7464">
              <w:rPr>
                <w:sz w:val="16"/>
                <w:szCs w:val="16"/>
              </w:rPr>
              <w:t xml:space="preserve">Avance del 100% en la hoja de ruta de gestión de riesgos;  </w:t>
            </w:r>
          </w:p>
          <w:p w:rsidR="00300814" w:rsidRPr="00BF7464" w:rsidRDefault="00300814" w:rsidP="00300814">
            <w:pPr>
              <w:ind w:left="33"/>
              <w:rPr>
                <w:sz w:val="16"/>
                <w:szCs w:val="16"/>
              </w:rPr>
            </w:pPr>
          </w:p>
          <w:p w:rsidR="00300814" w:rsidRPr="00BF7464" w:rsidRDefault="00300814" w:rsidP="00300814">
            <w:pPr>
              <w:ind w:left="33"/>
              <w:rPr>
                <w:sz w:val="16"/>
                <w:szCs w:val="16"/>
              </w:rPr>
            </w:pPr>
            <w:r w:rsidRPr="00BF7464">
              <w:rPr>
                <w:sz w:val="16"/>
                <w:szCs w:val="16"/>
              </w:rPr>
              <w:t>Avance del 80% en la hoja de ruta de control interno</w:t>
            </w:r>
          </w:p>
        </w:tc>
        <w:tc>
          <w:tcPr>
            <w:tcW w:w="1397" w:type="pct"/>
            <w:gridSpan w:val="3"/>
            <w:shd w:val="clear" w:color="auto" w:fill="FFFFFF"/>
            <w:tcMar>
              <w:top w:w="110" w:type="dxa"/>
              <w:left w:w="58" w:type="dxa"/>
              <w:right w:w="58" w:type="dxa"/>
            </w:tcMar>
          </w:tcPr>
          <w:p w:rsidR="00300814" w:rsidRPr="00BF7464" w:rsidRDefault="00300814" w:rsidP="00156844">
            <w:pPr>
              <w:keepNext/>
              <w:keepLines/>
              <w:rPr>
                <w:sz w:val="16"/>
                <w:szCs w:val="16"/>
              </w:rPr>
            </w:pPr>
            <w:r w:rsidRPr="00BF7464">
              <w:rPr>
                <w:sz w:val="16"/>
                <w:szCs w:val="16"/>
              </w:rPr>
              <w:t>Avance del 100% en la hoja de ruta de gestión de riesgos, con inclusión de:</w:t>
            </w:r>
          </w:p>
          <w:p w:rsidR="00300814" w:rsidRPr="00BF7464" w:rsidRDefault="00300814" w:rsidP="00156844">
            <w:pPr>
              <w:pStyle w:val="ListParagraph"/>
              <w:keepNext/>
              <w:keepLines/>
              <w:numPr>
                <w:ilvl w:val="0"/>
                <w:numId w:val="88"/>
              </w:numPr>
              <w:contextualSpacing/>
              <w:rPr>
                <w:sz w:val="16"/>
                <w:szCs w:val="16"/>
                <w:lang w:val="es-ES"/>
              </w:rPr>
            </w:pPr>
            <w:r w:rsidRPr="00BF7464">
              <w:rPr>
                <w:sz w:val="16"/>
                <w:szCs w:val="16"/>
                <w:lang w:val="es-ES"/>
              </w:rPr>
              <w:t xml:space="preserve">finalización de las actividades de la hoja de ruta previstas para 2014/15, con la presentación a los Estados miembros de informes de rendimiento en materia de riesgos mediante el documento PPR bienal; y </w:t>
            </w:r>
          </w:p>
          <w:p w:rsidR="00300814" w:rsidRDefault="00300814" w:rsidP="00156844">
            <w:pPr>
              <w:rPr>
                <w:sz w:val="16"/>
                <w:szCs w:val="16"/>
              </w:rPr>
            </w:pPr>
            <w:r w:rsidRPr="00BF7464">
              <w:rPr>
                <w:sz w:val="16"/>
                <w:szCs w:val="16"/>
              </w:rPr>
              <w:t>actividades para 2016/17, ajustándose a la auditoría interna sobre la gestión del riesgo institucional, llevada a cabo a fines de 2016</w:t>
            </w:r>
          </w:p>
          <w:p w:rsidR="00156844" w:rsidRDefault="00156844" w:rsidP="00156844">
            <w:pPr>
              <w:rPr>
                <w:sz w:val="16"/>
                <w:szCs w:val="16"/>
              </w:rPr>
            </w:pPr>
          </w:p>
          <w:p w:rsidR="00156844" w:rsidRPr="00BF7464" w:rsidRDefault="00156844" w:rsidP="00156844">
            <w:pPr>
              <w:keepNext/>
              <w:keepLines/>
              <w:rPr>
                <w:sz w:val="16"/>
                <w:szCs w:val="16"/>
              </w:rPr>
            </w:pPr>
            <w:r w:rsidRPr="008159DF">
              <w:rPr>
                <w:sz w:val="16"/>
                <w:szCs w:val="16"/>
              </w:rPr>
              <w:t>Avance</w:t>
            </w:r>
            <w:r w:rsidRPr="00BF7464">
              <w:rPr>
                <w:sz w:val="16"/>
                <w:szCs w:val="16"/>
              </w:rPr>
              <w:t xml:space="preserve"> del 40% en el proyecto de hoja de ruta de control interno, con inclusión de los avances en:</w:t>
            </w:r>
          </w:p>
          <w:p w:rsidR="00156844" w:rsidRPr="00BF7464" w:rsidRDefault="00156844" w:rsidP="00156844">
            <w:pPr>
              <w:pStyle w:val="ListParagraph"/>
              <w:keepNext/>
              <w:keepLines/>
              <w:numPr>
                <w:ilvl w:val="0"/>
                <w:numId w:val="89"/>
              </w:numPr>
              <w:contextualSpacing/>
              <w:rPr>
                <w:sz w:val="16"/>
                <w:szCs w:val="16"/>
                <w:lang w:val="es-ES"/>
              </w:rPr>
            </w:pPr>
            <w:r w:rsidRPr="00BF7464">
              <w:rPr>
                <w:sz w:val="16"/>
                <w:szCs w:val="16"/>
                <w:lang w:val="es-ES"/>
              </w:rPr>
              <w:t xml:space="preserve">la determinación de los principales procesos administrativos y controles internos; </w:t>
            </w:r>
          </w:p>
          <w:p w:rsidR="00156844" w:rsidRPr="00BF7464" w:rsidRDefault="00156844" w:rsidP="00156844">
            <w:pPr>
              <w:pStyle w:val="ListParagraph"/>
              <w:keepNext/>
              <w:keepLines/>
              <w:numPr>
                <w:ilvl w:val="0"/>
                <w:numId w:val="89"/>
              </w:numPr>
              <w:contextualSpacing/>
              <w:rPr>
                <w:sz w:val="16"/>
                <w:szCs w:val="16"/>
                <w:lang w:val="es-ES"/>
              </w:rPr>
            </w:pPr>
            <w:r w:rsidRPr="00BF7464">
              <w:rPr>
                <w:sz w:val="16"/>
                <w:szCs w:val="16"/>
                <w:lang w:val="es-ES"/>
              </w:rPr>
              <w:t xml:space="preserve">la introducción de una metodología de control basada en una evaluación; </w:t>
            </w:r>
          </w:p>
          <w:p w:rsidR="00156844" w:rsidRPr="00BF7464" w:rsidRDefault="00156844" w:rsidP="00156844">
            <w:pPr>
              <w:rPr>
                <w:sz w:val="16"/>
                <w:szCs w:val="16"/>
              </w:rPr>
            </w:pPr>
            <w:r w:rsidRPr="00BF7464">
              <w:rPr>
                <w:sz w:val="16"/>
                <w:szCs w:val="16"/>
              </w:rPr>
              <w:lastRenderedPageBreak/>
              <w:t>la evaluación de los controles internos para apoyar la aprobación de la Carta de Manifestaciones de la Dirección</w:t>
            </w:r>
          </w:p>
        </w:tc>
        <w:tc>
          <w:tcPr>
            <w:tcW w:w="461" w:type="pct"/>
            <w:shd w:val="clear" w:color="auto" w:fill="auto"/>
            <w:tcMar>
              <w:top w:w="110" w:type="dxa"/>
              <w:left w:w="58" w:type="dxa"/>
              <w:right w:w="58" w:type="dxa"/>
            </w:tcMar>
          </w:tcPr>
          <w:p w:rsidR="00300814" w:rsidRPr="00BF7464" w:rsidRDefault="00300814" w:rsidP="00300814">
            <w:pPr>
              <w:keepNext/>
              <w:keepLines/>
              <w:jc w:val="center"/>
              <w:rPr>
                <w:b/>
                <w:sz w:val="16"/>
                <w:szCs w:val="16"/>
              </w:rPr>
            </w:pPr>
            <w:r w:rsidRPr="00BF7464">
              <w:rPr>
                <w:b/>
                <w:color w:val="00B050"/>
                <w:sz w:val="16"/>
                <w:szCs w:val="16"/>
              </w:rPr>
              <w:lastRenderedPageBreak/>
              <w:t>Avanza</w:t>
            </w: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p>
          <w:p w:rsidR="00300814" w:rsidRPr="00BF7464" w:rsidRDefault="00300814" w:rsidP="00300814">
            <w:pPr>
              <w:keepNext/>
              <w:keepLines/>
              <w:jc w:val="center"/>
              <w:rPr>
                <w:b/>
                <w:sz w:val="16"/>
                <w:szCs w:val="16"/>
              </w:rPr>
            </w:pPr>
            <w:r w:rsidRPr="00BF7464">
              <w:rPr>
                <w:b/>
                <w:color w:val="00B050"/>
                <w:sz w:val="16"/>
                <w:szCs w:val="16"/>
              </w:rPr>
              <w:t>Avanza</w:t>
            </w:r>
          </w:p>
          <w:p w:rsidR="00300814" w:rsidRPr="00BF7464" w:rsidRDefault="00300814" w:rsidP="00300814">
            <w:pPr>
              <w:keepNext/>
              <w:keepLines/>
              <w:jc w:val="center"/>
              <w:rPr>
                <w:b/>
                <w:sz w:val="16"/>
                <w:szCs w:val="16"/>
              </w:rPr>
            </w:pPr>
          </w:p>
          <w:p w:rsidR="00300814" w:rsidRPr="00BF7464" w:rsidRDefault="00300814" w:rsidP="003E0A02">
            <w:pPr>
              <w:jc w:val="center"/>
              <w:rPr>
                <w:b/>
                <w:color w:val="00B050"/>
                <w:sz w:val="16"/>
                <w:szCs w:val="16"/>
              </w:rPr>
            </w:pPr>
          </w:p>
        </w:tc>
      </w:tr>
      <w:tr w:rsidR="002E3AE7" w:rsidRPr="00BF7464" w:rsidTr="003E0A02">
        <w:trPr>
          <w:trHeight w:val="2101"/>
        </w:trPr>
        <w:tc>
          <w:tcPr>
            <w:tcW w:w="905" w:type="pct"/>
            <w:shd w:val="clear" w:color="auto" w:fill="auto"/>
            <w:tcMar>
              <w:left w:w="58" w:type="dxa"/>
              <w:right w:w="58" w:type="dxa"/>
            </w:tcMar>
          </w:tcPr>
          <w:p w:rsidR="002E3AE7" w:rsidRPr="00BF7464" w:rsidRDefault="002E3AE7" w:rsidP="003E0A02">
            <w:pPr>
              <w:ind w:left="33"/>
              <w:rPr>
                <w:sz w:val="16"/>
                <w:szCs w:val="16"/>
              </w:rPr>
            </w:pPr>
            <w:r w:rsidRPr="00BF7464">
              <w:rPr>
                <w:sz w:val="16"/>
                <w:szCs w:val="16"/>
              </w:rPr>
              <w:lastRenderedPageBreak/>
              <w:t xml:space="preserve">Seguimiento eficaz de las recomendaciones en materia de supervisión </w:t>
            </w:r>
          </w:p>
        </w:tc>
        <w:tc>
          <w:tcPr>
            <w:tcW w:w="1480" w:type="pct"/>
            <w:gridSpan w:val="2"/>
            <w:shd w:val="clear" w:color="auto" w:fill="auto"/>
            <w:tcMar>
              <w:left w:w="58" w:type="dxa"/>
              <w:right w:w="58" w:type="dxa"/>
            </w:tcMar>
          </w:tcPr>
          <w:p w:rsidR="002E3AE7" w:rsidRPr="004334C2" w:rsidRDefault="002E3AE7" w:rsidP="003E0A02">
            <w:pPr>
              <w:rPr>
                <w:i/>
                <w:color w:val="002060"/>
                <w:sz w:val="16"/>
                <w:szCs w:val="16"/>
              </w:rPr>
            </w:pPr>
            <w:r w:rsidRPr="004334C2">
              <w:rPr>
                <w:i/>
                <w:color w:val="002060"/>
                <w:sz w:val="16"/>
                <w:szCs w:val="16"/>
              </w:rPr>
              <w:t xml:space="preserve">Referencia actualizada a fines de 2015:  </w:t>
            </w:r>
          </w:p>
          <w:p w:rsidR="002E3AE7" w:rsidRPr="004334C2" w:rsidRDefault="002E3AE7" w:rsidP="003E0A02">
            <w:pPr>
              <w:rPr>
                <w:color w:val="002060"/>
                <w:sz w:val="16"/>
                <w:szCs w:val="16"/>
              </w:rPr>
            </w:pPr>
            <w:r w:rsidRPr="004334C2">
              <w:rPr>
                <w:color w:val="002060"/>
                <w:sz w:val="16"/>
                <w:szCs w:val="16"/>
              </w:rPr>
              <w:t>A</w:t>
            </w:r>
            <w:r w:rsidR="00F579EA">
              <w:rPr>
                <w:color w:val="002060"/>
                <w:sz w:val="16"/>
                <w:szCs w:val="16"/>
              </w:rPr>
              <w:t>uditor externo (A</w:t>
            </w:r>
            <w:r w:rsidRPr="004334C2">
              <w:rPr>
                <w:color w:val="002060"/>
                <w:sz w:val="16"/>
                <w:szCs w:val="16"/>
              </w:rPr>
              <w:t>E</w:t>
            </w:r>
            <w:r w:rsidR="00F579EA">
              <w:rPr>
                <w:color w:val="002060"/>
                <w:sz w:val="16"/>
                <w:szCs w:val="16"/>
              </w:rPr>
              <w:t>)</w:t>
            </w:r>
            <w:r w:rsidRPr="004334C2">
              <w:rPr>
                <w:color w:val="002060"/>
                <w:sz w:val="16"/>
                <w:szCs w:val="16"/>
              </w:rPr>
              <w:t xml:space="preserve"> = 62% de las recomendaciones pendientes a fines de 2013 dadas por aplicadas en 2015 (toda la Organización)</w:t>
            </w:r>
          </w:p>
          <w:p w:rsidR="002E3AE7" w:rsidRPr="004334C2" w:rsidRDefault="002E3AE7" w:rsidP="003E0A02">
            <w:pPr>
              <w:rPr>
                <w:color w:val="002060"/>
                <w:sz w:val="16"/>
                <w:szCs w:val="16"/>
              </w:rPr>
            </w:pPr>
          </w:p>
          <w:p w:rsidR="002E3AE7" w:rsidRPr="004334C2" w:rsidRDefault="002E3AE7" w:rsidP="003E0A02">
            <w:pPr>
              <w:rPr>
                <w:color w:val="002060"/>
                <w:sz w:val="16"/>
                <w:szCs w:val="16"/>
              </w:rPr>
            </w:pPr>
            <w:r w:rsidRPr="004334C2">
              <w:rPr>
                <w:color w:val="002060"/>
                <w:sz w:val="16"/>
                <w:szCs w:val="16"/>
              </w:rPr>
              <w:t>DSI = 82% de las recomendaciones pendientes a fines de 2013 dadas por aplicadas en 2015 (programa 22)</w:t>
            </w:r>
          </w:p>
          <w:p w:rsidR="002E3AE7" w:rsidRPr="004334C2" w:rsidRDefault="002E3AE7" w:rsidP="003E0A02">
            <w:pPr>
              <w:rPr>
                <w:color w:val="002060"/>
                <w:sz w:val="16"/>
                <w:szCs w:val="16"/>
              </w:rPr>
            </w:pPr>
          </w:p>
          <w:p w:rsidR="002E3AE7" w:rsidRPr="004334C2" w:rsidRDefault="002E3AE7" w:rsidP="003E0A02">
            <w:pPr>
              <w:rPr>
                <w:color w:val="002060"/>
                <w:sz w:val="16"/>
                <w:szCs w:val="16"/>
              </w:rPr>
            </w:pPr>
            <w:r w:rsidRPr="004334C2">
              <w:rPr>
                <w:color w:val="002060"/>
                <w:sz w:val="16"/>
                <w:szCs w:val="16"/>
              </w:rPr>
              <w:t>DCI = 87% de las recomendaciones pendientes a fines de 2013 dadas por aplicadas en 2015 (comenzando en 2010)</w:t>
            </w:r>
          </w:p>
          <w:p w:rsidR="002E3AE7" w:rsidRPr="00BF7464" w:rsidRDefault="002E3AE7" w:rsidP="003E0A02">
            <w:pPr>
              <w:rPr>
                <w:i/>
                <w:sz w:val="16"/>
                <w:szCs w:val="16"/>
              </w:rPr>
            </w:pPr>
          </w:p>
          <w:p w:rsidR="002E3AE7" w:rsidRPr="00BF7464" w:rsidRDefault="002E3AE7" w:rsidP="003E0A02">
            <w:pPr>
              <w:rPr>
                <w:i/>
                <w:sz w:val="16"/>
                <w:szCs w:val="16"/>
              </w:rPr>
            </w:pPr>
            <w:r w:rsidRPr="00BF7464">
              <w:rPr>
                <w:i/>
                <w:sz w:val="16"/>
                <w:szCs w:val="16"/>
              </w:rPr>
              <w:t xml:space="preserve">Referencia original en el presupuesto de 2016/17:  </w:t>
            </w:r>
          </w:p>
          <w:p w:rsidR="002E3AE7" w:rsidRPr="00BF7464" w:rsidRDefault="002E3AE7" w:rsidP="00F579EA">
            <w:pPr>
              <w:ind w:left="33"/>
              <w:rPr>
                <w:sz w:val="16"/>
                <w:szCs w:val="16"/>
              </w:rPr>
            </w:pPr>
            <w:r w:rsidRPr="00BF7464">
              <w:rPr>
                <w:sz w:val="16"/>
                <w:szCs w:val="16"/>
              </w:rPr>
              <w:t>AE</w:t>
            </w:r>
            <w:r w:rsidR="00F579EA">
              <w:rPr>
                <w:sz w:val="16"/>
                <w:szCs w:val="16"/>
              </w:rPr>
              <w:t xml:space="preserve"> </w:t>
            </w:r>
            <w:r w:rsidRPr="00BF7464">
              <w:rPr>
                <w:sz w:val="16"/>
                <w:szCs w:val="16"/>
              </w:rPr>
              <w:t>= 47% de las recomendaciones pendientes a fin de 2013 fueron cerradas en 2014 (respecto de toda la Organización) DSI = 64% de las recomendaciones pendientes a fin de 2013 cerradas en 2014  (programa 22)</w:t>
            </w:r>
            <w:r w:rsidRPr="00BF7464">
              <w:rPr>
                <w:sz w:val="16"/>
                <w:szCs w:val="16"/>
              </w:rPr>
              <w:br/>
              <w:t>DCI = 61% de las recomendaciones pendientes a fin de 2013 cerradas en 2014 (comenzando en 2010)</w:t>
            </w:r>
          </w:p>
        </w:tc>
        <w:tc>
          <w:tcPr>
            <w:tcW w:w="757" w:type="pct"/>
            <w:gridSpan w:val="2"/>
            <w:shd w:val="clear" w:color="auto" w:fill="auto"/>
            <w:tcMar>
              <w:top w:w="110" w:type="dxa"/>
              <w:left w:w="58" w:type="dxa"/>
              <w:right w:w="58" w:type="dxa"/>
            </w:tcMar>
          </w:tcPr>
          <w:p w:rsidR="002E3AE7" w:rsidRPr="004334C2" w:rsidRDefault="002E3AE7" w:rsidP="003E0A02">
            <w:pPr>
              <w:ind w:right="-54"/>
              <w:rPr>
                <w:i/>
                <w:color w:val="002060"/>
                <w:sz w:val="16"/>
                <w:szCs w:val="16"/>
              </w:rPr>
            </w:pPr>
            <w:r w:rsidRPr="004334C2">
              <w:rPr>
                <w:i/>
                <w:color w:val="002060"/>
                <w:sz w:val="16"/>
                <w:szCs w:val="16"/>
              </w:rPr>
              <w:t>Objetivo actualizado:</w:t>
            </w:r>
          </w:p>
          <w:p w:rsidR="002E3AE7" w:rsidRPr="004334C2" w:rsidRDefault="002E3AE7" w:rsidP="003E0A02">
            <w:pPr>
              <w:rPr>
                <w:color w:val="002060"/>
                <w:sz w:val="16"/>
                <w:szCs w:val="16"/>
              </w:rPr>
            </w:pPr>
            <w:r w:rsidRPr="004334C2">
              <w:rPr>
                <w:color w:val="002060"/>
                <w:sz w:val="16"/>
                <w:szCs w:val="16"/>
              </w:rPr>
              <w:t>AE = 65% de las recomendaciones pendientes a fines de 2015 dadas por aplicadas en 2016/17</w:t>
            </w:r>
          </w:p>
          <w:p w:rsidR="002E3AE7" w:rsidRPr="004334C2" w:rsidRDefault="002E3AE7" w:rsidP="003E0A02">
            <w:pPr>
              <w:rPr>
                <w:color w:val="002060"/>
                <w:sz w:val="16"/>
                <w:szCs w:val="16"/>
              </w:rPr>
            </w:pPr>
            <w:r w:rsidRPr="004334C2">
              <w:rPr>
                <w:color w:val="002060"/>
                <w:sz w:val="16"/>
                <w:szCs w:val="16"/>
              </w:rPr>
              <w:br/>
              <w:t>DSI = 85% de las recomendaciones pendientes a fines de 2015 dadas por aplicadas en 2016/17</w:t>
            </w:r>
          </w:p>
          <w:p w:rsidR="002E3AE7" w:rsidRPr="004334C2" w:rsidRDefault="002E3AE7" w:rsidP="003E0A02">
            <w:pPr>
              <w:rPr>
                <w:color w:val="002060"/>
                <w:sz w:val="16"/>
                <w:szCs w:val="16"/>
              </w:rPr>
            </w:pPr>
            <w:r w:rsidRPr="004334C2">
              <w:rPr>
                <w:color w:val="002060"/>
                <w:sz w:val="16"/>
                <w:szCs w:val="16"/>
              </w:rPr>
              <w:br/>
              <w:t>DCI = 70% de las recomendaciones pendientes a fines de 2015 dadas por aplicadas en 2016/17 (comenzando en 2010)</w:t>
            </w:r>
          </w:p>
          <w:p w:rsidR="002E3AE7" w:rsidRPr="00BF7464" w:rsidRDefault="002E3AE7" w:rsidP="003E0A02">
            <w:pPr>
              <w:rPr>
                <w:sz w:val="16"/>
                <w:szCs w:val="16"/>
              </w:rPr>
            </w:pPr>
          </w:p>
          <w:p w:rsidR="002E3AE7" w:rsidRPr="00BF7464" w:rsidRDefault="002E3AE7" w:rsidP="003E0A02">
            <w:pPr>
              <w:rPr>
                <w:i/>
                <w:sz w:val="16"/>
                <w:szCs w:val="16"/>
              </w:rPr>
            </w:pPr>
          </w:p>
          <w:p w:rsidR="002E3AE7" w:rsidRPr="00BF7464" w:rsidRDefault="002E3AE7" w:rsidP="003E0A02">
            <w:pPr>
              <w:rPr>
                <w:i/>
                <w:sz w:val="16"/>
                <w:szCs w:val="16"/>
              </w:rPr>
            </w:pPr>
            <w:r w:rsidRPr="00BF7464">
              <w:rPr>
                <w:i/>
                <w:sz w:val="16"/>
                <w:szCs w:val="16"/>
              </w:rPr>
              <w:t xml:space="preserve">Objetivo original en el presupuesto de 2016/17:  </w:t>
            </w:r>
          </w:p>
          <w:p w:rsidR="002E3AE7" w:rsidRPr="00BF7464" w:rsidRDefault="002E3AE7" w:rsidP="003E0A02">
            <w:pPr>
              <w:rPr>
                <w:sz w:val="16"/>
                <w:szCs w:val="16"/>
              </w:rPr>
            </w:pPr>
            <w:r w:rsidRPr="00BF7464">
              <w:rPr>
                <w:sz w:val="16"/>
                <w:szCs w:val="16"/>
              </w:rPr>
              <w:t>3 AE = 55% de las recomendaciones pendientes a fines de 2015 dadas por aplicadas en 2016/17</w:t>
            </w:r>
          </w:p>
          <w:p w:rsidR="002E3AE7" w:rsidRPr="00BF7464" w:rsidRDefault="002E3AE7" w:rsidP="003E0A02">
            <w:pPr>
              <w:rPr>
                <w:sz w:val="16"/>
                <w:szCs w:val="16"/>
              </w:rPr>
            </w:pPr>
            <w:r w:rsidRPr="00BF7464">
              <w:rPr>
                <w:sz w:val="16"/>
                <w:szCs w:val="16"/>
              </w:rPr>
              <w:br/>
              <w:t>DSI = 70% de las recomendaciones pendientes a fin de 2015 cerradas en 2016/17</w:t>
            </w:r>
          </w:p>
          <w:p w:rsidR="002E3AE7" w:rsidRPr="00BF7464" w:rsidRDefault="002E3AE7" w:rsidP="003E0A02">
            <w:pPr>
              <w:rPr>
                <w:sz w:val="16"/>
                <w:szCs w:val="16"/>
              </w:rPr>
            </w:pPr>
          </w:p>
          <w:p w:rsidR="002E3AE7" w:rsidRPr="00BF7464" w:rsidRDefault="002E3AE7" w:rsidP="003E0A02">
            <w:pPr>
              <w:rPr>
                <w:sz w:val="16"/>
                <w:szCs w:val="16"/>
              </w:rPr>
            </w:pPr>
            <w:r w:rsidRPr="00BF7464">
              <w:rPr>
                <w:sz w:val="16"/>
                <w:szCs w:val="16"/>
              </w:rPr>
              <w:t>DCI = 70% de las recomendaciones pendientes a fin de 2015 cerradas en 2016/17 (comenzando en 2010)</w:t>
            </w:r>
          </w:p>
        </w:tc>
        <w:tc>
          <w:tcPr>
            <w:tcW w:w="1397" w:type="pct"/>
            <w:gridSpan w:val="3"/>
            <w:shd w:val="clear" w:color="auto" w:fill="FFFFFF"/>
            <w:tcMar>
              <w:top w:w="110" w:type="dxa"/>
              <w:left w:w="58" w:type="dxa"/>
              <w:right w:w="58" w:type="dxa"/>
            </w:tcMar>
          </w:tcPr>
          <w:p w:rsidR="002E3AE7" w:rsidRPr="00BF7464" w:rsidRDefault="002E3AE7" w:rsidP="003E0A02">
            <w:pPr>
              <w:keepNext/>
              <w:keepLines/>
              <w:rPr>
                <w:sz w:val="16"/>
                <w:szCs w:val="16"/>
              </w:rPr>
            </w:pPr>
            <w:r w:rsidRPr="00BF7464">
              <w:rPr>
                <w:sz w:val="16"/>
                <w:szCs w:val="16"/>
              </w:rPr>
              <w:t>AE = 48% de las recomendaciones pendientes a fines de 2015 dadas por aplicadas en 2016/17 (toda la Organización)</w:t>
            </w:r>
          </w:p>
          <w:p w:rsidR="002E3AE7" w:rsidRPr="00BF7464" w:rsidRDefault="002E3AE7" w:rsidP="003E0A02">
            <w:pPr>
              <w:keepNext/>
              <w:keepLines/>
              <w:rPr>
                <w:sz w:val="16"/>
                <w:szCs w:val="16"/>
              </w:rPr>
            </w:pPr>
          </w:p>
          <w:p w:rsidR="002E3AE7" w:rsidRPr="00BF7464" w:rsidRDefault="002E3AE7" w:rsidP="003E0A02">
            <w:pPr>
              <w:rPr>
                <w:sz w:val="16"/>
                <w:szCs w:val="16"/>
              </w:rPr>
            </w:pPr>
            <w:r w:rsidRPr="00BF7464">
              <w:rPr>
                <w:sz w:val="16"/>
                <w:szCs w:val="16"/>
              </w:rPr>
              <w:t>DSI = 71% de las recomendaciones pendientes a fines de 2015 dadas por aplicadas en 2016/17 (programa 22)</w:t>
            </w:r>
          </w:p>
          <w:p w:rsidR="002E3AE7" w:rsidRPr="00BF7464" w:rsidRDefault="002E3AE7" w:rsidP="003E0A02">
            <w:pPr>
              <w:keepNext/>
              <w:keepLines/>
              <w:rPr>
                <w:sz w:val="16"/>
                <w:szCs w:val="16"/>
              </w:rPr>
            </w:pPr>
          </w:p>
          <w:p w:rsidR="002E3AE7" w:rsidRPr="00BF7464" w:rsidRDefault="002E3AE7" w:rsidP="003E0A02">
            <w:pPr>
              <w:keepNext/>
              <w:keepLines/>
              <w:rPr>
                <w:sz w:val="16"/>
                <w:szCs w:val="16"/>
              </w:rPr>
            </w:pPr>
            <w:r w:rsidRPr="00BF7464">
              <w:rPr>
                <w:sz w:val="16"/>
                <w:szCs w:val="16"/>
              </w:rPr>
              <w:t xml:space="preserve">DCI = 58% de las recomendaciones pendientes a fines de 2015 dadas por aplicadas a fines de 2016 (comenzando en 2010) </w:t>
            </w:r>
          </w:p>
        </w:tc>
        <w:tc>
          <w:tcPr>
            <w:tcW w:w="461" w:type="pct"/>
            <w:shd w:val="clear" w:color="auto" w:fill="auto"/>
            <w:tcMar>
              <w:top w:w="110" w:type="dxa"/>
              <w:left w:w="58" w:type="dxa"/>
              <w:right w:w="58" w:type="dxa"/>
            </w:tcMar>
          </w:tcPr>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p w:rsidR="002E3AE7" w:rsidRPr="00BF7464" w:rsidRDefault="002E3AE7" w:rsidP="003E0A02">
            <w:pPr>
              <w:keepNext/>
              <w:keepLines/>
              <w:jc w:val="center"/>
              <w:rPr>
                <w:sz w:val="16"/>
                <w:szCs w:val="16"/>
              </w:rPr>
            </w:pPr>
          </w:p>
          <w:p w:rsidR="002E3AE7" w:rsidRPr="00BF7464" w:rsidRDefault="002E3AE7" w:rsidP="003E0A02">
            <w:pPr>
              <w:keepNext/>
              <w:keepLines/>
              <w:jc w:val="center"/>
              <w:rPr>
                <w:sz w:val="16"/>
                <w:szCs w:val="16"/>
              </w:rPr>
            </w:pPr>
          </w:p>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p w:rsidR="002E3AE7" w:rsidRPr="00BF7464" w:rsidRDefault="002E3AE7" w:rsidP="003E0A02">
            <w:pPr>
              <w:keepNext/>
              <w:keepLines/>
              <w:jc w:val="center"/>
              <w:rPr>
                <w:sz w:val="16"/>
                <w:szCs w:val="16"/>
              </w:rPr>
            </w:pPr>
          </w:p>
          <w:p w:rsidR="002E3AE7" w:rsidRPr="00BF7464" w:rsidRDefault="002E3AE7" w:rsidP="003E0A02">
            <w:pPr>
              <w:keepNext/>
              <w:keepLines/>
              <w:jc w:val="center"/>
              <w:rPr>
                <w:sz w:val="16"/>
                <w:szCs w:val="16"/>
              </w:rPr>
            </w:pPr>
          </w:p>
          <w:p w:rsidR="002E3AE7" w:rsidRPr="00BF7464" w:rsidRDefault="002E3AE7" w:rsidP="003E0A02">
            <w:pPr>
              <w:keepNext/>
              <w:keepLines/>
              <w:jc w:val="center"/>
              <w:rPr>
                <w:sz w:val="16"/>
                <w:szCs w:val="16"/>
              </w:rPr>
            </w:pPr>
          </w:p>
          <w:p w:rsidR="002E3AE7" w:rsidRPr="00BF7464" w:rsidRDefault="002E3AE7" w:rsidP="003E0A02">
            <w:pPr>
              <w:keepNext/>
              <w:keepLines/>
              <w:jc w:val="center"/>
              <w:rPr>
                <w:b/>
                <w:sz w:val="16"/>
                <w:szCs w:val="16"/>
              </w:rPr>
            </w:pPr>
            <w:r w:rsidRPr="00BF7464">
              <w:rPr>
                <w:b/>
                <w:color w:val="00B050"/>
                <w:sz w:val="16"/>
                <w:szCs w:val="16"/>
              </w:rPr>
              <w:t>Avanza</w:t>
            </w:r>
          </w:p>
          <w:p w:rsidR="002E3AE7" w:rsidRPr="00BF7464" w:rsidRDefault="002E3AE7" w:rsidP="003E0A02">
            <w:pPr>
              <w:keepNext/>
              <w:keepLines/>
              <w:jc w:val="center"/>
              <w:rPr>
                <w:sz w:val="16"/>
                <w:szCs w:val="16"/>
              </w:rPr>
            </w:pPr>
          </w:p>
        </w:tc>
      </w:tr>
    </w:tbl>
    <w:p w:rsidR="002E3AE7" w:rsidRPr="00BF7464" w:rsidRDefault="002E3AE7">
      <w:pPr>
        <w:rPr>
          <w:sz w:val="20"/>
        </w:rPr>
      </w:pPr>
    </w:p>
    <w:p w:rsidR="002E3AE7" w:rsidRPr="00BF7464" w:rsidRDefault="002E3AE7">
      <w:pPr>
        <w:rPr>
          <w:sz w:val="20"/>
        </w:rPr>
      </w:pPr>
    </w:p>
    <w:p w:rsidR="00112BA3" w:rsidRDefault="00112BA3">
      <w:r>
        <w:br w:type="page"/>
      </w:r>
    </w:p>
    <w:tbl>
      <w:tblPr>
        <w:tblStyle w:val="TableGrid1"/>
        <w:tblW w:w="4961"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15"/>
      </w:tblGrid>
      <w:tr w:rsidR="002E3AE7" w:rsidRPr="00BF7464" w:rsidTr="00112BA3">
        <w:trPr>
          <w:trHeight w:val="423"/>
        </w:trPr>
        <w:tc>
          <w:tcPr>
            <w:tcW w:w="9215" w:type="dxa"/>
            <w:shd w:val="clear" w:color="auto" w:fill="C6D9F1" w:themeFill="text2" w:themeFillTint="33"/>
            <w:vAlign w:val="center"/>
          </w:tcPr>
          <w:p w:rsidR="002E3AE7" w:rsidRPr="00BF7464" w:rsidRDefault="002E3AE7" w:rsidP="003E0A02">
            <w:pPr>
              <w:keepNext/>
              <w:keepLines/>
              <w:jc w:val="center"/>
              <w:rPr>
                <w:b/>
                <w:sz w:val="20"/>
              </w:rPr>
            </w:pPr>
            <w:r w:rsidRPr="00BF7464">
              <w:rPr>
                <w:b/>
                <w:sz w:val="20"/>
              </w:rPr>
              <w:lastRenderedPageBreak/>
              <w:br w:type="page"/>
              <w:t>Utilización de los recursos del programa 22</w:t>
            </w:r>
          </w:p>
        </w:tc>
      </w:tr>
    </w:tbl>
    <w:p w:rsidR="002E3AE7" w:rsidRPr="00BF7464" w:rsidRDefault="002E3AE7" w:rsidP="00156844">
      <w:pPr>
        <w:keepNext/>
        <w:keepLines/>
        <w:spacing w:before="120"/>
        <w:jc w:val="center"/>
        <w:rPr>
          <w:sz w:val="18"/>
          <w:szCs w:val="18"/>
        </w:rPr>
      </w:pPr>
      <w:r w:rsidRPr="00BF7464">
        <w:rPr>
          <w:sz w:val="18"/>
          <w:szCs w:val="18"/>
        </w:rPr>
        <w:t>Presupuesto y gastos reales (por resultado)</w:t>
      </w:r>
    </w:p>
    <w:p w:rsidR="002E3AE7" w:rsidRPr="00BF7464" w:rsidRDefault="002E3AE7" w:rsidP="00156844">
      <w:pPr>
        <w:keepNext/>
        <w:keepLines/>
        <w:spacing w:after="120"/>
        <w:jc w:val="center"/>
        <w:rPr>
          <w:i/>
          <w:iCs/>
          <w:sz w:val="16"/>
          <w:szCs w:val="16"/>
        </w:rPr>
      </w:pPr>
      <w:r w:rsidRPr="00BF7464">
        <w:rPr>
          <w:i/>
          <w:iCs/>
          <w:sz w:val="16"/>
          <w:szCs w:val="16"/>
        </w:rPr>
        <w:t>(en miles de francos suizos)</w:t>
      </w:r>
    </w:p>
    <w:tbl>
      <w:tblPr>
        <w:tblW w:w="8476" w:type="dxa"/>
        <w:jc w:val="center"/>
        <w:tblLook w:val="04A0" w:firstRow="1" w:lastRow="0" w:firstColumn="1" w:lastColumn="0" w:noHBand="0" w:noVBand="1"/>
      </w:tblPr>
      <w:tblGrid>
        <w:gridCol w:w="511"/>
        <w:gridCol w:w="4289"/>
        <w:gridCol w:w="1186"/>
        <w:gridCol w:w="1310"/>
        <w:gridCol w:w="1180"/>
      </w:tblGrid>
      <w:tr w:rsidR="002E3AE7" w:rsidRPr="00BF7464" w:rsidTr="00156844">
        <w:trPr>
          <w:trHeight w:val="825"/>
          <w:jc w:val="center"/>
        </w:trPr>
        <w:tc>
          <w:tcPr>
            <w:tcW w:w="4800" w:type="dxa"/>
            <w:gridSpan w:val="2"/>
            <w:tcBorders>
              <w:top w:val="nil"/>
              <w:left w:val="nil"/>
              <w:bottom w:val="nil"/>
              <w:right w:val="nil"/>
            </w:tcBorders>
            <w:shd w:val="clear" w:color="000000" w:fill="C5D9F1"/>
            <w:noWrap/>
            <w:vAlign w:val="center"/>
            <w:hideMark/>
          </w:tcPr>
          <w:p w:rsidR="002E3AE7" w:rsidRPr="00BF7464" w:rsidRDefault="002E3AE7" w:rsidP="003E0A02">
            <w:pPr>
              <w:jc w:val="center"/>
              <w:rPr>
                <w:b/>
                <w:bCs/>
                <w:sz w:val="16"/>
                <w:szCs w:val="16"/>
              </w:rPr>
            </w:pPr>
            <w:r w:rsidRPr="00BF7464">
              <w:rPr>
                <w:b/>
                <w:bCs/>
                <w:sz w:val="16"/>
                <w:szCs w:val="16"/>
              </w:rPr>
              <w:t xml:space="preserve">Número del resultado previsto y descripción </w:t>
            </w:r>
          </w:p>
        </w:tc>
        <w:tc>
          <w:tcPr>
            <w:tcW w:w="1186"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 xml:space="preserve"> Presupuesto aprobado de 2016/17 </w:t>
            </w:r>
          </w:p>
        </w:tc>
        <w:tc>
          <w:tcPr>
            <w:tcW w:w="131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 xml:space="preserve"> Presupuesto de 2016/17 tras las transferencias </w:t>
            </w:r>
          </w:p>
        </w:tc>
        <w:tc>
          <w:tcPr>
            <w:tcW w:w="118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 xml:space="preserve"> Gastos en 2016* </w:t>
            </w:r>
          </w:p>
        </w:tc>
      </w:tr>
      <w:tr w:rsidR="002E3AE7" w:rsidRPr="00BF7464" w:rsidTr="00156844">
        <w:trPr>
          <w:trHeight w:val="840"/>
          <w:jc w:val="center"/>
        </w:trPr>
        <w:tc>
          <w:tcPr>
            <w:tcW w:w="511" w:type="dxa"/>
            <w:tcBorders>
              <w:top w:val="nil"/>
              <w:left w:val="nil"/>
              <w:bottom w:val="nil"/>
              <w:right w:val="nil"/>
            </w:tcBorders>
            <w:shd w:val="clear" w:color="auto" w:fill="auto"/>
            <w:noWrap/>
            <w:vAlign w:val="center"/>
            <w:hideMark/>
          </w:tcPr>
          <w:p w:rsidR="002E3AE7" w:rsidRPr="00BF7464" w:rsidRDefault="002E3AE7" w:rsidP="003E0A02">
            <w:pPr>
              <w:rPr>
                <w:sz w:val="16"/>
                <w:szCs w:val="16"/>
              </w:rPr>
            </w:pPr>
            <w:r w:rsidRPr="00BF7464">
              <w:rPr>
                <w:sz w:val="16"/>
                <w:szCs w:val="16"/>
              </w:rPr>
              <w:t>IX.1</w:t>
            </w:r>
          </w:p>
        </w:tc>
        <w:tc>
          <w:tcPr>
            <w:tcW w:w="4289" w:type="dxa"/>
            <w:tcBorders>
              <w:top w:val="nil"/>
              <w:left w:val="nil"/>
              <w:bottom w:val="nil"/>
              <w:right w:val="nil"/>
            </w:tcBorders>
            <w:shd w:val="clear" w:color="auto" w:fill="auto"/>
            <w:vAlign w:val="center"/>
            <w:hideMark/>
          </w:tcPr>
          <w:p w:rsidR="002E3AE7" w:rsidRPr="00BF7464" w:rsidRDefault="002E3AE7" w:rsidP="003E0A02">
            <w:pPr>
              <w:rPr>
                <w:sz w:val="16"/>
                <w:szCs w:val="16"/>
              </w:rPr>
            </w:pPr>
            <w:r w:rsidRPr="00BF7464">
              <w:rPr>
                <w:sz w:val="16"/>
                <w:szCs w:val="16"/>
              </w:rPr>
              <w:t>Servicios de apoyo eficaces, eficientes, de calidad y orientados al cliente, tanto a los usuarios internos como a las partes interesadas externas</w:t>
            </w:r>
          </w:p>
        </w:tc>
        <w:tc>
          <w:tcPr>
            <w:tcW w:w="1186"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13.229</w:t>
            </w:r>
          </w:p>
        </w:tc>
        <w:tc>
          <w:tcPr>
            <w:tcW w:w="131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13.311</w:t>
            </w:r>
          </w:p>
        </w:tc>
        <w:tc>
          <w:tcPr>
            <w:tcW w:w="118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5.908</w:t>
            </w:r>
          </w:p>
        </w:tc>
      </w:tr>
      <w:tr w:rsidR="002E3AE7" w:rsidRPr="00BF7464" w:rsidTr="00156844">
        <w:trPr>
          <w:trHeight w:val="945"/>
          <w:jc w:val="center"/>
        </w:trPr>
        <w:tc>
          <w:tcPr>
            <w:tcW w:w="511" w:type="dxa"/>
            <w:tcBorders>
              <w:top w:val="nil"/>
              <w:left w:val="nil"/>
              <w:bottom w:val="nil"/>
              <w:right w:val="nil"/>
            </w:tcBorders>
            <w:shd w:val="clear" w:color="auto" w:fill="auto"/>
            <w:noWrap/>
            <w:vAlign w:val="center"/>
            <w:hideMark/>
          </w:tcPr>
          <w:p w:rsidR="002E3AE7" w:rsidRPr="00BF7464" w:rsidRDefault="002E3AE7" w:rsidP="003E0A02">
            <w:pPr>
              <w:rPr>
                <w:sz w:val="16"/>
                <w:szCs w:val="16"/>
              </w:rPr>
            </w:pPr>
            <w:r w:rsidRPr="00BF7464">
              <w:rPr>
                <w:sz w:val="16"/>
                <w:szCs w:val="16"/>
              </w:rPr>
              <w:t>IX.2</w:t>
            </w:r>
          </w:p>
        </w:tc>
        <w:tc>
          <w:tcPr>
            <w:tcW w:w="4289" w:type="dxa"/>
            <w:tcBorders>
              <w:top w:val="nil"/>
              <w:left w:val="nil"/>
              <w:bottom w:val="nil"/>
              <w:right w:val="nil"/>
            </w:tcBorders>
            <w:shd w:val="clear" w:color="auto" w:fill="auto"/>
            <w:vAlign w:val="center"/>
            <w:hideMark/>
          </w:tcPr>
          <w:p w:rsidR="002E3AE7" w:rsidRPr="00BF7464" w:rsidRDefault="002E3AE7" w:rsidP="003E0A02">
            <w:pPr>
              <w:rPr>
                <w:sz w:val="16"/>
                <w:szCs w:val="16"/>
              </w:rPr>
            </w:pPr>
            <w:r w:rsidRPr="00BF7464">
              <w:rPr>
                <w:sz w:val="16"/>
                <w:szCs w:val="16"/>
              </w:rPr>
              <w:t>Funcionamiento sin contratiempos de la Secretaría, provista de un personal bien dirigido, dotado de las competencias adecuadas, y capaz de conseguir resultados</w:t>
            </w:r>
          </w:p>
        </w:tc>
        <w:tc>
          <w:tcPr>
            <w:tcW w:w="1186"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16.744</w:t>
            </w:r>
          </w:p>
        </w:tc>
        <w:tc>
          <w:tcPr>
            <w:tcW w:w="131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15.948</w:t>
            </w:r>
          </w:p>
        </w:tc>
        <w:tc>
          <w:tcPr>
            <w:tcW w:w="118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6.902</w:t>
            </w:r>
          </w:p>
        </w:tc>
      </w:tr>
      <w:tr w:rsidR="002E3AE7" w:rsidRPr="00BF7464" w:rsidTr="00156844">
        <w:trPr>
          <w:trHeight w:val="870"/>
          <w:jc w:val="center"/>
        </w:trPr>
        <w:tc>
          <w:tcPr>
            <w:tcW w:w="511" w:type="dxa"/>
            <w:tcBorders>
              <w:top w:val="nil"/>
              <w:left w:val="nil"/>
              <w:bottom w:val="nil"/>
              <w:right w:val="nil"/>
            </w:tcBorders>
            <w:shd w:val="clear" w:color="auto" w:fill="auto"/>
            <w:noWrap/>
            <w:vAlign w:val="center"/>
            <w:hideMark/>
          </w:tcPr>
          <w:p w:rsidR="002E3AE7" w:rsidRPr="00BF7464" w:rsidRDefault="002E3AE7" w:rsidP="003E0A02">
            <w:pPr>
              <w:rPr>
                <w:sz w:val="16"/>
                <w:szCs w:val="16"/>
              </w:rPr>
            </w:pPr>
            <w:r w:rsidRPr="00BF7464">
              <w:rPr>
                <w:sz w:val="16"/>
                <w:szCs w:val="16"/>
              </w:rPr>
              <w:t>IX.3</w:t>
            </w:r>
          </w:p>
        </w:tc>
        <w:tc>
          <w:tcPr>
            <w:tcW w:w="4289" w:type="dxa"/>
            <w:tcBorders>
              <w:top w:val="nil"/>
              <w:left w:val="nil"/>
              <w:bottom w:val="nil"/>
              <w:right w:val="nil"/>
            </w:tcBorders>
            <w:shd w:val="clear" w:color="auto" w:fill="auto"/>
            <w:vAlign w:val="center"/>
            <w:hideMark/>
          </w:tcPr>
          <w:p w:rsidR="002E3AE7" w:rsidRPr="00BF7464" w:rsidRDefault="002E3AE7" w:rsidP="003E0A02">
            <w:pPr>
              <w:rPr>
                <w:sz w:val="16"/>
                <w:szCs w:val="16"/>
              </w:rPr>
            </w:pPr>
            <w:r w:rsidRPr="00BF7464">
              <w:rPr>
                <w:sz w:val="16"/>
                <w:szCs w:val="16"/>
              </w:rPr>
              <w:t>Entorno de trabajo propicio basado en un marco regulador eficaz y medios adecuados para atender los temas de interés del personal</w:t>
            </w:r>
          </w:p>
        </w:tc>
        <w:tc>
          <w:tcPr>
            <w:tcW w:w="1186"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1.626</w:t>
            </w:r>
          </w:p>
        </w:tc>
        <w:tc>
          <w:tcPr>
            <w:tcW w:w="131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2.188</w:t>
            </w:r>
          </w:p>
        </w:tc>
        <w:tc>
          <w:tcPr>
            <w:tcW w:w="118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973</w:t>
            </w:r>
          </w:p>
        </w:tc>
      </w:tr>
      <w:tr w:rsidR="002E3AE7" w:rsidRPr="00BF7464" w:rsidTr="00156844">
        <w:trPr>
          <w:trHeight w:val="1020"/>
          <w:jc w:val="center"/>
        </w:trPr>
        <w:tc>
          <w:tcPr>
            <w:tcW w:w="511" w:type="dxa"/>
            <w:tcBorders>
              <w:top w:val="nil"/>
              <w:left w:val="nil"/>
              <w:bottom w:val="nil"/>
              <w:right w:val="nil"/>
            </w:tcBorders>
            <w:shd w:val="clear" w:color="auto" w:fill="auto"/>
            <w:noWrap/>
            <w:vAlign w:val="center"/>
            <w:hideMark/>
          </w:tcPr>
          <w:p w:rsidR="002E3AE7" w:rsidRPr="00BF7464" w:rsidRDefault="002E3AE7" w:rsidP="003E0A02">
            <w:pPr>
              <w:rPr>
                <w:sz w:val="16"/>
                <w:szCs w:val="16"/>
              </w:rPr>
            </w:pPr>
            <w:r w:rsidRPr="00BF7464">
              <w:rPr>
                <w:sz w:val="16"/>
                <w:szCs w:val="16"/>
              </w:rPr>
              <w:t>IX.8</w:t>
            </w:r>
          </w:p>
        </w:tc>
        <w:tc>
          <w:tcPr>
            <w:tcW w:w="4289" w:type="dxa"/>
            <w:tcBorders>
              <w:top w:val="nil"/>
              <w:left w:val="nil"/>
              <w:bottom w:val="nil"/>
              <w:right w:val="nil"/>
            </w:tcBorders>
            <w:shd w:val="clear" w:color="auto" w:fill="auto"/>
            <w:vAlign w:val="center"/>
            <w:hideMark/>
          </w:tcPr>
          <w:p w:rsidR="002E3AE7" w:rsidRPr="00BF7464" w:rsidRDefault="002E3AE7" w:rsidP="003E0A02">
            <w:pPr>
              <w:rPr>
                <w:sz w:val="16"/>
                <w:szCs w:val="16"/>
              </w:rPr>
            </w:pPr>
            <w:r w:rsidRPr="00BF7464">
              <w:rPr>
                <w:sz w:val="16"/>
                <w:szCs w:val="16"/>
              </w:rPr>
              <w:t>Mejor rendición de cuentas, aprendizaje institucional, uso óptimo de los recursos, administración, control interno y buen gobierno gracias a la ayuda que proporciona una supervisión eficaz e independiente</w:t>
            </w:r>
          </w:p>
        </w:tc>
        <w:tc>
          <w:tcPr>
            <w:tcW w:w="1186"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1.677</w:t>
            </w:r>
          </w:p>
        </w:tc>
        <w:tc>
          <w:tcPr>
            <w:tcW w:w="131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1.593</w:t>
            </w:r>
          </w:p>
        </w:tc>
        <w:tc>
          <w:tcPr>
            <w:tcW w:w="1180" w:type="dxa"/>
            <w:tcBorders>
              <w:top w:val="nil"/>
              <w:left w:val="nil"/>
              <w:bottom w:val="nil"/>
              <w:right w:val="nil"/>
            </w:tcBorders>
            <w:shd w:val="clear" w:color="auto" w:fill="auto"/>
            <w:noWrap/>
            <w:vAlign w:val="center"/>
            <w:hideMark/>
          </w:tcPr>
          <w:p w:rsidR="002E3AE7" w:rsidRPr="00BF7464" w:rsidRDefault="002E3AE7" w:rsidP="003E0A02">
            <w:pPr>
              <w:jc w:val="center"/>
              <w:rPr>
                <w:sz w:val="16"/>
                <w:szCs w:val="16"/>
              </w:rPr>
            </w:pPr>
            <w:r w:rsidRPr="00BF7464">
              <w:rPr>
                <w:sz w:val="16"/>
                <w:szCs w:val="16"/>
              </w:rPr>
              <w:t>727</w:t>
            </w:r>
          </w:p>
        </w:tc>
      </w:tr>
      <w:tr w:rsidR="002E3AE7" w:rsidRPr="00BF7464" w:rsidTr="00156844">
        <w:trPr>
          <w:trHeight w:val="225"/>
          <w:jc w:val="center"/>
        </w:trPr>
        <w:tc>
          <w:tcPr>
            <w:tcW w:w="511" w:type="dxa"/>
            <w:tcBorders>
              <w:top w:val="nil"/>
              <w:left w:val="nil"/>
              <w:bottom w:val="nil"/>
              <w:right w:val="nil"/>
            </w:tcBorders>
            <w:shd w:val="clear" w:color="000000" w:fill="C5D9F1"/>
            <w:noWrap/>
            <w:vAlign w:val="bottom"/>
            <w:hideMark/>
          </w:tcPr>
          <w:p w:rsidR="002E3AE7" w:rsidRPr="00BF7464" w:rsidRDefault="002E3AE7" w:rsidP="003E0A02">
            <w:pPr>
              <w:rPr>
                <w:sz w:val="16"/>
                <w:szCs w:val="16"/>
              </w:rPr>
            </w:pPr>
            <w:r w:rsidRPr="00BF7464">
              <w:rPr>
                <w:sz w:val="16"/>
                <w:szCs w:val="16"/>
              </w:rPr>
              <w:t> </w:t>
            </w:r>
          </w:p>
        </w:tc>
        <w:tc>
          <w:tcPr>
            <w:tcW w:w="4289" w:type="dxa"/>
            <w:tcBorders>
              <w:top w:val="nil"/>
              <w:left w:val="nil"/>
              <w:bottom w:val="nil"/>
              <w:right w:val="nil"/>
            </w:tcBorders>
            <w:shd w:val="clear" w:color="000000" w:fill="C5D9F1"/>
            <w:noWrap/>
            <w:vAlign w:val="bottom"/>
            <w:hideMark/>
          </w:tcPr>
          <w:p w:rsidR="002E3AE7" w:rsidRPr="00BF7464" w:rsidRDefault="002E3AE7" w:rsidP="003E0A02">
            <w:pPr>
              <w:jc w:val="right"/>
              <w:rPr>
                <w:b/>
                <w:bCs/>
                <w:sz w:val="16"/>
                <w:szCs w:val="16"/>
              </w:rPr>
            </w:pPr>
            <w:r w:rsidRPr="00BF7464">
              <w:rPr>
                <w:b/>
                <w:bCs/>
                <w:sz w:val="16"/>
                <w:szCs w:val="16"/>
              </w:rPr>
              <w:t>Total</w:t>
            </w:r>
          </w:p>
        </w:tc>
        <w:tc>
          <w:tcPr>
            <w:tcW w:w="1186" w:type="dxa"/>
            <w:tcBorders>
              <w:top w:val="nil"/>
              <w:left w:val="nil"/>
              <w:bottom w:val="nil"/>
              <w:right w:val="nil"/>
            </w:tcBorders>
            <w:shd w:val="clear" w:color="000000" w:fill="C5D9F1"/>
            <w:noWrap/>
            <w:vAlign w:val="center"/>
            <w:hideMark/>
          </w:tcPr>
          <w:p w:rsidR="002E3AE7" w:rsidRPr="00BF7464" w:rsidRDefault="002E3AE7" w:rsidP="003E0A02">
            <w:pPr>
              <w:jc w:val="center"/>
              <w:rPr>
                <w:b/>
                <w:sz w:val="16"/>
                <w:szCs w:val="16"/>
              </w:rPr>
            </w:pPr>
            <w:r w:rsidRPr="00BF7464">
              <w:rPr>
                <w:b/>
                <w:sz w:val="16"/>
                <w:szCs w:val="16"/>
              </w:rPr>
              <w:t>33.276</w:t>
            </w:r>
          </w:p>
        </w:tc>
        <w:tc>
          <w:tcPr>
            <w:tcW w:w="1310" w:type="dxa"/>
            <w:tcBorders>
              <w:top w:val="nil"/>
              <w:left w:val="nil"/>
              <w:bottom w:val="nil"/>
              <w:right w:val="nil"/>
            </w:tcBorders>
            <w:shd w:val="clear" w:color="000000" w:fill="C5D9F1"/>
            <w:noWrap/>
            <w:vAlign w:val="center"/>
            <w:hideMark/>
          </w:tcPr>
          <w:p w:rsidR="002E3AE7" w:rsidRPr="00BF7464" w:rsidRDefault="002E3AE7" w:rsidP="003E0A02">
            <w:pPr>
              <w:jc w:val="center"/>
              <w:rPr>
                <w:b/>
                <w:sz w:val="16"/>
                <w:szCs w:val="16"/>
              </w:rPr>
            </w:pPr>
            <w:r w:rsidRPr="00BF7464">
              <w:rPr>
                <w:b/>
                <w:sz w:val="16"/>
                <w:szCs w:val="16"/>
              </w:rPr>
              <w:t>33.040</w:t>
            </w:r>
          </w:p>
        </w:tc>
        <w:tc>
          <w:tcPr>
            <w:tcW w:w="1180" w:type="dxa"/>
            <w:tcBorders>
              <w:top w:val="nil"/>
              <w:left w:val="nil"/>
              <w:bottom w:val="nil"/>
              <w:right w:val="nil"/>
            </w:tcBorders>
            <w:shd w:val="clear" w:color="000000" w:fill="C5D9F1"/>
            <w:noWrap/>
            <w:vAlign w:val="center"/>
            <w:hideMark/>
          </w:tcPr>
          <w:p w:rsidR="002E3AE7" w:rsidRPr="00BF7464" w:rsidRDefault="002E3AE7" w:rsidP="003E0A02">
            <w:pPr>
              <w:jc w:val="center"/>
              <w:rPr>
                <w:b/>
                <w:sz w:val="16"/>
                <w:szCs w:val="16"/>
              </w:rPr>
            </w:pPr>
            <w:r w:rsidRPr="00BF7464">
              <w:rPr>
                <w:b/>
                <w:sz w:val="16"/>
                <w:szCs w:val="16"/>
              </w:rPr>
              <w:t>14.511</w:t>
            </w:r>
          </w:p>
        </w:tc>
      </w:tr>
      <w:tr w:rsidR="002E3AE7" w:rsidRPr="00BF7464" w:rsidTr="00156844">
        <w:trPr>
          <w:trHeight w:val="330"/>
          <w:jc w:val="center"/>
        </w:trPr>
        <w:tc>
          <w:tcPr>
            <w:tcW w:w="7296" w:type="dxa"/>
            <w:gridSpan w:val="4"/>
            <w:tcBorders>
              <w:top w:val="nil"/>
              <w:left w:val="nil"/>
              <w:bottom w:val="nil"/>
              <w:right w:val="nil"/>
            </w:tcBorders>
            <w:shd w:val="clear" w:color="auto" w:fill="auto"/>
            <w:noWrap/>
            <w:vAlign w:val="center"/>
            <w:hideMark/>
          </w:tcPr>
          <w:p w:rsidR="002E3AE7" w:rsidRPr="00BF7464" w:rsidRDefault="002E3AE7" w:rsidP="003E0A02">
            <w:pPr>
              <w:rPr>
                <w:i/>
                <w:iCs/>
                <w:sz w:val="16"/>
                <w:szCs w:val="16"/>
              </w:rPr>
            </w:pPr>
            <w:r w:rsidRPr="00BF7464">
              <w:rPr>
                <w:i/>
                <w:iCs/>
                <w:sz w:val="16"/>
                <w:szCs w:val="16"/>
              </w:rPr>
              <w:t>*Las cifras de gastos en 2016 son preliminares, a reserva de verificación por el Auditor Externo.</w:t>
            </w:r>
          </w:p>
        </w:tc>
        <w:tc>
          <w:tcPr>
            <w:tcW w:w="1180" w:type="dxa"/>
            <w:tcBorders>
              <w:top w:val="nil"/>
              <w:left w:val="nil"/>
              <w:bottom w:val="nil"/>
              <w:right w:val="nil"/>
            </w:tcBorders>
            <w:shd w:val="clear" w:color="auto" w:fill="auto"/>
            <w:noWrap/>
            <w:vAlign w:val="center"/>
            <w:hideMark/>
          </w:tcPr>
          <w:p w:rsidR="002E3AE7" w:rsidRPr="00BF7464" w:rsidRDefault="002E3AE7" w:rsidP="003E0A02">
            <w:pPr>
              <w:rPr>
                <w:sz w:val="16"/>
                <w:szCs w:val="16"/>
              </w:rPr>
            </w:pPr>
          </w:p>
        </w:tc>
      </w:tr>
    </w:tbl>
    <w:p w:rsidR="002E3AE7" w:rsidRPr="00BF7464" w:rsidRDefault="002E3AE7" w:rsidP="00156844">
      <w:pPr>
        <w:keepNext/>
        <w:keepLines/>
        <w:spacing w:before="120"/>
        <w:jc w:val="center"/>
        <w:rPr>
          <w:sz w:val="18"/>
          <w:szCs w:val="18"/>
        </w:rPr>
      </w:pPr>
      <w:r w:rsidRPr="00BF7464">
        <w:rPr>
          <w:sz w:val="18"/>
          <w:szCs w:val="18"/>
        </w:rPr>
        <w:t xml:space="preserve">Presupuesto y gastos reales (de personal y no relativos a personal) </w:t>
      </w:r>
    </w:p>
    <w:p w:rsidR="002E3AE7" w:rsidRPr="00156844" w:rsidRDefault="002E3AE7" w:rsidP="00156844">
      <w:pPr>
        <w:keepNext/>
        <w:keepLines/>
        <w:spacing w:after="120"/>
        <w:jc w:val="center"/>
        <w:rPr>
          <w:i/>
          <w:iCs/>
          <w:sz w:val="16"/>
          <w:szCs w:val="16"/>
        </w:rPr>
      </w:pPr>
      <w:r w:rsidRPr="00BF7464">
        <w:rPr>
          <w:i/>
          <w:iCs/>
          <w:sz w:val="16"/>
          <w:szCs w:val="16"/>
        </w:rPr>
        <w:t>(en mi</w:t>
      </w:r>
      <w:r w:rsidR="00156844">
        <w:rPr>
          <w:i/>
          <w:iCs/>
          <w:sz w:val="16"/>
          <w:szCs w:val="16"/>
        </w:rPr>
        <w:t>les de francos suizos)</w:t>
      </w:r>
    </w:p>
    <w:tbl>
      <w:tblPr>
        <w:tblW w:w="8307" w:type="dxa"/>
        <w:jc w:val="center"/>
        <w:tblLook w:val="04A0" w:firstRow="1" w:lastRow="0" w:firstColumn="1" w:lastColumn="0" w:noHBand="0" w:noVBand="1"/>
      </w:tblPr>
      <w:tblGrid>
        <w:gridCol w:w="2495"/>
        <w:gridCol w:w="1453"/>
        <w:gridCol w:w="1453"/>
        <w:gridCol w:w="1453"/>
        <w:gridCol w:w="1453"/>
      </w:tblGrid>
      <w:tr w:rsidR="002E3AE7" w:rsidRPr="00BF7464"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BF7464" w:rsidRDefault="002E3AE7" w:rsidP="003E0A02">
            <w:pPr>
              <w:rPr>
                <w:sz w:val="16"/>
                <w:szCs w:val="16"/>
              </w:rPr>
            </w:pPr>
            <w:r w:rsidRPr="00BF7464">
              <w:rPr>
                <w:sz w:val="16"/>
                <w:szCs w:val="16"/>
              </w:rPr>
              <w:t> </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Gastos en 2016*</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Índice de utilización (%)</w:t>
            </w:r>
          </w:p>
        </w:tc>
      </w:tr>
      <w:tr w:rsidR="002E3AE7" w:rsidRPr="00BF7464"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BF7464" w:rsidRDefault="002E3AE7" w:rsidP="003E0A02">
            <w:pPr>
              <w:rPr>
                <w:sz w:val="16"/>
                <w:szCs w:val="16"/>
              </w:rPr>
            </w:pPr>
            <w:r w:rsidRPr="00BF7464">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 xml:space="preserve">23.453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 xml:space="preserve">23.458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 xml:space="preserve">10.351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44%</w:t>
            </w:r>
          </w:p>
        </w:tc>
      </w:tr>
      <w:tr w:rsidR="002E3AE7" w:rsidRPr="00BF7464"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BF7464" w:rsidRDefault="002E3AE7" w:rsidP="003E0A02">
            <w:pPr>
              <w:rPr>
                <w:sz w:val="16"/>
                <w:szCs w:val="16"/>
              </w:rPr>
            </w:pPr>
            <w:r w:rsidRPr="00BF7464">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 xml:space="preserve">9.822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 xml:space="preserve">9.582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 xml:space="preserve">4.159 </w:t>
            </w:r>
          </w:p>
        </w:tc>
        <w:tc>
          <w:tcPr>
            <w:tcW w:w="1420" w:type="dxa"/>
            <w:tcBorders>
              <w:top w:val="nil"/>
              <w:left w:val="nil"/>
              <w:bottom w:val="nil"/>
              <w:right w:val="nil"/>
            </w:tcBorders>
            <w:shd w:val="clear" w:color="auto" w:fill="auto"/>
            <w:vAlign w:val="center"/>
            <w:hideMark/>
          </w:tcPr>
          <w:p w:rsidR="002E3AE7" w:rsidRPr="00BF7464" w:rsidRDefault="002E3AE7" w:rsidP="003E0A02">
            <w:pPr>
              <w:jc w:val="center"/>
              <w:rPr>
                <w:sz w:val="16"/>
                <w:szCs w:val="16"/>
              </w:rPr>
            </w:pPr>
            <w:r w:rsidRPr="00BF7464">
              <w:rPr>
                <w:sz w:val="16"/>
                <w:szCs w:val="16"/>
              </w:rPr>
              <w:t>43%</w:t>
            </w:r>
          </w:p>
        </w:tc>
      </w:tr>
      <w:tr w:rsidR="002E3AE7" w:rsidRPr="00BF7464"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BF7464" w:rsidRDefault="002E3AE7" w:rsidP="003E0A02">
            <w:pPr>
              <w:jc w:val="right"/>
              <w:rPr>
                <w:b/>
                <w:bCs/>
                <w:sz w:val="16"/>
                <w:szCs w:val="16"/>
              </w:rPr>
            </w:pPr>
            <w:r w:rsidRPr="00BF7464">
              <w:rPr>
                <w:b/>
                <w:bCs/>
                <w:sz w:val="16"/>
                <w:szCs w:val="16"/>
              </w:rPr>
              <w:t xml:space="preserve"> Total </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 xml:space="preserve">33.276 </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 xml:space="preserve">33.040 </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 xml:space="preserve">14.511 </w:t>
            </w:r>
          </w:p>
        </w:tc>
        <w:tc>
          <w:tcPr>
            <w:tcW w:w="1420" w:type="dxa"/>
            <w:tcBorders>
              <w:top w:val="nil"/>
              <w:left w:val="nil"/>
              <w:bottom w:val="nil"/>
              <w:right w:val="nil"/>
            </w:tcBorders>
            <w:shd w:val="clear" w:color="000000" w:fill="C5D9F1"/>
            <w:vAlign w:val="center"/>
            <w:hideMark/>
          </w:tcPr>
          <w:p w:rsidR="002E3AE7" w:rsidRPr="00BF7464" w:rsidRDefault="002E3AE7" w:rsidP="003E0A02">
            <w:pPr>
              <w:jc w:val="center"/>
              <w:rPr>
                <w:b/>
                <w:bCs/>
                <w:sz w:val="16"/>
                <w:szCs w:val="16"/>
              </w:rPr>
            </w:pPr>
            <w:r w:rsidRPr="00BF7464">
              <w:rPr>
                <w:b/>
                <w:bCs/>
                <w:sz w:val="16"/>
                <w:szCs w:val="16"/>
              </w:rPr>
              <w:t>44%</w:t>
            </w:r>
          </w:p>
        </w:tc>
      </w:tr>
      <w:tr w:rsidR="002E3AE7" w:rsidRPr="00BF7464"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BF7464" w:rsidRDefault="002E3AE7" w:rsidP="003E0A02">
            <w:pPr>
              <w:rPr>
                <w:i/>
                <w:iCs/>
                <w:sz w:val="16"/>
                <w:szCs w:val="16"/>
              </w:rPr>
            </w:pPr>
            <w:r w:rsidRPr="00BF7464">
              <w:rPr>
                <w:i/>
                <w:iCs/>
                <w:sz w:val="16"/>
                <w:szCs w:val="16"/>
              </w:rPr>
              <w:t xml:space="preserve"> *Las cifras de gastos en 2016 son preliminares, a reserva de verificación por el Auditor Externo.</w:t>
            </w:r>
          </w:p>
        </w:tc>
      </w:tr>
    </w:tbl>
    <w:p w:rsidR="002E3AE7" w:rsidRPr="00BF7464" w:rsidRDefault="002E3AE7" w:rsidP="003E0A02">
      <w:pPr>
        <w:jc w:val="center"/>
        <w:rPr>
          <w:sz w:val="20"/>
        </w:rPr>
      </w:pPr>
    </w:p>
    <w:p w:rsidR="002E3AE7" w:rsidRPr="00BF7464" w:rsidRDefault="002E3AE7" w:rsidP="003E0A02">
      <w:pPr>
        <w:keepNext/>
        <w:keepLines/>
        <w:ind w:left="567" w:right="282"/>
        <w:rPr>
          <w:i/>
          <w:sz w:val="16"/>
          <w:szCs w:val="16"/>
        </w:rPr>
      </w:pPr>
      <w:r w:rsidRPr="00BF7464">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BF7464" w:rsidRDefault="002E3AE7" w:rsidP="003E0A02">
      <w:pPr>
        <w:rPr>
          <w:sz w:val="20"/>
        </w:rPr>
      </w:pPr>
    </w:p>
    <w:p w:rsidR="002E3AE7" w:rsidRPr="00BF7464" w:rsidRDefault="002E3AE7" w:rsidP="003E0A02">
      <w:pPr>
        <w:keepNext/>
        <w:keepLines/>
        <w:rPr>
          <w:sz w:val="20"/>
          <w:u w:val="single"/>
        </w:rPr>
      </w:pPr>
      <w:r w:rsidRPr="00BF7464">
        <w:rPr>
          <w:sz w:val="20"/>
        </w:rPr>
        <w:t>A.</w:t>
      </w:r>
      <w:r w:rsidRPr="00BF7464">
        <w:rPr>
          <w:sz w:val="20"/>
        </w:rPr>
        <w:tab/>
      </w:r>
      <w:r w:rsidRPr="00BF7464">
        <w:rPr>
          <w:sz w:val="20"/>
          <w:u w:val="single"/>
        </w:rPr>
        <w:t>Presupuesto de 2016/17 tras las transferencias</w:t>
      </w:r>
    </w:p>
    <w:p w:rsidR="002E3AE7" w:rsidRPr="00BF7464" w:rsidRDefault="002E3AE7" w:rsidP="003E0A02">
      <w:pPr>
        <w:keepNext/>
        <w:keepLines/>
        <w:rPr>
          <w:sz w:val="20"/>
        </w:rPr>
      </w:pPr>
    </w:p>
    <w:p w:rsidR="002E3AE7" w:rsidRPr="00BF7464" w:rsidRDefault="002E3AE7" w:rsidP="002E3AE7">
      <w:pPr>
        <w:pStyle w:val="ListParagraph"/>
        <w:keepNext/>
        <w:keepLines/>
        <w:numPr>
          <w:ilvl w:val="0"/>
          <w:numId w:val="90"/>
        </w:numPr>
        <w:ind w:left="0" w:firstLine="0"/>
        <w:jc w:val="both"/>
        <w:rPr>
          <w:lang w:val="es-ES"/>
        </w:rPr>
      </w:pPr>
      <w:r w:rsidRPr="00BF7464">
        <w:rPr>
          <w:lang w:val="es-ES"/>
        </w:rPr>
        <w:t xml:space="preserve">La disminución en los recursos no relativos a personal con respecto al presupuesto aprobado de 2016/17 refleja un ajuste a la baja debido principalmente a que se ha evitado el pago de tipos de interés negativos.  Esto se compensó en parte mediante la asignación de fondos para financiar la función de tesorería y el funcionamiento y la mejora del sistema automatizado de gestión de la información (AIMS). </w:t>
      </w:r>
    </w:p>
    <w:p w:rsidR="002E3AE7" w:rsidRPr="00BF7464" w:rsidRDefault="002E3AE7" w:rsidP="003E0A02">
      <w:pPr>
        <w:jc w:val="both"/>
        <w:rPr>
          <w:sz w:val="20"/>
          <w:szCs w:val="22"/>
        </w:rPr>
      </w:pPr>
    </w:p>
    <w:p w:rsidR="002E3AE7" w:rsidRPr="00BF7464" w:rsidRDefault="002E3AE7" w:rsidP="002E3AE7">
      <w:pPr>
        <w:pStyle w:val="ListParagraph"/>
        <w:numPr>
          <w:ilvl w:val="0"/>
          <w:numId w:val="90"/>
        </w:numPr>
        <w:ind w:left="0" w:firstLine="0"/>
        <w:jc w:val="both"/>
        <w:rPr>
          <w:lang w:val="es-ES"/>
        </w:rPr>
      </w:pPr>
      <w:r w:rsidRPr="00BF7464">
        <w:rPr>
          <w:lang w:val="es-ES"/>
        </w:rPr>
        <w:t xml:space="preserve">El leve aumento en los recursos de personal </w:t>
      </w:r>
      <w:r w:rsidR="0048069B">
        <w:rPr>
          <w:lang w:val="es-ES"/>
        </w:rPr>
        <w:t>se debió</w:t>
      </w:r>
      <w:r w:rsidRPr="00BF7464">
        <w:rPr>
          <w:lang w:val="es-ES"/>
        </w:rPr>
        <w:t xml:space="preserve"> principalmente a las reclasificaciones y la finalización del proceso de regularización de funciones permanentes y la transferencia al programa de un cargo temporal y de un puesto para apoyar la gestión de riesgos y la presentación de informes financieros, respectivamente.  Esto se compensó mediante la redistribución de recursos de personal a recursos no relativos a personal a fin de cubrir:  i) la aplicación del paquete de retribuciones de la CAPI y;  ii) la gestión de la tesorería. </w:t>
      </w:r>
    </w:p>
    <w:p w:rsidR="002E3AE7" w:rsidRPr="00BF7464" w:rsidRDefault="002E3AE7" w:rsidP="003E0A02">
      <w:pPr>
        <w:jc w:val="both"/>
        <w:rPr>
          <w:sz w:val="20"/>
          <w:szCs w:val="22"/>
        </w:rPr>
      </w:pPr>
    </w:p>
    <w:p w:rsidR="002E3AE7" w:rsidRPr="00BF7464" w:rsidRDefault="002E3AE7" w:rsidP="008F2A2B">
      <w:pPr>
        <w:keepNext/>
        <w:jc w:val="both"/>
        <w:rPr>
          <w:sz w:val="20"/>
          <w:u w:val="single"/>
        </w:rPr>
      </w:pPr>
      <w:r w:rsidRPr="00BF7464">
        <w:rPr>
          <w:sz w:val="20"/>
        </w:rPr>
        <w:lastRenderedPageBreak/>
        <w:t>B.</w:t>
      </w:r>
      <w:r w:rsidRPr="00BF7464">
        <w:rPr>
          <w:sz w:val="20"/>
        </w:rPr>
        <w:tab/>
      </w:r>
      <w:r w:rsidRPr="00BF7464">
        <w:rPr>
          <w:sz w:val="20"/>
          <w:u w:val="single"/>
        </w:rPr>
        <w:t>Utilización del presupuesto en 2016/17</w:t>
      </w:r>
    </w:p>
    <w:p w:rsidR="002E3AE7" w:rsidRPr="00BF7464" w:rsidRDefault="002E3AE7" w:rsidP="008F2A2B">
      <w:pPr>
        <w:keepNext/>
        <w:jc w:val="both"/>
        <w:rPr>
          <w:sz w:val="20"/>
        </w:rPr>
      </w:pPr>
    </w:p>
    <w:p w:rsidR="002E3AE7" w:rsidRPr="00BF7464" w:rsidRDefault="002E3AE7" w:rsidP="008F2A2B">
      <w:pPr>
        <w:pStyle w:val="ListParagraph"/>
        <w:keepNext/>
        <w:numPr>
          <w:ilvl w:val="0"/>
          <w:numId w:val="90"/>
        </w:numPr>
        <w:ind w:left="0" w:firstLine="0"/>
        <w:jc w:val="both"/>
        <w:rPr>
          <w:lang w:val="es-ES"/>
        </w:rPr>
      </w:pPr>
      <w:r w:rsidRPr="00BF7464">
        <w:rPr>
          <w:lang w:val="es-ES"/>
        </w:rPr>
        <w:t xml:space="preserve">La leve infrautilización de los recursos de personal </w:t>
      </w:r>
      <w:r w:rsidR="0048069B">
        <w:rPr>
          <w:lang w:val="es-ES"/>
        </w:rPr>
        <w:t>se debió</w:t>
      </w:r>
      <w:r w:rsidRPr="00BF7464">
        <w:rPr>
          <w:lang w:val="es-ES"/>
        </w:rPr>
        <w:t xml:space="preserve"> principalmente a los procesos de contratación en curso y al número de miembros del personal con regímenes de trabajo a tiempo parcial.</w:t>
      </w:r>
    </w:p>
    <w:p w:rsidR="008F2A2B" w:rsidRDefault="008F2A2B">
      <w:pPr>
        <w:rPr>
          <w:b/>
          <w:bCs/>
          <w:iCs/>
        </w:rPr>
      </w:pPr>
      <w:r>
        <w:rPr>
          <w:b/>
          <w:bCs/>
          <w:iCs/>
        </w:rPr>
        <w:br w:type="page"/>
      </w:r>
    </w:p>
    <w:p w:rsidR="002E3AE7" w:rsidRPr="00284ABB" w:rsidRDefault="002E3AE7" w:rsidP="003E0A02">
      <w:pPr>
        <w:keepNext/>
        <w:tabs>
          <w:tab w:val="left" w:pos="2410"/>
          <w:tab w:val="right" w:pos="9072"/>
        </w:tabs>
        <w:outlineLvl w:val="1"/>
        <w:rPr>
          <w:b/>
          <w:bCs/>
          <w:iCs/>
        </w:rPr>
      </w:pPr>
      <w:bookmarkStart w:id="76" w:name="_Toc482711275"/>
      <w:r w:rsidRPr="00284ABB">
        <w:rPr>
          <w:b/>
          <w:bCs/>
          <w:iCs/>
        </w:rPr>
        <w:lastRenderedPageBreak/>
        <w:t>PROGRAMA 23</w:t>
      </w:r>
      <w:r w:rsidRPr="00284ABB">
        <w:rPr>
          <w:b/>
          <w:bCs/>
          <w:iCs/>
        </w:rPr>
        <w:tab/>
        <w:t>GESTIÓN Y DESARROLLO DE LOS RECURSOS HUMANOS</w:t>
      </w:r>
      <w:bookmarkEnd w:id="76"/>
    </w:p>
    <w:p w:rsidR="002E3AE7" w:rsidRPr="00284ABB" w:rsidRDefault="002E3AE7" w:rsidP="003E0A02">
      <w:pPr>
        <w:tabs>
          <w:tab w:val="left" w:pos="1985"/>
        </w:tabs>
        <w:jc w:val="both"/>
        <w:rPr>
          <w:sz w:val="20"/>
        </w:rPr>
      </w:pPr>
    </w:p>
    <w:p w:rsidR="002E3AE7" w:rsidRPr="00284ABB" w:rsidRDefault="002E3AE7" w:rsidP="003E0A02">
      <w:pPr>
        <w:tabs>
          <w:tab w:val="left" w:pos="2410"/>
        </w:tabs>
        <w:rPr>
          <w:b/>
          <w:sz w:val="20"/>
        </w:rPr>
      </w:pPr>
      <w:r w:rsidRPr="00284ABB">
        <w:rPr>
          <w:b/>
          <w:sz w:val="20"/>
        </w:rPr>
        <w:t>Director de programa</w:t>
      </w:r>
      <w:r w:rsidRPr="00284ABB">
        <w:rPr>
          <w:sz w:val="20"/>
        </w:rPr>
        <w:tab/>
      </w:r>
      <w:r w:rsidRPr="00284ABB">
        <w:rPr>
          <w:b/>
          <w:sz w:val="20"/>
        </w:rPr>
        <w:t>Director general</w:t>
      </w:r>
    </w:p>
    <w:p w:rsidR="002E3AE7" w:rsidRPr="00284ABB" w:rsidRDefault="002E3AE7" w:rsidP="003E0A02">
      <w:pPr>
        <w:jc w:val="center"/>
        <w:rPr>
          <w:sz w:val="20"/>
        </w:rPr>
      </w:pPr>
      <w:r w:rsidRPr="00284ABB">
        <w:rPr>
          <w:noProof/>
          <w:lang w:val="en-US" w:eastAsia="en-US"/>
        </w:rPr>
        <w:drawing>
          <wp:inline distT="0" distB="0" distL="0" distR="0" wp14:anchorId="4B9DC818" wp14:editId="7F121130">
            <wp:extent cx="4800600" cy="2800070"/>
            <wp:effectExtent l="0" t="0" r="0" b="635"/>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4813043" cy="2807327"/>
                    </a:xfrm>
                    <a:prstGeom prst="rect">
                      <a:avLst/>
                    </a:prstGeom>
                    <a:noFill/>
                    <a:ln>
                      <a:noFill/>
                    </a:ln>
                  </pic:spPr>
                </pic:pic>
              </a:graphicData>
            </a:graphic>
          </wp:inline>
        </w:drawing>
      </w:r>
    </w:p>
    <w:tbl>
      <w:tblPr>
        <w:tblW w:w="9499" w:type="dxa"/>
        <w:tblInd w:w="58" w:type="dxa"/>
        <w:tblLayout w:type="fixed"/>
        <w:tblCellMar>
          <w:left w:w="115" w:type="dxa"/>
          <w:right w:w="115" w:type="dxa"/>
        </w:tblCellMar>
        <w:tblLook w:val="0000" w:firstRow="0" w:lastRow="0" w:firstColumn="0" w:lastColumn="0" w:noHBand="0" w:noVBand="0"/>
      </w:tblPr>
      <w:tblGrid>
        <w:gridCol w:w="1949"/>
        <w:gridCol w:w="2303"/>
        <w:gridCol w:w="1417"/>
        <w:gridCol w:w="427"/>
        <w:gridCol w:w="141"/>
        <w:gridCol w:w="2023"/>
        <w:gridCol w:w="1239"/>
      </w:tblGrid>
      <w:tr w:rsidR="002E3AE7" w:rsidRPr="003D559A" w:rsidTr="003E0A02">
        <w:trPr>
          <w:trHeight w:val="567"/>
        </w:trPr>
        <w:tc>
          <w:tcPr>
            <w:tcW w:w="5000" w:type="pct"/>
            <w:gridSpan w:val="7"/>
            <w:shd w:val="clear" w:color="auto" w:fill="C6D9F1" w:themeFill="text2" w:themeFillTint="33"/>
            <w:tcMar>
              <w:left w:w="58" w:type="dxa"/>
              <w:right w:w="58" w:type="dxa"/>
            </w:tcMar>
            <w:vAlign w:val="center"/>
          </w:tcPr>
          <w:p w:rsidR="002E3AE7" w:rsidRPr="00284ABB" w:rsidRDefault="002E3AE7" w:rsidP="003E0A02">
            <w:pPr>
              <w:keepNext/>
              <w:keepLines/>
              <w:tabs>
                <w:tab w:val="left" w:pos="1452"/>
              </w:tabs>
              <w:ind w:left="1701" w:hanging="1701"/>
              <w:rPr>
                <w:bCs/>
                <w:sz w:val="16"/>
                <w:szCs w:val="16"/>
              </w:rPr>
            </w:pPr>
            <w:r w:rsidRPr="00284ABB">
              <w:rPr>
                <w:b/>
                <w:bCs/>
                <w:sz w:val="16"/>
                <w:szCs w:val="16"/>
              </w:rPr>
              <w:t>Resultado previsto:</w:t>
            </w:r>
            <w:r w:rsidRPr="00284ABB">
              <w:rPr>
                <w:b/>
                <w:bCs/>
                <w:sz w:val="16"/>
                <w:szCs w:val="16"/>
              </w:rPr>
              <w:tab/>
            </w:r>
            <w:r w:rsidRPr="00284ABB">
              <w:rPr>
                <w:bCs/>
                <w:sz w:val="16"/>
                <w:szCs w:val="16"/>
              </w:rPr>
              <w:t>IX.1  Servicios de apoyo eficaces, eficientes, de calidad y orientados al cliente, tanto a los usuarios internos como a las partes interesadas externas</w:t>
            </w:r>
          </w:p>
        </w:tc>
      </w:tr>
      <w:tr w:rsidR="002E3AE7" w:rsidRPr="00284ABB" w:rsidTr="003E0A02">
        <w:trPr>
          <w:trHeight w:val="288"/>
        </w:trPr>
        <w:tc>
          <w:tcPr>
            <w:tcW w:w="1026" w:type="pct"/>
            <w:shd w:val="clear" w:color="auto" w:fill="auto"/>
            <w:tcMar>
              <w:left w:w="58" w:type="dxa"/>
              <w:right w:w="58" w:type="dxa"/>
            </w:tcMar>
            <w:vAlign w:val="center"/>
          </w:tcPr>
          <w:p w:rsidR="002E3AE7" w:rsidRPr="00284ABB" w:rsidRDefault="002E3AE7" w:rsidP="003E0A02">
            <w:pPr>
              <w:rPr>
                <w:b/>
                <w:bCs/>
                <w:sz w:val="16"/>
                <w:szCs w:val="16"/>
              </w:rPr>
            </w:pPr>
            <w:r w:rsidRPr="00284ABB">
              <w:rPr>
                <w:b/>
                <w:bCs/>
                <w:sz w:val="16"/>
                <w:szCs w:val="16"/>
              </w:rPr>
              <w:t>Indicadores de rendimiento</w:t>
            </w:r>
          </w:p>
        </w:tc>
        <w:tc>
          <w:tcPr>
            <w:tcW w:w="1212" w:type="pct"/>
            <w:shd w:val="clear" w:color="auto" w:fill="auto"/>
            <w:tcMar>
              <w:left w:w="58" w:type="dxa"/>
              <w:right w:w="58" w:type="dxa"/>
            </w:tcMar>
            <w:vAlign w:val="center"/>
          </w:tcPr>
          <w:p w:rsidR="002E3AE7" w:rsidRPr="00284ABB" w:rsidRDefault="002E3AE7" w:rsidP="003E0A02">
            <w:pPr>
              <w:rPr>
                <w:b/>
                <w:bCs/>
                <w:sz w:val="16"/>
                <w:szCs w:val="16"/>
              </w:rPr>
            </w:pPr>
            <w:r w:rsidRPr="00284ABB">
              <w:rPr>
                <w:b/>
                <w:bCs/>
                <w:sz w:val="16"/>
                <w:szCs w:val="16"/>
              </w:rPr>
              <w:t>Referencias de base</w:t>
            </w:r>
          </w:p>
        </w:tc>
        <w:tc>
          <w:tcPr>
            <w:tcW w:w="746" w:type="pct"/>
            <w:shd w:val="clear" w:color="auto" w:fill="auto"/>
            <w:tcMar>
              <w:top w:w="110" w:type="dxa"/>
              <w:left w:w="58" w:type="dxa"/>
              <w:right w:w="58" w:type="dxa"/>
            </w:tcMar>
            <w:vAlign w:val="center"/>
          </w:tcPr>
          <w:p w:rsidR="002E3AE7" w:rsidRPr="00284ABB" w:rsidRDefault="002E3AE7" w:rsidP="003E0A02">
            <w:pPr>
              <w:tabs>
                <w:tab w:val="left" w:pos="290"/>
              </w:tabs>
              <w:rPr>
                <w:b/>
                <w:bCs/>
                <w:sz w:val="16"/>
                <w:szCs w:val="16"/>
              </w:rPr>
            </w:pPr>
            <w:r w:rsidRPr="00284ABB">
              <w:rPr>
                <w:b/>
                <w:bCs/>
                <w:sz w:val="16"/>
                <w:szCs w:val="16"/>
              </w:rPr>
              <w:t>Objetivos</w:t>
            </w:r>
          </w:p>
        </w:tc>
        <w:tc>
          <w:tcPr>
            <w:tcW w:w="1363" w:type="pct"/>
            <w:gridSpan w:val="3"/>
            <w:shd w:val="clear" w:color="auto" w:fill="FFFFFF"/>
            <w:tcMar>
              <w:top w:w="110" w:type="dxa"/>
              <w:left w:w="58" w:type="dxa"/>
              <w:right w:w="58" w:type="dxa"/>
            </w:tcMar>
            <w:vAlign w:val="center"/>
          </w:tcPr>
          <w:p w:rsidR="002E3AE7" w:rsidRPr="00284ABB" w:rsidRDefault="002E3AE7" w:rsidP="003E0A02">
            <w:pPr>
              <w:rPr>
                <w:b/>
                <w:bCs/>
                <w:sz w:val="16"/>
                <w:szCs w:val="16"/>
              </w:rPr>
            </w:pPr>
            <w:r w:rsidRPr="00284ABB">
              <w:rPr>
                <w:b/>
                <w:bCs/>
                <w:sz w:val="16"/>
                <w:szCs w:val="16"/>
              </w:rPr>
              <w:t>Datos sobre el rendimiento</w:t>
            </w:r>
          </w:p>
        </w:tc>
        <w:tc>
          <w:tcPr>
            <w:tcW w:w="653" w:type="pct"/>
            <w:shd w:val="clear" w:color="auto" w:fill="auto"/>
            <w:tcMar>
              <w:top w:w="110" w:type="dxa"/>
              <w:left w:w="58" w:type="dxa"/>
              <w:right w:w="58" w:type="dxa"/>
            </w:tcMar>
            <w:vAlign w:val="center"/>
          </w:tcPr>
          <w:p w:rsidR="002E3AE7" w:rsidRPr="00284ABB" w:rsidRDefault="002E3AE7" w:rsidP="003E0A02">
            <w:pPr>
              <w:keepNext/>
              <w:keepLines/>
              <w:jc w:val="center"/>
              <w:rPr>
                <w:b/>
                <w:bCs/>
                <w:sz w:val="16"/>
                <w:szCs w:val="16"/>
              </w:rPr>
            </w:pPr>
            <w:r w:rsidRPr="00284ABB">
              <w:rPr>
                <w:b/>
                <w:bCs/>
                <w:sz w:val="16"/>
                <w:szCs w:val="16"/>
              </w:rPr>
              <w:t>Clave de colores</w:t>
            </w:r>
          </w:p>
        </w:tc>
      </w:tr>
      <w:tr w:rsidR="002E3AE7" w:rsidRPr="00284ABB" w:rsidTr="003E0A02">
        <w:trPr>
          <w:trHeight w:val="2163"/>
        </w:trPr>
        <w:tc>
          <w:tcPr>
            <w:tcW w:w="1026" w:type="pct"/>
            <w:shd w:val="clear" w:color="auto" w:fill="auto"/>
            <w:tcMar>
              <w:left w:w="58" w:type="dxa"/>
              <w:right w:w="58" w:type="dxa"/>
            </w:tcMar>
          </w:tcPr>
          <w:p w:rsidR="002E3AE7" w:rsidRPr="00284ABB" w:rsidRDefault="002E3AE7" w:rsidP="003E0A02">
            <w:pPr>
              <w:rPr>
                <w:sz w:val="16"/>
                <w:szCs w:val="16"/>
              </w:rPr>
            </w:pPr>
            <w:r w:rsidRPr="00284ABB">
              <w:rPr>
                <w:sz w:val="16"/>
                <w:szCs w:val="16"/>
              </w:rPr>
              <w:t>% de miembros del personal satisfechos de los servicios de recursos humanos</w:t>
            </w:r>
          </w:p>
        </w:tc>
        <w:tc>
          <w:tcPr>
            <w:tcW w:w="1212" w:type="pct"/>
            <w:shd w:val="clear" w:color="auto" w:fill="auto"/>
            <w:tcMar>
              <w:left w:w="58" w:type="dxa"/>
              <w:right w:w="58" w:type="dxa"/>
            </w:tcMar>
          </w:tcPr>
          <w:p w:rsidR="002E3AE7" w:rsidRPr="001C3409" w:rsidRDefault="002E3AE7" w:rsidP="003E0A02">
            <w:pPr>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rPr>
                <w:color w:val="002060"/>
                <w:sz w:val="16"/>
                <w:szCs w:val="16"/>
              </w:rPr>
            </w:pPr>
            <w:r w:rsidRPr="001C3409">
              <w:rPr>
                <w:color w:val="002060"/>
                <w:sz w:val="16"/>
                <w:szCs w:val="16"/>
              </w:rPr>
              <w:t>No se llevó a cabo ninguna encuesta en 2014/15</w:t>
            </w:r>
          </w:p>
          <w:p w:rsidR="002E3AE7" w:rsidRPr="00284ABB" w:rsidRDefault="002E3AE7" w:rsidP="003E0A02">
            <w:pPr>
              <w:rPr>
                <w:sz w:val="16"/>
                <w:szCs w:val="16"/>
              </w:rPr>
            </w:pPr>
          </w:p>
          <w:p w:rsidR="002E3AE7" w:rsidRPr="00284ABB" w:rsidRDefault="002E3AE7" w:rsidP="003E0A02">
            <w:pPr>
              <w:rPr>
                <w:i/>
                <w:sz w:val="16"/>
                <w:szCs w:val="16"/>
              </w:rPr>
            </w:pPr>
            <w:r w:rsidRPr="00284ABB">
              <w:rPr>
                <w:i/>
                <w:sz w:val="16"/>
                <w:szCs w:val="16"/>
              </w:rPr>
              <w:t xml:space="preserve">Referencia original en el presupuesto de 2016/17:  </w:t>
            </w:r>
          </w:p>
          <w:p w:rsidR="002E3AE7" w:rsidRPr="00284ABB" w:rsidRDefault="002E3AE7" w:rsidP="003E0A02">
            <w:pPr>
              <w:rPr>
                <w:sz w:val="16"/>
                <w:szCs w:val="16"/>
              </w:rPr>
            </w:pPr>
            <w:r w:rsidRPr="00284ABB">
              <w:rPr>
                <w:sz w:val="16"/>
                <w:szCs w:val="16"/>
              </w:rPr>
              <w:t xml:space="preserve">Muy satisfechos: 30,8%, Satisfechos: 49,1%, Insatisfechos: 17,6%, </w:t>
            </w:r>
            <w:r w:rsidRPr="00284ABB">
              <w:rPr>
                <w:sz w:val="16"/>
                <w:szCs w:val="16"/>
              </w:rPr>
              <w:br/>
              <w:t>Muy insatisfechos: 2,5%</w:t>
            </w:r>
          </w:p>
        </w:tc>
        <w:tc>
          <w:tcPr>
            <w:tcW w:w="746" w:type="pct"/>
            <w:shd w:val="clear" w:color="auto" w:fill="auto"/>
            <w:tcMar>
              <w:top w:w="110" w:type="dxa"/>
              <w:left w:w="58" w:type="dxa"/>
              <w:right w:w="58" w:type="dxa"/>
            </w:tcMar>
          </w:tcPr>
          <w:p w:rsidR="002E3AE7" w:rsidRPr="00284ABB" w:rsidRDefault="002E3AE7" w:rsidP="003E0A02">
            <w:pPr>
              <w:rPr>
                <w:sz w:val="16"/>
                <w:szCs w:val="16"/>
              </w:rPr>
            </w:pPr>
            <w:r w:rsidRPr="00284ABB">
              <w:rPr>
                <w:sz w:val="16"/>
                <w:szCs w:val="16"/>
              </w:rPr>
              <w:t>85 % muy satisfechos o satisfechos</w:t>
            </w:r>
          </w:p>
        </w:tc>
        <w:tc>
          <w:tcPr>
            <w:tcW w:w="1363" w:type="pct"/>
            <w:gridSpan w:val="3"/>
            <w:shd w:val="clear" w:color="auto" w:fill="FFFFFF"/>
            <w:tcMar>
              <w:top w:w="110" w:type="dxa"/>
              <w:left w:w="58" w:type="dxa"/>
              <w:right w:w="58" w:type="dxa"/>
            </w:tcMar>
          </w:tcPr>
          <w:p w:rsidR="002E3AE7" w:rsidRPr="00284ABB" w:rsidRDefault="002E3AE7" w:rsidP="003E0A02">
            <w:pPr>
              <w:rPr>
                <w:sz w:val="16"/>
                <w:szCs w:val="16"/>
              </w:rPr>
            </w:pPr>
            <w:r w:rsidRPr="00284ABB">
              <w:rPr>
                <w:sz w:val="16"/>
                <w:szCs w:val="16"/>
              </w:rPr>
              <w:t>Encuesta a efectuar al final del bienio</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70C0"/>
                <w:sz w:val="16"/>
                <w:szCs w:val="16"/>
              </w:rPr>
              <w:t>No disponible para 2016</w:t>
            </w:r>
          </w:p>
        </w:tc>
      </w:tr>
      <w:tr w:rsidR="002E3AE7" w:rsidRPr="00284ABB" w:rsidTr="003E0A02">
        <w:trPr>
          <w:trHeight w:val="3167"/>
        </w:trPr>
        <w:tc>
          <w:tcPr>
            <w:tcW w:w="1026" w:type="pct"/>
            <w:shd w:val="clear" w:color="auto" w:fill="auto"/>
            <w:tcMar>
              <w:left w:w="58" w:type="dxa"/>
              <w:right w:w="58" w:type="dxa"/>
            </w:tcMar>
          </w:tcPr>
          <w:p w:rsidR="002E3AE7" w:rsidRPr="00284ABB" w:rsidRDefault="002E3AE7" w:rsidP="003E0A02">
            <w:pPr>
              <w:rPr>
                <w:sz w:val="16"/>
                <w:szCs w:val="16"/>
              </w:rPr>
            </w:pPr>
            <w:r w:rsidRPr="00284ABB">
              <w:rPr>
                <w:sz w:val="16"/>
                <w:szCs w:val="16"/>
              </w:rPr>
              <w:t>Aumento de los procedimientos automatizados en lugar de los procesos que actualmente se efectúan manualmente</w:t>
            </w:r>
          </w:p>
        </w:tc>
        <w:tc>
          <w:tcPr>
            <w:tcW w:w="1212" w:type="pct"/>
            <w:shd w:val="clear" w:color="auto" w:fill="auto"/>
            <w:tcMar>
              <w:left w:w="58" w:type="dxa"/>
              <w:right w:w="58" w:type="dxa"/>
            </w:tcMar>
          </w:tcPr>
          <w:p w:rsidR="002E3AE7" w:rsidRPr="001C3409" w:rsidRDefault="002E3AE7" w:rsidP="003E0A02">
            <w:pPr>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rPr>
                <w:color w:val="002060"/>
                <w:sz w:val="16"/>
                <w:szCs w:val="16"/>
              </w:rPr>
            </w:pPr>
            <w:r w:rsidRPr="001C3409">
              <w:rPr>
                <w:color w:val="002060"/>
                <w:sz w:val="16"/>
                <w:szCs w:val="16"/>
              </w:rPr>
              <w:t>3 de 18 procedimientos (17%) están automatizados:</w:t>
            </w:r>
          </w:p>
          <w:p w:rsidR="002E3AE7" w:rsidRPr="001C3409" w:rsidRDefault="002E3AE7" w:rsidP="002E3AE7">
            <w:pPr>
              <w:pStyle w:val="ListParagraph"/>
              <w:numPr>
                <w:ilvl w:val="0"/>
                <w:numId w:val="91"/>
              </w:numPr>
              <w:ind w:left="113" w:hanging="113"/>
              <w:contextualSpacing/>
              <w:rPr>
                <w:color w:val="002060"/>
                <w:sz w:val="16"/>
                <w:szCs w:val="16"/>
                <w:lang w:val="es-ES"/>
              </w:rPr>
            </w:pPr>
            <w:r w:rsidRPr="001C3409">
              <w:rPr>
                <w:color w:val="002060"/>
                <w:sz w:val="16"/>
                <w:szCs w:val="16"/>
                <w:lang w:val="es-ES"/>
              </w:rPr>
              <w:t>Cálculo de los ascensos</w:t>
            </w:r>
          </w:p>
          <w:p w:rsidR="002E3AE7" w:rsidRPr="001C3409" w:rsidRDefault="002E3AE7" w:rsidP="002E3AE7">
            <w:pPr>
              <w:pStyle w:val="ListParagraph"/>
              <w:numPr>
                <w:ilvl w:val="0"/>
                <w:numId w:val="91"/>
              </w:numPr>
              <w:ind w:left="113" w:hanging="113"/>
              <w:contextualSpacing/>
              <w:rPr>
                <w:color w:val="002060"/>
                <w:sz w:val="16"/>
                <w:szCs w:val="16"/>
                <w:lang w:val="es-ES"/>
              </w:rPr>
            </w:pPr>
            <w:r w:rsidRPr="001C3409">
              <w:rPr>
                <w:color w:val="002060"/>
                <w:sz w:val="16"/>
                <w:szCs w:val="16"/>
                <w:lang w:val="es-ES"/>
              </w:rPr>
              <w:t>Cálculo de los subsidios de educación y presentación de solicitudes al respecto mediante la función de autoservicio</w:t>
            </w:r>
          </w:p>
          <w:p w:rsidR="002E3AE7" w:rsidRPr="001C3409" w:rsidRDefault="002E3AE7" w:rsidP="002E3AE7">
            <w:pPr>
              <w:pStyle w:val="ListParagraph"/>
              <w:numPr>
                <w:ilvl w:val="0"/>
                <w:numId w:val="91"/>
              </w:numPr>
              <w:ind w:left="113" w:hanging="113"/>
              <w:contextualSpacing/>
              <w:rPr>
                <w:color w:val="002060"/>
                <w:sz w:val="16"/>
                <w:szCs w:val="16"/>
                <w:lang w:val="es-ES"/>
              </w:rPr>
            </w:pPr>
            <w:r w:rsidRPr="001C3409">
              <w:rPr>
                <w:color w:val="002060"/>
                <w:sz w:val="16"/>
                <w:szCs w:val="16"/>
                <w:lang w:val="es-ES"/>
              </w:rPr>
              <w:t>Nueva función de autoservicio para añadir hijos a cargo</w:t>
            </w:r>
          </w:p>
          <w:p w:rsidR="002E3AE7" w:rsidRPr="00284ABB" w:rsidRDefault="002E3AE7" w:rsidP="003E0A02">
            <w:pPr>
              <w:rPr>
                <w:sz w:val="16"/>
                <w:szCs w:val="16"/>
              </w:rPr>
            </w:pPr>
          </w:p>
          <w:p w:rsidR="002E3AE7" w:rsidRPr="00284ABB" w:rsidRDefault="002E3AE7" w:rsidP="003E0A02">
            <w:pPr>
              <w:rPr>
                <w:i/>
                <w:sz w:val="16"/>
                <w:szCs w:val="16"/>
              </w:rPr>
            </w:pPr>
            <w:r w:rsidRPr="00284ABB">
              <w:rPr>
                <w:i/>
                <w:sz w:val="16"/>
                <w:szCs w:val="16"/>
              </w:rPr>
              <w:t xml:space="preserve">Referencia original en el presupuesto de 2016/17:  </w:t>
            </w:r>
          </w:p>
          <w:p w:rsidR="002E3AE7" w:rsidRPr="00284ABB" w:rsidRDefault="002E3AE7" w:rsidP="003E0A02">
            <w:pPr>
              <w:spacing w:after="240"/>
              <w:rPr>
                <w:sz w:val="16"/>
                <w:szCs w:val="16"/>
              </w:rPr>
            </w:pPr>
            <w:r w:rsidRPr="00284ABB">
              <w:rPr>
                <w:sz w:val="16"/>
                <w:szCs w:val="16"/>
              </w:rPr>
              <w:t>0%</w:t>
            </w:r>
          </w:p>
        </w:tc>
        <w:tc>
          <w:tcPr>
            <w:tcW w:w="746" w:type="pct"/>
            <w:shd w:val="clear" w:color="auto" w:fill="auto"/>
            <w:tcMar>
              <w:top w:w="110" w:type="dxa"/>
              <w:left w:w="58" w:type="dxa"/>
              <w:right w:w="58" w:type="dxa"/>
            </w:tcMar>
          </w:tcPr>
          <w:p w:rsidR="002E3AE7" w:rsidRPr="00284ABB" w:rsidRDefault="002E3AE7" w:rsidP="003E0A02">
            <w:pPr>
              <w:rPr>
                <w:sz w:val="16"/>
                <w:szCs w:val="16"/>
              </w:rPr>
            </w:pPr>
            <w:r w:rsidRPr="00284ABB">
              <w:rPr>
                <w:sz w:val="16"/>
                <w:szCs w:val="16"/>
              </w:rPr>
              <w:t>67%</w:t>
            </w:r>
          </w:p>
        </w:tc>
        <w:tc>
          <w:tcPr>
            <w:tcW w:w="1363" w:type="pct"/>
            <w:gridSpan w:val="3"/>
            <w:shd w:val="clear" w:color="auto" w:fill="FFFFFF"/>
            <w:tcMar>
              <w:top w:w="110" w:type="dxa"/>
              <w:left w:w="58" w:type="dxa"/>
              <w:right w:w="58" w:type="dxa"/>
            </w:tcMar>
          </w:tcPr>
          <w:p w:rsidR="002E3AE7" w:rsidRPr="00284ABB" w:rsidRDefault="002E3AE7" w:rsidP="003E0A02">
            <w:pPr>
              <w:rPr>
                <w:sz w:val="16"/>
                <w:szCs w:val="16"/>
              </w:rPr>
            </w:pPr>
            <w:r w:rsidRPr="00284ABB">
              <w:rPr>
                <w:sz w:val="16"/>
                <w:szCs w:val="16"/>
              </w:rPr>
              <w:t>En 2016 se automatizaron 5 procesos adicionales:</w:t>
            </w:r>
          </w:p>
          <w:p w:rsidR="002E3AE7" w:rsidRPr="00284ABB" w:rsidRDefault="002E3AE7" w:rsidP="002E3AE7">
            <w:pPr>
              <w:pStyle w:val="ListParagraph"/>
              <w:numPr>
                <w:ilvl w:val="0"/>
                <w:numId w:val="91"/>
              </w:numPr>
              <w:ind w:left="113" w:hanging="113"/>
              <w:contextualSpacing/>
              <w:rPr>
                <w:sz w:val="16"/>
                <w:szCs w:val="16"/>
                <w:lang w:val="es-ES"/>
              </w:rPr>
            </w:pPr>
            <w:r w:rsidRPr="00284ABB">
              <w:rPr>
                <w:sz w:val="16"/>
                <w:szCs w:val="16"/>
                <w:lang w:val="es-ES"/>
              </w:rPr>
              <w:t>Presentación de documentos sobre familiares a cargo (fase 1)</w:t>
            </w:r>
          </w:p>
          <w:p w:rsidR="002E3AE7" w:rsidRPr="00284ABB" w:rsidRDefault="002E3AE7" w:rsidP="002E3AE7">
            <w:pPr>
              <w:pStyle w:val="ListParagraph"/>
              <w:numPr>
                <w:ilvl w:val="0"/>
                <w:numId w:val="91"/>
              </w:numPr>
              <w:ind w:left="113" w:hanging="113"/>
              <w:contextualSpacing/>
              <w:rPr>
                <w:sz w:val="16"/>
                <w:szCs w:val="16"/>
                <w:lang w:val="es-ES"/>
              </w:rPr>
            </w:pPr>
            <w:r w:rsidRPr="00284ABB">
              <w:rPr>
                <w:sz w:val="16"/>
                <w:szCs w:val="16"/>
                <w:lang w:val="es-ES"/>
              </w:rPr>
              <w:t>Cálculo del subsidio de alquiler</w:t>
            </w:r>
          </w:p>
          <w:p w:rsidR="002E3AE7" w:rsidRPr="00284ABB" w:rsidRDefault="002E3AE7" w:rsidP="002E3AE7">
            <w:pPr>
              <w:pStyle w:val="ListParagraph"/>
              <w:numPr>
                <w:ilvl w:val="0"/>
                <w:numId w:val="91"/>
              </w:numPr>
              <w:ind w:left="113" w:hanging="113"/>
              <w:contextualSpacing/>
              <w:rPr>
                <w:sz w:val="16"/>
                <w:szCs w:val="16"/>
                <w:lang w:val="es-ES"/>
              </w:rPr>
            </w:pPr>
            <w:r w:rsidRPr="00284ABB">
              <w:rPr>
                <w:sz w:val="16"/>
                <w:szCs w:val="16"/>
                <w:lang w:val="es-ES"/>
              </w:rPr>
              <w:t>Suministro de la dirección e introducción de cambios mediante la función de autoservicio</w:t>
            </w:r>
          </w:p>
          <w:p w:rsidR="002E3AE7" w:rsidRPr="00284ABB" w:rsidRDefault="002E3AE7" w:rsidP="002E3AE7">
            <w:pPr>
              <w:pStyle w:val="ListParagraph"/>
              <w:numPr>
                <w:ilvl w:val="0"/>
                <w:numId w:val="91"/>
              </w:numPr>
              <w:ind w:left="113" w:hanging="113"/>
              <w:contextualSpacing/>
              <w:rPr>
                <w:sz w:val="16"/>
                <w:szCs w:val="16"/>
                <w:lang w:val="es-ES"/>
              </w:rPr>
            </w:pPr>
            <w:r w:rsidRPr="00284ABB">
              <w:rPr>
                <w:sz w:val="16"/>
                <w:szCs w:val="16"/>
                <w:lang w:val="es-ES"/>
              </w:rPr>
              <w:t>Retención sobre el salario de la prima correspondiente al seguro de pérdida de ganancias de la GPAFI</w:t>
            </w:r>
          </w:p>
          <w:p w:rsidR="002E3AE7" w:rsidRPr="00284ABB" w:rsidRDefault="002E3AE7" w:rsidP="002E3AE7">
            <w:pPr>
              <w:pStyle w:val="ListParagraph"/>
              <w:numPr>
                <w:ilvl w:val="0"/>
                <w:numId w:val="91"/>
              </w:numPr>
              <w:ind w:left="113" w:hanging="113"/>
              <w:contextualSpacing/>
              <w:rPr>
                <w:sz w:val="16"/>
                <w:szCs w:val="16"/>
                <w:lang w:val="es-ES"/>
              </w:rPr>
            </w:pPr>
            <w:r w:rsidRPr="00284ABB">
              <w:rPr>
                <w:sz w:val="16"/>
                <w:szCs w:val="16"/>
                <w:lang w:val="es-ES"/>
              </w:rPr>
              <w:t xml:space="preserve">Vacaciones y ausencias </w:t>
            </w:r>
          </w:p>
          <w:p w:rsidR="002E3AE7" w:rsidRPr="00284ABB" w:rsidRDefault="002E3AE7" w:rsidP="002E3AE7">
            <w:pPr>
              <w:pStyle w:val="ListParagraph"/>
              <w:numPr>
                <w:ilvl w:val="0"/>
                <w:numId w:val="91"/>
              </w:numPr>
              <w:ind w:left="113" w:hanging="113"/>
              <w:contextualSpacing/>
              <w:rPr>
                <w:sz w:val="16"/>
                <w:szCs w:val="16"/>
                <w:lang w:val="es-ES"/>
              </w:rPr>
            </w:pPr>
            <w:r w:rsidRPr="00284ABB">
              <w:rPr>
                <w:sz w:val="16"/>
                <w:szCs w:val="16"/>
                <w:lang w:val="es-ES"/>
              </w:rPr>
              <w:t>Retención sobre la pensión  del seguro médico después de la separación del servicio (ASHI)</w:t>
            </w:r>
          </w:p>
          <w:p w:rsidR="002E3AE7" w:rsidRPr="00284ABB" w:rsidRDefault="002E3AE7" w:rsidP="003E0A02">
            <w:pPr>
              <w:pStyle w:val="ListParagraph"/>
              <w:spacing w:after="120"/>
              <w:ind w:left="0"/>
              <w:rPr>
                <w:sz w:val="16"/>
                <w:szCs w:val="16"/>
                <w:lang w:val="es-ES"/>
              </w:rPr>
            </w:pPr>
            <w:r w:rsidRPr="00284ABB">
              <w:rPr>
                <w:sz w:val="16"/>
                <w:szCs w:val="16"/>
                <w:lang w:val="es-ES"/>
              </w:rPr>
              <w:t>8 de 18 (44%) (en total)</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B050"/>
                <w:sz w:val="16"/>
                <w:szCs w:val="16"/>
              </w:rPr>
              <w:t>Avanza</w:t>
            </w:r>
          </w:p>
        </w:tc>
      </w:tr>
      <w:tr w:rsidR="002E3AE7" w:rsidRPr="00284ABB" w:rsidTr="003E0A02">
        <w:trPr>
          <w:trHeight w:val="2118"/>
        </w:trPr>
        <w:tc>
          <w:tcPr>
            <w:tcW w:w="1026" w:type="pct"/>
            <w:shd w:val="clear" w:color="auto" w:fill="auto"/>
            <w:tcMar>
              <w:left w:w="58" w:type="dxa"/>
              <w:right w:w="58" w:type="dxa"/>
            </w:tcMar>
          </w:tcPr>
          <w:p w:rsidR="002E3AE7" w:rsidRPr="00284ABB" w:rsidRDefault="002E3AE7" w:rsidP="003E0A02">
            <w:pPr>
              <w:rPr>
                <w:sz w:val="16"/>
                <w:szCs w:val="16"/>
              </w:rPr>
            </w:pPr>
            <w:r w:rsidRPr="00284ABB">
              <w:rPr>
                <w:sz w:val="16"/>
                <w:szCs w:val="16"/>
              </w:rPr>
              <w:lastRenderedPageBreak/>
              <w:t>% de consultas solucionadas en el plazo de 5 días laborables</w:t>
            </w:r>
          </w:p>
          <w:p w:rsidR="002E3AE7" w:rsidRPr="00284ABB" w:rsidRDefault="002E3AE7" w:rsidP="003E0A02">
            <w:pPr>
              <w:rPr>
                <w:sz w:val="16"/>
                <w:szCs w:val="16"/>
              </w:rPr>
            </w:pPr>
          </w:p>
        </w:tc>
        <w:tc>
          <w:tcPr>
            <w:tcW w:w="1212" w:type="pct"/>
            <w:shd w:val="clear" w:color="auto" w:fill="auto"/>
            <w:tcMar>
              <w:left w:w="58" w:type="dxa"/>
              <w:right w:w="58" w:type="dxa"/>
            </w:tcMar>
          </w:tcPr>
          <w:p w:rsidR="002E3AE7" w:rsidRPr="001C3409" w:rsidRDefault="002E3AE7" w:rsidP="003E0A02">
            <w:pPr>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rPr>
                <w:color w:val="002060"/>
                <w:sz w:val="16"/>
                <w:szCs w:val="16"/>
              </w:rPr>
            </w:pPr>
            <w:r w:rsidRPr="001C3409">
              <w:rPr>
                <w:color w:val="002060"/>
                <w:sz w:val="16"/>
                <w:szCs w:val="16"/>
              </w:rPr>
              <w:t>El 94,7% de las solicitudes de información registradas en el sistema de control de solicitudes (WINS) de la OMPI fueron atendidas en un plazo de cinco días laborables</w:t>
            </w:r>
            <w:r w:rsidRPr="001C3409">
              <w:rPr>
                <w:rStyle w:val="FootnoteReference"/>
                <w:color w:val="002060"/>
              </w:rPr>
              <w:footnoteReference w:id="88"/>
            </w:r>
          </w:p>
          <w:p w:rsidR="002E3AE7" w:rsidRPr="00284ABB" w:rsidRDefault="002E3AE7" w:rsidP="003E0A02">
            <w:pPr>
              <w:rPr>
                <w:sz w:val="16"/>
                <w:szCs w:val="16"/>
              </w:rPr>
            </w:pPr>
          </w:p>
          <w:p w:rsidR="002E3AE7" w:rsidRPr="00284ABB" w:rsidRDefault="002E3AE7" w:rsidP="003E0A02">
            <w:pPr>
              <w:rPr>
                <w:i/>
                <w:sz w:val="16"/>
                <w:szCs w:val="16"/>
              </w:rPr>
            </w:pPr>
            <w:r w:rsidRPr="00284ABB">
              <w:rPr>
                <w:i/>
                <w:sz w:val="16"/>
                <w:szCs w:val="16"/>
              </w:rPr>
              <w:t xml:space="preserve">Referencia original en el presupuesto de 2016/17:  </w:t>
            </w:r>
          </w:p>
          <w:p w:rsidR="002E3AE7" w:rsidRPr="00837EA6" w:rsidRDefault="002E3AE7" w:rsidP="003E0A02">
            <w:pPr>
              <w:spacing w:after="240"/>
              <w:rPr>
                <w:sz w:val="16"/>
                <w:szCs w:val="16"/>
              </w:rPr>
            </w:pPr>
            <w:r w:rsidRPr="00837EA6">
              <w:rPr>
                <w:sz w:val="16"/>
                <w:szCs w:val="16"/>
              </w:rPr>
              <w:t>A determinar a fines de 2015</w:t>
            </w:r>
          </w:p>
        </w:tc>
        <w:tc>
          <w:tcPr>
            <w:tcW w:w="746" w:type="pct"/>
            <w:shd w:val="clear" w:color="auto" w:fill="auto"/>
            <w:tcMar>
              <w:top w:w="110" w:type="dxa"/>
              <w:left w:w="58" w:type="dxa"/>
              <w:right w:w="58" w:type="dxa"/>
            </w:tcMar>
          </w:tcPr>
          <w:p w:rsidR="002E3AE7" w:rsidRPr="00C14FF9" w:rsidRDefault="002E3AE7" w:rsidP="003E0A02">
            <w:pPr>
              <w:rPr>
                <w:i/>
                <w:color w:val="002060"/>
                <w:sz w:val="16"/>
                <w:szCs w:val="16"/>
              </w:rPr>
            </w:pPr>
            <w:r w:rsidRPr="00C14FF9">
              <w:rPr>
                <w:i/>
                <w:color w:val="002060"/>
                <w:sz w:val="16"/>
                <w:szCs w:val="16"/>
              </w:rPr>
              <w:t>Objetivo actualizado:</w:t>
            </w:r>
          </w:p>
          <w:p w:rsidR="002E3AE7" w:rsidRPr="00C14FF9" w:rsidRDefault="002E3AE7" w:rsidP="003E0A02">
            <w:pPr>
              <w:rPr>
                <w:i/>
                <w:color w:val="002060"/>
                <w:sz w:val="16"/>
                <w:szCs w:val="16"/>
                <w:u w:val="single"/>
              </w:rPr>
            </w:pPr>
            <w:r w:rsidRPr="00C14FF9">
              <w:rPr>
                <w:color w:val="002060"/>
                <w:sz w:val="16"/>
                <w:szCs w:val="16"/>
              </w:rPr>
              <w:t>95%</w:t>
            </w:r>
          </w:p>
          <w:p w:rsidR="002E3AE7" w:rsidRPr="00284ABB" w:rsidRDefault="002E3AE7" w:rsidP="003E0A02">
            <w:pPr>
              <w:rPr>
                <w:i/>
                <w:sz w:val="16"/>
                <w:szCs w:val="16"/>
                <w:u w:val="single"/>
              </w:rPr>
            </w:pPr>
          </w:p>
          <w:p w:rsidR="002E3AE7" w:rsidRPr="00284ABB" w:rsidRDefault="002E3AE7" w:rsidP="003E0A02">
            <w:pPr>
              <w:rPr>
                <w:i/>
                <w:sz w:val="16"/>
                <w:szCs w:val="16"/>
              </w:rPr>
            </w:pPr>
          </w:p>
          <w:p w:rsidR="002E3AE7" w:rsidRPr="00284ABB" w:rsidRDefault="002E3AE7" w:rsidP="003E0A02">
            <w:pPr>
              <w:rPr>
                <w:i/>
                <w:sz w:val="16"/>
                <w:szCs w:val="16"/>
              </w:rPr>
            </w:pPr>
          </w:p>
          <w:p w:rsidR="002E3AE7" w:rsidRPr="00284ABB" w:rsidRDefault="002E3AE7" w:rsidP="003E0A02">
            <w:pPr>
              <w:rPr>
                <w:i/>
                <w:sz w:val="16"/>
                <w:szCs w:val="16"/>
              </w:rPr>
            </w:pPr>
          </w:p>
          <w:p w:rsidR="002E3AE7" w:rsidRPr="00284ABB" w:rsidRDefault="002E3AE7" w:rsidP="003E0A02">
            <w:pPr>
              <w:rPr>
                <w:i/>
                <w:sz w:val="16"/>
                <w:szCs w:val="16"/>
              </w:rPr>
            </w:pPr>
          </w:p>
          <w:p w:rsidR="002E3AE7" w:rsidRPr="00284ABB" w:rsidRDefault="002E3AE7" w:rsidP="003E0A02">
            <w:pPr>
              <w:rPr>
                <w:sz w:val="16"/>
                <w:szCs w:val="16"/>
              </w:rPr>
            </w:pPr>
            <w:r w:rsidRPr="00284ABB">
              <w:rPr>
                <w:i/>
                <w:sz w:val="16"/>
                <w:szCs w:val="16"/>
              </w:rPr>
              <w:t>Objetivo original en el presupuesto 2016/17:</w:t>
            </w:r>
            <w:r w:rsidRPr="00284ABB">
              <w:rPr>
                <w:sz w:val="16"/>
                <w:szCs w:val="16"/>
              </w:rPr>
              <w:t xml:space="preserve">  </w:t>
            </w:r>
          </w:p>
          <w:p w:rsidR="002E3AE7" w:rsidRPr="00284ABB" w:rsidRDefault="002E3AE7" w:rsidP="003E0A02">
            <w:pPr>
              <w:rPr>
                <w:sz w:val="16"/>
                <w:szCs w:val="16"/>
              </w:rPr>
            </w:pPr>
            <w:r w:rsidRPr="00284ABB">
              <w:rPr>
                <w:sz w:val="16"/>
                <w:szCs w:val="16"/>
              </w:rPr>
              <w:t>90%</w:t>
            </w:r>
          </w:p>
        </w:tc>
        <w:tc>
          <w:tcPr>
            <w:tcW w:w="1363" w:type="pct"/>
            <w:gridSpan w:val="3"/>
            <w:shd w:val="clear" w:color="auto" w:fill="FFFFFF"/>
            <w:tcMar>
              <w:top w:w="110" w:type="dxa"/>
              <w:left w:w="58" w:type="dxa"/>
              <w:right w:w="58" w:type="dxa"/>
            </w:tcMar>
          </w:tcPr>
          <w:p w:rsidR="002E3AE7" w:rsidRPr="00284ABB" w:rsidRDefault="002E3AE7" w:rsidP="003E0A02">
            <w:pPr>
              <w:keepNext/>
              <w:keepLines/>
              <w:rPr>
                <w:sz w:val="16"/>
                <w:szCs w:val="16"/>
              </w:rPr>
            </w:pPr>
            <w:r w:rsidRPr="00284ABB">
              <w:rPr>
                <w:sz w:val="16"/>
                <w:szCs w:val="16"/>
              </w:rPr>
              <w:t>No se dispone de estadísticas de 2016 porque la herramienta de notificación de consultas (WINS) se reservó para Outlook a fin de mejorar la prestación de servicios a los clientes.</w:t>
            </w:r>
          </w:p>
          <w:p w:rsidR="002E3AE7" w:rsidRPr="00284ABB" w:rsidRDefault="002E3AE7" w:rsidP="003E0A02">
            <w:pPr>
              <w:keepNext/>
              <w:keepLines/>
              <w:rPr>
                <w:sz w:val="16"/>
                <w:szCs w:val="16"/>
              </w:rPr>
            </w:pPr>
          </w:p>
          <w:p w:rsidR="002E3AE7" w:rsidRPr="00284ABB" w:rsidRDefault="002E3AE7" w:rsidP="003E0A02">
            <w:pPr>
              <w:keepNext/>
              <w:keepLines/>
              <w:rPr>
                <w:b/>
                <w:sz w:val="16"/>
                <w:szCs w:val="16"/>
              </w:rPr>
            </w:pP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70C0"/>
                <w:sz w:val="16"/>
                <w:szCs w:val="16"/>
              </w:rPr>
              <w:t>No disponible para 2016</w:t>
            </w:r>
          </w:p>
        </w:tc>
      </w:tr>
      <w:tr w:rsidR="002E3AE7" w:rsidRPr="00284ABB" w:rsidTr="003E0A02">
        <w:trPr>
          <w:trHeight w:val="576"/>
        </w:trPr>
        <w:tc>
          <w:tcPr>
            <w:tcW w:w="1026" w:type="pct"/>
            <w:shd w:val="clear" w:color="auto" w:fill="auto"/>
            <w:tcMar>
              <w:left w:w="58" w:type="dxa"/>
              <w:right w:w="58" w:type="dxa"/>
            </w:tcMar>
          </w:tcPr>
          <w:p w:rsidR="002E3AE7" w:rsidRPr="00284ABB" w:rsidRDefault="002E3AE7" w:rsidP="003E0A02">
            <w:pPr>
              <w:rPr>
                <w:sz w:val="16"/>
                <w:szCs w:val="16"/>
              </w:rPr>
            </w:pPr>
            <w:r w:rsidRPr="00284ABB">
              <w:rPr>
                <w:sz w:val="16"/>
                <w:szCs w:val="16"/>
              </w:rPr>
              <w:t xml:space="preserve">Cobertura de seguros optimizada </w:t>
            </w:r>
          </w:p>
        </w:tc>
        <w:tc>
          <w:tcPr>
            <w:tcW w:w="1212" w:type="pct"/>
            <w:shd w:val="clear" w:color="auto" w:fill="auto"/>
            <w:tcMar>
              <w:left w:w="58" w:type="dxa"/>
              <w:right w:w="58" w:type="dxa"/>
            </w:tcMar>
          </w:tcPr>
          <w:p w:rsidR="002E3AE7" w:rsidRPr="001C3409" w:rsidRDefault="002E3AE7" w:rsidP="003E0A02">
            <w:pPr>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rPr>
                <w:color w:val="002060"/>
                <w:sz w:val="16"/>
                <w:szCs w:val="16"/>
              </w:rPr>
            </w:pPr>
            <w:r w:rsidRPr="001C3409">
              <w:rPr>
                <w:color w:val="002060"/>
                <w:sz w:val="16"/>
                <w:szCs w:val="16"/>
              </w:rPr>
              <w:t>Índice de protección del seguro médico colectivo: 87,7%</w:t>
            </w:r>
          </w:p>
          <w:p w:rsidR="002E3AE7" w:rsidRPr="00284ABB" w:rsidRDefault="002E3AE7" w:rsidP="003E0A02">
            <w:pPr>
              <w:rPr>
                <w:i/>
                <w:sz w:val="16"/>
                <w:szCs w:val="16"/>
              </w:rPr>
            </w:pPr>
          </w:p>
          <w:p w:rsidR="002E3AE7" w:rsidRPr="00284ABB" w:rsidRDefault="002E3AE7" w:rsidP="003E0A02">
            <w:pPr>
              <w:rPr>
                <w:i/>
                <w:sz w:val="16"/>
                <w:szCs w:val="16"/>
              </w:rPr>
            </w:pPr>
            <w:r w:rsidRPr="00284ABB">
              <w:rPr>
                <w:i/>
                <w:sz w:val="16"/>
                <w:szCs w:val="16"/>
              </w:rPr>
              <w:t xml:space="preserve">Referencia original en el presupuesto de 2016/17:  </w:t>
            </w:r>
          </w:p>
          <w:p w:rsidR="002E3AE7" w:rsidRPr="00284ABB" w:rsidRDefault="002E3AE7" w:rsidP="003E0A02">
            <w:pPr>
              <w:spacing w:after="120"/>
              <w:rPr>
                <w:sz w:val="16"/>
                <w:szCs w:val="16"/>
              </w:rPr>
            </w:pPr>
            <w:r w:rsidRPr="00284ABB">
              <w:rPr>
                <w:sz w:val="16"/>
                <w:szCs w:val="16"/>
              </w:rPr>
              <w:t>A determinar a fines de 2015</w:t>
            </w:r>
          </w:p>
        </w:tc>
        <w:tc>
          <w:tcPr>
            <w:tcW w:w="746" w:type="pct"/>
            <w:shd w:val="clear" w:color="auto" w:fill="auto"/>
            <w:tcMar>
              <w:top w:w="110" w:type="dxa"/>
              <w:left w:w="58" w:type="dxa"/>
              <w:right w:w="58" w:type="dxa"/>
            </w:tcMar>
          </w:tcPr>
          <w:p w:rsidR="002E3AE7" w:rsidRPr="00C14FF9" w:rsidRDefault="002E3AE7" w:rsidP="003E0A02">
            <w:pPr>
              <w:ind w:right="-98"/>
              <w:rPr>
                <w:i/>
                <w:color w:val="002060"/>
                <w:sz w:val="16"/>
                <w:szCs w:val="16"/>
              </w:rPr>
            </w:pPr>
            <w:r w:rsidRPr="00284ABB">
              <w:rPr>
                <w:i/>
                <w:sz w:val="16"/>
                <w:szCs w:val="16"/>
              </w:rPr>
              <w:t xml:space="preserve">Objetivo </w:t>
            </w:r>
            <w:r w:rsidRPr="00C14FF9">
              <w:rPr>
                <w:i/>
                <w:color w:val="002060"/>
                <w:sz w:val="16"/>
                <w:szCs w:val="16"/>
              </w:rPr>
              <w:t xml:space="preserve">definido:   </w:t>
            </w:r>
          </w:p>
          <w:p w:rsidR="002E3AE7" w:rsidRPr="00C14FF9" w:rsidRDefault="002E3AE7" w:rsidP="003E0A02">
            <w:pPr>
              <w:rPr>
                <w:color w:val="002060"/>
                <w:sz w:val="16"/>
                <w:szCs w:val="16"/>
              </w:rPr>
            </w:pPr>
            <w:r w:rsidRPr="00C14FF9">
              <w:rPr>
                <w:color w:val="002060"/>
                <w:sz w:val="16"/>
                <w:szCs w:val="16"/>
              </w:rPr>
              <w:t>Mantener el nivel</w:t>
            </w:r>
          </w:p>
          <w:p w:rsidR="002E3AE7" w:rsidRPr="00284ABB" w:rsidRDefault="002E3AE7" w:rsidP="003E0A02">
            <w:pPr>
              <w:rPr>
                <w:sz w:val="16"/>
                <w:szCs w:val="16"/>
              </w:rPr>
            </w:pPr>
          </w:p>
          <w:p w:rsidR="002E3AE7" w:rsidRPr="00284ABB" w:rsidRDefault="002E3AE7" w:rsidP="003E0A02">
            <w:pPr>
              <w:rPr>
                <w:sz w:val="16"/>
                <w:szCs w:val="16"/>
              </w:rPr>
            </w:pPr>
          </w:p>
          <w:p w:rsidR="002E3AE7" w:rsidRPr="00284ABB" w:rsidRDefault="002E3AE7" w:rsidP="003E0A02">
            <w:pPr>
              <w:rPr>
                <w:sz w:val="16"/>
                <w:szCs w:val="16"/>
              </w:rPr>
            </w:pPr>
          </w:p>
          <w:p w:rsidR="002E3AE7" w:rsidRPr="00284ABB" w:rsidRDefault="002E3AE7" w:rsidP="003E0A02">
            <w:pPr>
              <w:rPr>
                <w:i/>
                <w:sz w:val="16"/>
                <w:szCs w:val="16"/>
              </w:rPr>
            </w:pPr>
            <w:r w:rsidRPr="00284ABB">
              <w:rPr>
                <w:i/>
                <w:sz w:val="16"/>
                <w:szCs w:val="16"/>
              </w:rPr>
              <w:t xml:space="preserve">Objetivo original en el presupuesto 2016/17:  </w:t>
            </w:r>
          </w:p>
          <w:p w:rsidR="002E3AE7" w:rsidRPr="00284ABB" w:rsidRDefault="002E3AE7" w:rsidP="003E0A02">
            <w:pPr>
              <w:rPr>
                <w:sz w:val="16"/>
                <w:szCs w:val="16"/>
              </w:rPr>
            </w:pPr>
            <w:r w:rsidRPr="00284ABB">
              <w:rPr>
                <w:sz w:val="16"/>
                <w:szCs w:val="16"/>
              </w:rPr>
              <w:t>A determinar a fines de 2015</w:t>
            </w:r>
            <w:r>
              <w:rPr>
                <w:sz w:val="16"/>
                <w:szCs w:val="16"/>
              </w:rPr>
              <w:br/>
            </w:r>
          </w:p>
        </w:tc>
        <w:tc>
          <w:tcPr>
            <w:tcW w:w="1363" w:type="pct"/>
            <w:gridSpan w:val="3"/>
            <w:shd w:val="clear" w:color="auto" w:fill="FFFFFF"/>
            <w:tcMar>
              <w:top w:w="110" w:type="dxa"/>
              <w:left w:w="58" w:type="dxa"/>
              <w:right w:w="58" w:type="dxa"/>
            </w:tcMar>
          </w:tcPr>
          <w:p w:rsidR="002E3AE7" w:rsidRPr="00284ABB" w:rsidRDefault="002E3AE7" w:rsidP="003E0A02">
            <w:pPr>
              <w:keepNext/>
              <w:keepLines/>
              <w:rPr>
                <w:b/>
                <w:sz w:val="16"/>
                <w:szCs w:val="16"/>
              </w:rPr>
            </w:pPr>
            <w:r w:rsidRPr="00284ABB">
              <w:rPr>
                <w:sz w:val="16"/>
                <w:szCs w:val="16"/>
              </w:rPr>
              <w:t>87,8%</w:t>
            </w:r>
            <w:r w:rsidRPr="00284ABB" w:rsidDel="00E53F17">
              <w:rPr>
                <w:sz w:val="16"/>
                <w:szCs w:val="16"/>
              </w:rPr>
              <w:t xml:space="preserve"> </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bCs/>
                <w:sz w:val="16"/>
                <w:szCs w:val="16"/>
              </w:rPr>
            </w:pPr>
            <w:r w:rsidRPr="00284ABB">
              <w:rPr>
                <w:b/>
                <w:bCs/>
                <w:color w:val="00B050"/>
                <w:sz w:val="16"/>
                <w:szCs w:val="16"/>
              </w:rPr>
              <w:t>Avanza</w:t>
            </w:r>
          </w:p>
          <w:p w:rsidR="002E3AE7" w:rsidRPr="00284ABB" w:rsidRDefault="002E3AE7" w:rsidP="003E0A02">
            <w:pPr>
              <w:keepNext/>
              <w:keepLines/>
              <w:jc w:val="center"/>
              <w:rPr>
                <w:b/>
                <w:sz w:val="16"/>
                <w:szCs w:val="16"/>
              </w:rPr>
            </w:pPr>
          </w:p>
        </w:tc>
      </w:tr>
      <w:tr w:rsidR="002E3AE7" w:rsidRPr="003D559A" w:rsidTr="003E0A02">
        <w:trPr>
          <w:trHeight w:val="567"/>
        </w:trPr>
        <w:tc>
          <w:tcPr>
            <w:tcW w:w="5000" w:type="pct"/>
            <w:gridSpan w:val="7"/>
            <w:shd w:val="clear" w:color="auto" w:fill="C6D9F1" w:themeFill="text2" w:themeFillTint="33"/>
            <w:tcMar>
              <w:left w:w="58" w:type="dxa"/>
              <w:right w:w="58" w:type="dxa"/>
            </w:tcMar>
            <w:vAlign w:val="center"/>
          </w:tcPr>
          <w:p w:rsidR="002E3AE7" w:rsidRPr="00284ABB" w:rsidRDefault="002E3AE7" w:rsidP="003E0A02">
            <w:pPr>
              <w:keepNext/>
              <w:keepLines/>
              <w:tabs>
                <w:tab w:val="left" w:pos="1452"/>
              </w:tabs>
              <w:ind w:left="1701" w:hanging="1701"/>
              <w:rPr>
                <w:bCs/>
                <w:sz w:val="16"/>
                <w:szCs w:val="16"/>
              </w:rPr>
            </w:pPr>
            <w:r w:rsidRPr="00284ABB">
              <w:rPr>
                <w:b/>
                <w:bCs/>
                <w:sz w:val="16"/>
                <w:szCs w:val="16"/>
              </w:rPr>
              <w:t>Resultado previsto:</w:t>
            </w:r>
            <w:r w:rsidRPr="00284ABB">
              <w:rPr>
                <w:b/>
                <w:bCs/>
                <w:sz w:val="16"/>
                <w:szCs w:val="16"/>
              </w:rPr>
              <w:tab/>
            </w:r>
            <w:r w:rsidRPr="00284ABB">
              <w:rPr>
                <w:bCs/>
                <w:sz w:val="16"/>
                <w:szCs w:val="16"/>
              </w:rPr>
              <w:t>IX.2  Funcionamiento sin contratiempos de la Secretaría, provista de un personal bien dirigido, dotado de las competencias adecuadas, y capaz de conseguir resultados</w:t>
            </w:r>
          </w:p>
        </w:tc>
      </w:tr>
      <w:tr w:rsidR="002E3AE7" w:rsidRPr="00284ABB" w:rsidTr="003E0A02">
        <w:trPr>
          <w:trHeight w:val="288"/>
        </w:trPr>
        <w:tc>
          <w:tcPr>
            <w:tcW w:w="1026" w:type="pct"/>
            <w:shd w:val="clear" w:color="auto" w:fill="auto"/>
            <w:tcMar>
              <w:left w:w="58" w:type="dxa"/>
              <w:right w:w="58" w:type="dxa"/>
            </w:tcMar>
            <w:vAlign w:val="center"/>
          </w:tcPr>
          <w:p w:rsidR="002E3AE7" w:rsidRPr="00284ABB" w:rsidRDefault="002E3AE7" w:rsidP="003E0A02">
            <w:pPr>
              <w:rPr>
                <w:b/>
                <w:bCs/>
                <w:sz w:val="16"/>
                <w:szCs w:val="16"/>
              </w:rPr>
            </w:pPr>
            <w:r w:rsidRPr="00284ABB">
              <w:rPr>
                <w:b/>
                <w:bCs/>
                <w:sz w:val="16"/>
                <w:szCs w:val="16"/>
              </w:rPr>
              <w:t>Indicadores de rendimiento</w:t>
            </w:r>
          </w:p>
        </w:tc>
        <w:tc>
          <w:tcPr>
            <w:tcW w:w="1212" w:type="pct"/>
            <w:shd w:val="clear" w:color="auto" w:fill="auto"/>
            <w:tcMar>
              <w:left w:w="58" w:type="dxa"/>
              <w:right w:w="58" w:type="dxa"/>
            </w:tcMar>
            <w:vAlign w:val="center"/>
          </w:tcPr>
          <w:p w:rsidR="002E3AE7" w:rsidRPr="00284ABB" w:rsidRDefault="002E3AE7" w:rsidP="003E0A02">
            <w:pPr>
              <w:rPr>
                <w:b/>
                <w:bCs/>
                <w:sz w:val="16"/>
                <w:szCs w:val="16"/>
              </w:rPr>
            </w:pPr>
            <w:r w:rsidRPr="00284ABB">
              <w:rPr>
                <w:b/>
                <w:bCs/>
                <w:sz w:val="16"/>
                <w:szCs w:val="16"/>
              </w:rPr>
              <w:t>Referencias de base</w:t>
            </w:r>
          </w:p>
        </w:tc>
        <w:tc>
          <w:tcPr>
            <w:tcW w:w="971" w:type="pct"/>
            <w:gridSpan w:val="2"/>
            <w:shd w:val="clear" w:color="auto" w:fill="auto"/>
            <w:tcMar>
              <w:top w:w="110" w:type="dxa"/>
              <w:left w:w="58" w:type="dxa"/>
              <w:right w:w="58" w:type="dxa"/>
            </w:tcMar>
            <w:vAlign w:val="center"/>
          </w:tcPr>
          <w:p w:rsidR="002E3AE7" w:rsidRPr="00284ABB" w:rsidRDefault="002E3AE7" w:rsidP="003E0A02">
            <w:pPr>
              <w:rPr>
                <w:b/>
                <w:bCs/>
                <w:sz w:val="16"/>
                <w:szCs w:val="16"/>
              </w:rPr>
            </w:pPr>
            <w:r w:rsidRPr="00284ABB">
              <w:rPr>
                <w:b/>
                <w:bCs/>
                <w:sz w:val="16"/>
                <w:szCs w:val="16"/>
              </w:rPr>
              <w:t>Objetivos</w:t>
            </w:r>
          </w:p>
        </w:tc>
        <w:tc>
          <w:tcPr>
            <w:tcW w:w="1139" w:type="pct"/>
            <w:gridSpan w:val="2"/>
            <w:shd w:val="clear" w:color="auto" w:fill="FFFFFF"/>
            <w:tcMar>
              <w:top w:w="110" w:type="dxa"/>
              <w:left w:w="58" w:type="dxa"/>
              <w:right w:w="58" w:type="dxa"/>
            </w:tcMar>
            <w:vAlign w:val="center"/>
          </w:tcPr>
          <w:p w:rsidR="002E3AE7" w:rsidRPr="00284ABB" w:rsidRDefault="002E3AE7" w:rsidP="003E0A02">
            <w:pPr>
              <w:rPr>
                <w:b/>
                <w:bCs/>
                <w:sz w:val="16"/>
                <w:szCs w:val="16"/>
              </w:rPr>
            </w:pPr>
            <w:r w:rsidRPr="00284ABB">
              <w:rPr>
                <w:b/>
                <w:bCs/>
                <w:sz w:val="16"/>
                <w:szCs w:val="16"/>
              </w:rPr>
              <w:t>Datos sobre el rendimiento</w:t>
            </w:r>
          </w:p>
        </w:tc>
        <w:tc>
          <w:tcPr>
            <w:tcW w:w="653" w:type="pct"/>
            <w:shd w:val="clear" w:color="auto" w:fill="auto"/>
            <w:tcMar>
              <w:top w:w="110" w:type="dxa"/>
              <w:left w:w="58" w:type="dxa"/>
              <w:right w:w="58" w:type="dxa"/>
            </w:tcMar>
            <w:vAlign w:val="center"/>
          </w:tcPr>
          <w:p w:rsidR="002E3AE7" w:rsidRPr="00284ABB" w:rsidRDefault="002E3AE7" w:rsidP="003E0A02">
            <w:pPr>
              <w:keepNext/>
              <w:keepLines/>
              <w:jc w:val="center"/>
              <w:rPr>
                <w:b/>
                <w:bCs/>
                <w:sz w:val="16"/>
                <w:szCs w:val="16"/>
              </w:rPr>
            </w:pPr>
            <w:r w:rsidRPr="00284ABB">
              <w:rPr>
                <w:b/>
                <w:bCs/>
                <w:sz w:val="16"/>
                <w:szCs w:val="16"/>
              </w:rPr>
              <w:t>Clave de colores</w:t>
            </w:r>
          </w:p>
        </w:tc>
      </w:tr>
      <w:tr w:rsidR="002E3AE7" w:rsidRPr="003D559A" w:rsidTr="003E0A02">
        <w:trPr>
          <w:trHeight w:val="2856"/>
        </w:trPr>
        <w:tc>
          <w:tcPr>
            <w:tcW w:w="1026" w:type="pct"/>
            <w:shd w:val="clear" w:color="auto" w:fill="auto"/>
            <w:tcMar>
              <w:left w:w="58" w:type="dxa"/>
              <w:right w:w="58" w:type="dxa"/>
            </w:tcMar>
          </w:tcPr>
          <w:p w:rsidR="002E3AE7" w:rsidRPr="00284ABB" w:rsidRDefault="002E3AE7" w:rsidP="003E0A02">
            <w:pPr>
              <w:rPr>
                <w:sz w:val="16"/>
                <w:szCs w:val="16"/>
              </w:rPr>
            </w:pPr>
            <w:r w:rsidRPr="00284ABB">
              <w:rPr>
                <w:sz w:val="16"/>
                <w:szCs w:val="16"/>
              </w:rPr>
              <w:t xml:space="preserve">% de mujeres que ocupan puestos en las categorías profesional y  superiores </w:t>
            </w:r>
          </w:p>
          <w:p w:rsidR="002E3AE7" w:rsidRPr="00284ABB" w:rsidRDefault="002E3AE7" w:rsidP="003E0A02">
            <w:pPr>
              <w:rPr>
                <w:sz w:val="16"/>
                <w:szCs w:val="16"/>
              </w:rPr>
            </w:pPr>
          </w:p>
          <w:p w:rsidR="002E3AE7" w:rsidRPr="00284ABB" w:rsidRDefault="002E3AE7" w:rsidP="003E0A02">
            <w:pPr>
              <w:rPr>
                <w:sz w:val="16"/>
                <w:szCs w:val="16"/>
              </w:rPr>
            </w:pPr>
          </w:p>
        </w:tc>
        <w:tc>
          <w:tcPr>
            <w:tcW w:w="1212" w:type="pct"/>
            <w:shd w:val="clear" w:color="auto" w:fill="auto"/>
            <w:tcMar>
              <w:left w:w="58" w:type="dxa"/>
              <w:right w:w="58" w:type="dxa"/>
            </w:tcMar>
          </w:tcPr>
          <w:p w:rsidR="002E3AE7" w:rsidRPr="00284ABB" w:rsidRDefault="002E3AE7" w:rsidP="003E0A02">
            <w:pPr>
              <w:rPr>
                <w:i/>
                <w:sz w:val="16"/>
                <w:szCs w:val="16"/>
              </w:rPr>
            </w:pPr>
            <w:r w:rsidRPr="00284ABB">
              <w:rPr>
                <w:i/>
                <w:sz w:val="16"/>
                <w:szCs w:val="16"/>
              </w:rPr>
              <w:t xml:space="preserve">Referencia actualizada:  </w:t>
            </w:r>
          </w:p>
          <w:p w:rsidR="002E3AE7" w:rsidRPr="00284ABB" w:rsidRDefault="002E3AE7" w:rsidP="003E0A02">
            <w:pPr>
              <w:rPr>
                <w:sz w:val="16"/>
                <w:szCs w:val="16"/>
              </w:rPr>
            </w:pPr>
            <w:r w:rsidRPr="00284ABB">
              <w:rPr>
                <w:sz w:val="16"/>
                <w:szCs w:val="16"/>
              </w:rPr>
              <w:t>P4 – 46,1%</w:t>
            </w:r>
          </w:p>
          <w:p w:rsidR="002E3AE7" w:rsidRPr="00284ABB" w:rsidRDefault="002E3AE7" w:rsidP="003E0A02">
            <w:pPr>
              <w:rPr>
                <w:sz w:val="6"/>
                <w:szCs w:val="16"/>
              </w:rPr>
            </w:pPr>
          </w:p>
          <w:p w:rsidR="002E3AE7" w:rsidRPr="00284ABB" w:rsidRDefault="002E3AE7" w:rsidP="003E0A02">
            <w:pPr>
              <w:rPr>
                <w:sz w:val="16"/>
                <w:szCs w:val="16"/>
              </w:rPr>
            </w:pPr>
            <w:r w:rsidRPr="00284ABB">
              <w:rPr>
                <w:sz w:val="16"/>
                <w:szCs w:val="16"/>
              </w:rPr>
              <w:t>P5 – 34,1%</w:t>
            </w:r>
          </w:p>
          <w:p w:rsidR="002E3AE7" w:rsidRPr="00284ABB" w:rsidRDefault="002E3AE7" w:rsidP="003E0A02">
            <w:pPr>
              <w:rPr>
                <w:sz w:val="6"/>
                <w:szCs w:val="16"/>
              </w:rPr>
            </w:pPr>
          </w:p>
          <w:p w:rsidR="002E3AE7" w:rsidRPr="00284ABB" w:rsidRDefault="002E3AE7" w:rsidP="003E0A02">
            <w:pPr>
              <w:rPr>
                <w:sz w:val="16"/>
                <w:szCs w:val="16"/>
              </w:rPr>
            </w:pPr>
            <w:r w:rsidRPr="00284ABB">
              <w:rPr>
                <w:sz w:val="16"/>
                <w:szCs w:val="16"/>
              </w:rPr>
              <w:t>D1 – 26,5%</w:t>
            </w:r>
          </w:p>
          <w:p w:rsidR="002E3AE7" w:rsidRPr="00284ABB" w:rsidRDefault="002E3AE7" w:rsidP="003E0A02">
            <w:pPr>
              <w:rPr>
                <w:sz w:val="6"/>
                <w:szCs w:val="16"/>
              </w:rPr>
            </w:pPr>
          </w:p>
          <w:p w:rsidR="002E3AE7" w:rsidRPr="00284ABB" w:rsidRDefault="002E3AE7" w:rsidP="003E0A02">
            <w:pPr>
              <w:rPr>
                <w:sz w:val="16"/>
                <w:szCs w:val="16"/>
              </w:rPr>
            </w:pPr>
            <w:r w:rsidRPr="00284ABB">
              <w:rPr>
                <w:sz w:val="16"/>
                <w:szCs w:val="16"/>
              </w:rPr>
              <w:t>D2 – 22,2%</w:t>
            </w:r>
          </w:p>
          <w:p w:rsidR="002E3AE7" w:rsidRPr="00284ABB" w:rsidRDefault="002E3AE7" w:rsidP="003E0A02">
            <w:pPr>
              <w:rPr>
                <w:sz w:val="16"/>
                <w:szCs w:val="16"/>
              </w:rPr>
            </w:pPr>
            <w:r w:rsidRPr="00284ABB">
              <w:rPr>
                <w:sz w:val="16"/>
                <w:szCs w:val="16"/>
              </w:rPr>
              <w:t>(fines de 2015)</w:t>
            </w:r>
          </w:p>
          <w:p w:rsidR="002E3AE7" w:rsidRPr="00284ABB" w:rsidRDefault="002E3AE7" w:rsidP="003E0A02">
            <w:pPr>
              <w:rPr>
                <w:i/>
                <w:sz w:val="16"/>
                <w:szCs w:val="16"/>
              </w:rPr>
            </w:pPr>
          </w:p>
          <w:p w:rsidR="002E3AE7" w:rsidRPr="00284ABB" w:rsidRDefault="002E3AE7" w:rsidP="003E0A02">
            <w:pPr>
              <w:rPr>
                <w:i/>
                <w:sz w:val="16"/>
                <w:szCs w:val="16"/>
              </w:rPr>
            </w:pPr>
            <w:r w:rsidRPr="00284ABB">
              <w:rPr>
                <w:i/>
                <w:sz w:val="16"/>
                <w:szCs w:val="16"/>
              </w:rPr>
              <w:t xml:space="preserve">Referencia original en el presupuesto de 2016/17:  </w:t>
            </w:r>
          </w:p>
          <w:p w:rsidR="002E3AE7" w:rsidRPr="00284ABB" w:rsidRDefault="002E3AE7" w:rsidP="003E0A02">
            <w:pPr>
              <w:rPr>
                <w:sz w:val="16"/>
                <w:szCs w:val="16"/>
              </w:rPr>
            </w:pPr>
            <w:r w:rsidRPr="00284ABB">
              <w:rPr>
                <w:sz w:val="16"/>
                <w:szCs w:val="16"/>
              </w:rPr>
              <w:t>P4 –44,4%</w:t>
            </w:r>
          </w:p>
          <w:p w:rsidR="002E3AE7" w:rsidRPr="00284ABB" w:rsidRDefault="002E3AE7" w:rsidP="003E0A02">
            <w:pPr>
              <w:rPr>
                <w:sz w:val="16"/>
                <w:szCs w:val="16"/>
              </w:rPr>
            </w:pPr>
            <w:r w:rsidRPr="00284ABB">
              <w:rPr>
                <w:sz w:val="16"/>
                <w:szCs w:val="16"/>
              </w:rPr>
              <w:t>P5 –34,4%</w:t>
            </w:r>
          </w:p>
          <w:p w:rsidR="002E3AE7" w:rsidRPr="00284ABB" w:rsidRDefault="002E3AE7" w:rsidP="003E0A02">
            <w:pPr>
              <w:rPr>
                <w:sz w:val="16"/>
                <w:szCs w:val="16"/>
              </w:rPr>
            </w:pPr>
            <w:r w:rsidRPr="00284ABB">
              <w:rPr>
                <w:sz w:val="16"/>
                <w:szCs w:val="16"/>
              </w:rPr>
              <w:t xml:space="preserve">D1 –26,7% </w:t>
            </w:r>
          </w:p>
          <w:p w:rsidR="002E3AE7" w:rsidRPr="00284ABB" w:rsidRDefault="002E3AE7" w:rsidP="003E0A02">
            <w:pPr>
              <w:rPr>
                <w:sz w:val="16"/>
                <w:szCs w:val="16"/>
              </w:rPr>
            </w:pPr>
            <w:r w:rsidRPr="00284ABB">
              <w:rPr>
                <w:sz w:val="16"/>
                <w:szCs w:val="16"/>
              </w:rPr>
              <w:t xml:space="preserve">D2 –22,2% </w:t>
            </w:r>
          </w:p>
          <w:p w:rsidR="002E3AE7" w:rsidRPr="00284ABB" w:rsidRDefault="002E3AE7" w:rsidP="003E0A02">
            <w:pPr>
              <w:spacing w:after="120"/>
              <w:rPr>
                <w:sz w:val="16"/>
                <w:szCs w:val="16"/>
              </w:rPr>
            </w:pPr>
            <w:r w:rsidRPr="00284ABB">
              <w:rPr>
                <w:sz w:val="16"/>
                <w:szCs w:val="16"/>
              </w:rPr>
              <w:t>(Dic. 2014)</w:t>
            </w:r>
          </w:p>
        </w:tc>
        <w:tc>
          <w:tcPr>
            <w:tcW w:w="971" w:type="pct"/>
            <w:gridSpan w:val="2"/>
            <w:shd w:val="clear" w:color="auto" w:fill="auto"/>
            <w:tcMar>
              <w:top w:w="110" w:type="dxa"/>
              <w:left w:w="58" w:type="dxa"/>
              <w:right w:w="58" w:type="dxa"/>
            </w:tcMar>
          </w:tcPr>
          <w:p w:rsidR="002E3AE7" w:rsidRPr="00C14FF9" w:rsidRDefault="002E3AE7" w:rsidP="003E0A02">
            <w:pPr>
              <w:rPr>
                <w:i/>
                <w:color w:val="002060"/>
                <w:sz w:val="16"/>
                <w:szCs w:val="16"/>
              </w:rPr>
            </w:pPr>
            <w:r w:rsidRPr="00C14FF9">
              <w:rPr>
                <w:i/>
                <w:color w:val="002060"/>
                <w:sz w:val="16"/>
                <w:szCs w:val="16"/>
              </w:rPr>
              <w:t xml:space="preserve">Objetivo actualizado:  </w:t>
            </w:r>
          </w:p>
          <w:p w:rsidR="002E3AE7" w:rsidRPr="00C14FF9" w:rsidRDefault="002E3AE7" w:rsidP="003E0A02">
            <w:pPr>
              <w:rPr>
                <w:color w:val="002060"/>
                <w:sz w:val="16"/>
                <w:szCs w:val="16"/>
              </w:rPr>
            </w:pPr>
            <w:r w:rsidRPr="00C14FF9">
              <w:rPr>
                <w:color w:val="002060"/>
                <w:sz w:val="16"/>
                <w:szCs w:val="16"/>
              </w:rPr>
              <w:t xml:space="preserve">P4 – 47% </w:t>
            </w:r>
          </w:p>
          <w:p w:rsidR="002E3AE7" w:rsidRPr="00C14FF9" w:rsidRDefault="002E3AE7" w:rsidP="003E0A02">
            <w:pPr>
              <w:rPr>
                <w:color w:val="002060"/>
                <w:sz w:val="6"/>
                <w:szCs w:val="16"/>
              </w:rPr>
            </w:pPr>
          </w:p>
          <w:p w:rsidR="002E3AE7" w:rsidRPr="00C14FF9" w:rsidRDefault="002E3AE7" w:rsidP="003E0A02">
            <w:pPr>
              <w:rPr>
                <w:color w:val="002060"/>
                <w:sz w:val="16"/>
                <w:szCs w:val="16"/>
              </w:rPr>
            </w:pPr>
            <w:r w:rsidRPr="00C14FF9">
              <w:rPr>
                <w:color w:val="002060"/>
                <w:sz w:val="16"/>
                <w:szCs w:val="16"/>
              </w:rPr>
              <w:t xml:space="preserve">P5 – 35% </w:t>
            </w:r>
          </w:p>
          <w:p w:rsidR="002E3AE7" w:rsidRPr="00C14FF9" w:rsidRDefault="002E3AE7" w:rsidP="003E0A02">
            <w:pPr>
              <w:rPr>
                <w:color w:val="002060"/>
                <w:sz w:val="6"/>
                <w:szCs w:val="16"/>
              </w:rPr>
            </w:pPr>
          </w:p>
          <w:p w:rsidR="002E3AE7" w:rsidRPr="00C14FF9" w:rsidRDefault="002E3AE7" w:rsidP="003E0A02">
            <w:pPr>
              <w:rPr>
                <w:color w:val="002060"/>
                <w:sz w:val="16"/>
                <w:szCs w:val="16"/>
              </w:rPr>
            </w:pPr>
            <w:r w:rsidRPr="00C14FF9">
              <w:rPr>
                <w:color w:val="002060"/>
                <w:sz w:val="16"/>
                <w:szCs w:val="16"/>
              </w:rPr>
              <w:t xml:space="preserve">D1 – 30% </w:t>
            </w:r>
          </w:p>
          <w:p w:rsidR="002E3AE7" w:rsidRPr="00C14FF9" w:rsidRDefault="002E3AE7" w:rsidP="003E0A02">
            <w:pPr>
              <w:rPr>
                <w:color w:val="002060"/>
                <w:sz w:val="6"/>
                <w:szCs w:val="16"/>
              </w:rPr>
            </w:pPr>
          </w:p>
          <w:p w:rsidR="002E3AE7" w:rsidRPr="00C14FF9" w:rsidRDefault="002E3AE7" w:rsidP="003E0A02">
            <w:pPr>
              <w:rPr>
                <w:color w:val="002060"/>
                <w:sz w:val="16"/>
                <w:szCs w:val="16"/>
              </w:rPr>
            </w:pPr>
            <w:r w:rsidRPr="00C14FF9">
              <w:rPr>
                <w:color w:val="002060"/>
                <w:sz w:val="16"/>
                <w:szCs w:val="16"/>
              </w:rPr>
              <w:t xml:space="preserve">D2 – 30% </w:t>
            </w:r>
          </w:p>
          <w:p w:rsidR="002E3AE7" w:rsidRPr="00284ABB" w:rsidRDefault="002E3AE7" w:rsidP="003E0A02">
            <w:pPr>
              <w:keepNext/>
              <w:keepLines/>
              <w:rPr>
                <w:sz w:val="16"/>
                <w:szCs w:val="16"/>
              </w:rPr>
            </w:pPr>
          </w:p>
          <w:p w:rsidR="002E3AE7" w:rsidRPr="00284ABB" w:rsidRDefault="002E3AE7" w:rsidP="003E0A02">
            <w:pPr>
              <w:keepNext/>
              <w:keepLines/>
              <w:rPr>
                <w:sz w:val="16"/>
                <w:szCs w:val="16"/>
              </w:rPr>
            </w:pPr>
          </w:p>
          <w:p w:rsidR="002E3AE7" w:rsidRPr="00284ABB" w:rsidRDefault="002E3AE7" w:rsidP="003E0A02">
            <w:pPr>
              <w:rPr>
                <w:i/>
                <w:sz w:val="16"/>
                <w:szCs w:val="16"/>
                <w:lang w:bidi="th-TH"/>
              </w:rPr>
            </w:pPr>
            <w:r w:rsidRPr="00284ABB">
              <w:rPr>
                <w:i/>
                <w:sz w:val="16"/>
                <w:szCs w:val="16"/>
                <w:lang w:bidi="th-TH"/>
              </w:rPr>
              <w:t xml:space="preserve">Objetivo original en el presup. 2016/17:  </w:t>
            </w:r>
          </w:p>
          <w:p w:rsidR="002E3AE7" w:rsidRPr="00284ABB" w:rsidRDefault="002E3AE7" w:rsidP="003E0A02">
            <w:pPr>
              <w:rPr>
                <w:sz w:val="16"/>
                <w:szCs w:val="16"/>
              </w:rPr>
            </w:pPr>
            <w:r w:rsidRPr="00284ABB">
              <w:rPr>
                <w:sz w:val="16"/>
                <w:szCs w:val="16"/>
              </w:rPr>
              <w:t xml:space="preserve">P4 – 46% </w:t>
            </w:r>
          </w:p>
          <w:p w:rsidR="002E3AE7" w:rsidRPr="00284ABB" w:rsidRDefault="002E3AE7" w:rsidP="003E0A02">
            <w:pPr>
              <w:rPr>
                <w:sz w:val="16"/>
                <w:szCs w:val="16"/>
              </w:rPr>
            </w:pPr>
            <w:r w:rsidRPr="00284ABB">
              <w:rPr>
                <w:sz w:val="16"/>
                <w:szCs w:val="16"/>
              </w:rPr>
              <w:t xml:space="preserve">P5 – 35% </w:t>
            </w:r>
          </w:p>
          <w:p w:rsidR="002E3AE7" w:rsidRPr="00284ABB" w:rsidRDefault="002E3AE7" w:rsidP="003E0A02">
            <w:pPr>
              <w:rPr>
                <w:sz w:val="16"/>
                <w:szCs w:val="16"/>
              </w:rPr>
            </w:pPr>
            <w:r w:rsidRPr="00284ABB">
              <w:rPr>
                <w:sz w:val="16"/>
                <w:szCs w:val="16"/>
              </w:rPr>
              <w:t xml:space="preserve">D1 – 30% </w:t>
            </w:r>
          </w:p>
          <w:p w:rsidR="002E3AE7" w:rsidRPr="00284ABB" w:rsidRDefault="002E3AE7" w:rsidP="003E0A02">
            <w:pPr>
              <w:rPr>
                <w:sz w:val="16"/>
                <w:szCs w:val="16"/>
              </w:rPr>
            </w:pPr>
            <w:r w:rsidRPr="00284ABB">
              <w:rPr>
                <w:sz w:val="16"/>
                <w:szCs w:val="16"/>
              </w:rPr>
              <w:t xml:space="preserve">D2 – 30% </w:t>
            </w:r>
          </w:p>
        </w:tc>
        <w:tc>
          <w:tcPr>
            <w:tcW w:w="1139" w:type="pct"/>
            <w:gridSpan w:val="2"/>
            <w:shd w:val="clear" w:color="auto" w:fill="FFFFFF"/>
            <w:tcMar>
              <w:top w:w="110" w:type="dxa"/>
              <w:left w:w="58" w:type="dxa"/>
              <w:right w:w="58" w:type="dxa"/>
            </w:tcMar>
          </w:tcPr>
          <w:p w:rsidR="002E3AE7" w:rsidRPr="00284ABB" w:rsidRDefault="002E3AE7" w:rsidP="003E0A02">
            <w:pPr>
              <w:rPr>
                <w:sz w:val="16"/>
                <w:szCs w:val="16"/>
              </w:rPr>
            </w:pPr>
            <w:r w:rsidRPr="00284ABB">
              <w:rPr>
                <w:sz w:val="16"/>
                <w:szCs w:val="16"/>
              </w:rPr>
              <w:br/>
            </w:r>
          </w:p>
          <w:p w:rsidR="002E3AE7" w:rsidRPr="00284ABB" w:rsidRDefault="002E3AE7" w:rsidP="003E0A02">
            <w:pPr>
              <w:rPr>
                <w:sz w:val="16"/>
                <w:szCs w:val="16"/>
              </w:rPr>
            </w:pPr>
            <w:r w:rsidRPr="00284ABB">
              <w:rPr>
                <w:sz w:val="16"/>
                <w:szCs w:val="16"/>
              </w:rPr>
              <w:t xml:space="preserve">P4 – 45,6% </w:t>
            </w:r>
          </w:p>
          <w:p w:rsidR="002E3AE7" w:rsidRPr="00284ABB" w:rsidRDefault="002E3AE7" w:rsidP="003E0A02">
            <w:pPr>
              <w:rPr>
                <w:sz w:val="6"/>
                <w:szCs w:val="16"/>
              </w:rPr>
            </w:pPr>
          </w:p>
          <w:p w:rsidR="002E3AE7" w:rsidRPr="00284ABB" w:rsidRDefault="002E3AE7" w:rsidP="003E0A02">
            <w:pPr>
              <w:rPr>
                <w:sz w:val="16"/>
                <w:szCs w:val="16"/>
              </w:rPr>
            </w:pPr>
            <w:r w:rsidRPr="00284ABB">
              <w:rPr>
                <w:sz w:val="16"/>
                <w:szCs w:val="16"/>
              </w:rPr>
              <w:t xml:space="preserve">P5 – 35,6% </w:t>
            </w:r>
          </w:p>
          <w:p w:rsidR="002E3AE7" w:rsidRPr="00284ABB" w:rsidRDefault="002E3AE7" w:rsidP="003E0A02">
            <w:pPr>
              <w:rPr>
                <w:sz w:val="6"/>
                <w:szCs w:val="16"/>
              </w:rPr>
            </w:pPr>
          </w:p>
          <w:p w:rsidR="002E3AE7" w:rsidRPr="00284ABB" w:rsidRDefault="002E3AE7" w:rsidP="003E0A02">
            <w:pPr>
              <w:rPr>
                <w:sz w:val="16"/>
                <w:szCs w:val="16"/>
              </w:rPr>
            </w:pPr>
            <w:r w:rsidRPr="00284ABB">
              <w:rPr>
                <w:sz w:val="16"/>
                <w:szCs w:val="16"/>
              </w:rPr>
              <w:t xml:space="preserve">D1 – 30,0% </w:t>
            </w:r>
          </w:p>
          <w:p w:rsidR="002E3AE7" w:rsidRPr="00284ABB" w:rsidRDefault="002E3AE7" w:rsidP="003E0A02">
            <w:pPr>
              <w:rPr>
                <w:sz w:val="6"/>
                <w:szCs w:val="6"/>
              </w:rPr>
            </w:pPr>
          </w:p>
          <w:p w:rsidR="002E3AE7" w:rsidRPr="00284ABB" w:rsidRDefault="002E3AE7" w:rsidP="003E0A02">
            <w:pPr>
              <w:rPr>
                <w:sz w:val="16"/>
                <w:szCs w:val="16"/>
              </w:rPr>
            </w:pPr>
            <w:r w:rsidRPr="00284ABB">
              <w:rPr>
                <w:sz w:val="16"/>
                <w:szCs w:val="16"/>
              </w:rPr>
              <w:t>D2 – 16,7%</w:t>
            </w:r>
          </w:p>
          <w:p w:rsidR="002E3AE7" w:rsidRPr="00284ABB" w:rsidRDefault="002E3AE7" w:rsidP="003E0A02">
            <w:pPr>
              <w:rPr>
                <w:sz w:val="16"/>
                <w:szCs w:val="16"/>
              </w:rPr>
            </w:pPr>
          </w:p>
        </w:tc>
        <w:tc>
          <w:tcPr>
            <w:tcW w:w="653" w:type="pct"/>
            <w:shd w:val="clear" w:color="auto" w:fill="auto"/>
            <w:tcMar>
              <w:top w:w="110" w:type="dxa"/>
              <w:left w:w="58" w:type="dxa"/>
              <w:right w:w="58" w:type="dxa"/>
            </w:tcMar>
          </w:tcPr>
          <w:p w:rsidR="002E3AE7" w:rsidRPr="00284ABB" w:rsidRDefault="002E3AE7" w:rsidP="003E0A02">
            <w:pPr>
              <w:keepNext/>
              <w:keepLines/>
              <w:jc w:val="center"/>
              <w:rPr>
                <w:b/>
                <w:bCs/>
                <w:sz w:val="16"/>
                <w:szCs w:val="16"/>
              </w:rPr>
            </w:pPr>
            <w:r w:rsidRPr="00284ABB">
              <w:rPr>
                <w:b/>
                <w:bCs/>
                <w:sz w:val="16"/>
                <w:szCs w:val="16"/>
              </w:rPr>
              <w:br/>
            </w:r>
          </w:p>
          <w:p w:rsidR="002E3AE7" w:rsidRPr="00284ABB" w:rsidRDefault="002E3AE7" w:rsidP="003E0A02">
            <w:pPr>
              <w:keepNext/>
              <w:keepLines/>
              <w:jc w:val="center"/>
              <w:rPr>
                <w:b/>
                <w:bCs/>
                <w:sz w:val="16"/>
                <w:szCs w:val="16"/>
              </w:rPr>
            </w:pPr>
            <w:r w:rsidRPr="00284ABB">
              <w:rPr>
                <w:b/>
                <w:bCs/>
                <w:color w:val="FF0000"/>
                <w:sz w:val="16"/>
                <w:szCs w:val="16"/>
              </w:rPr>
              <w:t>No avanza</w:t>
            </w:r>
            <w:r w:rsidRPr="00284ABB">
              <w:rPr>
                <w:b/>
                <w:bCs/>
                <w:sz w:val="16"/>
                <w:szCs w:val="16"/>
              </w:rPr>
              <w:t xml:space="preserve"> </w:t>
            </w:r>
          </w:p>
          <w:p w:rsidR="002E3AE7" w:rsidRPr="00284ABB" w:rsidRDefault="002E3AE7" w:rsidP="003E0A02">
            <w:pPr>
              <w:keepNext/>
              <w:keepLines/>
              <w:jc w:val="center"/>
              <w:rPr>
                <w:b/>
                <w:bCs/>
                <w:sz w:val="6"/>
                <w:szCs w:val="16"/>
              </w:rPr>
            </w:pPr>
          </w:p>
          <w:p w:rsidR="002E3AE7" w:rsidRPr="00284ABB" w:rsidRDefault="002E3AE7" w:rsidP="003E0A02">
            <w:pPr>
              <w:keepNext/>
              <w:keepLines/>
              <w:jc w:val="center"/>
              <w:rPr>
                <w:b/>
                <w:bCs/>
                <w:sz w:val="16"/>
                <w:szCs w:val="16"/>
              </w:rPr>
            </w:pPr>
            <w:r w:rsidRPr="00284ABB">
              <w:rPr>
                <w:b/>
                <w:bCs/>
                <w:color w:val="00B050"/>
                <w:sz w:val="16"/>
                <w:szCs w:val="16"/>
              </w:rPr>
              <w:t>Avanza</w:t>
            </w:r>
          </w:p>
          <w:p w:rsidR="002E3AE7" w:rsidRPr="00284ABB" w:rsidRDefault="002E3AE7" w:rsidP="003E0A02">
            <w:pPr>
              <w:keepNext/>
              <w:keepLines/>
              <w:jc w:val="center"/>
              <w:rPr>
                <w:b/>
                <w:bCs/>
                <w:sz w:val="6"/>
                <w:szCs w:val="16"/>
              </w:rPr>
            </w:pPr>
          </w:p>
          <w:p w:rsidR="002E3AE7" w:rsidRPr="00284ABB" w:rsidRDefault="002E3AE7" w:rsidP="003E0A02">
            <w:pPr>
              <w:keepNext/>
              <w:keepLines/>
              <w:jc w:val="center"/>
              <w:rPr>
                <w:b/>
                <w:bCs/>
                <w:sz w:val="16"/>
                <w:szCs w:val="16"/>
              </w:rPr>
            </w:pPr>
            <w:r w:rsidRPr="00284ABB">
              <w:rPr>
                <w:b/>
                <w:bCs/>
                <w:color w:val="00B050"/>
                <w:sz w:val="16"/>
                <w:szCs w:val="16"/>
              </w:rPr>
              <w:t>Avanza</w:t>
            </w:r>
          </w:p>
          <w:p w:rsidR="002E3AE7" w:rsidRPr="00284ABB" w:rsidRDefault="002E3AE7" w:rsidP="003E0A02">
            <w:pPr>
              <w:keepNext/>
              <w:keepLines/>
              <w:jc w:val="center"/>
              <w:rPr>
                <w:b/>
                <w:bCs/>
                <w:sz w:val="6"/>
                <w:szCs w:val="16"/>
              </w:rPr>
            </w:pPr>
          </w:p>
          <w:p w:rsidR="002E3AE7" w:rsidRPr="00284ABB" w:rsidRDefault="002E3AE7" w:rsidP="003E0A02">
            <w:pPr>
              <w:keepNext/>
              <w:keepLines/>
              <w:jc w:val="center"/>
              <w:rPr>
                <w:sz w:val="16"/>
                <w:szCs w:val="16"/>
              </w:rPr>
            </w:pPr>
            <w:r w:rsidRPr="00284ABB">
              <w:rPr>
                <w:b/>
                <w:color w:val="FF0000"/>
                <w:sz w:val="16"/>
                <w:szCs w:val="16"/>
              </w:rPr>
              <w:t>No avanza</w:t>
            </w:r>
          </w:p>
        </w:tc>
      </w:tr>
      <w:tr w:rsidR="002E3AE7" w:rsidRPr="00284ABB" w:rsidTr="003E0A02">
        <w:trPr>
          <w:trHeight w:val="576"/>
        </w:trPr>
        <w:tc>
          <w:tcPr>
            <w:tcW w:w="1026" w:type="pct"/>
            <w:shd w:val="clear" w:color="auto" w:fill="auto"/>
            <w:tcMar>
              <w:left w:w="58" w:type="dxa"/>
              <w:right w:w="58" w:type="dxa"/>
            </w:tcMar>
          </w:tcPr>
          <w:p w:rsidR="002E3AE7" w:rsidRPr="00284ABB" w:rsidRDefault="002E3AE7" w:rsidP="003E0A02">
            <w:pPr>
              <w:rPr>
                <w:sz w:val="16"/>
                <w:szCs w:val="16"/>
              </w:rPr>
            </w:pPr>
            <w:r w:rsidRPr="00284ABB">
              <w:rPr>
                <w:sz w:val="16"/>
                <w:szCs w:val="16"/>
              </w:rPr>
              <w:t>Duración del proceso de contratación</w:t>
            </w:r>
          </w:p>
        </w:tc>
        <w:tc>
          <w:tcPr>
            <w:tcW w:w="1212" w:type="pct"/>
            <w:shd w:val="clear" w:color="auto" w:fill="auto"/>
            <w:tcMar>
              <w:left w:w="58" w:type="dxa"/>
              <w:right w:w="58" w:type="dxa"/>
            </w:tcMar>
          </w:tcPr>
          <w:p w:rsidR="002E3AE7" w:rsidRPr="001C3409" w:rsidRDefault="002E3AE7" w:rsidP="003E0A02">
            <w:pPr>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rPr>
                <w:color w:val="002060"/>
                <w:sz w:val="16"/>
                <w:szCs w:val="16"/>
              </w:rPr>
            </w:pPr>
            <w:r w:rsidRPr="001C3409">
              <w:rPr>
                <w:color w:val="002060"/>
                <w:sz w:val="16"/>
                <w:szCs w:val="16"/>
              </w:rPr>
              <w:t>Media bienal:  19,77</w:t>
            </w:r>
          </w:p>
          <w:p w:rsidR="002E3AE7" w:rsidRPr="001C3409" w:rsidRDefault="002E3AE7" w:rsidP="003E0A02">
            <w:pPr>
              <w:rPr>
                <w:color w:val="002060"/>
                <w:sz w:val="16"/>
                <w:szCs w:val="16"/>
              </w:rPr>
            </w:pPr>
            <w:r w:rsidRPr="001C3409">
              <w:rPr>
                <w:color w:val="002060"/>
                <w:sz w:val="16"/>
                <w:szCs w:val="16"/>
              </w:rPr>
              <w:t>2014:  17,28 semanas (incluidos 29 empleados temporales con muchos años de servicio - LSTE)</w:t>
            </w:r>
          </w:p>
          <w:p w:rsidR="002E3AE7" w:rsidRPr="001C3409" w:rsidRDefault="002E3AE7" w:rsidP="003E0A02">
            <w:pPr>
              <w:rPr>
                <w:color w:val="002060"/>
                <w:sz w:val="16"/>
                <w:szCs w:val="16"/>
              </w:rPr>
            </w:pPr>
            <w:r w:rsidRPr="001C3409">
              <w:rPr>
                <w:color w:val="002060"/>
                <w:sz w:val="16"/>
                <w:szCs w:val="16"/>
              </w:rPr>
              <w:t>2015:  26,32 semanas (no hubo LSTE en 2015)</w:t>
            </w:r>
          </w:p>
          <w:p w:rsidR="002E3AE7" w:rsidRPr="00284ABB" w:rsidRDefault="002E3AE7" w:rsidP="003E0A02">
            <w:pPr>
              <w:rPr>
                <w:sz w:val="16"/>
                <w:szCs w:val="16"/>
              </w:rPr>
            </w:pPr>
          </w:p>
          <w:p w:rsidR="002E3AE7" w:rsidRPr="00284ABB" w:rsidRDefault="002E3AE7" w:rsidP="003E0A02">
            <w:pPr>
              <w:rPr>
                <w:i/>
                <w:sz w:val="16"/>
                <w:szCs w:val="16"/>
              </w:rPr>
            </w:pPr>
            <w:r w:rsidRPr="00284ABB">
              <w:rPr>
                <w:i/>
                <w:sz w:val="16"/>
                <w:szCs w:val="16"/>
              </w:rPr>
              <w:t xml:space="preserve">Referencia original en el presupuesto de 2016/17:  </w:t>
            </w:r>
          </w:p>
          <w:p w:rsidR="002E3AE7" w:rsidRPr="00284ABB" w:rsidRDefault="002E3AE7" w:rsidP="003E0A02">
            <w:pPr>
              <w:spacing w:after="120"/>
              <w:rPr>
                <w:sz w:val="16"/>
                <w:szCs w:val="16"/>
              </w:rPr>
            </w:pPr>
            <w:r w:rsidRPr="00284ABB">
              <w:rPr>
                <w:sz w:val="16"/>
                <w:szCs w:val="16"/>
              </w:rPr>
              <w:t>14,7 semanas (con LSTE) 19,07 semanas (sin LSTE)</w:t>
            </w:r>
          </w:p>
        </w:tc>
        <w:tc>
          <w:tcPr>
            <w:tcW w:w="971" w:type="pct"/>
            <w:gridSpan w:val="2"/>
            <w:shd w:val="clear" w:color="auto" w:fill="auto"/>
            <w:tcMar>
              <w:top w:w="110" w:type="dxa"/>
              <w:left w:w="58" w:type="dxa"/>
              <w:right w:w="58" w:type="dxa"/>
            </w:tcMar>
          </w:tcPr>
          <w:p w:rsidR="002E3AE7" w:rsidRPr="00284ABB" w:rsidRDefault="002E3AE7" w:rsidP="003E0A02">
            <w:pPr>
              <w:rPr>
                <w:sz w:val="16"/>
                <w:szCs w:val="16"/>
              </w:rPr>
            </w:pPr>
            <w:r w:rsidRPr="00284ABB">
              <w:rPr>
                <w:sz w:val="16"/>
                <w:szCs w:val="16"/>
              </w:rPr>
              <w:t>19 semanas</w:t>
            </w:r>
          </w:p>
        </w:tc>
        <w:tc>
          <w:tcPr>
            <w:tcW w:w="1139" w:type="pct"/>
            <w:gridSpan w:val="2"/>
            <w:shd w:val="clear" w:color="auto" w:fill="FFFFFF"/>
            <w:tcMar>
              <w:top w:w="110" w:type="dxa"/>
              <w:left w:w="58" w:type="dxa"/>
              <w:right w:w="58" w:type="dxa"/>
            </w:tcMar>
          </w:tcPr>
          <w:p w:rsidR="002E3AE7" w:rsidRPr="00284ABB" w:rsidRDefault="002E3AE7" w:rsidP="003E0A02">
            <w:pPr>
              <w:rPr>
                <w:sz w:val="16"/>
                <w:szCs w:val="16"/>
              </w:rPr>
            </w:pPr>
            <w:r w:rsidRPr="00284ABB">
              <w:rPr>
                <w:sz w:val="16"/>
                <w:szCs w:val="16"/>
              </w:rPr>
              <w:t>18,81 semanas (15 concursos iniciados en 2016 siguen en curso el 15 de marzo de 2017)</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B050"/>
                <w:sz w:val="16"/>
                <w:szCs w:val="16"/>
              </w:rPr>
              <w:t>Avanza</w:t>
            </w:r>
          </w:p>
        </w:tc>
      </w:tr>
      <w:tr w:rsidR="002E3AE7" w:rsidRPr="00284ABB" w:rsidTr="003E0A02">
        <w:trPr>
          <w:trHeight w:val="576"/>
        </w:trPr>
        <w:tc>
          <w:tcPr>
            <w:tcW w:w="1026" w:type="pct"/>
            <w:shd w:val="clear" w:color="auto" w:fill="auto"/>
            <w:tcMar>
              <w:left w:w="58" w:type="dxa"/>
              <w:right w:w="58" w:type="dxa"/>
            </w:tcMar>
          </w:tcPr>
          <w:p w:rsidR="002E3AE7" w:rsidRPr="00284ABB" w:rsidRDefault="002E3AE7" w:rsidP="003E0A02">
            <w:pPr>
              <w:keepNext/>
              <w:keepLines/>
              <w:rPr>
                <w:sz w:val="16"/>
                <w:szCs w:val="16"/>
              </w:rPr>
            </w:pPr>
            <w:r w:rsidRPr="00284ABB">
              <w:rPr>
                <w:sz w:val="16"/>
                <w:szCs w:val="16"/>
              </w:rPr>
              <w:lastRenderedPageBreak/>
              <w:t>% de miembros del personal cuyo desempeño se evalúa en función de objetivos y competencias específicos</w:t>
            </w:r>
          </w:p>
        </w:tc>
        <w:tc>
          <w:tcPr>
            <w:tcW w:w="1212" w:type="pct"/>
            <w:shd w:val="clear" w:color="auto" w:fill="auto"/>
            <w:tcMar>
              <w:left w:w="58" w:type="dxa"/>
              <w:right w:w="58" w:type="dxa"/>
            </w:tcMar>
          </w:tcPr>
          <w:p w:rsidR="002E3AE7" w:rsidRPr="001C3409" w:rsidRDefault="002E3AE7" w:rsidP="003E0A02">
            <w:pPr>
              <w:keepNext/>
              <w:keepLines/>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keepNext/>
              <w:keepLines/>
              <w:rPr>
                <w:color w:val="002060"/>
                <w:sz w:val="16"/>
                <w:szCs w:val="16"/>
              </w:rPr>
            </w:pPr>
            <w:r w:rsidRPr="001C3409">
              <w:rPr>
                <w:color w:val="002060"/>
                <w:sz w:val="16"/>
                <w:szCs w:val="16"/>
              </w:rPr>
              <w:t>2014:  93,1%</w:t>
            </w:r>
          </w:p>
          <w:p w:rsidR="002E3AE7" w:rsidRPr="001C3409" w:rsidRDefault="002E3AE7" w:rsidP="003E0A02">
            <w:pPr>
              <w:keepNext/>
              <w:keepLines/>
              <w:rPr>
                <w:color w:val="002060"/>
                <w:sz w:val="16"/>
                <w:szCs w:val="16"/>
              </w:rPr>
            </w:pPr>
            <w:r w:rsidRPr="001C3409">
              <w:rPr>
                <w:color w:val="002060"/>
                <w:sz w:val="16"/>
                <w:szCs w:val="16"/>
              </w:rPr>
              <w:t>2015:  94,7%</w:t>
            </w:r>
            <w:r w:rsidRPr="001C3409">
              <w:rPr>
                <w:rStyle w:val="FootnoteReference"/>
                <w:color w:val="002060"/>
              </w:rPr>
              <w:footnoteReference w:id="89"/>
            </w:r>
          </w:p>
          <w:p w:rsidR="002E3AE7" w:rsidRPr="001C3409" w:rsidRDefault="002E3AE7" w:rsidP="003E0A02">
            <w:pPr>
              <w:keepNext/>
              <w:keepLines/>
              <w:rPr>
                <w:color w:val="002060"/>
                <w:sz w:val="16"/>
                <w:szCs w:val="16"/>
              </w:rPr>
            </w:pPr>
            <w:r w:rsidRPr="001C3409">
              <w:rPr>
                <w:color w:val="002060"/>
                <w:sz w:val="16"/>
                <w:szCs w:val="16"/>
              </w:rPr>
              <w:t xml:space="preserve">(al 30 de abril </w:t>
            </w:r>
            <w:r>
              <w:rPr>
                <w:color w:val="002060"/>
                <w:sz w:val="16"/>
                <w:szCs w:val="16"/>
              </w:rPr>
              <w:t>d</w:t>
            </w:r>
            <w:r w:rsidRPr="001C3409">
              <w:rPr>
                <w:color w:val="002060"/>
                <w:sz w:val="16"/>
                <w:szCs w:val="16"/>
              </w:rPr>
              <w:t>e</w:t>
            </w:r>
            <w:r>
              <w:rPr>
                <w:color w:val="002060"/>
                <w:sz w:val="16"/>
                <w:szCs w:val="16"/>
              </w:rPr>
              <w:t>l</w:t>
            </w:r>
            <w:r w:rsidRPr="001C3409">
              <w:rPr>
                <w:color w:val="002060"/>
                <w:sz w:val="16"/>
                <w:szCs w:val="16"/>
              </w:rPr>
              <w:t xml:space="preserve"> año siguiente)</w:t>
            </w:r>
          </w:p>
          <w:p w:rsidR="002E3AE7" w:rsidRPr="00284ABB" w:rsidRDefault="002E3AE7" w:rsidP="003E0A02">
            <w:pPr>
              <w:keepNext/>
              <w:keepLines/>
              <w:rPr>
                <w:i/>
                <w:sz w:val="16"/>
                <w:szCs w:val="16"/>
              </w:rPr>
            </w:pPr>
          </w:p>
          <w:p w:rsidR="002E3AE7" w:rsidRPr="00284ABB" w:rsidRDefault="002E3AE7" w:rsidP="003E0A02">
            <w:pPr>
              <w:keepNext/>
              <w:keepLines/>
              <w:rPr>
                <w:i/>
                <w:sz w:val="16"/>
                <w:szCs w:val="16"/>
              </w:rPr>
            </w:pPr>
            <w:r w:rsidRPr="00284ABB">
              <w:rPr>
                <w:i/>
                <w:sz w:val="16"/>
                <w:szCs w:val="16"/>
              </w:rPr>
              <w:t xml:space="preserve">Referencia original en el presupuesto de 2016/17:  </w:t>
            </w:r>
          </w:p>
          <w:p w:rsidR="002E3AE7" w:rsidRPr="00284ABB" w:rsidRDefault="002E3AE7" w:rsidP="003E0A02">
            <w:pPr>
              <w:keepNext/>
              <w:keepLines/>
              <w:spacing w:after="120"/>
              <w:rPr>
                <w:sz w:val="16"/>
                <w:szCs w:val="16"/>
              </w:rPr>
            </w:pPr>
            <w:r w:rsidRPr="00284ABB">
              <w:rPr>
                <w:sz w:val="16"/>
                <w:szCs w:val="16"/>
              </w:rPr>
              <w:t>82,9% (2014)</w:t>
            </w:r>
          </w:p>
        </w:tc>
        <w:tc>
          <w:tcPr>
            <w:tcW w:w="971" w:type="pct"/>
            <w:gridSpan w:val="2"/>
            <w:shd w:val="clear" w:color="auto" w:fill="auto"/>
            <w:tcMar>
              <w:top w:w="110" w:type="dxa"/>
              <w:left w:w="58" w:type="dxa"/>
              <w:right w:w="58" w:type="dxa"/>
            </w:tcMar>
          </w:tcPr>
          <w:p w:rsidR="002E3AE7" w:rsidRPr="00C14FF9" w:rsidRDefault="002E3AE7" w:rsidP="003E0A02">
            <w:pPr>
              <w:keepNext/>
              <w:keepLines/>
              <w:rPr>
                <w:i/>
                <w:color w:val="002060"/>
                <w:sz w:val="16"/>
                <w:szCs w:val="16"/>
              </w:rPr>
            </w:pPr>
            <w:r w:rsidRPr="00C14FF9">
              <w:rPr>
                <w:i/>
                <w:color w:val="002060"/>
                <w:sz w:val="16"/>
                <w:szCs w:val="16"/>
              </w:rPr>
              <w:t xml:space="preserve">Objetivo actualizado:  </w:t>
            </w:r>
          </w:p>
          <w:p w:rsidR="002E3AE7" w:rsidRPr="00C14FF9" w:rsidRDefault="002E3AE7" w:rsidP="003E0A02">
            <w:pPr>
              <w:keepNext/>
              <w:keepLines/>
              <w:rPr>
                <w:color w:val="002060"/>
                <w:sz w:val="16"/>
                <w:szCs w:val="16"/>
              </w:rPr>
            </w:pPr>
            <w:r w:rsidRPr="00C14FF9">
              <w:rPr>
                <w:color w:val="002060"/>
                <w:sz w:val="16"/>
                <w:szCs w:val="16"/>
              </w:rPr>
              <w:t>95%</w:t>
            </w:r>
          </w:p>
          <w:p w:rsidR="002E3AE7" w:rsidRPr="00284ABB" w:rsidRDefault="002E3AE7" w:rsidP="003E0A02">
            <w:pPr>
              <w:keepNext/>
              <w:keepLines/>
              <w:rPr>
                <w:i/>
                <w:sz w:val="16"/>
                <w:szCs w:val="16"/>
                <w:lang w:bidi="th-TH"/>
              </w:rPr>
            </w:pPr>
          </w:p>
          <w:p w:rsidR="002E3AE7" w:rsidRPr="00284ABB" w:rsidRDefault="002E3AE7" w:rsidP="003E0A02">
            <w:pPr>
              <w:keepNext/>
              <w:keepLines/>
              <w:rPr>
                <w:i/>
                <w:sz w:val="16"/>
                <w:szCs w:val="16"/>
                <w:lang w:bidi="th-TH"/>
              </w:rPr>
            </w:pPr>
          </w:p>
          <w:p w:rsidR="002E3AE7" w:rsidRPr="00284ABB" w:rsidRDefault="002E3AE7" w:rsidP="003E0A02">
            <w:pPr>
              <w:keepNext/>
              <w:keepLines/>
              <w:rPr>
                <w:i/>
                <w:sz w:val="16"/>
                <w:szCs w:val="16"/>
                <w:lang w:bidi="th-TH"/>
              </w:rPr>
            </w:pPr>
          </w:p>
          <w:p w:rsidR="002E3AE7" w:rsidRPr="00284ABB" w:rsidRDefault="002E3AE7" w:rsidP="003E0A02">
            <w:pPr>
              <w:keepNext/>
              <w:keepLines/>
              <w:rPr>
                <w:i/>
                <w:sz w:val="16"/>
                <w:szCs w:val="16"/>
                <w:lang w:bidi="th-TH"/>
              </w:rPr>
            </w:pPr>
            <w:r w:rsidRPr="00284ABB">
              <w:rPr>
                <w:i/>
                <w:sz w:val="16"/>
                <w:szCs w:val="16"/>
                <w:lang w:bidi="th-TH"/>
              </w:rPr>
              <w:t xml:space="preserve">Objetivo original en el presupuesto 2016/17:  </w:t>
            </w:r>
          </w:p>
          <w:p w:rsidR="002E3AE7" w:rsidRPr="00284ABB" w:rsidRDefault="002E3AE7" w:rsidP="003E0A02">
            <w:pPr>
              <w:keepNext/>
              <w:keepLines/>
              <w:rPr>
                <w:sz w:val="16"/>
                <w:szCs w:val="16"/>
              </w:rPr>
            </w:pPr>
            <w:r w:rsidRPr="00284ABB">
              <w:rPr>
                <w:sz w:val="16"/>
                <w:szCs w:val="16"/>
              </w:rPr>
              <w:t>90%</w:t>
            </w:r>
          </w:p>
        </w:tc>
        <w:tc>
          <w:tcPr>
            <w:tcW w:w="1139" w:type="pct"/>
            <w:gridSpan w:val="2"/>
            <w:shd w:val="clear" w:color="auto" w:fill="FFFFFF"/>
            <w:tcMar>
              <w:top w:w="110" w:type="dxa"/>
              <w:left w:w="58" w:type="dxa"/>
              <w:right w:w="58" w:type="dxa"/>
            </w:tcMar>
          </w:tcPr>
          <w:p w:rsidR="002E3AE7" w:rsidRPr="00284ABB" w:rsidRDefault="002E3AE7" w:rsidP="003E0A02">
            <w:pPr>
              <w:keepNext/>
              <w:keepLines/>
              <w:rPr>
                <w:sz w:val="16"/>
                <w:szCs w:val="16"/>
              </w:rPr>
            </w:pPr>
            <w:r w:rsidRPr="00284ABB">
              <w:rPr>
                <w:sz w:val="16"/>
                <w:szCs w:val="16"/>
              </w:rPr>
              <w:t xml:space="preserve">92,7% (al 30 de abril </w:t>
            </w:r>
            <w:r>
              <w:rPr>
                <w:sz w:val="16"/>
                <w:szCs w:val="16"/>
              </w:rPr>
              <w:t>del</w:t>
            </w:r>
            <w:r w:rsidRPr="00284ABB">
              <w:rPr>
                <w:sz w:val="16"/>
                <w:szCs w:val="16"/>
              </w:rPr>
              <w:t xml:space="preserve"> año siguiente) </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B050"/>
                <w:sz w:val="16"/>
                <w:szCs w:val="16"/>
              </w:rPr>
              <w:t>Avanza</w:t>
            </w:r>
            <w:r w:rsidRPr="00284ABB" w:rsidDel="00E53F17">
              <w:rPr>
                <w:b/>
                <w:sz w:val="16"/>
                <w:szCs w:val="16"/>
              </w:rPr>
              <w:t xml:space="preserve"> </w:t>
            </w:r>
          </w:p>
        </w:tc>
      </w:tr>
      <w:tr w:rsidR="002E3AE7" w:rsidRPr="00284ABB" w:rsidTr="003E0A02">
        <w:trPr>
          <w:trHeight w:val="576"/>
        </w:trPr>
        <w:tc>
          <w:tcPr>
            <w:tcW w:w="1026" w:type="pct"/>
            <w:shd w:val="clear" w:color="auto" w:fill="auto"/>
            <w:tcMar>
              <w:left w:w="58" w:type="dxa"/>
              <w:right w:w="58" w:type="dxa"/>
            </w:tcMar>
          </w:tcPr>
          <w:p w:rsidR="002E3AE7" w:rsidRPr="00284ABB" w:rsidRDefault="002E3AE7" w:rsidP="003E0A02">
            <w:pPr>
              <w:keepNext/>
              <w:keepLines/>
              <w:rPr>
                <w:sz w:val="16"/>
                <w:szCs w:val="16"/>
              </w:rPr>
            </w:pPr>
            <w:r w:rsidRPr="00284ABB">
              <w:rPr>
                <w:sz w:val="16"/>
                <w:szCs w:val="16"/>
              </w:rPr>
              <w:t>N.º de días para:  i) notificar al funcionario decisiones relativas a peticiones de revisión o reclamaciones, ii) notificar al funcionario decisiones relativas a casos de refutación o faltas disciplinarias, y iii) ofrecer respuestas a solicitudes de asesoramiento</w:t>
            </w:r>
          </w:p>
        </w:tc>
        <w:tc>
          <w:tcPr>
            <w:tcW w:w="1212" w:type="pct"/>
            <w:shd w:val="clear" w:color="auto" w:fill="auto"/>
            <w:tcMar>
              <w:left w:w="58" w:type="dxa"/>
              <w:right w:w="58" w:type="dxa"/>
            </w:tcMar>
          </w:tcPr>
          <w:p w:rsidR="002E3AE7" w:rsidRPr="001C3409" w:rsidRDefault="002E3AE7" w:rsidP="003E0A02">
            <w:pPr>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keepNext/>
              <w:keepLines/>
              <w:rPr>
                <w:color w:val="002060"/>
                <w:sz w:val="16"/>
                <w:szCs w:val="16"/>
              </w:rPr>
            </w:pPr>
            <w:r w:rsidRPr="001C3409">
              <w:rPr>
                <w:color w:val="002060"/>
                <w:sz w:val="16"/>
                <w:szCs w:val="16"/>
              </w:rPr>
              <w:t xml:space="preserve">i) 60 días desde la recepción de peticiones de revisión/respuesta a reclamaciones </w:t>
            </w:r>
            <w:r w:rsidRPr="001C3409">
              <w:rPr>
                <w:color w:val="002060"/>
                <w:sz w:val="16"/>
                <w:szCs w:val="16"/>
              </w:rPr>
              <w:br/>
              <w:t xml:space="preserve">ii) 30 días desde la recepción de refutaciones; 35 días desde la recepción de respuesta a la carta de cargos, y </w:t>
            </w:r>
          </w:p>
          <w:p w:rsidR="002E3AE7" w:rsidRPr="001C3409" w:rsidRDefault="002E3AE7" w:rsidP="003E0A02">
            <w:pPr>
              <w:keepNext/>
              <w:keepLines/>
              <w:rPr>
                <w:color w:val="002060"/>
                <w:sz w:val="16"/>
                <w:szCs w:val="16"/>
              </w:rPr>
            </w:pPr>
            <w:r w:rsidRPr="001C3409">
              <w:rPr>
                <w:color w:val="002060"/>
                <w:sz w:val="16"/>
                <w:szCs w:val="16"/>
              </w:rPr>
              <w:t>iii) 1 día laborable desde la recepción de solicitudes de asesoramiento</w:t>
            </w:r>
          </w:p>
          <w:p w:rsidR="002E3AE7" w:rsidRPr="00284ABB" w:rsidRDefault="002E3AE7" w:rsidP="003E0A02">
            <w:pPr>
              <w:rPr>
                <w:i/>
                <w:sz w:val="16"/>
                <w:szCs w:val="16"/>
              </w:rPr>
            </w:pPr>
          </w:p>
          <w:p w:rsidR="002E3AE7" w:rsidRPr="00284ABB" w:rsidRDefault="002E3AE7" w:rsidP="003E0A02">
            <w:pPr>
              <w:rPr>
                <w:i/>
                <w:sz w:val="16"/>
                <w:szCs w:val="16"/>
              </w:rPr>
            </w:pPr>
            <w:r w:rsidRPr="00284ABB">
              <w:rPr>
                <w:i/>
                <w:sz w:val="16"/>
                <w:szCs w:val="16"/>
              </w:rPr>
              <w:t xml:space="preserve">Referencia original en el presupuesto de 2016/17:  </w:t>
            </w:r>
          </w:p>
          <w:p w:rsidR="002E3AE7" w:rsidRPr="00284ABB" w:rsidRDefault="002E3AE7" w:rsidP="003E0A02">
            <w:pPr>
              <w:keepNext/>
              <w:keepLines/>
              <w:rPr>
                <w:sz w:val="16"/>
                <w:szCs w:val="16"/>
              </w:rPr>
            </w:pPr>
            <w:r w:rsidRPr="00284ABB">
              <w:rPr>
                <w:sz w:val="16"/>
                <w:szCs w:val="16"/>
              </w:rPr>
              <w:t xml:space="preserve">n.d. </w:t>
            </w:r>
          </w:p>
        </w:tc>
        <w:tc>
          <w:tcPr>
            <w:tcW w:w="1045" w:type="pct"/>
            <w:gridSpan w:val="3"/>
            <w:shd w:val="clear" w:color="auto" w:fill="auto"/>
            <w:tcMar>
              <w:top w:w="110" w:type="dxa"/>
              <w:left w:w="58" w:type="dxa"/>
              <w:right w:w="58" w:type="dxa"/>
            </w:tcMar>
          </w:tcPr>
          <w:p w:rsidR="002E3AE7" w:rsidRPr="00C14FF9" w:rsidRDefault="002E3AE7" w:rsidP="003E0A02">
            <w:pPr>
              <w:keepNext/>
              <w:keepLines/>
              <w:rPr>
                <w:i/>
                <w:color w:val="002060"/>
                <w:sz w:val="16"/>
                <w:szCs w:val="16"/>
              </w:rPr>
            </w:pPr>
            <w:r w:rsidRPr="00C14FF9">
              <w:rPr>
                <w:i/>
                <w:color w:val="002060"/>
                <w:sz w:val="16"/>
                <w:szCs w:val="16"/>
              </w:rPr>
              <w:t xml:space="preserve">Objetivo actualizado:  </w:t>
            </w:r>
          </w:p>
          <w:p w:rsidR="002E3AE7" w:rsidRPr="00C14FF9" w:rsidRDefault="002E3AE7" w:rsidP="003E0A02">
            <w:pPr>
              <w:keepNext/>
              <w:keepLines/>
              <w:rPr>
                <w:color w:val="002060"/>
                <w:sz w:val="16"/>
                <w:szCs w:val="16"/>
              </w:rPr>
            </w:pPr>
            <w:r w:rsidRPr="00C14FF9">
              <w:rPr>
                <w:color w:val="002060"/>
                <w:sz w:val="16"/>
                <w:szCs w:val="16"/>
              </w:rPr>
              <w:t xml:space="preserve">i) 60 días desde la recepción de peticiones de revisión/ respuesta a reclamaciones </w:t>
            </w:r>
            <w:r w:rsidRPr="00C14FF9">
              <w:rPr>
                <w:color w:val="002060"/>
                <w:sz w:val="16"/>
                <w:szCs w:val="16"/>
              </w:rPr>
              <w:br/>
              <w:t xml:space="preserve">ii) 30 días desde la recepción de respuesta a refutaciones/la carta de cargos, y </w:t>
            </w:r>
          </w:p>
          <w:p w:rsidR="002E3AE7" w:rsidRPr="00C14FF9" w:rsidRDefault="002E3AE7" w:rsidP="003E0A02">
            <w:pPr>
              <w:keepNext/>
              <w:keepLines/>
              <w:rPr>
                <w:color w:val="002060"/>
                <w:sz w:val="16"/>
                <w:szCs w:val="16"/>
              </w:rPr>
            </w:pPr>
            <w:r w:rsidRPr="00C14FF9">
              <w:rPr>
                <w:color w:val="002060"/>
                <w:sz w:val="16"/>
                <w:szCs w:val="16"/>
              </w:rPr>
              <w:t>iii) 5 días laborables desde la recepción de solicitudes de asesoramiento</w:t>
            </w:r>
          </w:p>
          <w:p w:rsidR="002E3AE7" w:rsidRPr="00284ABB" w:rsidRDefault="002E3AE7" w:rsidP="003E0A02">
            <w:pPr>
              <w:keepNext/>
              <w:keepLines/>
              <w:rPr>
                <w:sz w:val="16"/>
                <w:szCs w:val="16"/>
              </w:rPr>
            </w:pPr>
          </w:p>
          <w:p w:rsidR="002E3AE7" w:rsidRPr="00284ABB" w:rsidRDefault="002E3AE7" w:rsidP="003E0A02">
            <w:pPr>
              <w:rPr>
                <w:i/>
                <w:sz w:val="16"/>
                <w:szCs w:val="16"/>
                <w:lang w:bidi="th-TH"/>
              </w:rPr>
            </w:pPr>
            <w:r w:rsidRPr="00284ABB">
              <w:rPr>
                <w:i/>
                <w:sz w:val="16"/>
                <w:szCs w:val="16"/>
                <w:lang w:bidi="th-TH"/>
              </w:rPr>
              <w:t xml:space="preserve">Objetivo original en el presupuesto 2016/17:  </w:t>
            </w:r>
          </w:p>
          <w:p w:rsidR="002E3AE7" w:rsidRPr="00284ABB" w:rsidRDefault="002E3AE7" w:rsidP="003E0A02">
            <w:pPr>
              <w:keepNext/>
              <w:keepLines/>
              <w:rPr>
                <w:sz w:val="16"/>
                <w:szCs w:val="16"/>
              </w:rPr>
            </w:pPr>
            <w:r w:rsidRPr="00284ABB">
              <w:rPr>
                <w:sz w:val="16"/>
                <w:szCs w:val="16"/>
              </w:rPr>
              <w:t xml:space="preserve">i) 60 días desde la recepción de peticiones de revisión/respuesta a reclamaciones </w:t>
            </w:r>
            <w:r w:rsidRPr="00284ABB">
              <w:rPr>
                <w:sz w:val="16"/>
                <w:szCs w:val="16"/>
              </w:rPr>
              <w:br/>
              <w:t xml:space="preserve">ii) 30 días desde la recepción de refutaciones / respuesta a la cartas de cargo, y </w:t>
            </w:r>
          </w:p>
          <w:p w:rsidR="002E3AE7" w:rsidRPr="00284ABB" w:rsidRDefault="002E3AE7" w:rsidP="003E0A02">
            <w:pPr>
              <w:keepNext/>
              <w:keepLines/>
              <w:spacing w:after="120"/>
              <w:rPr>
                <w:sz w:val="16"/>
                <w:szCs w:val="16"/>
              </w:rPr>
            </w:pPr>
            <w:r w:rsidRPr="00284ABB">
              <w:rPr>
                <w:sz w:val="16"/>
                <w:szCs w:val="16"/>
              </w:rPr>
              <w:t>iii) 10 días laborables desde la recepción de solicitudes de asesoramiento</w:t>
            </w:r>
          </w:p>
        </w:tc>
        <w:tc>
          <w:tcPr>
            <w:tcW w:w="1064" w:type="pct"/>
            <w:shd w:val="clear" w:color="auto" w:fill="FFFFFF"/>
            <w:tcMar>
              <w:top w:w="110" w:type="dxa"/>
              <w:left w:w="58" w:type="dxa"/>
              <w:right w:w="58" w:type="dxa"/>
            </w:tcMar>
          </w:tcPr>
          <w:p w:rsidR="002E3AE7" w:rsidRPr="00284ABB" w:rsidRDefault="002E3AE7" w:rsidP="003E0A02">
            <w:pPr>
              <w:spacing w:after="120"/>
              <w:rPr>
                <w:sz w:val="16"/>
                <w:szCs w:val="16"/>
              </w:rPr>
            </w:pPr>
            <w:r w:rsidRPr="00284ABB">
              <w:rPr>
                <w:sz w:val="16"/>
                <w:szCs w:val="16"/>
              </w:rPr>
              <w:t xml:space="preserve">i) 60 días desde la recepción de la petición de revisión/respuesta a reclamaciones; </w:t>
            </w:r>
          </w:p>
          <w:p w:rsidR="002E3AE7" w:rsidRPr="00284ABB" w:rsidRDefault="002E3AE7" w:rsidP="003E0A02">
            <w:pPr>
              <w:spacing w:after="120"/>
              <w:rPr>
                <w:sz w:val="16"/>
                <w:szCs w:val="16"/>
              </w:rPr>
            </w:pPr>
            <w:r w:rsidRPr="00284ABB">
              <w:rPr>
                <w:sz w:val="16"/>
                <w:szCs w:val="16"/>
              </w:rPr>
              <w:t xml:space="preserve">ii) 30 días desde la recepción de respuesta a refutaciones/30 días desde la recepción de respuesta a la carta de cargos, y </w:t>
            </w:r>
          </w:p>
          <w:p w:rsidR="002E3AE7" w:rsidRPr="00284ABB" w:rsidRDefault="002E3AE7" w:rsidP="003E0A02">
            <w:pPr>
              <w:rPr>
                <w:sz w:val="16"/>
                <w:szCs w:val="16"/>
              </w:rPr>
            </w:pPr>
            <w:r w:rsidRPr="00284ABB">
              <w:rPr>
                <w:sz w:val="16"/>
                <w:szCs w:val="16"/>
              </w:rPr>
              <w:t xml:space="preserve">iii) De 450 solicitudes de asesoramiento recibidas en 2016, se respondió en 1 día en el 89,3% de los casos, entre 2 y 4 días en el 9,3% de los casos y en 5 días laborables o más en un 1,3% de los casos.  </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B050"/>
                <w:sz w:val="16"/>
                <w:szCs w:val="16"/>
              </w:rPr>
              <w:t>Avanza</w:t>
            </w:r>
          </w:p>
          <w:p w:rsidR="002E3AE7" w:rsidRPr="00284ABB" w:rsidRDefault="002E3AE7" w:rsidP="003E0A02">
            <w:pPr>
              <w:keepNext/>
              <w:keepLines/>
              <w:jc w:val="center"/>
              <w:rPr>
                <w:b/>
                <w:sz w:val="16"/>
                <w:szCs w:val="16"/>
              </w:rPr>
            </w:pPr>
          </w:p>
          <w:p w:rsidR="002E3AE7" w:rsidRDefault="002E3AE7" w:rsidP="003E0A02">
            <w:pPr>
              <w:keepNext/>
              <w:keepLines/>
              <w:jc w:val="center"/>
              <w:rPr>
                <w:b/>
                <w:sz w:val="16"/>
                <w:szCs w:val="16"/>
              </w:rPr>
            </w:pPr>
          </w:p>
          <w:p w:rsidR="002E3AE7" w:rsidRDefault="002E3AE7" w:rsidP="003E0A02">
            <w:pPr>
              <w:keepNext/>
              <w:keepLines/>
              <w:jc w:val="center"/>
              <w:rPr>
                <w:b/>
                <w:sz w:val="16"/>
                <w:szCs w:val="16"/>
              </w:rPr>
            </w:pPr>
          </w:p>
          <w:p w:rsidR="002E3AE7" w:rsidRPr="00284ABB" w:rsidRDefault="002E3AE7" w:rsidP="003E0A02">
            <w:pPr>
              <w:keepNext/>
              <w:keepLines/>
              <w:jc w:val="center"/>
              <w:rPr>
                <w:b/>
                <w:sz w:val="16"/>
                <w:szCs w:val="16"/>
              </w:rPr>
            </w:pPr>
          </w:p>
          <w:p w:rsidR="002E3AE7" w:rsidRPr="00284ABB" w:rsidRDefault="002E3AE7" w:rsidP="003E0A02">
            <w:pPr>
              <w:keepNext/>
              <w:keepLines/>
              <w:jc w:val="center"/>
              <w:rPr>
                <w:b/>
                <w:sz w:val="16"/>
                <w:szCs w:val="16"/>
              </w:rPr>
            </w:pPr>
            <w:r w:rsidRPr="00284ABB">
              <w:rPr>
                <w:b/>
                <w:color w:val="00B050"/>
                <w:sz w:val="16"/>
                <w:szCs w:val="16"/>
              </w:rPr>
              <w:t>Avanza</w:t>
            </w:r>
          </w:p>
          <w:p w:rsidR="002E3AE7" w:rsidRDefault="002E3AE7" w:rsidP="003E0A02">
            <w:pPr>
              <w:keepNext/>
              <w:keepLines/>
              <w:jc w:val="center"/>
              <w:rPr>
                <w:b/>
                <w:sz w:val="16"/>
                <w:szCs w:val="16"/>
              </w:rPr>
            </w:pPr>
          </w:p>
          <w:p w:rsidR="002E3AE7" w:rsidRDefault="002E3AE7" w:rsidP="003E0A02">
            <w:pPr>
              <w:keepNext/>
              <w:keepLines/>
              <w:jc w:val="center"/>
              <w:rPr>
                <w:b/>
                <w:sz w:val="16"/>
                <w:szCs w:val="16"/>
              </w:rPr>
            </w:pPr>
          </w:p>
          <w:p w:rsidR="002E3AE7" w:rsidRDefault="002E3AE7" w:rsidP="003E0A02">
            <w:pPr>
              <w:keepNext/>
              <w:keepLines/>
              <w:jc w:val="center"/>
              <w:rPr>
                <w:b/>
                <w:sz w:val="16"/>
                <w:szCs w:val="16"/>
              </w:rPr>
            </w:pPr>
          </w:p>
          <w:p w:rsidR="002E3AE7" w:rsidRPr="00284ABB" w:rsidRDefault="002E3AE7" w:rsidP="003E0A02">
            <w:pPr>
              <w:keepNext/>
              <w:keepLines/>
              <w:jc w:val="center"/>
              <w:rPr>
                <w:b/>
                <w:sz w:val="16"/>
                <w:szCs w:val="16"/>
              </w:rPr>
            </w:pPr>
          </w:p>
          <w:p w:rsidR="002E3AE7" w:rsidRPr="00284ABB" w:rsidRDefault="002E3AE7" w:rsidP="003E0A02">
            <w:pPr>
              <w:keepNext/>
              <w:keepLines/>
              <w:jc w:val="center"/>
              <w:rPr>
                <w:b/>
                <w:sz w:val="16"/>
                <w:szCs w:val="16"/>
              </w:rPr>
            </w:pPr>
          </w:p>
          <w:p w:rsidR="002E3AE7" w:rsidRPr="00284ABB" w:rsidRDefault="002E3AE7" w:rsidP="003E0A02">
            <w:pPr>
              <w:keepNext/>
              <w:keepLines/>
              <w:jc w:val="center"/>
              <w:rPr>
                <w:b/>
                <w:sz w:val="16"/>
                <w:szCs w:val="16"/>
              </w:rPr>
            </w:pPr>
          </w:p>
          <w:p w:rsidR="002E3AE7" w:rsidRPr="00284ABB" w:rsidRDefault="002E3AE7" w:rsidP="003E0A02">
            <w:pPr>
              <w:keepNext/>
              <w:keepLines/>
              <w:jc w:val="center"/>
              <w:rPr>
                <w:b/>
                <w:sz w:val="16"/>
                <w:szCs w:val="16"/>
              </w:rPr>
            </w:pPr>
            <w:r w:rsidRPr="00284ABB">
              <w:rPr>
                <w:b/>
                <w:color w:val="00B050"/>
                <w:sz w:val="16"/>
                <w:szCs w:val="16"/>
              </w:rPr>
              <w:t>Avanza</w:t>
            </w:r>
          </w:p>
        </w:tc>
      </w:tr>
      <w:tr w:rsidR="002E3AE7" w:rsidRPr="00284ABB" w:rsidTr="003E0A02">
        <w:trPr>
          <w:trHeight w:val="4467"/>
        </w:trPr>
        <w:tc>
          <w:tcPr>
            <w:tcW w:w="1026" w:type="pct"/>
            <w:shd w:val="clear" w:color="auto" w:fill="auto"/>
            <w:tcMar>
              <w:left w:w="58" w:type="dxa"/>
              <w:right w:w="58" w:type="dxa"/>
            </w:tcMar>
          </w:tcPr>
          <w:p w:rsidR="002E3AE7" w:rsidRPr="00284ABB" w:rsidRDefault="002E3AE7" w:rsidP="003E0A02">
            <w:pPr>
              <w:rPr>
                <w:sz w:val="16"/>
                <w:szCs w:val="16"/>
              </w:rPr>
            </w:pPr>
            <w:r w:rsidRPr="00284ABB">
              <w:rPr>
                <w:sz w:val="16"/>
                <w:szCs w:val="16"/>
              </w:rPr>
              <w:t>Diversidad geográfica:   % de funcionarios por región</w:t>
            </w:r>
            <w:r w:rsidRPr="00284ABB">
              <w:rPr>
                <w:rStyle w:val="FootnoteReference"/>
              </w:rPr>
              <w:footnoteReference w:id="90"/>
            </w:r>
          </w:p>
        </w:tc>
        <w:tc>
          <w:tcPr>
            <w:tcW w:w="1212" w:type="pct"/>
            <w:shd w:val="clear" w:color="auto" w:fill="auto"/>
            <w:tcMar>
              <w:left w:w="58" w:type="dxa"/>
              <w:right w:w="58" w:type="dxa"/>
            </w:tcMar>
          </w:tcPr>
          <w:p w:rsidR="002E3AE7" w:rsidRPr="001C3409" w:rsidRDefault="002E3AE7" w:rsidP="003E0A02">
            <w:pPr>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rPr>
                <w:color w:val="002060"/>
                <w:sz w:val="16"/>
                <w:szCs w:val="16"/>
              </w:rPr>
            </w:pPr>
            <w:r w:rsidRPr="001C3409">
              <w:rPr>
                <w:color w:val="002060"/>
                <w:sz w:val="16"/>
                <w:szCs w:val="16"/>
              </w:rPr>
              <w:t>África:  1</w:t>
            </w:r>
            <w:r w:rsidR="00F579EA">
              <w:rPr>
                <w:color w:val="002060"/>
                <w:sz w:val="16"/>
                <w:szCs w:val="16"/>
              </w:rPr>
              <w:t>0,7</w:t>
            </w:r>
            <w:r w:rsidRPr="001C3409">
              <w:rPr>
                <w:color w:val="002060"/>
                <w:sz w:val="16"/>
                <w:szCs w:val="16"/>
              </w:rPr>
              <w:t xml:space="preserve">% </w:t>
            </w:r>
          </w:p>
          <w:p w:rsidR="002E3AE7" w:rsidRPr="001C3409" w:rsidRDefault="002E3AE7" w:rsidP="003E0A02">
            <w:pPr>
              <w:rPr>
                <w:color w:val="002060"/>
                <w:sz w:val="16"/>
                <w:szCs w:val="16"/>
              </w:rPr>
            </w:pPr>
            <w:r w:rsidRPr="001C3409">
              <w:rPr>
                <w:color w:val="002060"/>
                <w:sz w:val="16"/>
                <w:szCs w:val="16"/>
              </w:rPr>
              <w:t>Asia y el Pacífico:  1</w:t>
            </w:r>
            <w:r w:rsidR="00F579EA">
              <w:rPr>
                <w:color w:val="002060"/>
                <w:sz w:val="16"/>
                <w:szCs w:val="16"/>
              </w:rPr>
              <w:t>4</w:t>
            </w:r>
            <w:r w:rsidRPr="001C3409">
              <w:rPr>
                <w:color w:val="002060"/>
                <w:sz w:val="16"/>
                <w:szCs w:val="16"/>
              </w:rPr>
              <w:t>,3%</w:t>
            </w:r>
          </w:p>
          <w:p w:rsidR="002E3AE7" w:rsidRPr="001C3409" w:rsidRDefault="002E3AE7" w:rsidP="003E0A02">
            <w:pPr>
              <w:rPr>
                <w:color w:val="002060"/>
                <w:sz w:val="16"/>
                <w:szCs w:val="16"/>
              </w:rPr>
            </w:pPr>
            <w:r w:rsidRPr="001C3409">
              <w:rPr>
                <w:color w:val="002060"/>
                <w:sz w:val="16"/>
                <w:szCs w:val="16"/>
              </w:rPr>
              <w:t xml:space="preserve">Europa Central y Oriental, y Asia Central:  </w:t>
            </w:r>
            <w:r w:rsidR="00F12657">
              <w:rPr>
                <w:color w:val="002060"/>
                <w:sz w:val="16"/>
                <w:szCs w:val="16"/>
              </w:rPr>
              <w:t>6,9</w:t>
            </w:r>
            <w:r w:rsidRPr="001C3409">
              <w:rPr>
                <w:color w:val="002060"/>
                <w:sz w:val="16"/>
                <w:szCs w:val="16"/>
              </w:rPr>
              <w:t xml:space="preserve">% </w:t>
            </w:r>
          </w:p>
          <w:p w:rsidR="002E3AE7" w:rsidRPr="001C3409" w:rsidRDefault="002E3AE7" w:rsidP="003E0A02">
            <w:pPr>
              <w:rPr>
                <w:color w:val="002060"/>
                <w:sz w:val="16"/>
                <w:szCs w:val="16"/>
              </w:rPr>
            </w:pPr>
            <w:r w:rsidRPr="001C3409">
              <w:rPr>
                <w:color w:val="002060"/>
                <w:sz w:val="16"/>
                <w:szCs w:val="16"/>
              </w:rPr>
              <w:t>América Latina y el Caribe:  8,</w:t>
            </w:r>
            <w:r w:rsidR="00F12657">
              <w:rPr>
                <w:color w:val="002060"/>
                <w:sz w:val="16"/>
                <w:szCs w:val="16"/>
              </w:rPr>
              <w:t>4</w:t>
            </w:r>
            <w:r w:rsidRPr="001C3409">
              <w:rPr>
                <w:color w:val="002060"/>
                <w:sz w:val="16"/>
                <w:szCs w:val="16"/>
              </w:rPr>
              <w:t>%</w:t>
            </w:r>
          </w:p>
          <w:p w:rsidR="002E3AE7" w:rsidRPr="001C3409" w:rsidRDefault="002E3AE7" w:rsidP="003E0A02">
            <w:pPr>
              <w:rPr>
                <w:color w:val="002060"/>
                <w:sz w:val="16"/>
                <w:szCs w:val="16"/>
              </w:rPr>
            </w:pPr>
            <w:r w:rsidRPr="001C3409">
              <w:rPr>
                <w:color w:val="002060"/>
                <w:sz w:val="16"/>
                <w:szCs w:val="16"/>
              </w:rPr>
              <w:t xml:space="preserve">Oriente Medio: </w:t>
            </w:r>
            <w:r>
              <w:rPr>
                <w:color w:val="002060"/>
                <w:sz w:val="16"/>
                <w:szCs w:val="16"/>
              </w:rPr>
              <w:t xml:space="preserve"> </w:t>
            </w:r>
            <w:r w:rsidRPr="001C3409">
              <w:rPr>
                <w:color w:val="002060"/>
                <w:sz w:val="16"/>
                <w:szCs w:val="16"/>
              </w:rPr>
              <w:t>1,</w:t>
            </w:r>
            <w:r w:rsidR="00F12657">
              <w:rPr>
                <w:color w:val="002060"/>
                <w:sz w:val="16"/>
                <w:szCs w:val="16"/>
              </w:rPr>
              <w:t>1</w:t>
            </w:r>
            <w:r w:rsidRPr="001C3409">
              <w:rPr>
                <w:color w:val="002060"/>
                <w:sz w:val="16"/>
                <w:szCs w:val="16"/>
              </w:rPr>
              <w:t xml:space="preserve">% </w:t>
            </w:r>
          </w:p>
          <w:p w:rsidR="002E3AE7" w:rsidRPr="001C3409" w:rsidRDefault="002E3AE7" w:rsidP="003E0A02">
            <w:pPr>
              <w:rPr>
                <w:color w:val="002060"/>
                <w:sz w:val="16"/>
                <w:szCs w:val="16"/>
              </w:rPr>
            </w:pPr>
            <w:r>
              <w:rPr>
                <w:color w:val="002060"/>
                <w:sz w:val="16"/>
                <w:szCs w:val="16"/>
              </w:rPr>
              <w:t xml:space="preserve">América del </w:t>
            </w:r>
            <w:r w:rsidRPr="001C3409">
              <w:rPr>
                <w:color w:val="002060"/>
                <w:sz w:val="16"/>
                <w:szCs w:val="16"/>
              </w:rPr>
              <w:t xml:space="preserve">Norte: </w:t>
            </w:r>
            <w:r>
              <w:rPr>
                <w:color w:val="002060"/>
                <w:sz w:val="16"/>
                <w:szCs w:val="16"/>
              </w:rPr>
              <w:t xml:space="preserve"> </w:t>
            </w:r>
            <w:r w:rsidRPr="001C3409">
              <w:rPr>
                <w:color w:val="002060"/>
                <w:sz w:val="16"/>
                <w:szCs w:val="16"/>
              </w:rPr>
              <w:t>9,</w:t>
            </w:r>
            <w:r w:rsidR="00F12657">
              <w:rPr>
                <w:color w:val="002060"/>
                <w:sz w:val="16"/>
                <w:szCs w:val="16"/>
              </w:rPr>
              <w:t>0</w:t>
            </w:r>
            <w:r w:rsidRPr="001C3409">
              <w:rPr>
                <w:color w:val="002060"/>
                <w:sz w:val="16"/>
                <w:szCs w:val="16"/>
              </w:rPr>
              <w:t>%</w:t>
            </w:r>
          </w:p>
          <w:p w:rsidR="002E3AE7" w:rsidRPr="001C3409" w:rsidRDefault="002E3AE7" w:rsidP="003E0A02">
            <w:pPr>
              <w:rPr>
                <w:color w:val="002060"/>
                <w:sz w:val="16"/>
                <w:szCs w:val="16"/>
              </w:rPr>
            </w:pPr>
            <w:r w:rsidRPr="001C3409">
              <w:rPr>
                <w:color w:val="002060"/>
                <w:sz w:val="16"/>
                <w:szCs w:val="16"/>
              </w:rPr>
              <w:t xml:space="preserve">Europa Occidental: </w:t>
            </w:r>
            <w:r>
              <w:rPr>
                <w:color w:val="002060"/>
                <w:sz w:val="16"/>
                <w:szCs w:val="16"/>
              </w:rPr>
              <w:t xml:space="preserve"> </w:t>
            </w:r>
            <w:r w:rsidRPr="001C3409">
              <w:rPr>
                <w:color w:val="002060"/>
                <w:sz w:val="16"/>
                <w:szCs w:val="16"/>
              </w:rPr>
              <w:t>4</w:t>
            </w:r>
            <w:r w:rsidR="00F12657">
              <w:rPr>
                <w:color w:val="002060"/>
                <w:sz w:val="16"/>
                <w:szCs w:val="16"/>
              </w:rPr>
              <w:t>9,5</w:t>
            </w:r>
            <w:r w:rsidRPr="001C3409">
              <w:rPr>
                <w:color w:val="002060"/>
                <w:sz w:val="16"/>
                <w:szCs w:val="16"/>
              </w:rPr>
              <w:t>%</w:t>
            </w:r>
          </w:p>
          <w:p w:rsidR="002E3AE7" w:rsidRPr="001C3409" w:rsidRDefault="002E3AE7" w:rsidP="003E0A02">
            <w:pPr>
              <w:rPr>
                <w:color w:val="002060"/>
                <w:sz w:val="16"/>
                <w:szCs w:val="16"/>
              </w:rPr>
            </w:pPr>
          </w:p>
          <w:p w:rsidR="002E3AE7" w:rsidRPr="001C3409" w:rsidRDefault="002E3AE7" w:rsidP="003E0A02">
            <w:pPr>
              <w:rPr>
                <w:color w:val="002060"/>
                <w:sz w:val="16"/>
                <w:szCs w:val="16"/>
              </w:rPr>
            </w:pPr>
            <w:r w:rsidRPr="001C3409">
              <w:rPr>
                <w:color w:val="002060"/>
                <w:sz w:val="16"/>
                <w:szCs w:val="16"/>
              </w:rPr>
              <w:t xml:space="preserve">Referencia original en el presupuesto de 2016/17:  </w:t>
            </w:r>
          </w:p>
          <w:p w:rsidR="002E3AE7" w:rsidRPr="001C3409" w:rsidRDefault="002E3AE7" w:rsidP="003E0A02">
            <w:pPr>
              <w:rPr>
                <w:color w:val="002060"/>
                <w:sz w:val="16"/>
                <w:szCs w:val="16"/>
              </w:rPr>
            </w:pPr>
            <w:r w:rsidRPr="001C3409">
              <w:rPr>
                <w:color w:val="002060"/>
                <w:sz w:val="16"/>
                <w:szCs w:val="16"/>
              </w:rPr>
              <w:t>África: 10,8%</w:t>
            </w:r>
          </w:p>
          <w:p w:rsidR="002E3AE7" w:rsidRPr="001C3409" w:rsidRDefault="002E3AE7" w:rsidP="003E0A02">
            <w:pPr>
              <w:rPr>
                <w:color w:val="002060"/>
                <w:sz w:val="16"/>
                <w:szCs w:val="16"/>
              </w:rPr>
            </w:pPr>
            <w:r w:rsidRPr="001C3409">
              <w:rPr>
                <w:color w:val="002060"/>
                <w:sz w:val="16"/>
                <w:szCs w:val="16"/>
              </w:rPr>
              <w:t>Asia y el Pacífico:  13,5%</w:t>
            </w:r>
          </w:p>
          <w:p w:rsidR="002E3AE7" w:rsidRPr="001C3409" w:rsidRDefault="002E3AE7" w:rsidP="003E0A02">
            <w:pPr>
              <w:rPr>
                <w:color w:val="002060"/>
                <w:sz w:val="16"/>
                <w:szCs w:val="16"/>
              </w:rPr>
            </w:pPr>
            <w:r w:rsidRPr="001C3409">
              <w:rPr>
                <w:color w:val="002060"/>
                <w:sz w:val="16"/>
                <w:szCs w:val="16"/>
              </w:rPr>
              <w:t>Europa Central y Oriental, y Asia Central:  6,7%</w:t>
            </w:r>
          </w:p>
          <w:p w:rsidR="002E3AE7" w:rsidRPr="001C3409" w:rsidRDefault="002E3AE7" w:rsidP="003E0A02">
            <w:pPr>
              <w:rPr>
                <w:color w:val="002060"/>
                <w:sz w:val="16"/>
                <w:szCs w:val="16"/>
              </w:rPr>
            </w:pPr>
            <w:r w:rsidRPr="001C3409">
              <w:rPr>
                <w:color w:val="002060"/>
                <w:sz w:val="16"/>
                <w:szCs w:val="16"/>
              </w:rPr>
              <w:t>América Latina y el Caribe:  8,2%</w:t>
            </w:r>
          </w:p>
          <w:p w:rsidR="002E3AE7" w:rsidRPr="001C3409" w:rsidRDefault="002E3AE7" w:rsidP="003E0A02">
            <w:pPr>
              <w:rPr>
                <w:color w:val="002060"/>
                <w:sz w:val="16"/>
                <w:szCs w:val="16"/>
              </w:rPr>
            </w:pPr>
            <w:r w:rsidRPr="001C3409">
              <w:rPr>
                <w:color w:val="002060"/>
                <w:sz w:val="16"/>
                <w:szCs w:val="16"/>
              </w:rPr>
              <w:t xml:space="preserve">Oriente Medio: </w:t>
            </w:r>
            <w:r>
              <w:rPr>
                <w:color w:val="002060"/>
                <w:sz w:val="16"/>
                <w:szCs w:val="16"/>
              </w:rPr>
              <w:t xml:space="preserve"> </w:t>
            </w:r>
            <w:r w:rsidRPr="001C3409">
              <w:rPr>
                <w:color w:val="002060"/>
                <w:sz w:val="16"/>
                <w:szCs w:val="16"/>
              </w:rPr>
              <w:t>1,2%</w:t>
            </w:r>
          </w:p>
          <w:p w:rsidR="002E3AE7" w:rsidRPr="001C3409" w:rsidRDefault="002E3AE7" w:rsidP="003E0A02">
            <w:pPr>
              <w:rPr>
                <w:color w:val="002060"/>
                <w:sz w:val="16"/>
                <w:szCs w:val="16"/>
              </w:rPr>
            </w:pPr>
            <w:r>
              <w:rPr>
                <w:color w:val="002060"/>
                <w:sz w:val="16"/>
                <w:szCs w:val="16"/>
              </w:rPr>
              <w:t xml:space="preserve">América del </w:t>
            </w:r>
            <w:r w:rsidRPr="001C3409">
              <w:rPr>
                <w:color w:val="002060"/>
                <w:sz w:val="16"/>
                <w:szCs w:val="16"/>
              </w:rPr>
              <w:t xml:space="preserve">Norte: </w:t>
            </w:r>
            <w:r>
              <w:rPr>
                <w:color w:val="002060"/>
                <w:sz w:val="16"/>
                <w:szCs w:val="16"/>
              </w:rPr>
              <w:t xml:space="preserve"> </w:t>
            </w:r>
            <w:r w:rsidRPr="001C3409">
              <w:rPr>
                <w:color w:val="002060"/>
                <w:sz w:val="16"/>
                <w:szCs w:val="16"/>
              </w:rPr>
              <w:t>8,4%</w:t>
            </w:r>
          </w:p>
          <w:p w:rsidR="002E3AE7" w:rsidRPr="001C3409" w:rsidRDefault="002E3AE7" w:rsidP="003E0A02">
            <w:pPr>
              <w:rPr>
                <w:color w:val="002060"/>
                <w:sz w:val="16"/>
                <w:szCs w:val="16"/>
              </w:rPr>
            </w:pPr>
            <w:r w:rsidRPr="001C3409">
              <w:rPr>
                <w:color w:val="002060"/>
                <w:sz w:val="16"/>
                <w:szCs w:val="16"/>
              </w:rPr>
              <w:t>Europa Occidental:</w:t>
            </w:r>
            <w:r>
              <w:rPr>
                <w:color w:val="002060"/>
                <w:sz w:val="16"/>
                <w:szCs w:val="16"/>
              </w:rPr>
              <w:t xml:space="preserve"> </w:t>
            </w:r>
            <w:r w:rsidRPr="001C3409">
              <w:rPr>
                <w:color w:val="002060"/>
                <w:sz w:val="16"/>
                <w:szCs w:val="16"/>
              </w:rPr>
              <w:t xml:space="preserve"> 51,2%</w:t>
            </w:r>
          </w:p>
          <w:p w:rsidR="002E3AE7" w:rsidRPr="00284ABB" w:rsidRDefault="002E3AE7" w:rsidP="003E0A02">
            <w:pPr>
              <w:spacing w:after="120"/>
              <w:rPr>
                <w:sz w:val="16"/>
                <w:szCs w:val="16"/>
              </w:rPr>
            </w:pPr>
            <w:r>
              <w:rPr>
                <w:color w:val="002060"/>
                <w:sz w:val="16"/>
                <w:szCs w:val="16"/>
              </w:rPr>
              <w:t>(d</w:t>
            </w:r>
            <w:r w:rsidRPr="001C3409">
              <w:rPr>
                <w:color w:val="002060"/>
                <w:sz w:val="16"/>
                <w:szCs w:val="16"/>
              </w:rPr>
              <w:t>ic.</w:t>
            </w:r>
            <w:r>
              <w:rPr>
                <w:color w:val="002060"/>
                <w:sz w:val="16"/>
                <w:szCs w:val="16"/>
              </w:rPr>
              <w:t xml:space="preserve"> de</w:t>
            </w:r>
            <w:r w:rsidRPr="001C3409">
              <w:rPr>
                <w:color w:val="002060"/>
                <w:sz w:val="16"/>
                <w:szCs w:val="16"/>
              </w:rPr>
              <w:t xml:space="preserve"> 2014)</w:t>
            </w:r>
          </w:p>
        </w:tc>
        <w:tc>
          <w:tcPr>
            <w:tcW w:w="971" w:type="pct"/>
            <w:gridSpan w:val="2"/>
            <w:shd w:val="clear" w:color="auto" w:fill="auto"/>
            <w:tcMar>
              <w:top w:w="110" w:type="dxa"/>
              <w:left w:w="58" w:type="dxa"/>
              <w:right w:w="58" w:type="dxa"/>
            </w:tcMar>
          </w:tcPr>
          <w:p w:rsidR="002E3AE7" w:rsidRPr="00C14FF9" w:rsidRDefault="002E3AE7" w:rsidP="003E0A02">
            <w:pPr>
              <w:rPr>
                <w:i/>
                <w:color w:val="002060"/>
                <w:sz w:val="16"/>
                <w:szCs w:val="16"/>
              </w:rPr>
            </w:pPr>
            <w:r w:rsidRPr="00C14FF9">
              <w:rPr>
                <w:i/>
                <w:color w:val="002060"/>
                <w:sz w:val="16"/>
                <w:szCs w:val="16"/>
              </w:rPr>
              <w:t>Objetivo actualizado:</w:t>
            </w:r>
          </w:p>
          <w:p w:rsidR="002E3AE7" w:rsidRPr="00C14FF9" w:rsidRDefault="002E3AE7" w:rsidP="003E0A02">
            <w:pPr>
              <w:rPr>
                <w:color w:val="002060"/>
                <w:sz w:val="16"/>
                <w:szCs w:val="16"/>
              </w:rPr>
            </w:pPr>
            <w:r w:rsidRPr="00C14FF9">
              <w:rPr>
                <w:color w:val="002060"/>
                <w:sz w:val="16"/>
                <w:szCs w:val="16"/>
              </w:rPr>
              <w:t>Acuerdo entre los Estados miembros sobre una política sobre distribución geográfica en la OMPI</w:t>
            </w:r>
          </w:p>
          <w:p w:rsidR="002E3AE7" w:rsidRPr="00284ABB" w:rsidRDefault="002E3AE7" w:rsidP="003E0A02">
            <w:pPr>
              <w:rPr>
                <w:sz w:val="16"/>
                <w:szCs w:val="16"/>
              </w:rPr>
            </w:pPr>
          </w:p>
          <w:p w:rsidR="002E3AE7" w:rsidRPr="00284ABB" w:rsidRDefault="002E3AE7" w:rsidP="003E0A02">
            <w:pPr>
              <w:rPr>
                <w:sz w:val="16"/>
                <w:szCs w:val="16"/>
              </w:rPr>
            </w:pPr>
            <w:r w:rsidRPr="00284ABB">
              <w:rPr>
                <w:i/>
                <w:sz w:val="16"/>
                <w:szCs w:val="16"/>
              </w:rPr>
              <w:t xml:space="preserve">Objetivo original en el presupuesto 2016/17: </w:t>
            </w:r>
            <w:r w:rsidRPr="00284ABB">
              <w:rPr>
                <w:sz w:val="16"/>
                <w:szCs w:val="16"/>
              </w:rPr>
              <w:t xml:space="preserve"> </w:t>
            </w:r>
          </w:p>
          <w:p w:rsidR="002E3AE7" w:rsidRPr="00284ABB" w:rsidRDefault="002E3AE7" w:rsidP="003E0A02">
            <w:pPr>
              <w:rPr>
                <w:sz w:val="16"/>
                <w:szCs w:val="16"/>
              </w:rPr>
            </w:pPr>
            <w:r w:rsidRPr="00284ABB">
              <w:rPr>
                <w:sz w:val="16"/>
                <w:szCs w:val="16"/>
              </w:rPr>
              <w:t>La política de la OMPI en materia de distribución geográfica requiere el examen de los Estados miembros</w:t>
            </w:r>
          </w:p>
          <w:p w:rsidR="002E3AE7" w:rsidRPr="00284ABB" w:rsidRDefault="002E3AE7" w:rsidP="003E0A02">
            <w:pPr>
              <w:rPr>
                <w:sz w:val="16"/>
                <w:szCs w:val="16"/>
              </w:rPr>
            </w:pPr>
          </w:p>
        </w:tc>
        <w:tc>
          <w:tcPr>
            <w:tcW w:w="1139" w:type="pct"/>
            <w:gridSpan w:val="2"/>
            <w:shd w:val="clear" w:color="auto" w:fill="FFFFFF"/>
            <w:tcMar>
              <w:top w:w="110" w:type="dxa"/>
              <w:left w:w="58" w:type="dxa"/>
              <w:right w:w="58" w:type="dxa"/>
            </w:tcMar>
          </w:tcPr>
          <w:p w:rsidR="002E3AE7" w:rsidRPr="00284ABB" w:rsidRDefault="002E3AE7" w:rsidP="003E0A02">
            <w:pPr>
              <w:rPr>
                <w:sz w:val="16"/>
                <w:szCs w:val="16"/>
              </w:rPr>
            </w:pPr>
            <w:r w:rsidRPr="00284ABB">
              <w:rPr>
                <w:sz w:val="16"/>
                <w:szCs w:val="16"/>
              </w:rPr>
              <w:t xml:space="preserve">África: 11,3% </w:t>
            </w:r>
          </w:p>
          <w:p w:rsidR="002E3AE7" w:rsidRPr="00284ABB" w:rsidRDefault="002E3AE7" w:rsidP="003E0A02">
            <w:pPr>
              <w:rPr>
                <w:sz w:val="16"/>
                <w:szCs w:val="16"/>
              </w:rPr>
            </w:pPr>
            <w:r w:rsidRPr="00284ABB">
              <w:rPr>
                <w:sz w:val="16"/>
                <w:szCs w:val="16"/>
              </w:rPr>
              <w:t xml:space="preserve">Asia y el Pacífico:  17,3 </w:t>
            </w:r>
          </w:p>
          <w:p w:rsidR="002E3AE7" w:rsidRPr="00284ABB" w:rsidRDefault="002E3AE7" w:rsidP="003E0A02">
            <w:pPr>
              <w:rPr>
                <w:sz w:val="16"/>
                <w:szCs w:val="16"/>
              </w:rPr>
            </w:pPr>
            <w:r w:rsidRPr="00284ABB">
              <w:rPr>
                <w:sz w:val="16"/>
                <w:szCs w:val="16"/>
              </w:rPr>
              <w:t>Europa Central y Oriental, y Asia Central:  7,8%</w:t>
            </w:r>
          </w:p>
          <w:p w:rsidR="002E3AE7" w:rsidRPr="00284ABB" w:rsidRDefault="002E3AE7" w:rsidP="003E0A02">
            <w:pPr>
              <w:rPr>
                <w:sz w:val="16"/>
                <w:szCs w:val="16"/>
              </w:rPr>
            </w:pPr>
            <w:r w:rsidRPr="00284ABB">
              <w:rPr>
                <w:sz w:val="16"/>
                <w:szCs w:val="16"/>
              </w:rPr>
              <w:t>América Latina y el Caribe:  8,0%</w:t>
            </w:r>
          </w:p>
          <w:p w:rsidR="002E3AE7" w:rsidRPr="00284ABB" w:rsidRDefault="002E3AE7" w:rsidP="003E0A02">
            <w:pPr>
              <w:rPr>
                <w:sz w:val="16"/>
                <w:szCs w:val="16"/>
              </w:rPr>
            </w:pPr>
            <w:r w:rsidRPr="00284ABB">
              <w:rPr>
                <w:sz w:val="16"/>
                <w:szCs w:val="16"/>
              </w:rPr>
              <w:t xml:space="preserve">Oriente Medio: </w:t>
            </w:r>
            <w:r>
              <w:rPr>
                <w:sz w:val="16"/>
                <w:szCs w:val="16"/>
              </w:rPr>
              <w:t xml:space="preserve"> </w:t>
            </w:r>
            <w:r w:rsidRPr="00284ABB">
              <w:rPr>
                <w:sz w:val="16"/>
                <w:szCs w:val="16"/>
              </w:rPr>
              <w:t xml:space="preserve">1,3% </w:t>
            </w:r>
          </w:p>
          <w:p w:rsidR="002E3AE7" w:rsidRPr="00284ABB" w:rsidRDefault="002E3AE7" w:rsidP="003E0A02">
            <w:pPr>
              <w:rPr>
                <w:sz w:val="16"/>
                <w:szCs w:val="16"/>
              </w:rPr>
            </w:pPr>
            <w:r>
              <w:rPr>
                <w:sz w:val="16"/>
                <w:szCs w:val="16"/>
              </w:rPr>
              <w:t xml:space="preserve">América del </w:t>
            </w:r>
            <w:r w:rsidRPr="00284ABB">
              <w:rPr>
                <w:sz w:val="16"/>
                <w:szCs w:val="16"/>
              </w:rPr>
              <w:t xml:space="preserve">Norte:  8,4% </w:t>
            </w:r>
          </w:p>
          <w:p w:rsidR="002E3AE7" w:rsidRPr="00284ABB" w:rsidRDefault="002E3AE7" w:rsidP="003E0A02">
            <w:pPr>
              <w:rPr>
                <w:sz w:val="16"/>
                <w:szCs w:val="16"/>
              </w:rPr>
            </w:pPr>
            <w:r w:rsidRPr="00284ABB">
              <w:rPr>
                <w:sz w:val="16"/>
                <w:szCs w:val="16"/>
              </w:rPr>
              <w:t>Europa Occidental:  45,</w:t>
            </w:r>
            <w:r w:rsidR="0065578E">
              <w:rPr>
                <w:sz w:val="16"/>
                <w:szCs w:val="16"/>
              </w:rPr>
              <w:t>8</w:t>
            </w:r>
            <w:r w:rsidRPr="00284ABB">
              <w:rPr>
                <w:sz w:val="16"/>
                <w:szCs w:val="16"/>
              </w:rPr>
              <w:t>%</w:t>
            </w:r>
          </w:p>
          <w:p w:rsidR="002E3AE7" w:rsidRPr="00284ABB" w:rsidRDefault="002E3AE7" w:rsidP="003E0A02">
            <w:pPr>
              <w:rPr>
                <w:sz w:val="16"/>
                <w:szCs w:val="16"/>
              </w:rPr>
            </w:pP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4"/>
                <w:szCs w:val="14"/>
              </w:rPr>
            </w:pPr>
            <w:r w:rsidRPr="00284ABB">
              <w:rPr>
                <w:b/>
                <w:color w:val="808080"/>
                <w:sz w:val="14"/>
                <w:szCs w:val="14"/>
              </w:rPr>
              <w:t>No mensurable</w:t>
            </w:r>
          </w:p>
        </w:tc>
      </w:tr>
      <w:tr w:rsidR="002E3AE7" w:rsidRPr="00284ABB" w:rsidTr="003E0A02">
        <w:trPr>
          <w:trHeight w:val="273"/>
        </w:trPr>
        <w:tc>
          <w:tcPr>
            <w:tcW w:w="1026" w:type="pct"/>
            <w:shd w:val="clear" w:color="auto" w:fill="auto"/>
            <w:tcMar>
              <w:left w:w="58" w:type="dxa"/>
              <w:right w:w="58" w:type="dxa"/>
            </w:tcMar>
          </w:tcPr>
          <w:p w:rsidR="002E3AE7" w:rsidRPr="00284ABB" w:rsidRDefault="002E3AE7" w:rsidP="003E0A02">
            <w:pPr>
              <w:keepNext/>
              <w:keepLines/>
              <w:rPr>
                <w:sz w:val="16"/>
                <w:szCs w:val="16"/>
              </w:rPr>
            </w:pPr>
            <w:r w:rsidRPr="00284ABB">
              <w:rPr>
                <w:sz w:val="16"/>
                <w:szCs w:val="16"/>
              </w:rPr>
              <w:lastRenderedPageBreak/>
              <w:t>N.º de solicitudes recibidas por parte de Estados miembros no representados, como % del total</w:t>
            </w:r>
          </w:p>
        </w:tc>
        <w:tc>
          <w:tcPr>
            <w:tcW w:w="1212" w:type="pct"/>
            <w:shd w:val="clear" w:color="auto" w:fill="auto"/>
            <w:tcMar>
              <w:left w:w="58" w:type="dxa"/>
              <w:right w:w="58" w:type="dxa"/>
            </w:tcMar>
          </w:tcPr>
          <w:p w:rsidR="002E3AE7" w:rsidRPr="001C3409" w:rsidRDefault="002E3AE7" w:rsidP="003E0A02">
            <w:pPr>
              <w:keepNext/>
              <w:keepLines/>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keepNext/>
              <w:keepLines/>
              <w:rPr>
                <w:color w:val="002060"/>
                <w:sz w:val="16"/>
                <w:szCs w:val="16"/>
              </w:rPr>
            </w:pPr>
            <w:r w:rsidRPr="001C3409">
              <w:rPr>
                <w:color w:val="002060"/>
                <w:sz w:val="16"/>
                <w:szCs w:val="16"/>
              </w:rPr>
              <w:t>7,1%</w:t>
            </w:r>
          </w:p>
          <w:p w:rsidR="002E3AE7" w:rsidRPr="00284ABB" w:rsidRDefault="002E3AE7" w:rsidP="003E0A02">
            <w:pPr>
              <w:keepNext/>
              <w:keepLines/>
              <w:rPr>
                <w:sz w:val="16"/>
                <w:szCs w:val="16"/>
              </w:rPr>
            </w:pPr>
          </w:p>
          <w:p w:rsidR="002E3AE7" w:rsidRPr="00284ABB" w:rsidRDefault="002E3AE7" w:rsidP="003E0A02">
            <w:pPr>
              <w:keepNext/>
              <w:keepLines/>
              <w:rPr>
                <w:i/>
                <w:sz w:val="16"/>
                <w:szCs w:val="16"/>
              </w:rPr>
            </w:pPr>
            <w:r w:rsidRPr="00284ABB">
              <w:rPr>
                <w:i/>
                <w:sz w:val="16"/>
                <w:szCs w:val="16"/>
              </w:rPr>
              <w:t xml:space="preserve">Referencia original en el presupuesto de 2016/17:  </w:t>
            </w:r>
          </w:p>
          <w:p w:rsidR="002E3AE7" w:rsidRPr="00284ABB" w:rsidRDefault="002E3AE7" w:rsidP="003E0A02">
            <w:pPr>
              <w:keepNext/>
              <w:keepLines/>
              <w:rPr>
                <w:sz w:val="16"/>
                <w:szCs w:val="16"/>
              </w:rPr>
            </w:pPr>
            <w:r w:rsidRPr="00284ABB">
              <w:rPr>
                <w:sz w:val="16"/>
                <w:szCs w:val="16"/>
              </w:rPr>
              <w:t>A determinar a fines de 2015</w:t>
            </w:r>
          </w:p>
        </w:tc>
        <w:tc>
          <w:tcPr>
            <w:tcW w:w="971" w:type="pct"/>
            <w:gridSpan w:val="2"/>
            <w:shd w:val="clear" w:color="auto" w:fill="auto"/>
            <w:tcMar>
              <w:top w:w="110" w:type="dxa"/>
              <w:left w:w="58" w:type="dxa"/>
              <w:right w:w="58" w:type="dxa"/>
            </w:tcMar>
          </w:tcPr>
          <w:p w:rsidR="002E3AE7" w:rsidRPr="00C14FF9" w:rsidRDefault="002E3AE7" w:rsidP="003E0A02">
            <w:pPr>
              <w:keepNext/>
              <w:keepLines/>
              <w:rPr>
                <w:i/>
                <w:color w:val="002060"/>
                <w:sz w:val="16"/>
                <w:szCs w:val="16"/>
              </w:rPr>
            </w:pPr>
            <w:r w:rsidRPr="00C14FF9">
              <w:rPr>
                <w:i/>
                <w:color w:val="002060"/>
                <w:sz w:val="16"/>
                <w:szCs w:val="16"/>
              </w:rPr>
              <w:t xml:space="preserve">Objetivo definido:   </w:t>
            </w:r>
          </w:p>
          <w:p w:rsidR="002E3AE7" w:rsidRPr="00C14FF9" w:rsidRDefault="002E3AE7" w:rsidP="003E0A02">
            <w:pPr>
              <w:keepNext/>
              <w:keepLines/>
              <w:rPr>
                <w:color w:val="002060"/>
                <w:sz w:val="16"/>
                <w:szCs w:val="16"/>
              </w:rPr>
            </w:pPr>
            <w:r w:rsidRPr="00C14FF9">
              <w:rPr>
                <w:color w:val="002060"/>
                <w:sz w:val="16"/>
                <w:szCs w:val="16"/>
              </w:rPr>
              <w:t>8%</w:t>
            </w:r>
          </w:p>
          <w:p w:rsidR="002E3AE7" w:rsidRPr="00284ABB" w:rsidRDefault="002E3AE7" w:rsidP="003E0A02">
            <w:pPr>
              <w:keepNext/>
              <w:keepLines/>
              <w:rPr>
                <w:sz w:val="16"/>
                <w:szCs w:val="16"/>
              </w:rPr>
            </w:pPr>
          </w:p>
          <w:p w:rsidR="002E3AE7" w:rsidRPr="00284ABB" w:rsidRDefault="002E3AE7" w:rsidP="003E0A02">
            <w:pPr>
              <w:keepNext/>
              <w:keepLines/>
              <w:rPr>
                <w:i/>
                <w:sz w:val="16"/>
                <w:szCs w:val="16"/>
              </w:rPr>
            </w:pPr>
          </w:p>
          <w:p w:rsidR="002E3AE7" w:rsidRPr="00284ABB" w:rsidRDefault="002E3AE7" w:rsidP="003E0A02">
            <w:pPr>
              <w:keepNext/>
              <w:keepLines/>
              <w:rPr>
                <w:sz w:val="16"/>
                <w:szCs w:val="16"/>
              </w:rPr>
            </w:pPr>
            <w:r w:rsidRPr="00284ABB">
              <w:rPr>
                <w:i/>
                <w:sz w:val="16"/>
                <w:szCs w:val="16"/>
              </w:rPr>
              <w:t xml:space="preserve">Objetivo original en el presupuesto 2016/17: </w:t>
            </w:r>
            <w:r w:rsidRPr="00284ABB">
              <w:rPr>
                <w:sz w:val="16"/>
                <w:szCs w:val="16"/>
              </w:rPr>
              <w:t xml:space="preserve"> </w:t>
            </w:r>
          </w:p>
          <w:p w:rsidR="002E3AE7" w:rsidRPr="00284ABB" w:rsidRDefault="002E3AE7" w:rsidP="003E0A02">
            <w:pPr>
              <w:keepNext/>
              <w:keepLines/>
              <w:spacing w:after="120"/>
              <w:rPr>
                <w:sz w:val="16"/>
                <w:szCs w:val="16"/>
              </w:rPr>
            </w:pPr>
            <w:r w:rsidRPr="00284ABB">
              <w:rPr>
                <w:sz w:val="16"/>
                <w:szCs w:val="16"/>
              </w:rPr>
              <w:t>A determinar a fines de 2015 (sobre la base del aumento del % entre 2014-2015)</w:t>
            </w:r>
          </w:p>
        </w:tc>
        <w:tc>
          <w:tcPr>
            <w:tcW w:w="1139" w:type="pct"/>
            <w:gridSpan w:val="2"/>
            <w:shd w:val="clear" w:color="auto" w:fill="FFFFFF"/>
            <w:tcMar>
              <w:top w:w="110" w:type="dxa"/>
              <w:left w:w="58" w:type="dxa"/>
              <w:right w:w="58" w:type="dxa"/>
            </w:tcMar>
          </w:tcPr>
          <w:p w:rsidR="002E3AE7" w:rsidRPr="00284ABB" w:rsidRDefault="002E3AE7" w:rsidP="003E0A02">
            <w:pPr>
              <w:keepNext/>
              <w:keepLines/>
              <w:rPr>
                <w:sz w:val="16"/>
                <w:szCs w:val="16"/>
              </w:rPr>
            </w:pPr>
            <w:r w:rsidRPr="00284ABB">
              <w:rPr>
                <w:sz w:val="16"/>
                <w:szCs w:val="16"/>
              </w:rPr>
              <w:t xml:space="preserve">7,9% (a partir de todas las candidaturas presentadas en 2016 para ocupar los cargos en las categorías profesional y superiores) </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B050"/>
                <w:sz w:val="16"/>
                <w:szCs w:val="16"/>
              </w:rPr>
              <w:t>Avanza</w:t>
            </w:r>
          </w:p>
        </w:tc>
      </w:tr>
      <w:tr w:rsidR="002E3AE7" w:rsidRPr="00284ABB" w:rsidTr="003E0A02">
        <w:trPr>
          <w:trHeight w:val="576"/>
        </w:trPr>
        <w:tc>
          <w:tcPr>
            <w:tcW w:w="1026" w:type="pct"/>
            <w:shd w:val="clear" w:color="auto" w:fill="auto"/>
            <w:tcMar>
              <w:left w:w="58" w:type="dxa"/>
              <w:right w:w="58" w:type="dxa"/>
            </w:tcMar>
          </w:tcPr>
          <w:p w:rsidR="002E3AE7" w:rsidRPr="00284ABB" w:rsidRDefault="002E3AE7" w:rsidP="003E0A02">
            <w:pPr>
              <w:keepNext/>
              <w:rPr>
                <w:sz w:val="16"/>
                <w:szCs w:val="16"/>
              </w:rPr>
            </w:pPr>
            <w:r w:rsidRPr="00284ABB">
              <w:rPr>
                <w:sz w:val="16"/>
                <w:szCs w:val="16"/>
              </w:rPr>
              <w:t xml:space="preserve">Mayor consolidación de la planificación de los recursos humanos </w:t>
            </w:r>
          </w:p>
        </w:tc>
        <w:tc>
          <w:tcPr>
            <w:tcW w:w="1212" w:type="pct"/>
            <w:shd w:val="clear" w:color="auto" w:fill="auto"/>
            <w:tcMar>
              <w:left w:w="58" w:type="dxa"/>
              <w:right w:w="58" w:type="dxa"/>
            </w:tcMar>
          </w:tcPr>
          <w:p w:rsidR="002E3AE7" w:rsidRPr="001C3409" w:rsidRDefault="002E3AE7" w:rsidP="003E0A02">
            <w:pPr>
              <w:keepNext/>
              <w:rPr>
                <w:i/>
                <w:color w:val="002060"/>
                <w:sz w:val="16"/>
                <w:szCs w:val="16"/>
              </w:rPr>
            </w:pPr>
            <w:r w:rsidRPr="001C3409">
              <w:rPr>
                <w:i/>
                <w:color w:val="002060"/>
                <w:sz w:val="16"/>
                <w:szCs w:val="16"/>
              </w:rPr>
              <w:t>Referencia actualizada a fines de 2015:</w:t>
            </w:r>
            <w:r w:rsidRPr="001C3409">
              <w:rPr>
                <w:rStyle w:val="FootnoteReference"/>
                <w:i/>
                <w:color w:val="002060"/>
              </w:rPr>
              <w:footnoteReference w:id="91"/>
            </w:r>
            <w:r w:rsidRPr="001C3409">
              <w:rPr>
                <w:i/>
                <w:color w:val="002060"/>
                <w:sz w:val="16"/>
                <w:szCs w:val="16"/>
              </w:rPr>
              <w:t xml:space="preserve">  </w:t>
            </w:r>
          </w:p>
          <w:p w:rsidR="002E3AE7" w:rsidRPr="001C3409" w:rsidRDefault="002E3AE7" w:rsidP="003E0A02">
            <w:pPr>
              <w:keepNext/>
              <w:rPr>
                <w:color w:val="002060"/>
                <w:sz w:val="16"/>
                <w:szCs w:val="16"/>
              </w:rPr>
            </w:pPr>
            <w:r w:rsidRPr="001C3409">
              <w:rPr>
                <w:color w:val="002060"/>
                <w:sz w:val="16"/>
                <w:szCs w:val="16"/>
              </w:rPr>
              <w:t>Fase 2</w:t>
            </w:r>
          </w:p>
          <w:p w:rsidR="002E3AE7" w:rsidRPr="00284ABB" w:rsidRDefault="002E3AE7" w:rsidP="003E0A02">
            <w:pPr>
              <w:keepNext/>
              <w:rPr>
                <w:i/>
                <w:sz w:val="16"/>
                <w:szCs w:val="16"/>
              </w:rPr>
            </w:pPr>
          </w:p>
          <w:p w:rsidR="002E3AE7" w:rsidRPr="00284ABB" w:rsidRDefault="002E3AE7" w:rsidP="003E0A02">
            <w:pPr>
              <w:keepNext/>
              <w:rPr>
                <w:i/>
                <w:sz w:val="16"/>
                <w:szCs w:val="16"/>
              </w:rPr>
            </w:pPr>
            <w:r w:rsidRPr="00284ABB">
              <w:rPr>
                <w:i/>
                <w:sz w:val="16"/>
                <w:szCs w:val="16"/>
              </w:rPr>
              <w:t xml:space="preserve">Referencia original en el presupuesto de 2016/17:  </w:t>
            </w:r>
          </w:p>
          <w:p w:rsidR="002E3AE7" w:rsidRPr="00284ABB" w:rsidRDefault="002E3AE7" w:rsidP="003E0A02">
            <w:pPr>
              <w:keepNext/>
              <w:rPr>
                <w:sz w:val="16"/>
                <w:szCs w:val="16"/>
              </w:rPr>
            </w:pPr>
            <w:r w:rsidRPr="00284ABB">
              <w:rPr>
                <w:sz w:val="16"/>
                <w:szCs w:val="16"/>
              </w:rPr>
              <w:t>Por determinar</w:t>
            </w:r>
          </w:p>
        </w:tc>
        <w:tc>
          <w:tcPr>
            <w:tcW w:w="971" w:type="pct"/>
            <w:gridSpan w:val="2"/>
            <w:shd w:val="clear" w:color="auto" w:fill="auto"/>
            <w:tcMar>
              <w:top w:w="110" w:type="dxa"/>
              <w:left w:w="58" w:type="dxa"/>
              <w:right w:w="58" w:type="dxa"/>
            </w:tcMar>
          </w:tcPr>
          <w:p w:rsidR="002E3AE7" w:rsidRPr="00C14FF9" w:rsidRDefault="002E3AE7" w:rsidP="003E0A02">
            <w:pPr>
              <w:keepNext/>
              <w:rPr>
                <w:color w:val="002060"/>
                <w:sz w:val="16"/>
                <w:szCs w:val="16"/>
              </w:rPr>
            </w:pPr>
            <w:r w:rsidRPr="00C14FF9">
              <w:rPr>
                <w:i/>
                <w:color w:val="002060"/>
                <w:sz w:val="16"/>
                <w:szCs w:val="16"/>
              </w:rPr>
              <w:t>Objetivo definido</w:t>
            </w:r>
            <w:r w:rsidRPr="00C14FF9">
              <w:rPr>
                <w:color w:val="002060"/>
                <w:sz w:val="16"/>
                <w:szCs w:val="16"/>
              </w:rPr>
              <w:t>:</w:t>
            </w:r>
          </w:p>
          <w:p w:rsidR="002E3AE7" w:rsidRPr="00C14FF9" w:rsidRDefault="002E3AE7" w:rsidP="003E0A02">
            <w:pPr>
              <w:keepNext/>
              <w:rPr>
                <w:color w:val="002060"/>
                <w:sz w:val="16"/>
                <w:szCs w:val="16"/>
              </w:rPr>
            </w:pPr>
            <w:r w:rsidRPr="00C14FF9">
              <w:rPr>
                <w:color w:val="002060"/>
                <w:sz w:val="16"/>
                <w:szCs w:val="16"/>
              </w:rPr>
              <w:t>Fase 3</w:t>
            </w:r>
          </w:p>
          <w:p w:rsidR="002E3AE7" w:rsidRPr="00284ABB" w:rsidRDefault="002E3AE7" w:rsidP="003E0A02">
            <w:pPr>
              <w:keepNext/>
              <w:rPr>
                <w:sz w:val="16"/>
                <w:szCs w:val="16"/>
              </w:rPr>
            </w:pPr>
          </w:p>
          <w:p w:rsidR="002E3AE7" w:rsidRPr="00284ABB" w:rsidRDefault="002E3AE7" w:rsidP="003E0A02">
            <w:pPr>
              <w:keepNext/>
              <w:rPr>
                <w:i/>
                <w:sz w:val="16"/>
                <w:szCs w:val="16"/>
              </w:rPr>
            </w:pPr>
          </w:p>
          <w:p w:rsidR="002E3AE7" w:rsidRPr="00284ABB" w:rsidRDefault="002E3AE7" w:rsidP="003E0A02">
            <w:pPr>
              <w:keepNext/>
              <w:rPr>
                <w:i/>
                <w:sz w:val="16"/>
                <w:szCs w:val="16"/>
                <w:lang w:bidi="th-TH"/>
              </w:rPr>
            </w:pPr>
            <w:r w:rsidRPr="00284ABB">
              <w:rPr>
                <w:i/>
                <w:sz w:val="16"/>
                <w:szCs w:val="16"/>
                <w:lang w:bidi="th-TH"/>
              </w:rPr>
              <w:t xml:space="preserve">Objetivo original en el presupuesto 2016/17:  </w:t>
            </w:r>
          </w:p>
          <w:p w:rsidR="002E3AE7" w:rsidRPr="00284ABB" w:rsidRDefault="002E3AE7" w:rsidP="003E0A02">
            <w:pPr>
              <w:keepNext/>
              <w:spacing w:after="120"/>
              <w:rPr>
                <w:sz w:val="16"/>
                <w:szCs w:val="16"/>
              </w:rPr>
            </w:pPr>
            <w:r w:rsidRPr="00284ABB">
              <w:rPr>
                <w:sz w:val="16"/>
                <w:szCs w:val="16"/>
              </w:rPr>
              <w:t>Por determinar</w:t>
            </w:r>
          </w:p>
        </w:tc>
        <w:tc>
          <w:tcPr>
            <w:tcW w:w="1139" w:type="pct"/>
            <w:gridSpan w:val="2"/>
            <w:shd w:val="clear" w:color="auto" w:fill="FFFFFF"/>
            <w:tcMar>
              <w:top w:w="110" w:type="dxa"/>
              <w:left w:w="58" w:type="dxa"/>
              <w:right w:w="58" w:type="dxa"/>
            </w:tcMar>
          </w:tcPr>
          <w:p w:rsidR="002E3AE7" w:rsidRPr="00284ABB" w:rsidRDefault="002E3AE7" w:rsidP="003E0A02">
            <w:pPr>
              <w:keepNext/>
              <w:keepLines/>
              <w:rPr>
                <w:sz w:val="16"/>
                <w:szCs w:val="16"/>
              </w:rPr>
            </w:pPr>
            <w:r w:rsidRPr="00284ABB">
              <w:rPr>
                <w:sz w:val="16"/>
                <w:szCs w:val="16"/>
              </w:rPr>
              <w:t>Evaluación a efectuar al final del bienio</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70C0"/>
                <w:sz w:val="16"/>
                <w:szCs w:val="16"/>
              </w:rPr>
              <w:t xml:space="preserve">No disponible </w:t>
            </w:r>
            <w:r>
              <w:rPr>
                <w:b/>
                <w:color w:val="0070C0"/>
                <w:sz w:val="16"/>
                <w:szCs w:val="16"/>
              </w:rPr>
              <w:t>para</w:t>
            </w:r>
            <w:r w:rsidRPr="00284ABB">
              <w:rPr>
                <w:b/>
                <w:color w:val="0070C0"/>
                <w:sz w:val="16"/>
                <w:szCs w:val="16"/>
              </w:rPr>
              <w:t xml:space="preserve"> 2016</w:t>
            </w:r>
          </w:p>
        </w:tc>
      </w:tr>
      <w:tr w:rsidR="002E3AE7" w:rsidRPr="00284ABB" w:rsidTr="003E0A02">
        <w:trPr>
          <w:trHeight w:val="576"/>
        </w:trPr>
        <w:tc>
          <w:tcPr>
            <w:tcW w:w="1026" w:type="pct"/>
            <w:shd w:val="clear" w:color="auto" w:fill="auto"/>
            <w:tcMar>
              <w:left w:w="58" w:type="dxa"/>
              <w:right w:w="58" w:type="dxa"/>
            </w:tcMar>
          </w:tcPr>
          <w:p w:rsidR="002E3AE7" w:rsidRPr="00284ABB" w:rsidRDefault="002E3AE7" w:rsidP="003E0A02">
            <w:pPr>
              <w:keepNext/>
              <w:keepLines/>
              <w:rPr>
                <w:sz w:val="16"/>
                <w:szCs w:val="16"/>
              </w:rPr>
            </w:pPr>
            <w:r w:rsidRPr="00284ABB">
              <w:rPr>
                <w:sz w:val="16"/>
                <w:szCs w:val="16"/>
              </w:rPr>
              <w:t>% de necesidades de formación satisfechas, de las cuales:  i) necesidades esenciales de formación colectiva y  ii) necesidades de formación individuales</w:t>
            </w:r>
          </w:p>
        </w:tc>
        <w:tc>
          <w:tcPr>
            <w:tcW w:w="1212" w:type="pct"/>
            <w:shd w:val="clear" w:color="auto" w:fill="auto"/>
            <w:tcMar>
              <w:left w:w="58" w:type="dxa"/>
              <w:right w:w="58" w:type="dxa"/>
            </w:tcMar>
          </w:tcPr>
          <w:p w:rsidR="002E3AE7" w:rsidRPr="001C3409" w:rsidRDefault="002E3AE7" w:rsidP="003E0A02">
            <w:pPr>
              <w:keepNext/>
              <w:keepLines/>
              <w:rPr>
                <w:i/>
                <w:color w:val="002060"/>
                <w:sz w:val="16"/>
                <w:szCs w:val="16"/>
              </w:rPr>
            </w:pPr>
            <w:r w:rsidRPr="001C3409">
              <w:rPr>
                <w:i/>
                <w:color w:val="002060"/>
                <w:sz w:val="16"/>
                <w:szCs w:val="16"/>
              </w:rPr>
              <w:t xml:space="preserve">Referencia actualizada a fines de 2015:  </w:t>
            </w:r>
          </w:p>
          <w:p w:rsidR="002E3AE7" w:rsidRPr="001C3409" w:rsidRDefault="002E3AE7" w:rsidP="003E0A02">
            <w:pPr>
              <w:keepNext/>
              <w:keepLines/>
              <w:rPr>
                <w:color w:val="002060"/>
                <w:sz w:val="16"/>
                <w:szCs w:val="16"/>
              </w:rPr>
            </w:pPr>
            <w:r w:rsidRPr="001C3409">
              <w:rPr>
                <w:color w:val="002060"/>
                <w:sz w:val="16"/>
                <w:szCs w:val="16"/>
              </w:rPr>
              <w:t>i) 2014/15:  81%</w:t>
            </w:r>
          </w:p>
          <w:p w:rsidR="002E3AE7" w:rsidRPr="001C3409" w:rsidRDefault="002E3AE7" w:rsidP="003E0A02">
            <w:pPr>
              <w:keepNext/>
              <w:keepLines/>
              <w:rPr>
                <w:color w:val="002060"/>
                <w:sz w:val="16"/>
                <w:szCs w:val="16"/>
              </w:rPr>
            </w:pPr>
          </w:p>
          <w:p w:rsidR="002E3AE7" w:rsidRPr="001C3409" w:rsidRDefault="002E3AE7" w:rsidP="003E0A02">
            <w:pPr>
              <w:keepNext/>
              <w:keepLines/>
              <w:rPr>
                <w:color w:val="002060"/>
                <w:sz w:val="16"/>
                <w:szCs w:val="16"/>
              </w:rPr>
            </w:pPr>
            <w:r w:rsidRPr="001C3409">
              <w:rPr>
                <w:color w:val="002060"/>
                <w:sz w:val="16"/>
                <w:szCs w:val="16"/>
              </w:rPr>
              <w:t>ii) 2015:  62%</w:t>
            </w:r>
          </w:p>
          <w:p w:rsidR="002E3AE7" w:rsidRPr="00284ABB" w:rsidRDefault="002E3AE7" w:rsidP="003E0A02">
            <w:pPr>
              <w:keepNext/>
              <w:keepLines/>
              <w:rPr>
                <w:sz w:val="16"/>
                <w:szCs w:val="16"/>
              </w:rPr>
            </w:pPr>
          </w:p>
          <w:p w:rsidR="002E3AE7" w:rsidRPr="00284ABB" w:rsidRDefault="002E3AE7" w:rsidP="003E0A02">
            <w:pPr>
              <w:keepNext/>
              <w:keepLines/>
              <w:rPr>
                <w:i/>
                <w:sz w:val="16"/>
                <w:szCs w:val="16"/>
              </w:rPr>
            </w:pPr>
          </w:p>
          <w:p w:rsidR="002E3AE7" w:rsidRDefault="002E3AE7" w:rsidP="003E0A02">
            <w:pPr>
              <w:keepNext/>
              <w:keepLines/>
              <w:rPr>
                <w:i/>
                <w:sz w:val="16"/>
                <w:szCs w:val="16"/>
              </w:rPr>
            </w:pPr>
          </w:p>
          <w:p w:rsidR="002E3AE7" w:rsidRDefault="002E3AE7" w:rsidP="003E0A02">
            <w:pPr>
              <w:keepNext/>
              <w:keepLines/>
              <w:rPr>
                <w:i/>
                <w:sz w:val="16"/>
                <w:szCs w:val="16"/>
              </w:rPr>
            </w:pPr>
          </w:p>
          <w:p w:rsidR="002E3AE7" w:rsidRDefault="002E3AE7" w:rsidP="003E0A02">
            <w:pPr>
              <w:keepNext/>
              <w:keepLines/>
              <w:rPr>
                <w:i/>
                <w:sz w:val="16"/>
                <w:szCs w:val="16"/>
              </w:rPr>
            </w:pPr>
          </w:p>
          <w:p w:rsidR="002E3AE7" w:rsidRDefault="002E3AE7" w:rsidP="003E0A02">
            <w:pPr>
              <w:keepNext/>
              <w:keepLines/>
              <w:rPr>
                <w:i/>
                <w:sz w:val="16"/>
                <w:szCs w:val="16"/>
              </w:rPr>
            </w:pPr>
          </w:p>
          <w:p w:rsidR="002E3AE7" w:rsidRPr="00284ABB" w:rsidRDefault="002E3AE7" w:rsidP="003E0A02">
            <w:pPr>
              <w:keepNext/>
              <w:keepLines/>
              <w:rPr>
                <w:i/>
                <w:sz w:val="16"/>
                <w:szCs w:val="16"/>
              </w:rPr>
            </w:pPr>
          </w:p>
          <w:p w:rsidR="002E3AE7" w:rsidRPr="00284ABB" w:rsidRDefault="002E3AE7" w:rsidP="003E0A02">
            <w:pPr>
              <w:keepNext/>
              <w:keepLines/>
              <w:rPr>
                <w:i/>
                <w:sz w:val="16"/>
                <w:szCs w:val="16"/>
              </w:rPr>
            </w:pPr>
          </w:p>
          <w:p w:rsidR="002E3AE7" w:rsidRPr="00284ABB" w:rsidRDefault="002E3AE7" w:rsidP="003E0A02">
            <w:pPr>
              <w:keepNext/>
              <w:keepLines/>
              <w:rPr>
                <w:i/>
                <w:sz w:val="16"/>
                <w:szCs w:val="16"/>
              </w:rPr>
            </w:pPr>
            <w:r w:rsidRPr="00284ABB">
              <w:rPr>
                <w:i/>
                <w:sz w:val="16"/>
                <w:szCs w:val="16"/>
              </w:rPr>
              <w:t xml:space="preserve">Referencia original en el presupuesto de 2016/17:  </w:t>
            </w:r>
          </w:p>
          <w:p w:rsidR="002E3AE7" w:rsidRPr="00284ABB" w:rsidRDefault="002E3AE7" w:rsidP="003E0A02">
            <w:pPr>
              <w:rPr>
                <w:sz w:val="16"/>
                <w:szCs w:val="16"/>
              </w:rPr>
            </w:pPr>
            <w:r w:rsidRPr="00284ABB">
              <w:rPr>
                <w:sz w:val="16"/>
                <w:szCs w:val="16"/>
              </w:rPr>
              <w:t>i) 81,04%</w:t>
            </w:r>
          </w:p>
          <w:p w:rsidR="002E3AE7" w:rsidRPr="00284ABB" w:rsidRDefault="002E3AE7" w:rsidP="003E0A02">
            <w:pPr>
              <w:rPr>
                <w:sz w:val="16"/>
                <w:szCs w:val="16"/>
              </w:rPr>
            </w:pPr>
          </w:p>
          <w:p w:rsidR="002E3AE7" w:rsidRPr="00284ABB" w:rsidRDefault="002E3AE7" w:rsidP="003E0A02">
            <w:pPr>
              <w:keepNext/>
              <w:keepLines/>
              <w:rPr>
                <w:sz w:val="16"/>
                <w:szCs w:val="16"/>
              </w:rPr>
            </w:pPr>
            <w:r w:rsidRPr="00284ABB">
              <w:rPr>
                <w:sz w:val="16"/>
                <w:szCs w:val="16"/>
              </w:rPr>
              <w:t>ii) 60,94%</w:t>
            </w:r>
          </w:p>
        </w:tc>
        <w:tc>
          <w:tcPr>
            <w:tcW w:w="971" w:type="pct"/>
            <w:gridSpan w:val="2"/>
            <w:shd w:val="clear" w:color="auto" w:fill="auto"/>
            <w:tcMar>
              <w:top w:w="110" w:type="dxa"/>
              <w:left w:w="58" w:type="dxa"/>
              <w:right w:w="58" w:type="dxa"/>
            </w:tcMar>
          </w:tcPr>
          <w:p w:rsidR="002E3AE7" w:rsidRPr="00C14FF9" w:rsidRDefault="002E3AE7" w:rsidP="003E0A02">
            <w:pPr>
              <w:keepNext/>
              <w:keepLines/>
              <w:rPr>
                <w:i/>
                <w:color w:val="002060"/>
                <w:sz w:val="16"/>
                <w:szCs w:val="16"/>
              </w:rPr>
            </w:pPr>
            <w:r w:rsidRPr="00C14FF9">
              <w:rPr>
                <w:i/>
                <w:color w:val="002060"/>
                <w:sz w:val="16"/>
                <w:szCs w:val="16"/>
              </w:rPr>
              <w:t xml:space="preserve">Objetivo actualizado:  </w:t>
            </w:r>
          </w:p>
          <w:p w:rsidR="002E3AE7" w:rsidRPr="00C14FF9" w:rsidRDefault="002E3AE7" w:rsidP="003E0A02">
            <w:pPr>
              <w:keepNext/>
              <w:keepLines/>
              <w:rPr>
                <w:color w:val="002060"/>
                <w:sz w:val="16"/>
                <w:szCs w:val="16"/>
              </w:rPr>
            </w:pPr>
            <w:r w:rsidRPr="00C14FF9">
              <w:rPr>
                <w:color w:val="002060"/>
                <w:sz w:val="16"/>
                <w:szCs w:val="16"/>
              </w:rPr>
              <w:t>i) 80% de las necesidades del bienio se atienden mediante el programa de formación</w:t>
            </w:r>
          </w:p>
          <w:p w:rsidR="002E3AE7" w:rsidRPr="00C14FF9" w:rsidRDefault="002E3AE7" w:rsidP="003E0A02">
            <w:pPr>
              <w:keepNext/>
              <w:keepLines/>
              <w:rPr>
                <w:color w:val="002060"/>
                <w:sz w:val="16"/>
                <w:szCs w:val="16"/>
              </w:rPr>
            </w:pPr>
            <w:r w:rsidRPr="00C14FF9">
              <w:rPr>
                <w:color w:val="002060"/>
                <w:sz w:val="16"/>
                <w:szCs w:val="16"/>
              </w:rPr>
              <w:t>ii) se cumple el 65% de las necesidades individuales de formación</w:t>
            </w:r>
          </w:p>
          <w:p w:rsidR="002E3AE7" w:rsidRPr="00284ABB" w:rsidRDefault="002E3AE7" w:rsidP="003E0A02">
            <w:pPr>
              <w:keepNext/>
              <w:keepLines/>
              <w:rPr>
                <w:sz w:val="16"/>
                <w:szCs w:val="16"/>
              </w:rPr>
            </w:pPr>
          </w:p>
          <w:p w:rsidR="002E3AE7" w:rsidRPr="00284ABB" w:rsidRDefault="002E3AE7" w:rsidP="003E0A02">
            <w:pPr>
              <w:rPr>
                <w:i/>
                <w:sz w:val="16"/>
                <w:szCs w:val="16"/>
                <w:lang w:bidi="th-TH"/>
              </w:rPr>
            </w:pPr>
            <w:r w:rsidRPr="00284ABB">
              <w:rPr>
                <w:i/>
                <w:sz w:val="16"/>
                <w:szCs w:val="16"/>
                <w:lang w:bidi="th-TH"/>
              </w:rPr>
              <w:t xml:space="preserve">Objetivo original en el presupuesto 2016/17:  </w:t>
            </w:r>
          </w:p>
          <w:p w:rsidR="002E3AE7" w:rsidRPr="00284ABB" w:rsidRDefault="002E3AE7" w:rsidP="003E0A02">
            <w:pPr>
              <w:keepNext/>
              <w:keepLines/>
              <w:spacing w:after="240"/>
              <w:rPr>
                <w:sz w:val="16"/>
                <w:szCs w:val="16"/>
              </w:rPr>
            </w:pPr>
            <w:r w:rsidRPr="00284ABB">
              <w:rPr>
                <w:sz w:val="16"/>
                <w:szCs w:val="16"/>
              </w:rPr>
              <w:t>i) 60% de las necesidades se satisfacen mediante un programa de formación; ii) 55% de necesidades de formación individuales satisfechas.</w:t>
            </w:r>
          </w:p>
        </w:tc>
        <w:tc>
          <w:tcPr>
            <w:tcW w:w="1139" w:type="pct"/>
            <w:gridSpan w:val="2"/>
            <w:shd w:val="clear" w:color="auto" w:fill="FFFFFF"/>
            <w:tcMar>
              <w:top w:w="110" w:type="dxa"/>
              <w:left w:w="58" w:type="dxa"/>
              <w:right w:w="58" w:type="dxa"/>
            </w:tcMar>
          </w:tcPr>
          <w:p w:rsidR="002E3AE7" w:rsidRPr="00284ABB" w:rsidRDefault="002E3AE7" w:rsidP="003E0A02">
            <w:pPr>
              <w:keepNext/>
              <w:keepLines/>
              <w:rPr>
                <w:sz w:val="16"/>
                <w:szCs w:val="16"/>
              </w:rPr>
            </w:pPr>
            <w:r w:rsidRPr="00284ABB">
              <w:rPr>
                <w:sz w:val="16"/>
                <w:szCs w:val="16"/>
              </w:rPr>
              <w:t>i) 40,4%</w:t>
            </w:r>
          </w:p>
          <w:p w:rsidR="002E3AE7" w:rsidRPr="00284ABB" w:rsidRDefault="002E3AE7" w:rsidP="003E0A02">
            <w:pPr>
              <w:keepNext/>
              <w:keepLines/>
              <w:rPr>
                <w:sz w:val="16"/>
                <w:szCs w:val="16"/>
              </w:rPr>
            </w:pPr>
          </w:p>
          <w:p w:rsidR="002E3AE7" w:rsidRPr="00284ABB" w:rsidRDefault="002E3AE7" w:rsidP="003E0A02">
            <w:pPr>
              <w:keepNext/>
              <w:keepLines/>
              <w:rPr>
                <w:sz w:val="16"/>
                <w:szCs w:val="16"/>
              </w:rPr>
            </w:pPr>
            <w:r w:rsidRPr="00284ABB">
              <w:rPr>
                <w:sz w:val="16"/>
                <w:szCs w:val="16"/>
              </w:rPr>
              <w:t xml:space="preserve">ii) 60,4% </w:t>
            </w:r>
          </w:p>
        </w:tc>
        <w:tc>
          <w:tcPr>
            <w:tcW w:w="653" w:type="pct"/>
            <w:shd w:val="clear" w:color="auto" w:fill="auto"/>
            <w:tcMar>
              <w:top w:w="110" w:type="dxa"/>
              <w:left w:w="58" w:type="dxa"/>
              <w:right w:w="58" w:type="dxa"/>
            </w:tcMar>
          </w:tcPr>
          <w:p w:rsidR="002E3AE7" w:rsidRPr="00284ABB" w:rsidRDefault="002E3AE7" w:rsidP="003E0A02">
            <w:pPr>
              <w:keepNext/>
              <w:keepLines/>
              <w:jc w:val="center"/>
              <w:rPr>
                <w:b/>
                <w:sz w:val="16"/>
                <w:szCs w:val="16"/>
              </w:rPr>
            </w:pPr>
            <w:r w:rsidRPr="00284ABB">
              <w:rPr>
                <w:b/>
                <w:color w:val="00B050"/>
                <w:sz w:val="16"/>
                <w:szCs w:val="16"/>
              </w:rPr>
              <w:t>Avanza</w:t>
            </w:r>
          </w:p>
          <w:p w:rsidR="002E3AE7" w:rsidRPr="00284ABB" w:rsidRDefault="002E3AE7" w:rsidP="003E0A02">
            <w:pPr>
              <w:keepNext/>
              <w:keepLines/>
              <w:rPr>
                <w:sz w:val="16"/>
                <w:szCs w:val="16"/>
              </w:rPr>
            </w:pPr>
          </w:p>
          <w:p w:rsidR="002E3AE7" w:rsidRPr="00284ABB" w:rsidRDefault="002E3AE7" w:rsidP="003E0A02">
            <w:pPr>
              <w:keepNext/>
              <w:keepLines/>
              <w:jc w:val="center"/>
              <w:rPr>
                <w:b/>
                <w:sz w:val="16"/>
                <w:szCs w:val="16"/>
              </w:rPr>
            </w:pPr>
            <w:r w:rsidRPr="00284ABB">
              <w:rPr>
                <w:b/>
                <w:color w:val="00B050"/>
                <w:sz w:val="16"/>
                <w:szCs w:val="16"/>
              </w:rPr>
              <w:t>Avanza</w:t>
            </w:r>
          </w:p>
          <w:p w:rsidR="002E3AE7" w:rsidRPr="00284ABB" w:rsidRDefault="002E3AE7" w:rsidP="003E0A02">
            <w:pPr>
              <w:keepNext/>
              <w:keepLines/>
              <w:jc w:val="center"/>
              <w:rPr>
                <w:sz w:val="16"/>
                <w:szCs w:val="16"/>
              </w:rPr>
            </w:pPr>
          </w:p>
          <w:p w:rsidR="002E3AE7" w:rsidRPr="00284ABB" w:rsidRDefault="002E3AE7" w:rsidP="003E0A02">
            <w:pPr>
              <w:keepNext/>
              <w:keepLines/>
              <w:jc w:val="center"/>
              <w:rPr>
                <w:b/>
                <w:sz w:val="16"/>
                <w:szCs w:val="16"/>
              </w:rPr>
            </w:pPr>
          </w:p>
        </w:tc>
      </w:tr>
    </w:tbl>
    <w:p w:rsidR="002E3AE7" w:rsidRPr="0064555B" w:rsidRDefault="002E3AE7" w:rsidP="003E0A02">
      <w:pPr>
        <w:rPr>
          <w:sz w:val="18"/>
          <w:szCs w:val="18"/>
        </w:rPr>
      </w:pPr>
    </w:p>
    <w:p w:rsidR="002E3AE7" w:rsidRPr="0064555B" w:rsidRDefault="002E3AE7">
      <w:pPr>
        <w:rPr>
          <w:sz w:val="18"/>
          <w:szCs w:val="18"/>
        </w:rPr>
      </w:pPr>
    </w:p>
    <w:tbl>
      <w:tblPr>
        <w:tblStyle w:val="TableGrid"/>
        <w:tblW w:w="918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ayout w:type="fixed"/>
        <w:tblLook w:val="04A0" w:firstRow="1" w:lastRow="0" w:firstColumn="1" w:lastColumn="0" w:noHBand="0" w:noVBand="1"/>
      </w:tblPr>
      <w:tblGrid>
        <w:gridCol w:w="9185"/>
      </w:tblGrid>
      <w:tr w:rsidR="002E3AE7" w:rsidRPr="003D559A" w:rsidTr="003E0A02">
        <w:trPr>
          <w:trHeight w:val="423"/>
        </w:trPr>
        <w:tc>
          <w:tcPr>
            <w:tcW w:w="9571" w:type="dxa"/>
            <w:shd w:val="clear" w:color="auto" w:fill="C6D9F1" w:themeFill="text2" w:themeFillTint="33"/>
            <w:vAlign w:val="center"/>
          </w:tcPr>
          <w:p w:rsidR="002E3AE7" w:rsidRPr="00284ABB" w:rsidRDefault="002E3AE7" w:rsidP="003E0A02">
            <w:pPr>
              <w:keepNext/>
              <w:keepLines/>
              <w:jc w:val="center"/>
              <w:rPr>
                <w:b/>
                <w:sz w:val="20"/>
              </w:rPr>
            </w:pPr>
            <w:r w:rsidRPr="00284ABB">
              <w:rPr>
                <w:b/>
                <w:sz w:val="20"/>
              </w:rPr>
              <w:t>Utilización de los recursos del programa 23</w:t>
            </w:r>
          </w:p>
        </w:tc>
      </w:tr>
    </w:tbl>
    <w:p w:rsidR="002E3AE7" w:rsidRPr="00284ABB" w:rsidRDefault="002E3AE7" w:rsidP="003E0A02">
      <w:pPr>
        <w:pStyle w:val="NormalWeb"/>
        <w:keepNext/>
        <w:keepLines/>
        <w:spacing w:before="0" w:beforeAutospacing="0" w:after="0" w:afterAutospacing="0"/>
        <w:jc w:val="center"/>
        <w:rPr>
          <w:sz w:val="20"/>
          <w:szCs w:val="20"/>
          <w:lang w:val="es-ES"/>
        </w:rPr>
      </w:pPr>
    </w:p>
    <w:p w:rsidR="002E3AE7" w:rsidRPr="00284ABB" w:rsidRDefault="002E3AE7" w:rsidP="003E0A02">
      <w:pPr>
        <w:pStyle w:val="NormalWeb"/>
        <w:keepNext/>
        <w:keepLines/>
        <w:spacing w:before="0" w:beforeAutospacing="0" w:after="0" w:afterAutospacing="0"/>
        <w:jc w:val="center"/>
        <w:rPr>
          <w:lang w:val="es-ES"/>
        </w:rPr>
      </w:pPr>
      <w:r w:rsidRPr="00284ABB">
        <w:rPr>
          <w:lang w:val="es-ES"/>
        </w:rPr>
        <w:t>Presupuesto y gastos reales (por resultado)</w:t>
      </w:r>
    </w:p>
    <w:p w:rsidR="002E3AE7" w:rsidRPr="00284ABB" w:rsidRDefault="002E3AE7" w:rsidP="003E0A02">
      <w:pPr>
        <w:pStyle w:val="NormalWeb"/>
        <w:keepNext/>
        <w:keepLines/>
        <w:spacing w:before="0" w:beforeAutospacing="0" w:after="0" w:afterAutospacing="0"/>
        <w:jc w:val="center"/>
        <w:rPr>
          <w:i/>
          <w:iCs/>
          <w:sz w:val="16"/>
          <w:szCs w:val="16"/>
          <w:lang w:val="es-ES"/>
        </w:rPr>
      </w:pPr>
      <w:r w:rsidRPr="00284ABB">
        <w:rPr>
          <w:i/>
          <w:iCs/>
          <w:sz w:val="16"/>
          <w:szCs w:val="16"/>
          <w:lang w:val="es-ES"/>
        </w:rPr>
        <w:t>(en miles de francos suizos)</w:t>
      </w:r>
    </w:p>
    <w:p w:rsidR="002E3AE7" w:rsidRPr="00284ABB" w:rsidRDefault="002E3AE7" w:rsidP="003E0A02">
      <w:pPr>
        <w:pStyle w:val="NormalWeb"/>
        <w:keepNext/>
        <w:keepLines/>
        <w:spacing w:before="0" w:beforeAutospacing="0" w:after="0" w:afterAutospacing="0"/>
        <w:jc w:val="center"/>
        <w:rPr>
          <w:i/>
          <w:iCs/>
          <w:sz w:val="20"/>
          <w:szCs w:val="20"/>
          <w:lang w:val="es-ES"/>
        </w:rPr>
      </w:pPr>
    </w:p>
    <w:tbl>
      <w:tblPr>
        <w:tblW w:w="8222" w:type="dxa"/>
        <w:jc w:val="center"/>
        <w:tblLayout w:type="fixed"/>
        <w:tblLook w:val="04A0" w:firstRow="1" w:lastRow="0" w:firstColumn="1" w:lastColumn="0" w:noHBand="0" w:noVBand="1"/>
      </w:tblPr>
      <w:tblGrid>
        <w:gridCol w:w="515"/>
        <w:gridCol w:w="4215"/>
        <w:gridCol w:w="1164"/>
        <w:gridCol w:w="1164"/>
        <w:gridCol w:w="1164"/>
      </w:tblGrid>
      <w:tr w:rsidR="002E3AE7" w:rsidRPr="00284ABB" w:rsidTr="003E0A02">
        <w:trPr>
          <w:trHeight w:val="825"/>
          <w:jc w:val="center"/>
        </w:trPr>
        <w:tc>
          <w:tcPr>
            <w:tcW w:w="4800" w:type="dxa"/>
            <w:gridSpan w:val="2"/>
            <w:tcBorders>
              <w:top w:val="nil"/>
              <w:left w:val="nil"/>
              <w:bottom w:val="nil"/>
              <w:right w:val="nil"/>
            </w:tcBorders>
            <w:shd w:val="clear" w:color="000000" w:fill="C5D9F1"/>
            <w:noWrap/>
            <w:vAlign w:val="center"/>
            <w:hideMark/>
          </w:tcPr>
          <w:p w:rsidR="002E3AE7" w:rsidRPr="00284ABB" w:rsidRDefault="002E3AE7" w:rsidP="003E0A02">
            <w:pPr>
              <w:jc w:val="center"/>
              <w:rPr>
                <w:b/>
                <w:bCs/>
                <w:sz w:val="16"/>
                <w:szCs w:val="16"/>
              </w:rPr>
            </w:pPr>
            <w:r w:rsidRPr="00284ABB">
              <w:rPr>
                <w:b/>
                <w:bCs/>
                <w:sz w:val="16"/>
                <w:szCs w:val="16"/>
              </w:rPr>
              <w:t xml:space="preserve">Número del resultado previsto y descripción </w:t>
            </w:r>
          </w:p>
        </w:tc>
        <w:tc>
          <w:tcPr>
            <w:tcW w:w="1180" w:type="dxa"/>
            <w:tcBorders>
              <w:top w:val="nil"/>
              <w:left w:val="nil"/>
              <w:bottom w:val="nil"/>
              <w:right w:val="nil"/>
            </w:tcBorders>
            <w:shd w:val="clear" w:color="000000" w:fill="C5D9F1"/>
            <w:vAlign w:val="center"/>
            <w:hideMark/>
          </w:tcPr>
          <w:p w:rsidR="002E3AE7" w:rsidRPr="00284ABB" w:rsidRDefault="002E3AE7" w:rsidP="003E0A02">
            <w:pPr>
              <w:ind w:left="-159"/>
              <w:jc w:val="center"/>
              <w:rPr>
                <w:b/>
                <w:bCs/>
                <w:sz w:val="16"/>
                <w:szCs w:val="16"/>
              </w:rPr>
            </w:pPr>
            <w:r w:rsidRPr="00284ABB">
              <w:rPr>
                <w:b/>
                <w:bCs/>
                <w:sz w:val="16"/>
                <w:szCs w:val="16"/>
              </w:rPr>
              <w:t xml:space="preserve"> Presupuesto aprobado de 2016/17 </w:t>
            </w:r>
          </w:p>
        </w:tc>
        <w:tc>
          <w:tcPr>
            <w:tcW w:w="1180" w:type="dxa"/>
            <w:tcBorders>
              <w:top w:val="nil"/>
              <w:left w:val="nil"/>
              <w:bottom w:val="nil"/>
              <w:right w:val="nil"/>
            </w:tcBorders>
            <w:shd w:val="clear" w:color="000000" w:fill="C5D9F1"/>
            <w:vAlign w:val="center"/>
            <w:hideMark/>
          </w:tcPr>
          <w:p w:rsidR="002E3AE7" w:rsidRPr="00284ABB" w:rsidRDefault="002E3AE7" w:rsidP="003E0A02">
            <w:pPr>
              <w:ind w:left="-71" w:right="-101"/>
              <w:jc w:val="center"/>
              <w:rPr>
                <w:b/>
                <w:bCs/>
                <w:sz w:val="16"/>
                <w:szCs w:val="16"/>
              </w:rPr>
            </w:pPr>
            <w:r w:rsidRPr="00284ABB">
              <w:rPr>
                <w:b/>
                <w:bCs/>
                <w:sz w:val="16"/>
                <w:szCs w:val="16"/>
              </w:rPr>
              <w:t xml:space="preserve"> Presupuesto de 2016/17 tras las transferencias </w:t>
            </w:r>
          </w:p>
        </w:tc>
        <w:tc>
          <w:tcPr>
            <w:tcW w:w="1180" w:type="dxa"/>
            <w:tcBorders>
              <w:top w:val="nil"/>
              <w:left w:val="nil"/>
              <w:bottom w:val="nil"/>
              <w:right w:val="nil"/>
            </w:tcBorders>
            <w:shd w:val="clear" w:color="000000" w:fill="C5D9F1"/>
            <w:vAlign w:val="center"/>
            <w:hideMark/>
          </w:tcPr>
          <w:p w:rsidR="002E3AE7" w:rsidRPr="00284ABB" w:rsidRDefault="002E3AE7" w:rsidP="003E0A02">
            <w:pPr>
              <w:jc w:val="center"/>
              <w:rPr>
                <w:b/>
                <w:bCs/>
                <w:sz w:val="16"/>
                <w:szCs w:val="16"/>
              </w:rPr>
            </w:pPr>
            <w:r w:rsidRPr="00284ABB">
              <w:rPr>
                <w:b/>
                <w:bCs/>
                <w:sz w:val="16"/>
                <w:szCs w:val="16"/>
              </w:rPr>
              <w:t xml:space="preserve"> Gastos en 2016* </w:t>
            </w:r>
          </w:p>
        </w:tc>
      </w:tr>
      <w:tr w:rsidR="002E3AE7" w:rsidRPr="00284ABB" w:rsidTr="003E0A02">
        <w:trPr>
          <w:trHeight w:val="933"/>
          <w:jc w:val="center"/>
        </w:trPr>
        <w:tc>
          <w:tcPr>
            <w:tcW w:w="519" w:type="dxa"/>
            <w:tcBorders>
              <w:top w:val="nil"/>
              <w:left w:val="nil"/>
              <w:bottom w:val="nil"/>
              <w:right w:val="nil"/>
            </w:tcBorders>
            <w:shd w:val="clear" w:color="auto" w:fill="auto"/>
            <w:noWrap/>
            <w:vAlign w:val="center"/>
            <w:hideMark/>
          </w:tcPr>
          <w:p w:rsidR="002E3AE7" w:rsidRPr="00284ABB" w:rsidRDefault="002E3AE7" w:rsidP="003E0A02">
            <w:pPr>
              <w:rPr>
                <w:sz w:val="16"/>
                <w:szCs w:val="16"/>
              </w:rPr>
            </w:pPr>
            <w:r w:rsidRPr="00284ABB">
              <w:rPr>
                <w:sz w:val="16"/>
                <w:szCs w:val="16"/>
              </w:rPr>
              <w:t>IX.1</w:t>
            </w:r>
          </w:p>
        </w:tc>
        <w:tc>
          <w:tcPr>
            <w:tcW w:w="4281" w:type="dxa"/>
            <w:tcBorders>
              <w:top w:val="nil"/>
              <w:left w:val="nil"/>
              <w:bottom w:val="nil"/>
              <w:right w:val="nil"/>
            </w:tcBorders>
            <w:shd w:val="clear" w:color="auto" w:fill="auto"/>
            <w:vAlign w:val="center"/>
            <w:hideMark/>
          </w:tcPr>
          <w:p w:rsidR="002E3AE7" w:rsidRPr="00284ABB" w:rsidRDefault="002E3AE7" w:rsidP="003E0A02">
            <w:pPr>
              <w:rPr>
                <w:sz w:val="16"/>
                <w:szCs w:val="16"/>
              </w:rPr>
            </w:pPr>
            <w:r w:rsidRPr="00284ABB">
              <w:rPr>
                <w:sz w:val="16"/>
                <w:szCs w:val="16"/>
              </w:rPr>
              <w:t>Servicios de apoyo eficaces, eficientes, de calidad y orientados al cliente, tanto a los usuarios internos como a las partes interesadas externas</w:t>
            </w:r>
          </w:p>
        </w:tc>
        <w:tc>
          <w:tcPr>
            <w:tcW w:w="1180" w:type="dxa"/>
            <w:tcBorders>
              <w:top w:val="nil"/>
              <w:left w:val="nil"/>
              <w:bottom w:val="nil"/>
              <w:right w:val="nil"/>
            </w:tcBorders>
            <w:shd w:val="clear" w:color="auto" w:fill="auto"/>
            <w:noWrap/>
            <w:vAlign w:val="center"/>
            <w:hideMark/>
          </w:tcPr>
          <w:p w:rsidR="002E3AE7" w:rsidRPr="00284ABB" w:rsidRDefault="002E3AE7" w:rsidP="003E0A02">
            <w:pPr>
              <w:jc w:val="center"/>
              <w:rPr>
                <w:sz w:val="16"/>
                <w:szCs w:val="16"/>
              </w:rPr>
            </w:pPr>
            <w:r w:rsidRPr="00284ABB">
              <w:rPr>
                <w:sz w:val="16"/>
                <w:szCs w:val="16"/>
              </w:rPr>
              <w:t>12.096</w:t>
            </w:r>
          </w:p>
        </w:tc>
        <w:tc>
          <w:tcPr>
            <w:tcW w:w="1180" w:type="dxa"/>
            <w:tcBorders>
              <w:top w:val="nil"/>
              <w:left w:val="nil"/>
              <w:bottom w:val="nil"/>
              <w:right w:val="nil"/>
            </w:tcBorders>
            <w:shd w:val="clear" w:color="auto" w:fill="auto"/>
            <w:noWrap/>
            <w:vAlign w:val="center"/>
            <w:hideMark/>
          </w:tcPr>
          <w:p w:rsidR="002E3AE7" w:rsidRPr="00284ABB" w:rsidRDefault="002E3AE7" w:rsidP="003E0A02">
            <w:pPr>
              <w:jc w:val="center"/>
              <w:rPr>
                <w:sz w:val="16"/>
                <w:szCs w:val="16"/>
              </w:rPr>
            </w:pPr>
            <w:r w:rsidRPr="00284ABB">
              <w:rPr>
                <w:sz w:val="16"/>
                <w:szCs w:val="16"/>
              </w:rPr>
              <w:t>12.426</w:t>
            </w:r>
          </w:p>
        </w:tc>
        <w:tc>
          <w:tcPr>
            <w:tcW w:w="1180" w:type="dxa"/>
            <w:tcBorders>
              <w:top w:val="nil"/>
              <w:left w:val="nil"/>
              <w:bottom w:val="nil"/>
              <w:right w:val="nil"/>
            </w:tcBorders>
            <w:shd w:val="clear" w:color="auto" w:fill="auto"/>
            <w:noWrap/>
            <w:vAlign w:val="center"/>
            <w:hideMark/>
          </w:tcPr>
          <w:p w:rsidR="002E3AE7" w:rsidRPr="00284ABB" w:rsidRDefault="002E3AE7" w:rsidP="003E0A02">
            <w:pPr>
              <w:jc w:val="center"/>
              <w:rPr>
                <w:sz w:val="16"/>
                <w:szCs w:val="16"/>
              </w:rPr>
            </w:pPr>
            <w:r w:rsidRPr="00284ABB">
              <w:rPr>
                <w:sz w:val="16"/>
                <w:szCs w:val="16"/>
              </w:rPr>
              <w:t>5.802</w:t>
            </w:r>
          </w:p>
        </w:tc>
      </w:tr>
      <w:tr w:rsidR="002E3AE7" w:rsidRPr="00284ABB" w:rsidTr="003E0A02">
        <w:trPr>
          <w:trHeight w:val="989"/>
          <w:jc w:val="center"/>
        </w:trPr>
        <w:tc>
          <w:tcPr>
            <w:tcW w:w="519" w:type="dxa"/>
            <w:tcBorders>
              <w:top w:val="nil"/>
              <w:left w:val="nil"/>
              <w:bottom w:val="nil"/>
              <w:right w:val="nil"/>
            </w:tcBorders>
            <w:shd w:val="clear" w:color="auto" w:fill="auto"/>
            <w:noWrap/>
            <w:vAlign w:val="center"/>
            <w:hideMark/>
          </w:tcPr>
          <w:p w:rsidR="002E3AE7" w:rsidRPr="00284ABB" w:rsidRDefault="002E3AE7" w:rsidP="003E0A02">
            <w:pPr>
              <w:rPr>
                <w:sz w:val="16"/>
                <w:szCs w:val="16"/>
              </w:rPr>
            </w:pPr>
            <w:r w:rsidRPr="00284ABB">
              <w:rPr>
                <w:sz w:val="16"/>
                <w:szCs w:val="16"/>
              </w:rPr>
              <w:t>IX.2</w:t>
            </w:r>
          </w:p>
        </w:tc>
        <w:tc>
          <w:tcPr>
            <w:tcW w:w="4281" w:type="dxa"/>
            <w:tcBorders>
              <w:top w:val="nil"/>
              <w:left w:val="nil"/>
              <w:bottom w:val="nil"/>
              <w:right w:val="nil"/>
            </w:tcBorders>
            <w:shd w:val="clear" w:color="auto" w:fill="auto"/>
            <w:vAlign w:val="center"/>
            <w:hideMark/>
          </w:tcPr>
          <w:p w:rsidR="002E3AE7" w:rsidRPr="00284ABB" w:rsidRDefault="002E3AE7" w:rsidP="003E0A02">
            <w:pPr>
              <w:rPr>
                <w:sz w:val="16"/>
                <w:szCs w:val="16"/>
              </w:rPr>
            </w:pPr>
            <w:r w:rsidRPr="00284ABB">
              <w:rPr>
                <w:sz w:val="16"/>
                <w:szCs w:val="16"/>
              </w:rPr>
              <w:t>Funcionamiento sin contratiempos de la Secretaría, provista de un personal bien dirigido, dotado de las competencias adecuadas, y capaz de conseguir resultados</w:t>
            </w:r>
          </w:p>
        </w:tc>
        <w:tc>
          <w:tcPr>
            <w:tcW w:w="1180" w:type="dxa"/>
            <w:tcBorders>
              <w:top w:val="nil"/>
              <w:left w:val="nil"/>
              <w:bottom w:val="nil"/>
              <w:right w:val="nil"/>
            </w:tcBorders>
            <w:shd w:val="clear" w:color="auto" w:fill="auto"/>
            <w:noWrap/>
            <w:vAlign w:val="center"/>
            <w:hideMark/>
          </w:tcPr>
          <w:p w:rsidR="002E3AE7" w:rsidRPr="00284ABB" w:rsidRDefault="002E3AE7" w:rsidP="003E0A02">
            <w:pPr>
              <w:jc w:val="center"/>
              <w:rPr>
                <w:sz w:val="16"/>
                <w:szCs w:val="16"/>
              </w:rPr>
            </w:pPr>
            <w:r w:rsidRPr="00284ABB">
              <w:rPr>
                <w:sz w:val="16"/>
                <w:szCs w:val="16"/>
              </w:rPr>
              <w:t>12.521</w:t>
            </w:r>
          </w:p>
        </w:tc>
        <w:tc>
          <w:tcPr>
            <w:tcW w:w="1180" w:type="dxa"/>
            <w:tcBorders>
              <w:top w:val="nil"/>
              <w:left w:val="nil"/>
              <w:bottom w:val="nil"/>
              <w:right w:val="nil"/>
            </w:tcBorders>
            <w:shd w:val="clear" w:color="auto" w:fill="auto"/>
            <w:noWrap/>
            <w:vAlign w:val="center"/>
            <w:hideMark/>
          </w:tcPr>
          <w:p w:rsidR="002E3AE7" w:rsidRPr="00284ABB" w:rsidRDefault="002E3AE7" w:rsidP="003E0A02">
            <w:pPr>
              <w:jc w:val="center"/>
              <w:rPr>
                <w:sz w:val="16"/>
                <w:szCs w:val="16"/>
              </w:rPr>
            </w:pPr>
            <w:r w:rsidRPr="00284ABB">
              <w:rPr>
                <w:sz w:val="16"/>
                <w:szCs w:val="16"/>
              </w:rPr>
              <w:t>13.233</w:t>
            </w:r>
          </w:p>
        </w:tc>
        <w:tc>
          <w:tcPr>
            <w:tcW w:w="1180" w:type="dxa"/>
            <w:tcBorders>
              <w:top w:val="nil"/>
              <w:left w:val="nil"/>
              <w:bottom w:val="nil"/>
              <w:right w:val="nil"/>
            </w:tcBorders>
            <w:shd w:val="clear" w:color="auto" w:fill="auto"/>
            <w:noWrap/>
            <w:vAlign w:val="center"/>
            <w:hideMark/>
          </w:tcPr>
          <w:p w:rsidR="002E3AE7" w:rsidRPr="00284ABB" w:rsidRDefault="002E3AE7" w:rsidP="003E0A02">
            <w:pPr>
              <w:jc w:val="center"/>
              <w:rPr>
                <w:sz w:val="16"/>
                <w:szCs w:val="16"/>
              </w:rPr>
            </w:pPr>
            <w:r w:rsidRPr="00284ABB">
              <w:rPr>
                <w:sz w:val="16"/>
                <w:szCs w:val="16"/>
              </w:rPr>
              <w:t>12.070</w:t>
            </w:r>
          </w:p>
        </w:tc>
      </w:tr>
      <w:tr w:rsidR="002E3AE7" w:rsidRPr="00284ABB" w:rsidTr="003E0A02">
        <w:trPr>
          <w:trHeight w:val="225"/>
          <w:jc w:val="center"/>
        </w:trPr>
        <w:tc>
          <w:tcPr>
            <w:tcW w:w="519" w:type="dxa"/>
            <w:tcBorders>
              <w:top w:val="nil"/>
              <w:left w:val="nil"/>
              <w:bottom w:val="nil"/>
              <w:right w:val="nil"/>
            </w:tcBorders>
            <w:shd w:val="clear" w:color="000000" w:fill="C5D9F1"/>
            <w:noWrap/>
            <w:vAlign w:val="bottom"/>
            <w:hideMark/>
          </w:tcPr>
          <w:p w:rsidR="002E3AE7" w:rsidRPr="00284ABB" w:rsidRDefault="002E3AE7" w:rsidP="003E0A02">
            <w:pPr>
              <w:rPr>
                <w:sz w:val="16"/>
                <w:szCs w:val="16"/>
              </w:rPr>
            </w:pPr>
            <w:r w:rsidRPr="00284ABB">
              <w:rPr>
                <w:sz w:val="16"/>
                <w:szCs w:val="16"/>
              </w:rPr>
              <w:t> </w:t>
            </w:r>
          </w:p>
        </w:tc>
        <w:tc>
          <w:tcPr>
            <w:tcW w:w="4281" w:type="dxa"/>
            <w:tcBorders>
              <w:top w:val="nil"/>
              <w:left w:val="nil"/>
              <w:bottom w:val="nil"/>
              <w:right w:val="nil"/>
            </w:tcBorders>
            <w:shd w:val="clear" w:color="000000" w:fill="C5D9F1"/>
            <w:noWrap/>
            <w:vAlign w:val="bottom"/>
            <w:hideMark/>
          </w:tcPr>
          <w:p w:rsidR="002E3AE7" w:rsidRPr="00284ABB" w:rsidRDefault="002E3AE7" w:rsidP="003E0A02">
            <w:pPr>
              <w:jc w:val="right"/>
              <w:rPr>
                <w:b/>
                <w:bCs/>
                <w:sz w:val="16"/>
                <w:szCs w:val="16"/>
              </w:rPr>
            </w:pPr>
            <w:r w:rsidRPr="00284ABB">
              <w:rPr>
                <w:b/>
                <w:bCs/>
                <w:sz w:val="16"/>
                <w:szCs w:val="16"/>
              </w:rPr>
              <w:t>Total</w:t>
            </w:r>
          </w:p>
        </w:tc>
        <w:tc>
          <w:tcPr>
            <w:tcW w:w="1180" w:type="dxa"/>
            <w:tcBorders>
              <w:top w:val="nil"/>
              <w:left w:val="nil"/>
              <w:bottom w:val="nil"/>
              <w:right w:val="nil"/>
            </w:tcBorders>
            <w:shd w:val="clear" w:color="000000" w:fill="C5D9F1"/>
            <w:noWrap/>
            <w:vAlign w:val="center"/>
            <w:hideMark/>
          </w:tcPr>
          <w:p w:rsidR="002E3AE7" w:rsidRPr="00284ABB" w:rsidRDefault="002E3AE7" w:rsidP="003E0A02">
            <w:pPr>
              <w:jc w:val="center"/>
              <w:rPr>
                <w:sz w:val="16"/>
                <w:szCs w:val="16"/>
              </w:rPr>
            </w:pPr>
            <w:r w:rsidRPr="00284ABB">
              <w:rPr>
                <w:sz w:val="16"/>
                <w:szCs w:val="16"/>
              </w:rPr>
              <w:t>24.617</w:t>
            </w:r>
          </w:p>
        </w:tc>
        <w:tc>
          <w:tcPr>
            <w:tcW w:w="1180" w:type="dxa"/>
            <w:tcBorders>
              <w:top w:val="nil"/>
              <w:left w:val="nil"/>
              <w:bottom w:val="nil"/>
              <w:right w:val="nil"/>
            </w:tcBorders>
            <w:shd w:val="clear" w:color="000000" w:fill="C5D9F1"/>
            <w:noWrap/>
            <w:vAlign w:val="center"/>
            <w:hideMark/>
          </w:tcPr>
          <w:p w:rsidR="002E3AE7" w:rsidRPr="00284ABB" w:rsidRDefault="002E3AE7" w:rsidP="003E0A02">
            <w:pPr>
              <w:jc w:val="center"/>
              <w:rPr>
                <w:sz w:val="16"/>
                <w:szCs w:val="16"/>
              </w:rPr>
            </w:pPr>
            <w:r w:rsidRPr="00284ABB">
              <w:rPr>
                <w:sz w:val="16"/>
                <w:szCs w:val="16"/>
              </w:rPr>
              <w:t>25.659</w:t>
            </w:r>
          </w:p>
        </w:tc>
        <w:tc>
          <w:tcPr>
            <w:tcW w:w="1180" w:type="dxa"/>
            <w:tcBorders>
              <w:top w:val="nil"/>
              <w:left w:val="nil"/>
              <w:bottom w:val="nil"/>
              <w:right w:val="nil"/>
            </w:tcBorders>
            <w:shd w:val="clear" w:color="000000" w:fill="C5D9F1"/>
            <w:noWrap/>
            <w:vAlign w:val="center"/>
            <w:hideMark/>
          </w:tcPr>
          <w:p w:rsidR="002E3AE7" w:rsidRPr="00284ABB" w:rsidRDefault="002E3AE7" w:rsidP="003E0A02">
            <w:pPr>
              <w:jc w:val="center"/>
              <w:rPr>
                <w:sz w:val="16"/>
                <w:szCs w:val="16"/>
              </w:rPr>
            </w:pPr>
            <w:r w:rsidRPr="00284ABB">
              <w:rPr>
                <w:sz w:val="16"/>
                <w:szCs w:val="16"/>
              </w:rPr>
              <w:t>17.873</w:t>
            </w:r>
          </w:p>
        </w:tc>
      </w:tr>
      <w:tr w:rsidR="002E3AE7" w:rsidRPr="003D559A" w:rsidTr="003E0A02">
        <w:trPr>
          <w:trHeight w:val="330"/>
          <w:jc w:val="center"/>
        </w:trPr>
        <w:tc>
          <w:tcPr>
            <w:tcW w:w="7160" w:type="dxa"/>
            <w:gridSpan w:val="4"/>
            <w:tcBorders>
              <w:top w:val="nil"/>
              <w:left w:val="nil"/>
              <w:bottom w:val="nil"/>
              <w:right w:val="nil"/>
            </w:tcBorders>
            <w:shd w:val="clear" w:color="auto" w:fill="auto"/>
            <w:noWrap/>
            <w:vAlign w:val="center"/>
            <w:hideMark/>
          </w:tcPr>
          <w:p w:rsidR="002E3AE7" w:rsidRPr="00284ABB" w:rsidRDefault="002E3AE7" w:rsidP="003E0A02">
            <w:pPr>
              <w:rPr>
                <w:i/>
                <w:iCs/>
                <w:sz w:val="16"/>
                <w:szCs w:val="16"/>
              </w:rPr>
            </w:pPr>
            <w:r w:rsidRPr="00284ABB">
              <w:rPr>
                <w:i/>
                <w:iCs/>
                <w:sz w:val="16"/>
                <w:szCs w:val="16"/>
              </w:rPr>
              <w:t>*Las cifras de gastos en 2016 son preliminares, a reserva de verificación por el Auditor Externo.</w:t>
            </w:r>
          </w:p>
        </w:tc>
        <w:tc>
          <w:tcPr>
            <w:tcW w:w="1180" w:type="dxa"/>
            <w:tcBorders>
              <w:top w:val="nil"/>
              <w:left w:val="nil"/>
              <w:bottom w:val="nil"/>
              <w:right w:val="nil"/>
            </w:tcBorders>
            <w:shd w:val="clear" w:color="auto" w:fill="auto"/>
            <w:noWrap/>
            <w:vAlign w:val="center"/>
            <w:hideMark/>
          </w:tcPr>
          <w:p w:rsidR="002E3AE7" w:rsidRPr="00284ABB" w:rsidRDefault="002E3AE7" w:rsidP="003E0A02">
            <w:pPr>
              <w:rPr>
                <w:sz w:val="16"/>
                <w:szCs w:val="16"/>
              </w:rPr>
            </w:pPr>
          </w:p>
        </w:tc>
      </w:tr>
    </w:tbl>
    <w:p w:rsidR="002E3AE7" w:rsidRPr="0064555B" w:rsidRDefault="002E3AE7" w:rsidP="003E0A02">
      <w:pPr>
        <w:pStyle w:val="NormalWeb"/>
        <w:spacing w:before="0" w:beforeAutospacing="0" w:after="0" w:afterAutospacing="0"/>
        <w:jc w:val="center"/>
        <w:rPr>
          <w:iCs/>
          <w:sz w:val="20"/>
          <w:szCs w:val="20"/>
          <w:lang w:val="es-ES"/>
        </w:rPr>
      </w:pPr>
    </w:p>
    <w:p w:rsidR="002E3AE7" w:rsidRPr="00284ABB" w:rsidRDefault="002E3AE7" w:rsidP="003E0A02">
      <w:pPr>
        <w:pStyle w:val="NormalWeb"/>
        <w:keepNext/>
        <w:keepLines/>
        <w:spacing w:before="0" w:beforeAutospacing="0" w:after="0" w:afterAutospacing="0"/>
        <w:jc w:val="center"/>
        <w:rPr>
          <w:lang w:val="es-ES"/>
        </w:rPr>
      </w:pPr>
      <w:r w:rsidRPr="00284ABB">
        <w:rPr>
          <w:lang w:val="es-ES"/>
        </w:rPr>
        <w:lastRenderedPageBreak/>
        <w:t xml:space="preserve">Presupuesto y gastos reales (de personal y no relativos a personal) </w:t>
      </w:r>
    </w:p>
    <w:p w:rsidR="002E3AE7" w:rsidRPr="00284ABB" w:rsidRDefault="002E3AE7" w:rsidP="003E0A02">
      <w:pPr>
        <w:pStyle w:val="NormalWeb"/>
        <w:keepNext/>
        <w:keepLines/>
        <w:spacing w:before="0" w:beforeAutospacing="0" w:after="0" w:afterAutospacing="0"/>
        <w:jc w:val="center"/>
        <w:rPr>
          <w:i/>
          <w:iCs/>
          <w:sz w:val="16"/>
          <w:szCs w:val="16"/>
          <w:lang w:val="es-ES"/>
        </w:rPr>
      </w:pPr>
      <w:r w:rsidRPr="00284ABB">
        <w:rPr>
          <w:i/>
          <w:iCs/>
          <w:sz w:val="16"/>
          <w:szCs w:val="16"/>
          <w:lang w:val="es-ES"/>
        </w:rPr>
        <w:t>(en miles de francos suizos)</w:t>
      </w:r>
    </w:p>
    <w:p w:rsidR="002E3AE7" w:rsidRPr="00284ABB" w:rsidRDefault="002E3AE7" w:rsidP="003E0A02">
      <w:pPr>
        <w:keepNext/>
        <w:keepLines/>
        <w:rPr>
          <w:sz w:val="20"/>
        </w:rPr>
      </w:pPr>
    </w:p>
    <w:tbl>
      <w:tblPr>
        <w:tblW w:w="8222" w:type="dxa"/>
        <w:jc w:val="center"/>
        <w:tblLayout w:type="fixed"/>
        <w:tblLook w:val="04A0" w:firstRow="1" w:lastRow="0" w:firstColumn="1" w:lastColumn="0" w:noHBand="0" w:noVBand="1"/>
      </w:tblPr>
      <w:tblGrid>
        <w:gridCol w:w="2470"/>
        <w:gridCol w:w="1438"/>
        <w:gridCol w:w="1438"/>
        <w:gridCol w:w="1438"/>
        <w:gridCol w:w="1438"/>
      </w:tblGrid>
      <w:tr w:rsidR="002E3AE7" w:rsidRPr="00284ABB"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284ABB" w:rsidRDefault="002E3AE7" w:rsidP="003E0A02">
            <w:pPr>
              <w:keepNext/>
              <w:keepLines/>
              <w:rPr>
                <w:sz w:val="16"/>
                <w:szCs w:val="16"/>
              </w:rPr>
            </w:pPr>
            <w:r w:rsidRPr="00284ABB">
              <w:rPr>
                <w:sz w:val="16"/>
                <w:szCs w:val="16"/>
              </w:rPr>
              <w:t> </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Gastos en 2016*</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Índice de utilización (%)</w:t>
            </w:r>
          </w:p>
        </w:tc>
      </w:tr>
      <w:tr w:rsidR="002E3AE7" w:rsidRPr="00284ABB"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284ABB" w:rsidRDefault="002E3AE7" w:rsidP="003E0A02">
            <w:pPr>
              <w:keepNext/>
              <w:keepLines/>
              <w:rPr>
                <w:sz w:val="16"/>
                <w:szCs w:val="16"/>
              </w:rPr>
            </w:pPr>
            <w:r w:rsidRPr="00284ABB">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 xml:space="preserve">18.835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 xml:space="preserve">18.968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 xml:space="preserve">14.901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79%</w:t>
            </w:r>
          </w:p>
        </w:tc>
      </w:tr>
      <w:tr w:rsidR="002E3AE7" w:rsidRPr="00284ABB" w:rsidTr="003E0A02">
        <w:trPr>
          <w:trHeight w:val="401"/>
          <w:jc w:val="center"/>
        </w:trPr>
        <w:tc>
          <w:tcPr>
            <w:tcW w:w="2440" w:type="dxa"/>
            <w:tcBorders>
              <w:top w:val="nil"/>
              <w:left w:val="nil"/>
              <w:bottom w:val="nil"/>
              <w:right w:val="nil"/>
            </w:tcBorders>
            <w:shd w:val="clear" w:color="auto" w:fill="auto"/>
            <w:noWrap/>
            <w:vAlign w:val="center"/>
            <w:hideMark/>
          </w:tcPr>
          <w:p w:rsidR="002E3AE7" w:rsidRPr="00284ABB" w:rsidRDefault="002E3AE7" w:rsidP="003E0A02">
            <w:pPr>
              <w:keepNext/>
              <w:keepLines/>
              <w:rPr>
                <w:sz w:val="16"/>
                <w:szCs w:val="16"/>
              </w:rPr>
            </w:pPr>
            <w:r w:rsidRPr="00284ABB">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 xml:space="preserve">5.782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 xml:space="preserve">6.691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2.972</w:t>
            </w:r>
            <w:r>
              <w:rPr>
                <w:sz w:val="16"/>
                <w:szCs w:val="16"/>
              </w:rPr>
              <w:t xml:space="preserve"> </w:t>
            </w:r>
          </w:p>
        </w:tc>
        <w:tc>
          <w:tcPr>
            <w:tcW w:w="1420" w:type="dxa"/>
            <w:tcBorders>
              <w:top w:val="nil"/>
              <w:left w:val="nil"/>
              <w:bottom w:val="nil"/>
              <w:right w:val="nil"/>
            </w:tcBorders>
            <w:shd w:val="clear" w:color="auto" w:fill="auto"/>
            <w:vAlign w:val="center"/>
            <w:hideMark/>
          </w:tcPr>
          <w:p w:rsidR="002E3AE7" w:rsidRPr="00284ABB" w:rsidRDefault="002E3AE7" w:rsidP="003E0A02">
            <w:pPr>
              <w:keepNext/>
              <w:keepLines/>
              <w:jc w:val="center"/>
              <w:rPr>
                <w:sz w:val="16"/>
                <w:szCs w:val="16"/>
              </w:rPr>
            </w:pPr>
            <w:r w:rsidRPr="00284ABB">
              <w:rPr>
                <w:sz w:val="16"/>
                <w:szCs w:val="16"/>
              </w:rPr>
              <w:t>44%</w:t>
            </w:r>
          </w:p>
        </w:tc>
      </w:tr>
      <w:tr w:rsidR="002E3AE7" w:rsidRPr="00284ABB"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284ABB" w:rsidRDefault="002E3AE7" w:rsidP="003E0A02">
            <w:pPr>
              <w:keepNext/>
              <w:keepLines/>
              <w:jc w:val="right"/>
              <w:rPr>
                <w:b/>
                <w:bCs/>
                <w:sz w:val="16"/>
                <w:szCs w:val="16"/>
              </w:rPr>
            </w:pPr>
            <w:r w:rsidRPr="00284ABB">
              <w:rPr>
                <w:b/>
                <w:bCs/>
                <w:sz w:val="16"/>
                <w:szCs w:val="16"/>
              </w:rPr>
              <w:t xml:space="preserve"> Total </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 xml:space="preserve">24.617 </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 xml:space="preserve">25.659 </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 xml:space="preserve">17.873 </w:t>
            </w:r>
          </w:p>
        </w:tc>
        <w:tc>
          <w:tcPr>
            <w:tcW w:w="1420" w:type="dxa"/>
            <w:tcBorders>
              <w:top w:val="nil"/>
              <w:left w:val="nil"/>
              <w:bottom w:val="nil"/>
              <w:right w:val="nil"/>
            </w:tcBorders>
            <w:shd w:val="clear" w:color="000000" w:fill="C5D9F1"/>
            <w:vAlign w:val="center"/>
            <w:hideMark/>
          </w:tcPr>
          <w:p w:rsidR="002E3AE7" w:rsidRPr="00284ABB" w:rsidRDefault="002E3AE7" w:rsidP="003E0A02">
            <w:pPr>
              <w:keepNext/>
              <w:keepLines/>
              <w:jc w:val="center"/>
              <w:rPr>
                <w:b/>
                <w:bCs/>
                <w:sz w:val="16"/>
                <w:szCs w:val="16"/>
              </w:rPr>
            </w:pPr>
            <w:r w:rsidRPr="00284ABB">
              <w:rPr>
                <w:b/>
                <w:bCs/>
                <w:sz w:val="16"/>
                <w:szCs w:val="16"/>
              </w:rPr>
              <w:t>70%</w:t>
            </w:r>
          </w:p>
        </w:tc>
      </w:tr>
      <w:tr w:rsidR="002E3AE7" w:rsidRPr="003D559A"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284ABB" w:rsidRDefault="002E3AE7" w:rsidP="003E0A02">
            <w:pPr>
              <w:keepNext/>
              <w:keepLines/>
              <w:rPr>
                <w:i/>
                <w:iCs/>
                <w:sz w:val="16"/>
                <w:szCs w:val="16"/>
              </w:rPr>
            </w:pPr>
            <w:r w:rsidRPr="00284ABB">
              <w:rPr>
                <w:i/>
                <w:iCs/>
                <w:sz w:val="16"/>
                <w:szCs w:val="16"/>
              </w:rPr>
              <w:t xml:space="preserve"> *Las cifras de gastos en 2016 son preliminares, a reserva de verificación por el Auditor Externo.</w:t>
            </w:r>
          </w:p>
        </w:tc>
      </w:tr>
    </w:tbl>
    <w:p w:rsidR="002E3AE7" w:rsidRPr="00284ABB" w:rsidRDefault="002E3AE7" w:rsidP="003E0A02">
      <w:pPr>
        <w:keepNext/>
        <w:keepLines/>
        <w:jc w:val="both"/>
        <w:rPr>
          <w:sz w:val="20"/>
        </w:rPr>
      </w:pPr>
    </w:p>
    <w:p w:rsidR="002E3AE7" w:rsidRPr="00284ABB" w:rsidRDefault="002E3AE7" w:rsidP="003E0A02">
      <w:pPr>
        <w:keepNext/>
        <w:keepLines/>
        <w:ind w:left="567" w:right="282"/>
        <w:rPr>
          <w:i/>
          <w:sz w:val="16"/>
          <w:szCs w:val="16"/>
        </w:rPr>
      </w:pPr>
      <w:r w:rsidRPr="00284ABB">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284ABB" w:rsidRDefault="002E3AE7" w:rsidP="003E0A02">
      <w:pPr>
        <w:jc w:val="both"/>
        <w:rPr>
          <w:sz w:val="20"/>
        </w:rPr>
      </w:pPr>
    </w:p>
    <w:p w:rsidR="002E3AE7" w:rsidRPr="00284ABB" w:rsidRDefault="002E3AE7" w:rsidP="003E0A02">
      <w:pPr>
        <w:jc w:val="both"/>
        <w:rPr>
          <w:sz w:val="20"/>
        </w:rPr>
      </w:pPr>
    </w:p>
    <w:p w:rsidR="002E3AE7" w:rsidRPr="00284ABB" w:rsidRDefault="002E3AE7" w:rsidP="003E0A02">
      <w:pPr>
        <w:jc w:val="both"/>
        <w:rPr>
          <w:sz w:val="20"/>
          <w:u w:val="single"/>
        </w:rPr>
      </w:pPr>
      <w:r w:rsidRPr="00284ABB">
        <w:rPr>
          <w:sz w:val="20"/>
        </w:rPr>
        <w:t>A.</w:t>
      </w:r>
      <w:r w:rsidRPr="00284ABB">
        <w:rPr>
          <w:sz w:val="20"/>
        </w:rPr>
        <w:tab/>
      </w:r>
      <w:r w:rsidRPr="00284ABB">
        <w:rPr>
          <w:sz w:val="20"/>
          <w:u w:val="single"/>
        </w:rPr>
        <w:t>Presupuesto de 2016/17 tras las transferencias</w:t>
      </w:r>
    </w:p>
    <w:p w:rsidR="002E3AE7" w:rsidRPr="00284ABB" w:rsidRDefault="002E3AE7" w:rsidP="003E0A02">
      <w:pPr>
        <w:jc w:val="both"/>
        <w:rPr>
          <w:sz w:val="20"/>
        </w:rPr>
      </w:pPr>
    </w:p>
    <w:p w:rsidR="002E3AE7" w:rsidRPr="00284ABB" w:rsidRDefault="002E3AE7" w:rsidP="002E3AE7">
      <w:pPr>
        <w:pStyle w:val="ListParagraph"/>
        <w:numPr>
          <w:ilvl w:val="0"/>
          <w:numId w:val="92"/>
        </w:numPr>
        <w:ind w:left="0" w:firstLine="0"/>
        <w:contextualSpacing/>
        <w:jc w:val="both"/>
        <w:rPr>
          <w:rFonts w:eastAsiaTheme="minorEastAsia"/>
          <w:szCs w:val="22"/>
          <w:lang w:val="es-ES" w:eastAsia="ja-JP"/>
        </w:rPr>
      </w:pPr>
      <w:r w:rsidRPr="00284ABB">
        <w:rPr>
          <w:rFonts w:eastAsiaTheme="minorEastAsia"/>
          <w:szCs w:val="22"/>
          <w:lang w:val="es-ES" w:eastAsia="ja-JP"/>
        </w:rPr>
        <w:t xml:space="preserve">El aumento en recursos de personal con respecto al presupuesto aprobado de 2016/17 </w:t>
      </w:r>
      <w:r w:rsidR="0048069B">
        <w:rPr>
          <w:rFonts w:eastAsiaTheme="minorEastAsia"/>
          <w:szCs w:val="22"/>
          <w:lang w:val="es-ES" w:eastAsia="ja-JP"/>
        </w:rPr>
        <w:t>se debió</w:t>
      </w:r>
      <w:r w:rsidRPr="00284ABB">
        <w:rPr>
          <w:rFonts w:eastAsiaTheme="minorEastAsia"/>
          <w:szCs w:val="22"/>
          <w:lang w:val="es-ES" w:eastAsia="ja-JP"/>
        </w:rPr>
        <w:t xml:space="preserve"> principalmente a la regularización de una función permanente y a la reclasificación de un puesto.</w:t>
      </w:r>
    </w:p>
    <w:p w:rsidR="002E3AE7" w:rsidRPr="00284ABB" w:rsidRDefault="002E3AE7" w:rsidP="003E0A02">
      <w:pPr>
        <w:jc w:val="both"/>
        <w:rPr>
          <w:sz w:val="20"/>
          <w:u w:val="single"/>
        </w:rPr>
      </w:pPr>
    </w:p>
    <w:p w:rsidR="002E3AE7" w:rsidRPr="00284ABB" w:rsidRDefault="002E3AE7" w:rsidP="002E3AE7">
      <w:pPr>
        <w:pStyle w:val="ListParagraph"/>
        <w:numPr>
          <w:ilvl w:val="0"/>
          <w:numId w:val="92"/>
        </w:numPr>
        <w:ind w:left="0" w:firstLine="0"/>
        <w:contextualSpacing/>
        <w:jc w:val="both"/>
        <w:rPr>
          <w:rFonts w:eastAsiaTheme="minorEastAsia"/>
          <w:szCs w:val="22"/>
          <w:lang w:val="es-ES" w:eastAsia="ja-JP"/>
        </w:rPr>
      </w:pPr>
      <w:r w:rsidRPr="00284ABB">
        <w:rPr>
          <w:rFonts w:eastAsiaTheme="minorEastAsia"/>
          <w:szCs w:val="22"/>
          <w:lang w:val="es-ES" w:eastAsia="ja-JP"/>
        </w:rPr>
        <w:t>El aumento en recursos no relativos a personal con respecto al pre</w:t>
      </w:r>
      <w:r w:rsidR="003E0A02">
        <w:rPr>
          <w:rFonts w:eastAsiaTheme="minorEastAsia"/>
          <w:szCs w:val="22"/>
          <w:lang w:val="es-ES" w:eastAsia="ja-JP"/>
        </w:rPr>
        <w:t>supuesto aprobado de </w:t>
      </w:r>
      <w:r w:rsidRPr="00284ABB">
        <w:rPr>
          <w:rFonts w:eastAsiaTheme="minorEastAsia"/>
          <w:szCs w:val="22"/>
          <w:lang w:val="es-ES" w:eastAsia="ja-JP"/>
        </w:rPr>
        <w:t xml:space="preserve">2016/17 </w:t>
      </w:r>
      <w:r w:rsidR="0048069B">
        <w:rPr>
          <w:rFonts w:eastAsiaTheme="minorEastAsia"/>
          <w:szCs w:val="22"/>
          <w:lang w:val="es-ES" w:eastAsia="ja-JP"/>
        </w:rPr>
        <w:t>se debió</w:t>
      </w:r>
      <w:r w:rsidRPr="00284ABB">
        <w:rPr>
          <w:rFonts w:eastAsiaTheme="minorEastAsia"/>
          <w:szCs w:val="22"/>
          <w:lang w:val="es-ES" w:eastAsia="ja-JP"/>
        </w:rPr>
        <w:t xml:space="preserve"> principalmente a la financiación de:  i) la </w:t>
      </w:r>
      <w:r>
        <w:rPr>
          <w:rFonts w:eastAsiaTheme="minorEastAsia"/>
          <w:szCs w:val="22"/>
          <w:lang w:val="es-ES" w:eastAsia="ja-JP"/>
        </w:rPr>
        <w:t xml:space="preserve">acogida </w:t>
      </w:r>
      <w:r w:rsidRPr="00284ABB">
        <w:rPr>
          <w:rFonts w:eastAsiaTheme="minorEastAsia"/>
          <w:szCs w:val="22"/>
          <w:lang w:val="es-ES" w:eastAsia="ja-JP"/>
        </w:rPr>
        <w:t xml:space="preserve">de la 83ª sesión de la CAPI;  ii) la organización de un taller sobre las cuestiones de género dirigido a los delegados de la OMPI y del evento paralelo “Las mujeres y la P.I.” en las Asambleas;  iii) la compilación de datos en el contexto de la integración de las cuestiones de género en la OMPI;  iv) la ejecución de una encuesta sobre la gestión del tiempo;  v)  la Junta de Apelación de la OMPI;  vi) la tramitación de los subsidios de educación, </w:t>
      </w:r>
      <w:r>
        <w:rPr>
          <w:rFonts w:eastAsiaTheme="minorEastAsia"/>
          <w:szCs w:val="22"/>
          <w:lang w:val="es-ES" w:eastAsia="ja-JP"/>
        </w:rPr>
        <w:t>la recaudación</w:t>
      </w:r>
      <w:r w:rsidRPr="00284ABB">
        <w:rPr>
          <w:rFonts w:eastAsiaTheme="minorEastAsia"/>
          <w:szCs w:val="22"/>
          <w:lang w:val="es-ES" w:eastAsia="ja-JP"/>
        </w:rPr>
        <w:t xml:space="preserve"> de las cuentas por cobrar de las primas del seguro médico tras la separación del servicio, la aplicación del nuevo paquete de compensación de la CAPI y la prestación de servicios médicos </w:t>
      </w:r>
      <w:r w:rsidRPr="00284ABB">
        <w:rPr>
          <w:rFonts w:eastAsiaTheme="minorEastAsia"/>
          <w:i/>
          <w:szCs w:val="22"/>
          <w:lang w:val="es-ES" w:eastAsia="ja-JP"/>
        </w:rPr>
        <w:t xml:space="preserve">in situ;  </w:t>
      </w:r>
      <w:r w:rsidRPr="00284ABB">
        <w:rPr>
          <w:rFonts w:eastAsiaTheme="minorEastAsia"/>
          <w:szCs w:val="22"/>
          <w:lang w:val="es-ES" w:eastAsia="ja-JP"/>
        </w:rPr>
        <w:t>vii) la ejecución de evaluaciones de la seguridad y la salud en el trabajo;  y viii) el aumento de los costos de actividades comunes en el Sistema de las Naciones Unidas.</w:t>
      </w:r>
    </w:p>
    <w:p w:rsidR="002E3AE7" w:rsidRPr="00284ABB" w:rsidRDefault="002E3AE7" w:rsidP="003E0A02">
      <w:pPr>
        <w:jc w:val="both"/>
        <w:rPr>
          <w:sz w:val="20"/>
        </w:rPr>
      </w:pPr>
    </w:p>
    <w:p w:rsidR="002E3AE7" w:rsidRPr="00284ABB" w:rsidRDefault="002E3AE7" w:rsidP="003E0A02">
      <w:pPr>
        <w:jc w:val="both"/>
        <w:rPr>
          <w:sz w:val="20"/>
          <w:u w:val="single"/>
        </w:rPr>
      </w:pPr>
      <w:r w:rsidRPr="00284ABB">
        <w:rPr>
          <w:sz w:val="20"/>
        </w:rPr>
        <w:t>B.</w:t>
      </w:r>
      <w:r w:rsidRPr="00284ABB">
        <w:rPr>
          <w:sz w:val="20"/>
        </w:rPr>
        <w:tab/>
      </w:r>
      <w:r w:rsidRPr="00284ABB">
        <w:rPr>
          <w:sz w:val="20"/>
          <w:u w:val="single"/>
        </w:rPr>
        <w:t>Utilización del presupuesto en 2016/17</w:t>
      </w:r>
    </w:p>
    <w:p w:rsidR="002E3AE7" w:rsidRPr="00284ABB" w:rsidRDefault="002E3AE7" w:rsidP="003E0A02">
      <w:pPr>
        <w:autoSpaceDE w:val="0"/>
        <w:autoSpaceDN w:val="0"/>
        <w:jc w:val="both"/>
        <w:rPr>
          <w:sz w:val="20"/>
        </w:rPr>
      </w:pPr>
    </w:p>
    <w:p w:rsidR="002E3AE7" w:rsidRPr="00284ABB" w:rsidRDefault="002E3AE7" w:rsidP="002E3AE7">
      <w:pPr>
        <w:pStyle w:val="ListParagraph"/>
        <w:numPr>
          <w:ilvl w:val="0"/>
          <w:numId w:val="92"/>
        </w:numPr>
        <w:ind w:left="0" w:firstLine="0"/>
        <w:contextualSpacing/>
        <w:jc w:val="both"/>
        <w:rPr>
          <w:rFonts w:eastAsiaTheme="minorEastAsia"/>
          <w:szCs w:val="22"/>
          <w:lang w:val="es-ES" w:eastAsia="ja-JP"/>
        </w:rPr>
      </w:pPr>
      <w:r w:rsidRPr="00284ABB">
        <w:rPr>
          <w:rFonts w:eastAsiaTheme="minorEastAsia"/>
          <w:szCs w:val="22"/>
          <w:lang w:val="es-ES" w:eastAsia="ja-JP"/>
        </w:rPr>
        <w:t xml:space="preserve">El índice de utilización del presupuesto </w:t>
      </w:r>
      <w:r w:rsidR="00F12657">
        <w:rPr>
          <w:rFonts w:eastAsiaTheme="minorEastAsia"/>
          <w:szCs w:val="22"/>
          <w:lang w:val="es-ES" w:eastAsia="ja-JP"/>
        </w:rPr>
        <w:t>de</w:t>
      </w:r>
      <w:r w:rsidRPr="00284ABB">
        <w:rPr>
          <w:rFonts w:eastAsiaTheme="minorEastAsia"/>
          <w:szCs w:val="22"/>
          <w:lang w:val="es-ES" w:eastAsia="ja-JP"/>
        </w:rPr>
        <w:t xml:space="preserve"> recursos de personal fue del 79%, lo que refleja la imputación de gastos a una partida del presupuesto destinada a los costos de litigios por un total de 6,2 millones de francos suizos.</w:t>
      </w:r>
    </w:p>
    <w:p w:rsidR="002E3AE7" w:rsidRPr="00284ABB" w:rsidRDefault="002E3AE7" w:rsidP="003E0A02">
      <w:pPr>
        <w:autoSpaceDE w:val="0"/>
        <w:autoSpaceDN w:val="0"/>
        <w:jc w:val="both"/>
        <w:rPr>
          <w:rFonts w:ascii="Calibri" w:hAnsi="Calibri"/>
          <w:sz w:val="20"/>
        </w:rPr>
      </w:pPr>
    </w:p>
    <w:p w:rsidR="002E3AE7" w:rsidRPr="00284ABB" w:rsidRDefault="002E3AE7" w:rsidP="002E3AE7">
      <w:pPr>
        <w:pStyle w:val="ListParagraph"/>
        <w:numPr>
          <w:ilvl w:val="0"/>
          <w:numId w:val="92"/>
        </w:numPr>
        <w:ind w:left="0" w:firstLine="0"/>
        <w:contextualSpacing/>
        <w:jc w:val="both"/>
        <w:rPr>
          <w:rFonts w:eastAsiaTheme="minorEastAsia"/>
          <w:szCs w:val="22"/>
          <w:lang w:val="es-ES" w:eastAsia="ja-JP"/>
        </w:rPr>
      </w:pPr>
      <w:r w:rsidRPr="00284ABB">
        <w:rPr>
          <w:rFonts w:eastAsiaTheme="minorEastAsia"/>
          <w:szCs w:val="22"/>
          <w:lang w:val="es-ES" w:eastAsia="ja-JP"/>
        </w:rPr>
        <w:t>La utilización del presupuesto de recursos no relativos a personal se ha mantenido dentro de los límites establecidos (40-60%) para el primer año del bienio.</w:t>
      </w:r>
    </w:p>
    <w:p w:rsidR="002E3AE7" w:rsidRPr="00284ABB" w:rsidRDefault="002E3AE7" w:rsidP="003E0A02">
      <w:pPr>
        <w:rPr>
          <w:bCs/>
          <w:iCs/>
          <w:sz w:val="20"/>
        </w:rPr>
      </w:pPr>
    </w:p>
    <w:p w:rsidR="003E0A02" w:rsidRDefault="003E0A02">
      <w:pPr>
        <w:rPr>
          <w:b/>
          <w:bCs/>
          <w:caps/>
          <w:kern w:val="32"/>
          <w:szCs w:val="32"/>
        </w:rPr>
      </w:pPr>
      <w:r>
        <w:br w:type="page"/>
      </w:r>
    </w:p>
    <w:p w:rsidR="002E3AE7" w:rsidRPr="000A09A0" w:rsidRDefault="002E3AE7" w:rsidP="000A09A0">
      <w:pPr>
        <w:keepNext/>
        <w:tabs>
          <w:tab w:val="left" w:pos="2410"/>
          <w:tab w:val="right" w:pos="9072"/>
        </w:tabs>
        <w:outlineLvl w:val="1"/>
        <w:rPr>
          <w:b/>
          <w:bCs/>
          <w:iCs/>
        </w:rPr>
      </w:pPr>
      <w:bookmarkStart w:id="77" w:name="_Toc482711276"/>
      <w:r w:rsidRPr="000A09A0">
        <w:rPr>
          <w:b/>
          <w:bCs/>
          <w:iCs/>
        </w:rPr>
        <w:lastRenderedPageBreak/>
        <w:t>PROGRAMA 24</w:t>
      </w:r>
      <w:r w:rsidRPr="000A09A0">
        <w:rPr>
          <w:b/>
          <w:bCs/>
          <w:iCs/>
        </w:rPr>
        <w:tab/>
        <w:t>SERVICIOS GENERALES DE APOYO</w:t>
      </w:r>
      <w:bookmarkEnd w:id="77"/>
    </w:p>
    <w:p w:rsidR="002E3AE7" w:rsidRPr="008E5E9C" w:rsidRDefault="002E3AE7" w:rsidP="003E0A02">
      <w:pPr>
        <w:ind w:left="1985" w:hanging="1985"/>
        <w:rPr>
          <w:b/>
          <w:sz w:val="20"/>
        </w:rPr>
      </w:pPr>
    </w:p>
    <w:p w:rsidR="002E3AE7" w:rsidRPr="008E5E9C" w:rsidRDefault="002E3AE7" w:rsidP="003E0A02">
      <w:pPr>
        <w:tabs>
          <w:tab w:val="left" w:pos="2410"/>
        </w:tabs>
        <w:rPr>
          <w:b/>
          <w:sz w:val="20"/>
        </w:rPr>
      </w:pPr>
      <w:r w:rsidRPr="008E5E9C">
        <w:rPr>
          <w:b/>
          <w:sz w:val="20"/>
        </w:rPr>
        <w:t>Director de programa</w:t>
      </w:r>
      <w:r w:rsidRPr="008E5E9C">
        <w:rPr>
          <w:sz w:val="20"/>
        </w:rPr>
        <w:tab/>
      </w:r>
      <w:r w:rsidRPr="008E5E9C">
        <w:rPr>
          <w:b/>
          <w:sz w:val="20"/>
        </w:rPr>
        <w:t>Sr. A. Sundaram</w:t>
      </w:r>
    </w:p>
    <w:p w:rsidR="002E3AE7" w:rsidRPr="008E5E9C" w:rsidRDefault="002E3AE7" w:rsidP="003E0A02">
      <w:pPr>
        <w:jc w:val="center"/>
        <w:rPr>
          <w:rFonts w:cs="Times New Roman"/>
          <w:sz w:val="20"/>
          <w:szCs w:val="24"/>
        </w:rPr>
      </w:pPr>
      <w:r w:rsidRPr="008E5E9C">
        <w:rPr>
          <w:noProof/>
          <w:lang w:val="en-US" w:eastAsia="en-US"/>
        </w:rPr>
        <w:drawing>
          <wp:inline distT="0" distB="0" distL="0" distR="0" wp14:anchorId="005D45CC" wp14:editId="37CED61B">
            <wp:extent cx="4731573" cy="2474559"/>
            <wp:effectExtent l="0" t="0" r="0" b="2540"/>
            <wp:docPr id="112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35685" cy="2476709"/>
                    </a:xfrm>
                    <a:prstGeom prst="rect">
                      <a:avLst/>
                    </a:prstGeom>
                    <a:noFill/>
                    <a:ln>
                      <a:noFill/>
                    </a:ln>
                  </pic:spPr>
                </pic:pic>
              </a:graphicData>
            </a:graphic>
          </wp:inline>
        </w:drawing>
      </w:r>
    </w:p>
    <w:tbl>
      <w:tblPr>
        <w:tblW w:w="5015" w:type="pct"/>
        <w:tblInd w:w="58" w:type="dxa"/>
        <w:tblLayout w:type="fixed"/>
        <w:tblCellMar>
          <w:left w:w="115" w:type="dxa"/>
          <w:right w:w="115" w:type="dxa"/>
        </w:tblCellMar>
        <w:tblLook w:val="0000" w:firstRow="0" w:lastRow="0" w:firstColumn="0" w:lastColumn="0" w:noHBand="0" w:noVBand="0"/>
      </w:tblPr>
      <w:tblGrid>
        <w:gridCol w:w="1985"/>
        <w:gridCol w:w="131"/>
        <w:gridCol w:w="2252"/>
        <w:gridCol w:w="35"/>
        <w:gridCol w:w="1497"/>
        <w:gridCol w:w="230"/>
        <w:gridCol w:w="2108"/>
        <w:gridCol w:w="127"/>
        <w:gridCol w:w="850"/>
      </w:tblGrid>
      <w:tr w:rsidR="002E3AE7" w:rsidRPr="008E5E9C" w:rsidTr="003E0A02">
        <w:trPr>
          <w:trHeight w:val="565"/>
        </w:trPr>
        <w:tc>
          <w:tcPr>
            <w:tcW w:w="5000" w:type="pct"/>
            <w:gridSpan w:val="9"/>
            <w:shd w:val="clear" w:color="auto" w:fill="C6D9F1" w:themeFill="text2" w:themeFillTint="33"/>
            <w:tcMar>
              <w:left w:w="58" w:type="dxa"/>
              <w:right w:w="58" w:type="dxa"/>
            </w:tcMar>
            <w:vAlign w:val="center"/>
          </w:tcPr>
          <w:p w:rsidR="002E3AE7" w:rsidRPr="008E5E9C" w:rsidRDefault="002E3AE7" w:rsidP="003E0A02">
            <w:pPr>
              <w:keepNext/>
              <w:keepLines/>
              <w:tabs>
                <w:tab w:val="left" w:pos="1452"/>
              </w:tabs>
              <w:ind w:left="1701" w:hanging="1701"/>
              <w:rPr>
                <w:b/>
                <w:bCs/>
                <w:sz w:val="16"/>
                <w:szCs w:val="16"/>
              </w:rPr>
            </w:pPr>
            <w:r w:rsidRPr="008E5E9C">
              <w:rPr>
                <w:b/>
                <w:bCs/>
                <w:sz w:val="16"/>
                <w:szCs w:val="16"/>
              </w:rPr>
              <w:t>Resultado previsto:</w:t>
            </w:r>
            <w:r w:rsidRPr="008E5E9C">
              <w:rPr>
                <w:b/>
                <w:bCs/>
                <w:sz w:val="16"/>
                <w:szCs w:val="16"/>
              </w:rPr>
              <w:tab/>
            </w:r>
            <w:r w:rsidRPr="008E5E9C">
              <w:rPr>
                <w:sz w:val="16"/>
                <w:szCs w:val="16"/>
                <w:lang w:bidi="th-TH"/>
              </w:rPr>
              <w:t>VIII.5  La OMPI participa y colabora eficazmente en los procesos y negociaciones de la ONU y otras OIG</w:t>
            </w:r>
          </w:p>
        </w:tc>
      </w:tr>
      <w:tr w:rsidR="002E3AE7" w:rsidRPr="008E5E9C" w:rsidTr="003E0A02">
        <w:tc>
          <w:tcPr>
            <w:tcW w:w="1148" w:type="pct"/>
            <w:gridSpan w:val="2"/>
            <w:shd w:val="clear" w:color="auto" w:fill="auto"/>
            <w:tcMar>
              <w:left w:w="58" w:type="dxa"/>
              <w:right w:w="58" w:type="dxa"/>
            </w:tcMar>
            <w:vAlign w:val="center"/>
          </w:tcPr>
          <w:p w:rsidR="002E3AE7" w:rsidRPr="008E5E9C" w:rsidRDefault="002E3AE7" w:rsidP="003E0A02">
            <w:pPr>
              <w:rPr>
                <w:b/>
                <w:bCs/>
                <w:sz w:val="16"/>
                <w:szCs w:val="16"/>
              </w:rPr>
            </w:pPr>
            <w:r w:rsidRPr="008E5E9C">
              <w:rPr>
                <w:b/>
                <w:bCs/>
                <w:sz w:val="16"/>
                <w:szCs w:val="16"/>
              </w:rPr>
              <w:t>Indicadores de rendimiento</w:t>
            </w:r>
          </w:p>
        </w:tc>
        <w:tc>
          <w:tcPr>
            <w:tcW w:w="1222" w:type="pct"/>
            <w:shd w:val="clear" w:color="auto" w:fill="auto"/>
            <w:tcMar>
              <w:left w:w="58" w:type="dxa"/>
              <w:right w:w="58" w:type="dxa"/>
            </w:tcMar>
            <w:vAlign w:val="center"/>
          </w:tcPr>
          <w:p w:rsidR="002E3AE7" w:rsidRPr="008E5E9C" w:rsidRDefault="002E3AE7" w:rsidP="003E0A02">
            <w:pPr>
              <w:rPr>
                <w:b/>
                <w:bCs/>
                <w:sz w:val="16"/>
                <w:szCs w:val="16"/>
              </w:rPr>
            </w:pPr>
            <w:r w:rsidRPr="008E5E9C">
              <w:rPr>
                <w:b/>
                <w:bCs/>
                <w:sz w:val="16"/>
                <w:szCs w:val="16"/>
              </w:rPr>
              <w:t>Referencias de base</w:t>
            </w:r>
          </w:p>
        </w:tc>
        <w:tc>
          <w:tcPr>
            <w:tcW w:w="831" w:type="pct"/>
            <w:gridSpan w:val="2"/>
            <w:shd w:val="clear" w:color="auto" w:fill="auto"/>
            <w:tcMar>
              <w:top w:w="110" w:type="dxa"/>
              <w:left w:w="58" w:type="dxa"/>
              <w:right w:w="58" w:type="dxa"/>
            </w:tcMar>
            <w:vAlign w:val="center"/>
          </w:tcPr>
          <w:p w:rsidR="002E3AE7" w:rsidRPr="008E5E9C" w:rsidRDefault="002E3AE7" w:rsidP="003E0A02">
            <w:pPr>
              <w:tabs>
                <w:tab w:val="left" w:pos="290"/>
              </w:tabs>
              <w:rPr>
                <w:b/>
                <w:bCs/>
                <w:sz w:val="16"/>
                <w:szCs w:val="16"/>
              </w:rPr>
            </w:pPr>
            <w:r w:rsidRPr="008E5E9C">
              <w:rPr>
                <w:b/>
                <w:bCs/>
                <w:sz w:val="16"/>
                <w:szCs w:val="16"/>
              </w:rPr>
              <w:t>Objetivos</w:t>
            </w:r>
          </w:p>
        </w:tc>
        <w:tc>
          <w:tcPr>
            <w:tcW w:w="1269" w:type="pct"/>
            <w:gridSpan w:val="2"/>
            <w:shd w:val="clear" w:color="auto" w:fill="FFFFFF"/>
            <w:tcMar>
              <w:top w:w="110" w:type="dxa"/>
              <w:left w:w="58" w:type="dxa"/>
              <w:right w:w="58" w:type="dxa"/>
            </w:tcMar>
            <w:vAlign w:val="center"/>
          </w:tcPr>
          <w:p w:rsidR="002E3AE7" w:rsidRPr="008E5E9C" w:rsidRDefault="002E3AE7" w:rsidP="003E0A02">
            <w:pPr>
              <w:rPr>
                <w:b/>
                <w:bCs/>
                <w:sz w:val="16"/>
                <w:szCs w:val="16"/>
              </w:rPr>
            </w:pPr>
            <w:r w:rsidRPr="008E5E9C">
              <w:rPr>
                <w:b/>
                <w:bCs/>
                <w:sz w:val="16"/>
                <w:szCs w:val="16"/>
              </w:rPr>
              <w:t>Datos sobre el rendimiento</w:t>
            </w:r>
          </w:p>
        </w:tc>
        <w:tc>
          <w:tcPr>
            <w:tcW w:w="530" w:type="pct"/>
            <w:gridSpan w:val="2"/>
            <w:shd w:val="clear" w:color="auto" w:fill="auto"/>
            <w:tcMar>
              <w:top w:w="110" w:type="dxa"/>
              <w:left w:w="58" w:type="dxa"/>
              <w:right w:w="58" w:type="dxa"/>
            </w:tcMar>
            <w:vAlign w:val="center"/>
          </w:tcPr>
          <w:p w:rsidR="002E3AE7" w:rsidRPr="008E5E9C" w:rsidRDefault="002E3AE7" w:rsidP="003E0A02">
            <w:pPr>
              <w:keepNext/>
              <w:keepLines/>
              <w:jc w:val="center"/>
              <w:rPr>
                <w:b/>
                <w:bCs/>
                <w:sz w:val="16"/>
                <w:szCs w:val="16"/>
              </w:rPr>
            </w:pPr>
            <w:r w:rsidRPr="008E5E9C">
              <w:rPr>
                <w:b/>
                <w:bCs/>
                <w:sz w:val="16"/>
                <w:szCs w:val="16"/>
              </w:rPr>
              <w:t>Clave de colores</w:t>
            </w:r>
          </w:p>
        </w:tc>
      </w:tr>
      <w:tr w:rsidR="002E3AE7" w:rsidRPr="008E5E9C" w:rsidTr="003E0A02">
        <w:trPr>
          <w:trHeight w:val="576"/>
        </w:trPr>
        <w:tc>
          <w:tcPr>
            <w:tcW w:w="1148" w:type="pct"/>
            <w:gridSpan w:val="2"/>
            <w:shd w:val="clear" w:color="auto" w:fill="auto"/>
            <w:tcMar>
              <w:left w:w="58" w:type="dxa"/>
              <w:right w:w="58" w:type="dxa"/>
            </w:tcMar>
          </w:tcPr>
          <w:p w:rsidR="002E3AE7" w:rsidRPr="008E5E9C" w:rsidRDefault="002E3AE7" w:rsidP="003E0A02">
            <w:pPr>
              <w:rPr>
                <w:sz w:val="16"/>
                <w:szCs w:val="16"/>
              </w:rPr>
            </w:pPr>
            <w:r w:rsidRPr="008E5E9C">
              <w:rPr>
                <w:sz w:val="16"/>
                <w:szCs w:val="16"/>
              </w:rPr>
              <w:t>% de productos y servicios contratados y adquiridos a nivel local en comparación con el importe total de los adquiridos para actividades de desarrollo</w:t>
            </w:r>
          </w:p>
        </w:tc>
        <w:tc>
          <w:tcPr>
            <w:tcW w:w="1222" w:type="pct"/>
            <w:shd w:val="clear" w:color="auto" w:fill="auto"/>
            <w:tcMar>
              <w:left w:w="58" w:type="dxa"/>
              <w:right w:w="58" w:type="dxa"/>
            </w:tcMar>
          </w:tcPr>
          <w:p w:rsidR="002E3AE7" w:rsidRPr="00230C8F" w:rsidRDefault="002E3AE7" w:rsidP="003E0A02">
            <w:pPr>
              <w:rPr>
                <w:i/>
                <w:color w:val="002060"/>
                <w:sz w:val="16"/>
                <w:szCs w:val="16"/>
              </w:rPr>
            </w:pPr>
            <w:r w:rsidRPr="00230C8F">
              <w:rPr>
                <w:i/>
                <w:color w:val="002060"/>
                <w:sz w:val="16"/>
                <w:szCs w:val="16"/>
              </w:rPr>
              <w:t xml:space="preserve">Referencia actualizada a fines de 2015.  </w:t>
            </w:r>
          </w:p>
          <w:p w:rsidR="002E3AE7" w:rsidRPr="00230C8F" w:rsidRDefault="002E3AE7" w:rsidP="003E0A02">
            <w:pPr>
              <w:rPr>
                <w:color w:val="002060"/>
                <w:sz w:val="16"/>
                <w:szCs w:val="16"/>
                <w:lang w:bidi="th-TH"/>
              </w:rPr>
            </w:pPr>
            <w:r w:rsidRPr="00230C8F">
              <w:rPr>
                <w:color w:val="002060"/>
                <w:sz w:val="16"/>
                <w:szCs w:val="16"/>
                <w:lang w:bidi="th-TH"/>
              </w:rPr>
              <w:t>2015:  57%</w:t>
            </w:r>
          </w:p>
          <w:p w:rsidR="002E3AE7" w:rsidRPr="008E5E9C" w:rsidRDefault="002E3AE7" w:rsidP="003E0A02">
            <w:pPr>
              <w:rPr>
                <w:sz w:val="16"/>
                <w:szCs w:val="16"/>
              </w:rPr>
            </w:pPr>
          </w:p>
          <w:p w:rsidR="002E3AE7" w:rsidRPr="008E5E9C" w:rsidRDefault="002E3AE7" w:rsidP="003E0A02">
            <w:pPr>
              <w:rPr>
                <w:i/>
                <w:sz w:val="16"/>
                <w:szCs w:val="16"/>
              </w:rPr>
            </w:pPr>
            <w:r w:rsidRPr="008E5E9C">
              <w:rPr>
                <w:i/>
                <w:sz w:val="16"/>
                <w:szCs w:val="16"/>
              </w:rPr>
              <w:t xml:space="preserve">Referencia original en el presupuesto de 2016/17:  </w:t>
            </w:r>
          </w:p>
          <w:p w:rsidR="002E3AE7" w:rsidRPr="008E5E9C" w:rsidRDefault="002E3AE7" w:rsidP="003E0A02">
            <w:pPr>
              <w:rPr>
                <w:sz w:val="16"/>
                <w:szCs w:val="16"/>
              </w:rPr>
            </w:pPr>
            <w:r w:rsidRPr="008E5E9C">
              <w:rPr>
                <w:sz w:val="16"/>
                <w:szCs w:val="16"/>
              </w:rPr>
              <w:t>45% (al final de 2014)</w:t>
            </w:r>
          </w:p>
        </w:tc>
        <w:tc>
          <w:tcPr>
            <w:tcW w:w="831" w:type="pct"/>
            <w:gridSpan w:val="2"/>
            <w:shd w:val="clear" w:color="auto" w:fill="auto"/>
            <w:tcMar>
              <w:top w:w="110" w:type="dxa"/>
              <w:left w:w="58" w:type="dxa"/>
              <w:right w:w="58" w:type="dxa"/>
            </w:tcMar>
          </w:tcPr>
          <w:p w:rsidR="002E3AE7" w:rsidRPr="00230C8F" w:rsidRDefault="002E3AE7" w:rsidP="003E0A02">
            <w:pPr>
              <w:rPr>
                <w:i/>
                <w:color w:val="002060"/>
                <w:sz w:val="16"/>
                <w:szCs w:val="16"/>
              </w:rPr>
            </w:pPr>
            <w:r w:rsidRPr="00230C8F">
              <w:rPr>
                <w:i/>
                <w:color w:val="002060"/>
                <w:sz w:val="16"/>
                <w:szCs w:val="16"/>
              </w:rPr>
              <w:t xml:space="preserve">Objetivo actualizado:  </w:t>
            </w:r>
          </w:p>
          <w:p w:rsidR="002E3AE7" w:rsidRPr="00230C8F" w:rsidRDefault="002E3AE7" w:rsidP="003E0A02">
            <w:pPr>
              <w:rPr>
                <w:color w:val="002060"/>
                <w:sz w:val="16"/>
                <w:szCs w:val="16"/>
              </w:rPr>
            </w:pPr>
            <w:r w:rsidRPr="00230C8F">
              <w:rPr>
                <w:color w:val="002060"/>
                <w:sz w:val="16"/>
                <w:szCs w:val="16"/>
              </w:rPr>
              <w:t>Al menos el 50%</w:t>
            </w:r>
          </w:p>
          <w:p w:rsidR="002E3AE7" w:rsidRPr="008E5E9C" w:rsidRDefault="002E3AE7" w:rsidP="003E0A02">
            <w:pPr>
              <w:rPr>
                <w:sz w:val="16"/>
                <w:szCs w:val="16"/>
              </w:rPr>
            </w:pPr>
          </w:p>
          <w:p w:rsidR="002E3AE7" w:rsidRPr="008E5E9C" w:rsidRDefault="002E3AE7" w:rsidP="003E0A02">
            <w:pPr>
              <w:rPr>
                <w:i/>
                <w:sz w:val="16"/>
                <w:szCs w:val="16"/>
                <w:lang w:bidi="th-TH"/>
              </w:rPr>
            </w:pPr>
            <w:r w:rsidRPr="008E5E9C">
              <w:rPr>
                <w:i/>
                <w:sz w:val="16"/>
                <w:szCs w:val="16"/>
                <w:lang w:bidi="th-TH"/>
              </w:rPr>
              <w:t xml:space="preserve">Objetivo original en el presupuesto 2016/17:  </w:t>
            </w:r>
          </w:p>
          <w:p w:rsidR="002E3AE7" w:rsidRPr="008E5E9C" w:rsidRDefault="002E3AE7" w:rsidP="003E0A02">
            <w:pPr>
              <w:spacing w:after="60"/>
              <w:rPr>
                <w:sz w:val="16"/>
                <w:szCs w:val="16"/>
              </w:rPr>
            </w:pPr>
            <w:r w:rsidRPr="008E5E9C">
              <w:rPr>
                <w:sz w:val="16"/>
                <w:szCs w:val="16"/>
              </w:rPr>
              <w:t>Igual o superior al resultado de 2014</w:t>
            </w:r>
          </w:p>
        </w:tc>
        <w:tc>
          <w:tcPr>
            <w:tcW w:w="1269" w:type="pct"/>
            <w:gridSpan w:val="2"/>
            <w:shd w:val="clear" w:color="auto" w:fill="FFFFFF"/>
            <w:tcMar>
              <w:top w:w="110" w:type="dxa"/>
              <w:left w:w="58" w:type="dxa"/>
              <w:right w:w="58" w:type="dxa"/>
            </w:tcMar>
          </w:tcPr>
          <w:p w:rsidR="002E3AE7" w:rsidRPr="008E5E9C" w:rsidRDefault="002E3AE7" w:rsidP="003E0A02">
            <w:pPr>
              <w:rPr>
                <w:sz w:val="16"/>
                <w:szCs w:val="16"/>
              </w:rPr>
            </w:pPr>
            <w:r w:rsidRPr="008E5E9C">
              <w:rPr>
                <w:sz w:val="16"/>
                <w:szCs w:val="16"/>
              </w:rPr>
              <w:t>60,3%</w:t>
            </w:r>
          </w:p>
        </w:tc>
        <w:tc>
          <w:tcPr>
            <w:tcW w:w="530" w:type="pct"/>
            <w:gridSpan w:val="2"/>
            <w:shd w:val="clear" w:color="auto" w:fill="auto"/>
            <w:tcMar>
              <w:top w:w="110" w:type="dxa"/>
              <w:left w:w="58" w:type="dxa"/>
              <w:right w:w="58" w:type="dxa"/>
            </w:tcMar>
          </w:tcPr>
          <w:p w:rsidR="002E3AE7" w:rsidRPr="008E5E9C" w:rsidRDefault="002E3AE7" w:rsidP="003E0A02">
            <w:pPr>
              <w:keepNext/>
              <w:keepLines/>
              <w:jc w:val="center"/>
              <w:rPr>
                <w:b/>
                <w:sz w:val="16"/>
                <w:szCs w:val="16"/>
              </w:rPr>
            </w:pPr>
            <w:r w:rsidRPr="008E5E9C">
              <w:rPr>
                <w:b/>
                <w:color w:val="00B050"/>
                <w:sz w:val="16"/>
                <w:szCs w:val="16"/>
              </w:rPr>
              <w:t>Avanza</w:t>
            </w:r>
          </w:p>
        </w:tc>
      </w:tr>
      <w:tr w:rsidR="002E3AE7" w:rsidRPr="008E5E9C" w:rsidTr="003E0A02">
        <w:trPr>
          <w:trHeight w:val="1517"/>
        </w:trPr>
        <w:tc>
          <w:tcPr>
            <w:tcW w:w="1148" w:type="pct"/>
            <w:gridSpan w:val="2"/>
            <w:shd w:val="clear" w:color="auto" w:fill="auto"/>
            <w:tcMar>
              <w:left w:w="58" w:type="dxa"/>
              <w:right w:w="58" w:type="dxa"/>
            </w:tcMar>
          </w:tcPr>
          <w:p w:rsidR="002E3AE7" w:rsidRPr="008E5E9C" w:rsidRDefault="002E3AE7" w:rsidP="00F12657">
            <w:pPr>
              <w:rPr>
                <w:sz w:val="16"/>
                <w:szCs w:val="16"/>
              </w:rPr>
            </w:pPr>
            <w:r w:rsidRPr="008E5E9C">
              <w:rPr>
                <w:sz w:val="16"/>
                <w:szCs w:val="16"/>
              </w:rPr>
              <w:t xml:space="preserve">% de gastos efectuados con arreglo a las prácticas vigentes en </w:t>
            </w:r>
            <w:r w:rsidR="00F12657">
              <w:rPr>
                <w:sz w:val="16"/>
                <w:szCs w:val="16"/>
              </w:rPr>
              <w:t>la ON</w:t>
            </w:r>
            <w:r w:rsidRPr="008E5E9C">
              <w:rPr>
                <w:sz w:val="16"/>
                <w:szCs w:val="16"/>
              </w:rPr>
              <w:t>U (licitaciones comunes o aprovechamiento de los contratos)</w:t>
            </w:r>
          </w:p>
        </w:tc>
        <w:tc>
          <w:tcPr>
            <w:tcW w:w="1222" w:type="pct"/>
            <w:shd w:val="clear" w:color="auto" w:fill="auto"/>
            <w:tcMar>
              <w:left w:w="58" w:type="dxa"/>
              <w:right w:w="58" w:type="dxa"/>
            </w:tcMar>
          </w:tcPr>
          <w:p w:rsidR="002E3AE7" w:rsidRPr="00230C8F" w:rsidRDefault="002E3AE7" w:rsidP="003E0A02">
            <w:pPr>
              <w:rPr>
                <w:i/>
                <w:color w:val="002060"/>
                <w:sz w:val="16"/>
                <w:szCs w:val="16"/>
              </w:rPr>
            </w:pPr>
            <w:r w:rsidRPr="00230C8F">
              <w:rPr>
                <w:i/>
                <w:color w:val="002060"/>
                <w:sz w:val="16"/>
                <w:szCs w:val="16"/>
              </w:rPr>
              <w:t xml:space="preserve">Referencia actualizada a fines de 2015.  </w:t>
            </w:r>
          </w:p>
          <w:p w:rsidR="002E3AE7" w:rsidRPr="00230C8F" w:rsidRDefault="002E3AE7" w:rsidP="003E0A02">
            <w:pPr>
              <w:rPr>
                <w:color w:val="002060"/>
                <w:sz w:val="16"/>
                <w:szCs w:val="16"/>
                <w:lang w:bidi="th-TH"/>
              </w:rPr>
            </w:pPr>
            <w:r w:rsidRPr="00230C8F">
              <w:rPr>
                <w:color w:val="002060"/>
                <w:sz w:val="16"/>
                <w:szCs w:val="16"/>
                <w:lang w:bidi="th-TH"/>
              </w:rPr>
              <w:t>2015:  5,8%</w:t>
            </w:r>
          </w:p>
          <w:p w:rsidR="002E3AE7" w:rsidRPr="008E5E9C" w:rsidRDefault="002E3AE7" w:rsidP="003E0A02">
            <w:pPr>
              <w:rPr>
                <w:sz w:val="16"/>
                <w:szCs w:val="16"/>
              </w:rPr>
            </w:pPr>
          </w:p>
          <w:p w:rsidR="002E3AE7" w:rsidRPr="008E5E9C" w:rsidRDefault="002E3AE7" w:rsidP="003E0A02">
            <w:pPr>
              <w:rPr>
                <w:i/>
                <w:sz w:val="16"/>
                <w:szCs w:val="16"/>
              </w:rPr>
            </w:pPr>
            <w:r w:rsidRPr="008E5E9C">
              <w:rPr>
                <w:i/>
                <w:sz w:val="16"/>
                <w:szCs w:val="16"/>
              </w:rPr>
              <w:t xml:space="preserve">Referencia original en el presupuesto de 2016/17:  </w:t>
            </w:r>
          </w:p>
          <w:p w:rsidR="002E3AE7" w:rsidRPr="008E5E9C" w:rsidRDefault="002E3AE7" w:rsidP="003E0A02">
            <w:pPr>
              <w:rPr>
                <w:sz w:val="16"/>
                <w:szCs w:val="16"/>
              </w:rPr>
            </w:pPr>
            <w:r w:rsidRPr="008E5E9C">
              <w:rPr>
                <w:sz w:val="16"/>
                <w:szCs w:val="16"/>
              </w:rPr>
              <w:t>4,15% (al final de 2014)</w:t>
            </w:r>
          </w:p>
        </w:tc>
        <w:tc>
          <w:tcPr>
            <w:tcW w:w="831" w:type="pct"/>
            <w:gridSpan w:val="2"/>
            <w:shd w:val="clear" w:color="auto" w:fill="auto"/>
            <w:tcMar>
              <w:top w:w="110" w:type="dxa"/>
              <w:left w:w="58" w:type="dxa"/>
              <w:right w:w="58" w:type="dxa"/>
            </w:tcMar>
          </w:tcPr>
          <w:p w:rsidR="002E3AE7" w:rsidRPr="00230C8F" w:rsidRDefault="002E3AE7" w:rsidP="003E0A02">
            <w:pPr>
              <w:rPr>
                <w:i/>
                <w:color w:val="002060"/>
                <w:sz w:val="16"/>
                <w:szCs w:val="16"/>
              </w:rPr>
            </w:pPr>
            <w:r w:rsidRPr="00230C8F">
              <w:rPr>
                <w:i/>
                <w:color w:val="002060"/>
                <w:sz w:val="16"/>
                <w:szCs w:val="16"/>
              </w:rPr>
              <w:t xml:space="preserve">Objetivo actualizado:  </w:t>
            </w:r>
          </w:p>
          <w:p w:rsidR="002E3AE7" w:rsidRPr="00230C8F" w:rsidRDefault="002E3AE7" w:rsidP="003E0A02">
            <w:pPr>
              <w:rPr>
                <w:color w:val="002060"/>
                <w:sz w:val="16"/>
                <w:szCs w:val="16"/>
              </w:rPr>
            </w:pPr>
            <w:r w:rsidRPr="00230C8F">
              <w:rPr>
                <w:color w:val="002060"/>
                <w:sz w:val="16"/>
                <w:szCs w:val="16"/>
              </w:rPr>
              <w:t>Igual o superior al resultado de 2015</w:t>
            </w:r>
          </w:p>
          <w:p w:rsidR="002E3AE7" w:rsidRPr="008E5E9C" w:rsidRDefault="002E3AE7" w:rsidP="003E0A02">
            <w:pPr>
              <w:rPr>
                <w:sz w:val="16"/>
                <w:szCs w:val="16"/>
              </w:rPr>
            </w:pPr>
          </w:p>
          <w:p w:rsidR="002E3AE7" w:rsidRPr="008E5E9C" w:rsidRDefault="002E3AE7" w:rsidP="003E0A02">
            <w:pPr>
              <w:rPr>
                <w:i/>
                <w:sz w:val="16"/>
                <w:szCs w:val="16"/>
                <w:lang w:bidi="th-TH"/>
              </w:rPr>
            </w:pPr>
            <w:r w:rsidRPr="008E5E9C">
              <w:rPr>
                <w:i/>
                <w:sz w:val="16"/>
                <w:szCs w:val="16"/>
                <w:lang w:bidi="th-TH"/>
              </w:rPr>
              <w:t>Objetivo original en el presupuesto 2016/17:</w:t>
            </w:r>
          </w:p>
          <w:p w:rsidR="002E3AE7" w:rsidRPr="008E5E9C" w:rsidRDefault="002E3AE7" w:rsidP="003E0A02">
            <w:pPr>
              <w:spacing w:after="60"/>
              <w:rPr>
                <w:sz w:val="16"/>
                <w:szCs w:val="16"/>
              </w:rPr>
            </w:pPr>
            <w:r w:rsidRPr="008E5E9C">
              <w:rPr>
                <w:sz w:val="16"/>
                <w:szCs w:val="16"/>
              </w:rPr>
              <w:t>Igual o superior al resultado de 2014</w:t>
            </w:r>
          </w:p>
        </w:tc>
        <w:tc>
          <w:tcPr>
            <w:tcW w:w="1269" w:type="pct"/>
            <w:gridSpan w:val="2"/>
            <w:shd w:val="clear" w:color="auto" w:fill="FFFFFF"/>
            <w:tcMar>
              <w:top w:w="110" w:type="dxa"/>
              <w:left w:w="58" w:type="dxa"/>
              <w:right w:w="58" w:type="dxa"/>
            </w:tcMar>
          </w:tcPr>
          <w:p w:rsidR="002E3AE7" w:rsidRPr="008E5E9C" w:rsidRDefault="002E3AE7" w:rsidP="003E0A02">
            <w:pPr>
              <w:keepNext/>
              <w:keepLines/>
              <w:rPr>
                <w:sz w:val="16"/>
                <w:szCs w:val="16"/>
              </w:rPr>
            </w:pPr>
            <w:r w:rsidRPr="008E5E9C">
              <w:rPr>
                <w:sz w:val="16"/>
                <w:szCs w:val="16"/>
              </w:rPr>
              <w:t xml:space="preserve">  6,7%</w:t>
            </w:r>
          </w:p>
        </w:tc>
        <w:tc>
          <w:tcPr>
            <w:tcW w:w="530" w:type="pct"/>
            <w:gridSpan w:val="2"/>
            <w:shd w:val="clear" w:color="auto" w:fill="auto"/>
            <w:tcMar>
              <w:top w:w="110" w:type="dxa"/>
              <w:left w:w="58" w:type="dxa"/>
              <w:right w:w="58" w:type="dxa"/>
            </w:tcMar>
          </w:tcPr>
          <w:p w:rsidR="002E3AE7" w:rsidRPr="008E5E9C" w:rsidRDefault="002E3AE7" w:rsidP="003E0A02">
            <w:pPr>
              <w:keepNext/>
              <w:keepLines/>
              <w:jc w:val="center"/>
              <w:rPr>
                <w:b/>
                <w:sz w:val="16"/>
                <w:szCs w:val="16"/>
              </w:rPr>
            </w:pPr>
            <w:r w:rsidRPr="008E5E9C">
              <w:rPr>
                <w:b/>
                <w:color w:val="00B050"/>
                <w:sz w:val="16"/>
                <w:szCs w:val="16"/>
              </w:rPr>
              <w:t>Avanza</w:t>
            </w:r>
          </w:p>
        </w:tc>
      </w:tr>
      <w:tr w:rsidR="002E3AE7" w:rsidRPr="008E5E9C" w:rsidTr="003E0A02">
        <w:trPr>
          <w:trHeight w:val="565"/>
        </w:trPr>
        <w:tc>
          <w:tcPr>
            <w:tcW w:w="5000" w:type="pct"/>
            <w:gridSpan w:val="9"/>
            <w:shd w:val="clear" w:color="auto" w:fill="C6D9F1" w:themeFill="text2" w:themeFillTint="33"/>
            <w:tcMar>
              <w:left w:w="58" w:type="dxa"/>
              <w:right w:w="58" w:type="dxa"/>
            </w:tcMar>
            <w:vAlign w:val="center"/>
          </w:tcPr>
          <w:p w:rsidR="002E3AE7" w:rsidRPr="008E5E9C" w:rsidRDefault="002E3AE7" w:rsidP="003E0A02">
            <w:pPr>
              <w:keepNext/>
              <w:keepLines/>
              <w:tabs>
                <w:tab w:val="left" w:pos="1452"/>
              </w:tabs>
              <w:ind w:left="1701" w:hanging="1701"/>
              <w:rPr>
                <w:b/>
                <w:bCs/>
                <w:sz w:val="16"/>
                <w:szCs w:val="16"/>
              </w:rPr>
            </w:pPr>
            <w:r w:rsidRPr="008E5E9C">
              <w:rPr>
                <w:b/>
                <w:bCs/>
                <w:sz w:val="16"/>
                <w:szCs w:val="16"/>
              </w:rPr>
              <w:t>Resultado previsto:</w:t>
            </w:r>
            <w:r w:rsidRPr="008E5E9C">
              <w:rPr>
                <w:b/>
                <w:bCs/>
                <w:sz w:val="16"/>
                <w:szCs w:val="16"/>
              </w:rPr>
              <w:tab/>
            </w:r>
            <w:r w:rsidRPr="008E5E9C">
              <w:rPr>
                <w:bCs/>
                <w:sz w:val="16"/>
                <w:szCs w:val="16"/>
              </w:rPr>
              <w:t>IX.1  Servicios de apoyo eficaces, eficientes, de calidad y orientados al cliente, tanto a los usuarios internos como a las partes interesadas externas</w:t>
            </w:r>
          </w:p>
        </w:tc>
      </w:tr>
      <w:tr w:rsidR="002E3AE7" w:rsidRPr="008E5E9C" w:rsidTr="003E0A02">
        <w:tc>
          <w:tcPr>
            <w:tcW w:w="1148" w:type="pct"/>
            <w:gridSpan w:val="2"/>
            <w:shd w:val="clear" w:color="auto" w:fill="auto"/>
            <w:tcMar>
              <w:left w:w="58" w:type="dxa"/>
              <w:right w:w="58" w:type="dxa"/>
            </w:tcMar>
            <w:vAlign w:val="center"/>
          </w:tcPr>
          <w:p w:rsidR="002E3AE7" w:rsidRPr="008E5E9C" w:rsidRDefault="002E3AE7" w:rsidP="003E0A02">
            <w:pPr>
              <w:rPr>
                <w:b/>
                <w:bCs/>
                <w:sz w:val="16"/>
                <w:szCs w:val="16"/>
              </w:rPr>
            </w:pPr>
            <w:r w:rsidRPr="008E5E9C">
              <w:rPr>
                <w:b/>
                <w:bCs/>
                <w:sz w:val="16"/>
                <w:szCs w:val="16"/>
              </w:rPr>
              <w:t>Indicadores de rendimiento</w:t>
            </w:r>
          </w:p>
        </w:tc>
        <w:tc>
          <w:tcPr>
            <w:tcW w:w="1222" w:type="pct"/>
            <w:shd w:val="clear" w:color="auto" w:fill="auto"/>
            <w:tcMar>
              <w:left w:w="58" w:type="dxa"/>
              <w:right w:w="58" w:type="dxa"/>
            </w:tcMar>
            <w:vAlign w:val="center"/>
          </w:tcPr>
          <w:p w:rsidR="002E3AE7" w:rsidRPr="008E5E9C" w:rsidRDefault="002E3AE7" w:rsidP="003E0A02">
            <w:pPr>
              <w:rPr>
                <w:b/>
                <w:bCs/>
                <w:sz w:val="16"/>
                <w:szCs w:val="16"/>
              </w:rPr>
            </w:pPr>
            <w:r w:rsidRPr="008E5E9C">
              <w:rPr>
                <w:b/>
                <w:bCs/>
                <w:sz w:val="16"/>
                <w:szCs w:val="16"/>
              </w:rPr>
              <w:t>Referencias de base</w:t>
            </w:r>
          </w:p>
        </w:tc>
        <w:tc>
          <w:tcPr>
            <w:tcW w:w="831" w:type="pct"/>
            <w:gridSpan w:val="2"/>
            <w:shd w:val="clear" w:color="auto" w:fill="auto"/>
            <w:tcMar>
              <w:top w:w="110" w:type="dxa"/>
              <w:left w:w="58" w:type="dxa"/>
              <w:right w:w="58" w:type="dxa"/>
            </w:tcMar>
            <w:vAlign w:val="center"/>
          </w:tcPr>
          <w:p w:rsidR="002E3AE7" w:rsidRPr="008E5E9C" w:rsidRDefault="002E3AE7" w:rsidP="003E0A02">
            <w:pPr>
              <w:rPr>
                <w:b/>
                <w:bCs/>
                <w:sz w:val="16"/>
                <w:szCs w:val="16"/>
              </w:rPr>
            </w:pPr>
            <w:r w:rsidRPr="008E5E9C">
              <w:rPr>
                <w:b/>
                <w:bCs/>
                <w:sz w:val="16"/>
                <w:szCs w:val="16"/>
              </w:rPr>
              <w:t>Objetivos</w:t>
            </w:r>
          </w:p>
        </w:tc>
        <w:tc>
          <w:tcPr>
            <w:tcW w:w="1269" w:type="pct"/>
            <w:gridSpan w:val="2"/>
            <w:shd w:val="clear" w:color="auto" w:fill="FFFFFF"/>
            <w:tcMar>
              <w:top w:w="110" w:type="dxa"/>
              <w:left w:w="58" w:type="dxa"/>
              <w:right w:w="58" w:type="dxa"/>
            </w:tcMar>
            <w:vAlign w:val="center"/>
          </w:tcPr>
          <w:p w:rsidR="002E3AE7" w:rsidRPr="008E5E9C" w:rsidRDefault="002E3AE7" w:rsidP="003E0A02">
            <w:pPr>
              <w:rPr>
                <w:b/>
                <w:bCs/>
                <w:sz w:val="16"/>
                <w:szCs w:val="16"/>
              </w:rPr>
            </w:pPr>
            <w:r w:rsidRPr="008E5E9C">
              <w:rPr>
                <w:b/>
                <w:bCs/>
                <w:sz w:val="16"/>
                <w:szCs w:val="16"/>
              </w:rPr>
              <w:t>Datos sobre el rendimiento</w:t>
            </w:r>
          </w:p>
        </w:tc>
        <w:tc>
          <w:tcPr>
            <w:tcW w:w="530" w:type="pct"/>
            <w:gridSpan w:val="2"/>
            <w:shd w:val="clear" w:color="auto" w:fill="auto"/>
            <w:tcMar>
              <w:top w:w="110" w:type="dxa"/>
              <w:left w:w="58" w:type="dxa"/>
              <w:right w:w="58" w:type="dxa"/>
            </w:tcMar>
            <w:vAlign w:val="center"/>
          </w:tcPr>
          <w:p w:rsidR="002E3AE7" w:rsidRPr="008E5E9C" w:rsidRDefault="002E3AE7" w:rsidP="003E0A02">
            <w:pPr>
              <w:keepNext/>
              <w:keepLines/>
              <w:jc w:val="center"/>
              <w:rPr>
                <w:b/>
                <w:bCs/>
                <w:sz w:val="16"/>
                <w:szCs w:val="16"/>
              </w:rPr>
            </w:pPr>
            <w:r w:rsidRPr="008E5E9C">
              <w:rPr>
                <w:b/>
                <w:bCs/>
                <w:sz w:val="16"/>
                <w:szCs w:val="16"/>
              </w:rPr>
              <w:t>Clave de colores</w:t>
            </w:r>
          </w:p>
        </w:tc>
      </w:tr>
      <w:tr w:rsidR="002E3AE7" w:rsidRPr="008E5E9C" w:rsidTr="003E0A02">
        <w:trPr>
          <w:trHeight w:val="576"/>
        </w:trPr>
        <w:tc>
          <w:tcPr>
            <w:tcW w:w="1148" w:type="pct"/>
            <w:gridSpan w:val="2"/>
            <w:shd w:val="clear" w:color="auto" w:fill="auto"/>
            <w:tcMar>
              <w:left w:w="58" w:type="dxa"/>
              <w:right w:w="58" w:type="dxa"/>
            </w:tcMar>
          </w:tcPr>
          <w:p w:rsidR="002E3AE7" w:rsidRPr="008E5E9C" w:rsidRDefault="002E3AE7" w:rsidP="003E0A02">
            <w:pPr>
              <w:rPr>
                <w:sz w:val="16"/>
                <w:szCs w:val="16"/>
              </w:rPr>
            </w:pPr>
            <w:r w:rsidRPr="008E5E9C">
              <w:rPr>
                <w:sz w:val="16"/>
                <w:szCs w:val="16"/>
              </w:rPr>
              <w:t>Disminución de los costos de adquisición de productos y servicios por la OMPI (derivada de solicitudes de ofertas o negociaciones directas)</w:t>
            </w:r>
          </w:p>
        </w:tc>
        <w:tc>
          <w:tcPr>
            <w:tcW w:w="1222" w:type="pct"/>
            <w:shd w:val="clear" w:color="auto" w:fill="auto"/>
            <w:tcMar>
              <w:left w:w="58" w:type="dxa"/>
              <w:right w:w="58" w:type="dxa"/>
            </w:tcMar>
          </w:tcPr>
          <w:p w:rsidR="002E3AE7" w:rsidRPr="00230C8F" w:rsidRDefault="002E3AE7" w:rsidP="003E0A02">
            <w:pPr>
              <w:rPr>
                <w:i/>
                <w:color w:val="002060"/>
                <w:sz w:val="16"/>
                <w:szCs w:val="16"/>
              </w:rPr>
            </w:pPr>
            <w:r w:rsidRPr="00230C8F">
              <w:rPr>
                <w:i/>
                <w:color w:val="002060"/>
                <w:sz w:val="16"/>
                <w:szCs w:val="16"/>
              </w:rPr>
              <w:t xml:space="preserve">Referencia actualizada a fines de 2015:  </w:t>
            </w:r>
          </w:p>
          <w:p w:rsidR="002E3AE7" w:rsidRPr="00230C8F" w:rsidRDefault="002E3AE7" w:rsidP="003E0A02">
            <w:pPr>
              <w:rPr>
                <w:color w:val="002060"/>
                <w:sz w:val="16"/>
                <w:szCs w:val="16"/>
              </w:rPr>
            </w:pPr>
            <w:r w:rsidRPr="00230C8F">
              <w:rPr>
                <w:color w:val="002060"/>
                <w:sz w:val="16"/>
                <w:szCs w:val="16"/>
                <w:lang w:bidi="th-TH"/>
              </w:rPr>
              <w:t xml:space="preserve">3.826.361 CHF </w:t>
            </w:r>
          </w:p>
          <w:p w:rsidR="002E3AE7" w:rsidRPr="008E5E9C" w:rsidRDefault="002E3AE7" w:rsidP="003E0A02">
            <w:pPr>
              <w:rPr>
                <w:sz w:val="16"/>
                <w:szCs w:val="16"/>
              </w:rPr>
            </w:pPr>
          </w:p>
          <w:p w:rsidR="002E3AE7" w:rsidRPr="008E5E9C" w:rsidRDefault="002E3AE7" w:rsidP="003E0A02">
            <w:pPr>
              <w:rPr>
                <w:i/>
                <w:sz w:val="16"/>
                <w:szCs w:val="16"/>
              </w:rPr>
            </w:pPr>
            <w:r w:rsidRPr="008E5E9C">
              <w:rPr>
                <w:i/>
                <w:sz w:val="16"/>
                <w:szCs w:val="16"/>
              </w:rPr>
              <w:t xml:space="preserve">Referencia original en el presupuesto de 2016/17:  </w:t>
            </w:r>
          </w:p>
          <w:p w:rsidR="002E3AE7" w:rsidRPr="008E5E9C" w:rsidRDefault="002E3AE7" w:rsidP="003E0A02">
            <w:pPr>
              <w:spacing w:after="60"/>
              <w:rPr>
                <w:sz w:val="16"/>
                <w:szCs w:val="16"/>
              </w:rPr>
            </w:pPr>
            <w:r w:rsidRPr="008E5E9C">
              <w:rPr>
                <w:sz w:val="16"/>
                <w:szCs w:val="16"/>
              </w:rPr>
              <w:t>CHF 2,6 millones (al final de 2014)</w:t>
            </w:r>
          </w:p>
        </w:tc>
        <w:tc>
          <w:tcPr>
            <w:tcW w:w="831" w:type="pct"/>
            <w:gridSpan w:val="2"/>
            <w:shd w:val="clear" w:color="auto" w:fill="auto"/>
            <w:tcMar>
              <w:top w:w="110" w:type="dxa"/>
              <w:left w:w="58" w:type="dxa"/>
              <w:right w:w="58" w:type="dxa"/>
            </w:tcMar>
          </w:tcPr>
          <w:p w:rsidR="002E3AE7" w:rsidRPr="008E5E9C" w:rsidRDefault="002E3AE7" w:rsidP="00F12657">
            <w:pPr>
              <w:rPr>
                <w:sz w:val="16"/>
                <w:szCs w:val="16"/>
              </w:rPr>
            </w:pPr>
            <w:r w:rsidRPr="008E5E9C">
              <w:rPr>
                <w:sz w:val="16"/>
                <w:szCs w:val="16"/>
              </w:rPr>
              <w:t>Igual o superior al resultado de</w:t>
            </w:r>
            <w:r w:rsidR="00F12657">
              <w:rPr>
                <w:sz w:val="16"/>
                <w:szCs w:val="16"/>
              </w:rPr>
              <w:t xml:space="preserve"> </w:t>
            </w:r>
            <w:r w:rsidRPr="008E5E9C">
              <w:rPr>
                <w:sz w:val="16"/>
                <w:szCs w:val="16"/>
              </w:rPr>
              <w:t>2014</w:t>
            </w:r>
            <w:r w:rsidRPr="008E5E9C">
              <w:rPr>
                <w:rStyle w:val="FootnoteReference"/>
              </w:rPr>
              <w:footnoteReference w:id="92"/>
            </w:r>
          </w:p>
        </w:tc>
        <w:tc>
          <w:tcPr>
            <w:tcW w:w="1269" w:type="pct"/>
            <w:gridSpan w:val="2"/>
            <w:shd w:val="clear" w:color="auto" w:fill="FFFFFF"/>
            <w:tcMar>
              <w:top w:w="110" w:type="dxa"/>
              <w:left w:w="58" w:type="dxa"/>
              <w:right w:w="58" w:type="dxa"/>
            </w:tcMar>
          </w:tcPr>
          <w:p w:rsidR="002E3AE7" w:rsidRPr="008E5E9C" w:rsidRDefault="002E3AE7" w:rsidP="003E0A02">
            <w:pPr>
              <w:rPr>
                <w:sz w:val="16"/>
                <w:szCs w:val="16"/>
              </w:rPr>
            </w:pPr>
            <w:r w:rsidRPr="008E5E9C">
              <w:rPr>
                <w:sz w:val="16"/>
                <w:szCs w:val="16"/>
              </w:rPr>
              <w:t>1.801.919 CHF</w:t>
            </w:r>
          </w:p>
        </w:tc>
        <w:tc>
          <w:tcPr>
            <w:tcW w:w="530" w:type="pct"/>
            <w:gridSpan w:val="2"/>
            <w:shd w:val="clear" w:color="auto" w:fill="auto"/>
            <w:tcMar>
              <w:top w:w="110" w:type="dxa"/>
              <w:left w:w="58" w:type="dxa"/>
              <w:right w:w="58" w:type="dxa"/>
            </w:tcMar>
          </w:tcPr>
          <w:p w:rsidR="002E3AE7" w:rsidRPr="008E5E9C" w:rsidRDefault="002E3AE7" w:rsidP="003E0A02">
            <w:pPr>
              <w:keepNext/>
              <w:keepLines/>
              <w:jc w:val="center"/>
              <w:rPr>
                <w:b/>
                <w:sz w:val="16"/>
                <w:szCs w:val="16"/>
              </w:rPr>
            </w:pPr>
            <w:r w:rsidRPr="008E5E9C">
              <w:rPr>
                <w:b/>
                <w:color w:val="FF0000"/>
                <w:sz w:val="16"/>
                <w:szCs w:val="16"/>
              </w:rPr>
              <w:t>No avanza</w:t>
            </w:r>
          </w:p>
        </w:tc>
      </w:tr>
      <w:tr w:rsidR="002E3AE7" w:rsidRPr="008E5E9C" w:rsidTr="003E0A02">
        <w:trPr>
          <w:trHeight w:val="1416"/>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lastRenderedPageBreak/>
              <w:t>Tiempo de tramitación de peticiones electrónicas de actividad</w:t>
            </w:r>
          </w:p>
        </w:tc>
        <w:tc>
          <w:tcPr>
            <w:tcW w:w="1222" w:type="pct"/>
            <w:shd w:val="clear" w:color="auto" w:fill="auto"/>
            <w:tcMar>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Referencia actualizada a fines de 2015.  </w:t>
            </w:r>
          </w:p>
          <w:p w:rsidR="002E3AE7" w:rsidRPr="00230C8F" w:rsidRDefault="002E3AE7" w:rsidP="00112BA3">
            <w:pPr>
              <w:rPr>
                <w:color w:val="002060"/>
                <w:sz w:val="16"/>
                <w:szCs w:val="16"/>
              </w:rPr>
            </w:pPr>
            <w:r w:rsidRPr="00230C8F">
              <w:rPr>
                <w:color w:val="002060"/>
                <w:sz w:val="16"/>
                <w:szCs w:val="16"/>
              </w:rPr>
              <w:t>Peticiones electrónicas de actividad = &lt; una hora</w:t>
            </w:r>
          </w:p>
          <w:p w:rsidR="002E3AE7" w:rsidRPr="008E5E9C" w:rsidRDefault="002E3AE7" w:rsidP="00112BA3">
            <w:pPr>
              <w:rPr>
                <w:i/>
                <w:sz w:val="16"/>
                <w:szCs w:val="16"/>
              </w:rPr>
            </w:pPr>
          </w:p>
          <w:p w:rsidR="002E3AE7" w:rsidRPr="008E5E9C" w:rsidRDefault="002E3AE7" w:rsidP="00112BA3">
            <w:pPr>
              <w:rPr>
                <w:i/>
                <w:sz w:val="16"/>
                <w:szCs w:val="16"/>
              </w:rPr>
            </w:pPr>
            <w:r w:rsidRPr="008E5E9C">
              <w:rPr>
                <w:i/>
                <w:sz w:val="16"/>
                <w:szCs w:val="16"/>
              </w:rPr>
              <w:t xml:space="preserve">Referencia original en el presupuesto de 2016/17:  </w:t>
            </w:r>
          </w:p>
          <w:p w:rsidR="002E3AE7" w:rsidRPr="008E5E9C" w:rsidRDefault="002E3AE7" w:rsidP="00112BA3">
            <w:pPr>
              <w:rPr>
                <w:sz w:val="16"/>
                <w:szCs w:val="16"/>
              </w:rPr>
            </w:pPr>
            <w:r w:rsidRPr="008E5E9C">
              <w:rPr>
                <w:sz w:val="16"/>
                <w:szCs w:val="16"/>
              </w:rPr>
              <w:t>medio día (2014)</w:t>
            </w:r>
          </w:p>
        </w:tc>
        <w:tc>
          <w:tcPr>
            <w:tcW w:w="831" w:type="pct"/>
            <w:gridSpan w:val="2"/>
            <w:shd w:val="clear" w:color="auto" w:fill="auto"/>
            <w:tcMar>
              <w:top w:w="110" w:type="dxa"/>
              <w:left w:w="58" w:type="dxa"/>
              <w:right w:w="58" w:type="dxa"/>
            </w:tcMar>
          </w:tcPr>
          <w:p w:rsidR="002E3AE7" w:rsidRPr="008E5E9C" w:rsidRDefault="002E3AE7" w:rsidP="00112BA3">
            <w:pPr>
              <w:rPr>
                <w:sz w:val="16"/>
                <w:szCs w:val="16"/>
              </w:rPr>
            </w:pPr>
            <w:r w:rsidRPr="008E5E9C">
              <w:rPr>
                <w:sz w:val="16"/>
                <w:szCs w:val="16"/>
              </w:rPr>
              <w:t>Menos de medio día</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t>Menos de medio día</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b/>
                <w:sz w:val="16"/>
                <w:szCs w:val="16"/>
              </w:rPr>
            </w:pPr>
            <w:r w:rsidRPr="008E5E9C">
              <w:rPr>
                <w:b/>
                <w:color w:val="00B050"/>
                <w:sz w:val="16"/>
                <w:szCs w:val="16"/>
              </w:rPr>
              <w:t>Avanza</w:t>
            </w:r>
          </w:p>
        </w:tc>
      </w:tr>
      <w:tr w:rsidR="002E3AE7" w:rsidRPr="008E5E9C" w:rsidTr="003E0A02">
        <w:trPr>
          <w:trHeight w:val="576"/>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t>Tiempo de tramitación de autorizaciones electrónicas de viaje</w:t>
            </w:r>
          </w:p>
        </w:tc>
        <w:tc>
          <w:tcPr>
            <w:tcW w:w="1222" w:type="pct"/>
            <w:shd w:val="clear" w:color="auto" w:fill="auto"/>
            <w:tcMar>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Referencia actualizada a fines de 2015.  </w:t>
            </w:r>
          </w:p>
          <w:p w:rsidR="002E3AE7" w:rsidRPr="00230C8F" w:rsidRDefault="002E3AE7" w:rsidP="00112BA3">
            <w:pPr>
              <w:rPr>
                <w:color w:val="002060"/>
                <w:sz w:val="16"/>
                <w:szCs w:val="16"/>
              </w:rPr>
            </w:pPr>
            <w:r w:rsidRPr="00230C8F">
              <w:rPr>
                <w:color w:val="002060"/>
                <w:sz w:val="16"/>
                <w:szCs w:val="16"/>
              </w:rPr>
              <w:t>Autorizaciones electrónicas de viaje = medio día</w:t>
            </w:r>
          </w:p>
          <w:p w:rsidR="002E3AE7" w:rsidRPr="00230C8F" w:rsidRDefault="002E3AE7" w:rsidP="00112BA3">
            <w:pPr>
              <w:rPr>
                <w:i/>
                <w:color w:val="002060"/>
                <w:sz w:val="16"/>
                <w:szCs w:val="16"/>
              </w:rPr>
            </w:pPr>
            <w:r w:rsidRPr="00230C8F">
              <w:rPr>
                <w:i/>
                <w:color w:val="002060"/>
                <w:sz w:val="16"/>
                <w:szCs w:val="16"/>
              </w:rPr>
              <w:t xml:space="preserve">Referencia original en el presupuesto de 2016/17:  </w:t>
            </w:r>
          </w:p>
          <w:p w:rsidR="002E3AE7" w:rsidRPr="008E5E9C" w:rsidRDefault="002E3AE7" w:rsidP="00112BA3">
            <w:pPr>
              <w:rPr>
                <w:sz w:val="16"/>
                <w:szCs w:val="16"/>
              </w:rPr>
            </w:pPr>
            <w:r w:rsidRPr="00230C8F">
              <w:rPr>
                <w:color w:val="002060"/>
                <w:sz w:val="16"/>
                <w:szCs w:val="16"/>
              </w:rPr>
              <w:t>medio día (2014)</w:t>
            </w:r>
          </w:p>
        </w:tc>
        <w:tc>
          <w:tcPr>
            <w:tcW w:w="831" w:type="pct"/>
            <w:gridSpan w:val="2"/>
            <w:shd w:val="clear" w:color="auto" w:fill="auto"/>
            <w:tcMar>
              <w:top w:w="110" w:type="dxa"/>
              <w:left w:w="58" w:type="dxa"/>
              <w:right w:w="58" w:type="dxa"/>
            </w:tcMar>
          </w:tcPr>
          <w:p w:rsidR="002E3AE7" w:rsidRPr="008E5E9C" w:rsidRDefault="002E3AE7" w:rsidP="00112BA3">
            <w:pPr>
              <w:rPr>
                <w:sz w:val="16"/>
                <w:szCs w:val="16"/>
              </w:rPr>
            </w:pPr>
            <w:r w:rsidRPr="008E5E9C">
              <w:rPr>
                <w:sz w:val="16"/>
                <w:szCs w:val="16"/>
              </w:rPr>
              <w:t>Menos de medio día</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t>Menos de medio día</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b/>
                <w:sz w:val="16"/>
                <w:szCs w:val="16"/>
              </w:rPr>
            </w:pPr>
            <w:r w:rsidRPr="008E5E9C">
              <w:rPr>
                <w:b/>
                <w:color w:val="00B050"/>
                <w:sz w:val="16"/>
                <w:szCs w:val="16"/>
              </w:rPr>
              <w:t>Avanza</w:t>
            </w:r>
          </w:p>
        </w:tc>
      </w:tr>
      <w:tr w:rsidR="002E3AE7" w:rsidRPr="008E5E9C" w:rsidTr="003E0A02">
        <w:trPr>
          <w:trHeight w:val="576"/>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t>Tiempo de tramitación de visados</w:t>
            </w:r>
          </w:p>
        </w:tc>
        <w:tc>
          <w:tcPr>
            <w:tcW w:w="1222" w:type="pct"/>
            <w:shd w:val="clear" w:color="auto" w:fill="auto"/>
            <w:tcMar>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Referencia actualizada a fines de 2015.  </w:t>
            </w:r>
          </w:p>
          <w:p w:rsidR="002E3AE7" w:rsidRPr="00230C8F" w:rsidRDefault="002E3AE7" w:rsidP="00112BA3">
            <w:pPr>
              <w:rPr>
                <w:color w:val="002060"/>
                <w:sz w:val="16"/>
                <w:szCs w:val="16"/>
              </w:rPr>
            </w:pPr>
            <w:r w:rsidRPr="00230C8F">
              <w:rPr>
                <w:color w:val="002060"/>
                <w:sz w:val="16"/>
                <w:szCs w:val="16"/>
              </w:rPr>
              <w:t>Visados: &lt; 1 día</w:t>
            </w:r>
          </w:p>
          <w:p w:rsidR="002E3AE7" w:rsidRPr="008E5E9C" w:rsidRDefault="002E3AE7" w:rsidP="00112BA3">
            <w:pPr>
              <w:rPr>
                <w:sz w:val="16"/>
                <w:szCs w:val="16"/>
              </w:rPr>
            </w:pPr>
          </w:p>
          <w:p w:rsidR="002E3AE7" w:rsidRPr="008E5E9C" w:rsidRDefault="002E3AE7" w:rsidP="00112BA3">
            <w:pPr>
              <w:rPr>
                <w:i/>
                <w:sz w:val="16"/>
                <w:szCs w:val="16"/>
              </w:rPr>
            </w:pPr>
            <w:r w:rsidRPr="008E5E9C">
              <w:rPr>
                <w:i/>
                <w:sz w:val="16"/>
                <w:szCs w:val="16"/>
              </w:rPr>
              <w:t xml:space="preserve">Referencia original en el presupuesto de 2016/17:  </w:t>
            </w:r>
          </w:p>
          <w:p w:rsidR="002E3AE7" w:rsidRPr="008E5E9C" w:rsidRDefault="002E3AE7" w:rsidP="00112BA3">
            <w:pPr>
              <w:rPr>
                <w:i/>
                <w:sz w:val="16"/>
                <w:szCs w:val="16"/>
              </w:rPr>
            </w:pPr>
            <w:r w:rsidRPr="008E5E9C">
              <w:rPr>
                <w:sz w:val="16"/>
                <w:szCs w:val="16"/>
              </w:rPr>
              <w:t>menos de 1 día (2014)</w:t>
            </w:r>
          </w:p>
        </w:tc>
        <w:tc>
          <w:tcPr>
            <w:tcW w:w="831" w:type="pct"/>
            <w:gridSpan w:val="2"/>
            <w:shd w:val="clear" w:color="auto" w:fill="auto"/>
            <w:tcMar>
              <w:top w:w="110" w:type="dxa"/>
              <w:left w:w="58" w:type="dxa"/>
              <w:right w:w="58" w:type="dxa"/>
            </w:tcMar>
          </w:tcPr>
          <w:p w:rsidR="002E3AE7" w:rsidRPr="008E5E9C" w:rsidRDefault="002E3AE7" w:rsidP="00112BA3">
            <w:pPr>
              <w:rPr>
                <w:sz w:val="16"/>
                <w:szCs w:val="16"/>
              </w:rPr>
            </w:pPr>
            <w:r w:rsidRPr="008E5E9C">
              <w:rPr>
                <w:sz w:val="16"/>
                <w:szCs w:val="16"/>
              </w:rPr>
              <w:t>Menos de 1 día</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t>Menos de 1 día</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sz w:val="16"/>
                <w:szCs w:val="16"/>
              </w:rPr>
            </w:pPr>
            <w:r w:rsidRPr="008E5E9C">
              <w:rPr>
                <w:b/>
                <w:color w:val="00B050"/>
                <w:sz w:val="16"/>
                <w:szCs w:val="16"/>
              </w:rPr>
              <w:t>Avanza</w:t>
            </w:r>
          </w:p>
        </w:tc>
      </w:tr>
      <w:tr w:rsidR="002E3AE7" w:rsidRPr="008E5E9C" w:rsidTr="00505F44">
        <w:trPr>
          <w:trHeight w:val="1541"/>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t xml:space="preserve">Precio promedio del billete según la </w:t>
            </w:r>
            <w:r w:rsidR="00D01136">
              <w:rPr>
                <w:sz w:val="16"/>
                <w:szCs w:val="16"/>
              </w:rPr>
              <w:t>EGV</w:t>
            </w:r>
            <w:r w:rsidR="00D01136">
              <w:rPr>
                <w:rStyle w:val="FootnoteReference"/>
                <w:sz w:val="16"/>
                <w:szCs w:val="16"/>
              </w:rPr>
              <w:footnoteReference w:id="93"/>
            </w:r>
          </w:p>
        </w:tc>
        <w:tc>
          <w:tcPr>
            <w:tcW w:w="1222" w:type="pct"/>
            <w:shd w:val="clear" w:color="auto" w:fill="auto"/>
            <w:tcMar>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Referencia actualizada a fines de 2015.  </w:t>
            </w:r>
          </w:p>
          <w:p w:rsidR="002E3AE7" w:rsidRPr="00230C8F" w:rsidRDefault="002E3AE7" w:rsidP="00112BA3">
            <w:pPr>
              <w:rPr>
                <w:color w:val="002060"/>
                <w:sz w:val="16"/>
                <w:szCs w:val="16"/>
              </w:rPr>
            </w:pPr>
            <w:r w:rsidRPr="00230C8F">
              <w:rPr>
                <w:color w:val="002060"/>
                <w:sz w:val="16"/>
                <w:szCs w:val="16"/>
              </w:rPr>
              <w:t xml:space="preserve">1.606 CHF </w:t>
            </w:r>
          </w:p>
          <w:p w:rsidR="002E3AE7" w:rsidRPr="008E5E9C" w:rsidRDefault="002E3AE7" w:rsidP="00112BA3">
            <w:pPr>
              <w:rPr>
                <w:i/>
                <w:sz w:val="16"/>
                <w:szCs w:val="16"/>
              </w:rPr>
            </w:pPr>
          </w:p>
          <w:p w:rsidR="002E3AE7" w:rsidRPr="008E5E9C" w:rsidRDefault="002E3AE7" w:rsidP="00112BA3">
            <w:pPr>
              <w:rPr>
                <w:i/>
                <w:sz w:val="16"/>
                <w:szCs w:val="16"/>
              </w:rPr>
            </w:pPr>
            <w:r w:rsidRPr="008E5E9C">
              <w:rPr>
                <w:i/>
                <w:sz w:val="16"/>
                <w:szCs w:val="16"/>
              </w:rPr>
              <w:t>Referencia original en el presupuesto de 2016/17:</w:t>
            </w:r>
            <w:r w:rsidRPr="008E5E9C">
              <w:rPr>
                <w:i/>
                <w:sz w:val="16"/>
                <w:szCs w:val="16"/>
              </w:rPr>
              <w:br/>
            </w:r>
            <w:r w:rsidRPr="008E5E9C">
              <w:rPr>
                <w:sz w:val="16"/>
                <w:szCs w:val="16"/>
              </w:rPr>
              <w:t>1.850 CHF (dic. de 2014)</w:t>
            </w:r>
          </w:p>
        </w:tc>
        <w:tc>
          <w:tcPr>
            <w:tcW w:w="831" w:type="pct"/>
            <w:gridSpan w:val="2"/>
            <w:shd w:val="clear" w:color="auto" w:fill="auto"/>
            <w:tcMar>
              <w:top w:w="110" w:type="dxa"/>
              <w:left w:w="58" w:type="dxa"/>
              <w:right w:w="58" w:type="dxa"/>
            </w:tcMar>
          </w:tcPr>
          <w:p w:rsidR="002E3AE7" w:rsidRPr="00230C8F" w:rsidRDefault="002E3AE7" w:rsidP="00112BA3">
            <w:pPr>
              <w:rPr>
                <w:color w:val="002060"/>
                <w:sz w:val="16"/>
                <w:szCs w:val="16"/>
              </w:rPr>
            </w:pPr>
            <w:r w:rsidRPr="00230C8F">
              <w:rPr>
                <w:i/>
                <w:color w:val="002060"/>
                <w:sz w:val="16"/>
                <w:szCs w:val="16"/>
              </w:rPr>
              <w:t xml:space="preserve">Objetivo actualizado:  </w:t>
            </w:r>
          </w:p>
          <w:p w:rsidR="002E3AE7" w:rsidRPr="00230C8F" w:rsidRDefault="002E3AE7" w:rsidP="00112BA3">
            <w:pPr>
              <w:rPr>
                <w:color w:val="002060"/>
                <w:sz w:val="16"/>
                <w:szCs w:val="16"/>
              </w:rPr>
            </w:pPr>
            <w:r w:rsidRPr="00230C8F">
              <w:rPr>
                <w:color w:val="002060"/>
                <w:sz w:val="16"/>
                <w:szCs w:val="16"/>
              </w:rPr>
              <w:t>≤ 1.606 CHF</w:t>
            </w:r>
          </w:p>
          <w:p w:rsidR="002E3AE7" w:rsidRPr="008E5E9C" w:rsidRDefault="002E3AE7" w:rsidP="00112BA3">
            <w:pPr>
              <w:rPr>
                <w:sz w:val="16"/>
                <w:szCs w:val="16"/>
              </w:rPr>
            </w:pPr>
          </w:p>
          <w:p w:rsidR="002E3AE7" w:rsidRPr="008E5E9C" w:rsidRDefault="002E3AE7" w:rsidP="00112BA3">
            <w:pPr>
              <w:rPr>
                <w:i/>
                <w:sz w:val="16"/>
                <w:szCs w:val="16"/>
                <w:lang w:bidi="th-TH"/>
              </w:rPr>
            </w:pPr>
            <w:r w:rsidRPr="008E5E9C">
              <w:rPr>
                <w:i/>
                <w:sz w:val="16"/>
                <w:szCs w:val="16"/>
                <w:lang w:bidi="th-TH"/>
              </w:rPr>
              <w:t xml:space="preserve">Objetivo original en el presupuesto 2016/17:  </w:t>
            </w:r>
          </w:p>
          <w:p w:rsidR="002E3AE7" w:rsidRPr="008E5E9C" w:rsidRDefault="002E3AE7" w:rsidP="00112BA3">
            <w:pPr>
              <w:rPr>
                <w:sz w:val="16"/>
                <w:szCs w:val="16"/>
              </w:rPr>
            </w:pPr>
            <w:r w:rsidRPr="008E5E9C">
              <w:rPr>
                <w:sz w:val="16"/>
                <w:szCs w:val="16"/>
              </w:rPr>
              <w:t>≤ 1.850 CHF</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t>1.374 CHF</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sz w:val="16"/>
                <w:szCs w:val="16"/>
              </w:rPr>
            </w:pPr>
            <w:r w:rsidRPr="008E5E9C">
              <w:rPr>
                <w:b/>
                <w:color w:val="00B050"/>
                <w:sz w:val="16"/>
                <w:szCs w:val="16"/>
              </w:rPr>
              <w:t>Avanza</w:t>
            </w:r>
          </w:p>
        </w:tc>
      </w:tr>
      <w:tr w:rsidR="002E3AE7" w:rsidRPr="008E5E9C" w:rsidTr="003E0A02">
        <w:trPr>
          <w:trHeight w:val="1262"/>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t>Precio global promedio del billete</w:t>
            </w:r>
          </w:p>
        </w:tc>
        <w:tc>
          <w:tcPr>
            <w:tcW w:w="1222" w:type="pct"/>
            <w:shd w:val="clear" w:color="auto" w:fill="auto"/>
            <w:tcMar>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Referencia actualizada a fines de 2015.  </w:t>
            </w:r>
          </w:p>
          <w:p w:rsidR="002E3AE7" w:rsidRPr="00230C8F" w:rsidRDefault="002E3AE7" w:rsidP="00112BA3">
            <w:pPr>
              <w:rPr>
                <w:color w:val="002060"/>
                <w:sz w:val="16"/>
                <w:szCs w:val="16"/>
                <w:lang w:bidi="th-TH"/>
              </w:rPr>
            </w:pPr>
            <w:r w:rsidRPr="00230C8F">
              <w:rPr>
                <w:color w:val="002060"/>
                <w:sz w:val="16"/>
                <w:szCs w:val="16"/>
                <w:lang w:bidi="th-TH"/>
              </w:rPr>
              <w:t xml:space="preserve">1.481 CHF </w:t>
            </w:r>
          </w:p>
          <w:p w:rsidR="002E3AE7" w:rsidRPr="008E5E9C" w:rsidRDefault="002E3AE7" w:rsidP="00112BA3">
            <w:pPr>
              <w:rPr>
                <w:sz w:val="16"/>
                <w:szCs w:val="16"/>
              </w:rPr>
            </w:pPr>
          </w:p>
          <w:p w:rsidR="002E3AE7" w:rsidRPr="008E5E9C" w:rsidRDefault="002E3AE7" w:rsidP="00112BA3">
            <w:pPr>
              <w:rPr>
                <w:i/>
                <w:sz w:val="16"/>
                <w:szCs w:val="16"/>
              </w:rPr>
            </w:pPr>
            <w:r w:rsidRPr="008E5E9C">
              <w:rPr>
                <w:i/>
                <w:sz w:val="16"/>
                <w:szCs w:val="16"/>
              </w:rPr>
              <w:t xml:space="preserve">Referencia original en el presupuesto de 2016/17:  </w:t>
            </w:r>
          </w:p>
          <w:p w:rsidR="002E3AE7" w:rsidRPr="008E5E9C" w:rsidRDefault="002E3AE7" w:rsidP="00112BA3">
            <w:pPr>
              <w:rPr>
                <w:i/>
                <w:sz w:val="16"/>
                <w:szCs w:val="16"/>
              </w:rPr>
            </w:pPr>
            <w:r w:rsidRPr="008E5E9C">
              <w:rPr>
                <w:sz w:val="16"/>
                <w:szCs w:val="16"/>
              </w:rPr>
              <w:t>1.600 CHF (dic. de 2014)</w:t>
            </w:r>
          </w:p>
        </w:tc>
        <w:tc>
          <w:tcPr>
            <w:tcW w:w="831" w:type="pct"/>
            <w:gridSpan w:val="2"/>
            <w:shd w:val="clear" w:color="auto" w:fill="auto"/>
            <w:tcMar>
              <w:top w:w="110" w:type="dxa"/>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Objetivo actualizado:  </w:t>
            </w:r>
          </w:p>
          <w:p w:rsidR="002E3AE7" w:rsidRPr="00230C8F" w:rsidRDefault="002E3AE7" w:rsidP="00112BA3">
            <w:pPr>
              <w:rPr>
                <w:color w:val="002060"/>
                <w:sz w:val="16"/>
                <w:szCs w:val="16"/>
              </w:rPr>
            </w:pPr>
            <w:r w:rsidRPr="00230C8F">
              <w:rPr>
                <w:color w:val="002060"/>
                <w:sz w:val="16"/>
                <w:szCs w:val="16"/>
              </w:rPr>
              <w:t>≤ 1.481 CHF</w:t>
            </w:r>
          </w:p>
          <w:p w:rsidR="002E3AE7" w:rsidRPr="008E5E9C" w:rsidRDefault="002E3AE7" w:rsidP="00112BA3">
            <w:pPr>
              <w:rPr>
                <w:sz w:val="16"/>
                <w:szCs w:val="16"/>
              </w:rPr>
            </w:pPr>
          </w:p>
          <w:p w:rsidR="002E3AE7" w:rsidRPr="008E5E9C" w:rsidRDefault="002E3AE7" w:rsidP="00112BA3">
            <w:pPr>
              <w:rPr>
                <w:i/>
                <w:sz w:val="16"/>
                <w:szCs w:val="16"/>
                <w:lang w:bidi="th-TH"/>
              </w:rPr>
            </w:pPr>
            <w:r w:rsidRPr="008E5E9C">
              <w:rPr>
                <w:i/>
                <w:sz w:val="16"/>
                <w:szCs w:val="16"/>
                <w:lang w:bidi="th-TH"/>
              </w:rPr>
              <w:t xml:space="preserve">Objetivo original en el presupuesto 2016/17:  </w:t>
            </w:r>
          </w:p>
          <w:p w:rsidR="002E3AE7" w:rsidRPr="008E5E9C" w:rsidRDefault="002E3AE7" w:rsidP="00112BA3">
            <w:pPr>
              <w:rPr>
                <w:sz w:val="16"/>
                <w:szCs w:val="16"/>
              </w:rPr>
            </w:pPr>
            <w:r w:rsidRPr="008E5E9C">
              <w:rPr>
                <w:sz w:val="16"/>
                <w:szCs w:val="16"/>
              </w:rPr>
              <w:t xml:space="preserve">≤ 1.600 CHF </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t>1.315 CHF</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sz w:val="16"/>
                <w:szCs w:val="16"/>
              </w:rPr>
            </w:pPr>
            <w:r w:rsidRPr="008E5E9C">
              <w:rPr>
                <w:b/>
                <w:color w:val="00B050"/>
                <w:sz w:val="16"/>
                <w:szCs w:val="16"/>
              </w:rPr>
              <w:t>Avanza</w:t>
            </w:r>
          </w:p>
        </w:tc>
      </w:tr>
      <w:tr w:rsidR="002E3AE7" w:rsidRPr="008E5E9C" w:rsidTr="00112BA3">
        <w:trPr>
          <w:trHeight w:val="1148"/>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t>Promedio de la tasa de servicio</w:t>
            </w:r>
          </w:p>
        </w:tc>
        <w:tc>
          <w:tcPr>
            <w:tcW w:w="1222" w:type="pct"/>
            <w:shd w:val="clear" w:color="auto" w:fill="auto"/>
            <w:tcMar>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Referencia actualizada a fines de 2015:  </w:t>
            </w:r>
          </w:p>
          <w:p w:rsidR="002E3AE7" w:rsidRPr="00230C8F" w:rsidRDefault="002E3AE7" w:rsidP="00112BA3">
            <w:pPr>
              <w:rPr>
                <w:color w:val="002060"/>
                <w:sz w:val="16"/>
                <w:szCs w:val="16"/>
              </w:rPr>
            </w:pPr>
            <w:r w:rsidRPr="00230C8F">
              <w:rPr>
                <w:color w:val="002060"/>
                <w:sz w:val="16"/>
                <w:szCs w:val="16"/>
              </w:rPr>
              <w:t>95 CHF</w:t>
            </w:r>
          </w:p>
          <w:p w:rsidR="002E3AE7" w:rsidRPr="008E5E9C" w:rsidRDefault="002E3AE7" w:rsidP="00112BA3">
            <w:pPr>
              <w:rPr>
                <w:sz w:val="16"/>
                <w:szCs w:val="16"/>
              </w:rPr>
            </w:pPr>
          </w:p>
          <w:p w:rsidR="002E3AE7" w:rsidRPr="008E5E9C" w:rsidRDefault="002E3AE7" w:rsidP="00112BA3">
            <w:pPr>
              <w:rPr>
                <w:i/>
                <w:sz w:val="16"/>
                <w:szCs w:val="16"/>
              </w:rPr>
            </w:pPr>
            <w:r w:rsidRPr="008E5E9C">
              <w:rPr>
                <w:i/>
                <w:sz w:val="16"/>
                <w:szCs w:val="16"/>
              </w:rPr>
              <w:t xml:space="preserve">Referencia original en el presupuesto de 2016/17:  </w:t>
            </w:r>
          </w:p>
          <w:p w:rsidR="002E3AE7" w:rsidRPr="008E5E9C" w:rsidRDefault="002E3AE7" w:rsidP="00112BA3">
            <w:pPr>
              <w:rPr>
                <w:i/>
                <w:sz w:val="16"/>
                <w:szCs w:val="16"/>
              </w:rPr>
            </w:pPr>
            <w:r w:rsidRPr="008E5E9C">
              <w:rPr>
                <w:sz w:val="16"/>
                <w:szCs w:val="16"/>
              </w:rPr>
              <w:t>118 CHF (a final de 2014)</w:t>
            </w:r>
          </w:p>
        </w:tc>
        <w:tc>
          <w:tcPr>
            <w:tcW w:w="831" w:type="pct"/>
            <w:gridSpan w:val="2"/>
            <w:shd w:val="clear" w:color="auto" w:fill="auto"/>
            <w:tcMar>
              <w:top w:w="110" w:type="dxa"/>
              <w:left w:w="58" w:type="dxa"/>
              <w:right w:w="58" w:type="dxa"/>
            </w:tcMar>
          </w:tcPr>
          <w:p w:rsidR="002E3AE7" w:rsidRPr="008E5E9C" w:rsidRDefault="002E3AE7" w:rsidP="00112BA3">
            <w:pPr>
              <w:rPr>
                <w:sz w:val="16"/>
                <w:szCs w:val="16"/>
              </w:rPr>
            </w:pPr>
            <w:r w:rsidRPr="008E5E9C">
              <w:rPr>
                <w:sz w:val="16"/>
                <w:szCs w:val="16"/>
              </w:rPr>
              <w:t>&lt; 100 CHF</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t>92 CHF</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sz w:val="16"/>
                <w:szCs w:val="16"/>
              </w:rPr>
            </w:pPr>
            <w:r w:rsidRPr="008E5E9C">
              <w:rPr>
                <w:b/>
                <w:color w:val="00B050"/>
                <w:sz w:val="16"/>
                <w:szCs w:val="16"/>
              </w:rPr>
              <w:t>Avanza</w:t>
            </w:r>
          </w:p>
        </w:tc>
      </w:tr>
      <w:tr w:rsidR="002E3AE7" w:rsidRPr="008E5E9C" w:rsidTr="003E0A02">
        <w:trPr>
          <w:trHeight w:val="1885"/>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t>Los locales y las instalaciones de la OMPI siguen sirviendo a los fines establecidos</w:t>
            </w:r>
          </w:p>
        </w:tc>
        <w:tc>
          <w:tcPr>
            <w:tcW w:w="1222" w:type="pct"/>
            <w:shd w:val="clear" w:color="auto" w:fill="auto"/>
            <w:tcMar>
              <w:left w:w="58" w:type="dxa"/>
              <w:right w:w="58" w:type="dxa"/>
            </w:tcMar>
          </w:tcPr>
          <w:p w:rsidR="002E3AE7" w:rsidRPr="008E5E9C" w:rsidRDefault="002E3AE7" w:rsidP="00112BA3">
            <w:pPr>
              <w:rPr>
                <w:sz w:val="16"/>
                <w:szCs w:val="16"/>
              </w:rPr>
            </w:pPr>
            <w:r w:rsidRPr="008E5E9C">
              <w:rPr>
                <w:sz w:val="16"/>
                <w:szCs w:val="16"/>
              </w:rPr>
              <w:t>El funcionamiento de las instalaciones técnicas (electricidad, agua, calefacción, refrigeración, ventilación) queda interrumpido y afecta a las principales actividades de la OMPI un día laborable al año como máximo</w:t>
            </w:r>
          </w:p>
        </w:tc>
        <w:tc>
          <w:tcPr>
            <w:tcW w:w="831" w:type="pct"/>
            <w:gridSpan w:val="2"/>
            <w:shd w:val="clear" w:color="auto" w:fill="auto"/>
            <w:tcMar>
              <w:top w:w="110" w:type="dxa"/>
              <w:left w:w="58" w:type="dxa"/>
              <w:right w:w="58" w:type="dxa"/>
            </w:tcMar>
          </w:tcPr>
          <w:p w:rsidR="002E3AE7" w:rsidRPr="008E5E9C" w:rsidRDefault="002E3AE7" w:rsidP="00112BA3">
            <w:pPr>
              <w:rPr>
                <w:sz w:val="16"/>
                <w:szCs w:val="16"/>
              </w:rPr>
            </w:pPr>
            <w:r w:rsidRPr="008E5E9C">
              <w:rPr>
                <w:sz w:val="16"/>
                <w:szCs w:val="16"/>
              </w:rPr>
              <w:t>El funcionamiento de las instalaciones técnicas (electricidad, agua, calefacción, refrigeración, ventilación) sigue quedando interrumpido y afectando a las principales actividades de la OMPI un día laborable al año como máximo</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t xml:space="preserve">Cero días laborables con interrupción del funcionamiento de las instalaciones técnicas que afecta a las principales actividades de la OMPI </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sz w:val="16"/>
                <w:szCs w:val="16"/>
              </w:rPr>
            </w:pPr>
            <w:r w:rsidRPr="008E5E9C">
              <w:rPr>
                <w:b/>
                <w:color w:val="00B050"/>
                <w:sz w:val="16"/>
                <w:szCs w:val="16"/>
              </w:rPr>
              <w:t>Avanza</w:t>
            </w:r>
          </w:p>
        </w:tc>
      </w:tr>
      <w:tr w:rsidR="002E3AE7" w:rsidRPr="008E5E9C" w:rsidTr="003E0A02">
        <w:trPr>
          <w:trHeight w:val="301"/>
        </w:trPr>
        <w:tc>
          <w:tcPr>
            <w:tcW w:w="1148" w:type="pct"/>
            <w:gridSpan w:val="2"/>
            <w:shd w:val="clear" w:color="auto" w:fill="auto"/>
            <w:tcMar>
              <w:left w:w="58" w:type="dxa"/>
              <w:right w:w="58" w:type="dxa"/>
            </w:tcMar>
          </w:tcPr>
          <w:p w:rsidR="002E3AE7" w:rsidRPr="008E5E9C" w:rsidRDefault="002E3AE7" w:rsidP="00112BA3">
            <w:pPr>
              <w:rPr>
                <w:sz w:val="16"/>
                <w:szCs w:val="16"/>
              </w:rPr>
            </w:pPr>
            <w:r w:rsidRPr="008E5E9C">
              <w:rPr>
                <w:sz w:val="16"/>
                <w:szCs w:val="16"/>
              </w:rPr>
              <w:t>Utilización y ocupación óptimas de los locales y de todo tipo de espacio de la OMPI</w:t>
            </w:r>
          </w:p>
        </w:tc>
        <w:tc>
          <w:tcPr>
            <w:tcW w:w="1222" w:type="pct"/>
            <w:shd w:val="clear" w:color="auto" w:fill="auto"/>
            <w:tcMar>
              <w:left w:w="58" w:type="dxa"/>
              <w:right w:w="58" w:type="dxa"/>
            </w:tcMar>
          </w:tcPr>
          <w:p w:rsidR="002E3AE7" w:rsidRPr="008E5E9C" w:rsidRDefault="002E3AE7" w:rsidP="00112BA3">
            <w:pPr>
              <w:rPr>
                <w:sz w:val="16"/>
                <w:szCs w:val="16"/>
              </w:rPr>
            </w:pPr>
            <w:r w:rsidRPr="008E5E9C">
              <w:rPr>
                <w:sz w:val="16"/>
                <w:szCs w:val="16"/>
              </w:rPr>
              <w:t>80 espacios de trabajo alquilados, 5 áreas de almacenamiento y archivo fuera del recinto</w:t>
            </w:r>
          </w:p>
        </w:tc>
        <w:tc>
          <w:tcPr>
            <w:tcW w:w="831" w:type="pct"/>
            <w:gridSpan w:val="2"/>
            <w:shd w:val="clear" w:color="auto" w:fill="auto"/>
            <w:tcMar>
              <w:top w:w="110" w:type="dxa"/>
              <w:left w:w="58" w:type="dxa"/>
              <w:right w:w="58" w:type="dxa"/>
            </w:tcMar>
          </w:tcPr>
          <w:p w:rsidR="002E3AE7" w:rsidRPr="00230C8F" w:rsidRDefault="002E3AE7" w:rsidP="00112BA3">
            <w:pPr>
              <w:rPr>
                <w:i/>
                <w:color w:val="002060"/>
                <w:sz w:val="16"/>
                <w:szCs w:val="16"/>
              </w:rPr>
            </w:pPr>
            <w:r w:rsidRPr="00230C8F">
              <w:rPr>
                <w:i/>
                <w:color w:val="002060"/>
                <w:sz w:val="16"/>
                <w:szCs w:val="16"/>
              </w:rPr>
              <w:t xml:space="preserve">Objetivo actualizado:  </w:t>
            </w:r>
          </w:p>
          <w:p w:rsidR="002E3AE7" w:rsidRPr="00230C8F" w:rsidRDefault="002E3AE7" w:rsidP="00112BA3">
            <w:pPr>
              <w:rPr>
                <w:color w:val="002060"/>
                <w:sz w:val="16"/>
                <w:szCs w:val="16"/>
              </w:rPr>
            </w:pPr>
            <w:r w:rsidRPr="00230C8F">
              <w:rPr>
                <w:color w:val="002060"/>
                <w:sz w:val="16"/>
                <w:szCs w:val="16"/>
              </w:rPr>
              <w:t>80 espacios de trabajo alquilados, 4 áreas de almacenamiento y archivo fuera del recinto</w:t>
            </w:r>
          </w:p>
          <w:p w:rsidR="002E3AE7" w:rsidRPr="008E5E9C" w:rsidRDefault="002E3AE7" w:rsidP="00112BA3">
            <w:pPr>
              <w:rPr>
                <w:i/>
                <w:sz w:val="16"/>
                <w:szCs w:val="16"/>
                <w:lang w:bidi="th-TH"/>
              </w:rPr>
            </w:pPr>
            <w:r w:rsidRPr="008E5E9C">
              <w:rPr>
                <w:i/>
                <w:sz w:val="16"/>
                <w:szCs w:val="16"/>
                <w:lang w:bidi="th-TH"/>
              </w:rPr>
              <w:lastRenderedPageBreak/>
              <w:t xml:space="preserve">Objetivo original en el presupuesto 2016/17:  </w:t>
            </w:r>
          </w:p>
          <w:p w:rsidR="002E3AE7" w:rsidRPr="008E5E9C" w:rsidRDefault="002E3AE7" w:rsidP="00112BA3">
            <w:pPr>
              <w:rPr>
                <w:sz w:val="16"/>
                <w:szCs w:val="16"/>
              </w:rPr>
            </w:pPr>
            <w:r w:rsidRPr="008E5E9C">
              <w:rPr>
                <w:sz w:val="16"/>
                <w:szCs w:val="16"/>
              </w:rPr>
              <w:t>80 espacios de trabajo alquilados, 5 áreas de almacenamiento y archivo fuera del recinto</w:t>
            </w:r>
          </w:p>
        </w:tc>
        <w:tc>
          <w:tcPr>
            <w:tcW w:w="1269" w:type="pct"/>
            <w:gridSpan w:val="2"/>
            <w:shd w:val="clear" w:color="auto" w:fill="FFFFFF"/>
            <w:tcMar>
              <w:top w:w="110" w:type="dxa"/>
              <w:left w:w="58" w:type="dxa"/>
              <w:right w:w="58" w:type="dxa"/>
            </w:tcMar>
          </w:tcPr>
          <w:p w:rsidR="002E3AE7" w:rsidRPr="008E5E9C" w:rsidRDefault="002E3AE7" w:rsidP="00112BA3">
            <w:pPr>
              <w:keepNext/>
              <w:keepLines/>
              <w:rPr>
                <w:sz w:val="16"/>
                <w:szCs w:val="16"/>
              </w:rPr>
            </w:pPr>
            <w:r w:rsidRPr="008E5E9C">
              <w:rPr>
                <w:sz w:val="16"/>
                <w:szCs w:val="16"/>
              </w:rPr>
              <w:lastRenderedPageBreak/>
              <w:t>Se han mantenido 80 espacios de trabajo alquilados;  4 áreas de almacenamiento y archivo fuera del recinto (1 menos que a fines de 2015)</w:t>
            </w:r>
          </w:p>
        </w:tc>
        <w:tc>
          <w:tcPr>
            <w:tcW w:w="530" w:type="pct"/>
            <w:gridSpan w:val="2"/>
            <w:shd w:val="clear" w:color="auto" w:fill="auto"/>
            <w:tcMar>
              <w:top w:w="110" w:type="dxa"/>
              <w:left w:w="58" w:type="dxa"/>
              <w:right w:w="58" w:type="dxa"/>
            </w:tcMar>
          </w:tcPr>
          <w:p w:rsidR="002E3AE7" w:rsidRPr="008E5E9C" w:rsidRDefault="002E3AE7" w:rsidP="00112BA3">
            <w:pPr>
              <w:keepNext/>
              <w:keepLines/>
              <w:jc w:val="center"/>
              <w:rPr>
                <w:sz w:val="16"/>
                <w:szCs w:val="16"/>
              </w:rPr>
            </w:pPr>
            <w:r w:rsidRPr="008E5E9C">
              <w:rPr>
                <w:b/>
                <w:color w:val="00B050"/>
                <w:sz w:val="16"/>
                <w:szCs w:val="16"/>
              </w:rPr>
              <w:t>Avanza</w:t>
            </w:r>
          </w:p>
        </w:tc>
      </w:tr>
      <w:tr w:rsidR="002E3AE7" w:rsidRPr="008E5E9C" w:rsidTr="003E0A02">
        <w:trPr>
          <w:trHeight w:val="576"/>
        </w:trPr>
        <w:tc>
          <w:tcPr>
            <w:tcW w:w="1148" w:type="pct"/>
            <w:gridSpan w:val="2"/>
            <w:shd w:val="clear" w:color="auto" w:fill="auto"/>
            <w:tcMar>
              <w:left w:w="58" w:type="dxa"/>
              <w:right w:w="58" w:type="dxa"/>
            </w:tcMar>
          </w:tcPr>
          <w:p w:rsidR="002E3AE7" w:rsidRPr="008E5E9C" w:rsidRDefault="002E3AE7" w:rsidP="003E0A02">
            <w:pPr>
              <w:spacing w:after="60"/>
              <w:rPr>
                <w:sz w:val="16"/>
                <w:szCs w:val="16"/>
              </w:rPr>
            </w:pPr>
            <w:r w:rsidRPr="008E5E9C">
              <w:rPr>
                <w:sz w:val="16"/>
                <w:szCs w:val="16"/>
              </w:rPr>
              <w:lastRenderedPageBreak/>
              <w:t>% de artículos de alto valor (ej. &gt;5.000 francos suizos) inventariados</w:t>
            </w:r>
            <w:r w:rsidRPr="008E5E9C">
              <w:rPr>
                <w:rStyle w:val="FootnoteReference"/>
              </w:rPr>
              <w:footnoteReference w:id="94"/>
            </w:r>
          </w:p>
        </w:tc>
        <w:tc>
          <w:tcPr>
            <w:tcW w:w="1222" w:type="pct"/>
            <w:shd w:val="clear" w:color="auto" w:fill="auto"/>
            <w:tcMar>
              <w:left w:w="58" w:type="dxa"/>
              <w:right w:w="58" w:type="dxa"/>
            </w:tcMar>
          </w:tcPr>
          <w:p w:rsidR="002E3AE7" w:rsidRPr="008E5E9C" w:rsidRDefault="002E3AE7" w:rsidP="003E0A02">
            <w:pPr>
              <w:rPr>
                <w:i/>
                <w:sz w:val="16"/>
                <w:szCs w:val="16"/>
              </w:rPr>
            </w:pPr>
            <w:r w:rsidRPr="008E5E9C">
              <w:rPr>
                <w:sz w:val="16"/>
                <w:szCs w:val="16"/>
              </w:rPr>
              <w:t>95%</w:t>
            </w:r>
          </w:p>
        </w:tc>
        <w:tc>
          <w:tcPr>
            <w:tcW w:w="831" w:type="pct"/>
            <w:gridSpan w:val="2"/>
            <w:shd w:val="clear" w:color="auto" w:fill="auto"/>
            <w:tcMar>
              <w:top w:w="110" w:type="dxa"/>
              <w:left w:w="58" w:type="dxa"/>
              <w:right w:w="58" w:type="dxa"/>
            </w:tcMar>
          </w:tcPr>
          <w:p w:rsidR="002E3AE7" w:rsidRPr="008E5E9C" w:rsidRDefault="002E3AE7" w:rsidP="003E0A02">
            <w:pPr>
              <w:rPr>
                <w:sz w:val="16"/>
                <w:szCs w:val="16"/>
              </w:rPr>
            </w:pPr>
            <w:r w:rsidRPr="008E5E9C">
              <w:rPr>
                <w:sz w:val="16"/>
                <w:szCs w:val="16"/>
              </w:rPr>
              <w:t>Mantenerse en 95%</w:t>
            </w:r>
          </w:p>
        </w:tc>
        <w:tc>
          <w:tcPr>
            <w:tcW w:w="1269" w:type="pct"/>
            <w:gridSpan w:val="2"/>
            <w:shd w:val="clear" w:color="auto" w:fill="FFFFFF"/>
            <w:tcMar>
              <w:top w:w="110" w:type="dxa"/>
              <w:left w:w="58" w:type="dxa"/>
              <w:right w:w="58" w:type="dxa"/>
            </w:tcMar>
          </w:tcPr>
          <w:p w:rsidR="002E3AE7" w:rsidRPr="008E5E9C" w:rsidRDefault="002E3AE7" w:rsidP="003E0A02">
            <w:pPr>
              <w:keepNext/>
              <w:keepLines/>
              <w:rPr>
                <w:sz w:val="16"/>
                <w:szCs w:val="16"/>
              </w:rPr>
            </w:pPr>
            <w:r w:rsidRPr="008E5E9C">
              <w:rPr>
                <w:sz w:val="16"/>
                <w:szCs w:val="16"/>
              </w:rPr>
              <w:t xml:space="preserve">95% inventariado </w:t>
            </w:r>
          </w:p>
          <w:p w:rsidR="002E3AE7" w:rsidRPr="008E5E9C" w:rsidRDefault="002E3AE7" w:rsidP="003E0A02">
            <w:pPr>
              <w:keepNext/>
              <w:keepLines/>
              <w:rPr>
                <w:sz w:val="16"/>
                <w:szCs w:val="16"/>
              </w:rPr>
            </w:pPr>
          </w:p>
        </w:tc>
        <w:tc>
          <w:tcPr>
            <w:tcW w:w="530" w:type="pct"/>
            <w:gridSpan w:val="2"/>
            <w:shd w:val="clear" w:color="auto" w:fill="auto"/>
            <w:tcMar>
              <w:top w:w="110" w:type="dxa"/>
              <w:left w:w="58" w:type="dxa"/>
              <w:right w:w="58" w:type="dxa"/>
            </w:tcMar>
          </w:tcPr>
          <w:p w:rsidR="002E3AE7" w:rsidRPr="008E5E9C" w:rsidRDefault="002E3AE7" w:rsidP="003E0A02">
            <w:pPr>
              <w:keepNext/>
              <w:keepLines/>
              <w:jc w:val="center"/>
              <w:rPr>
                <w:sz w:val="16"/>
                <w:szCs w:val="16"/>
              </w:rPr>
            </w:pPr>
            <w:r w:rsidRPr="008E5E9C">
              <w:rPr>
                <w:b/>
                <w:color w:val="00B050"/>
                <w:sz w:val="16"/>
                <w:szCs w:val="16"/>
              </w:rPr>
              <w:t>Avanza</w:t>
            </w:r>
          </w:p>
        </w:tc>
      </w:tr>
      <w:tr w:rsidR="002E3AE7" w:rsidRPr="008E5E9C" w:rsidTr="003E0A02">
        <w:trPr>
          <w:trHeight w:val="401"/>
        </w:trPr>
        <w:tc>
          <w:tcPr>
            <w:tcW w:w="1148" w:type="pct"/>
            <w:gridSpan w:val="2"/>
            <w:shd w:val="clear" w:color="auto" w:fill="auto"/>
            <w:tcMar>
              <w:left w:w="58" w:type="dxa"/>
              <w:right w:w="58" w:type="dxa"/>
            </w:tcMar>
          </w:tcPr>
          <w:p w:rsidR="002E3AE7" w:rsidRPr="008E5E9C" w:rsidRDefault="002E3AE7" w:rsidP="003E0A02">
            <w:pPr>
              <w:spacing w:after="240"/>
              <w:rPr>
                <w:sz w:val="16"/>
                <w:szCs w:val="16"/>
              </w:rPr>
            </w:pPr>
            <w:r w:rsidRPr="008E5E9C">
              <w:rPr>
                <w:sz w:val="16"/>
                <w:szCs w:val="16"/>
              </w:rPr>
              <w:t>% de artículos con un valor de entre 1.000 y 5.000 francos suizos, obras de arte y artículos atractivos</w:t>
            </w:r>
          </w:p>
        </w:tc>
        <w:tc>
          <w:tcPr>
            <w:tcW w:w="1222" w:type="pct"/>
            <w:shd w:val="clear" w:color="auto" w:fill="auto"/>
            <w:tcMar>
              <w:left w:w="58" w:type="dxa"/>
              <w:right w:w="58" w:type="dxa"/>
            </w:tcMar>
          </w:tcPr>
          <w:p w:rsidR="002E3AE7" w:rsidRPr="008E5E9C" w:rsidRDefault="002E3AE7" w:rsidP="003E0A02">
            <w:pPr>
              <w:rPr>
                <w:sz w:val="16"/>
                <w:szCs w:val="16"/>
              </w:rPr>
            </w:pPr>
            <w:r w:rsidRPr="008E5E9C">
              <w:rPr>
                <w:sz w:val="16"/>
                <w:szCs w:val="16"/>
              </w:rPr>
              <w:t>n.d.</w:t>
            </w:r>
          </w:p>
        </w:tc>
        <w:tc>
          <w:tcPr>
            <w:tcW w:w="831" w:type="pct"/>
            <w:gridSpan w:val="2"/>
            <w:shd w:val="clear" w:color="auto" w:fill="auto"/>
            <w:tcMar>
              <w:top w:w="110" w:type="dxa"/>
              <w:left w:w="58" w:type="dxa"/>
              <w:right w:w="58" w:type="dxa"/>
            </w:tcMar>
          </w:tcPr>
          <w:p w:rsidR="002E3AE7" w:rsidRPr="008E5E9C" w:rsidRDefault="002E3AE7" w:rsidP="003E0A02">
            <w:pPr>
              <w:ind w:firstLine="57"/>
              <w:rPr>
                <w:sz w:val="16"/>
                <w:szCs w:val="16"/>
              </w:rPr>
            </w:pPr>
            <w:r w:rsidRPr="008E5E9C">
              <w:rPr>
                <w:sz w:val="16"/>
                <w:szCs w:val="16"/>
              </w:rPr>
              <w:t>90%</w:t>
            </w:r>
          </w:p>
        </w:tc>
        <w:tc>
          <w:tcPr>
            <w:tcW w:w="1269" w:type="pct"/>
            <w:gridSpan w:val="2"/>
            <w:shd w:val="clear" w:color="auto" w:fill="FFFFFF"/>
            <w:tcMar>
              <w:top w:w="110" w:type="dxa"/>
              <w:left w:w="58" w:type="dxa"/>
              <w:right w:w="58" w:type="dxa"/>
            </w:tcMar>
          </w:tcPr>
          <w:p w:rsidR="002E3AE7" w:rsidRPr="008E5E9C" w:rsidRDefault="002E3AE7" w:rsidP="003E0A02">
            <w:pPr>
              <w:keepNext/>
              <w:keepLines/>
              <w:rPr>
                <w:sz w:val="16"/>
                <w:szCs w:val="16"/>
              </w:rPr>
            </w:pPr>
            <w:r w:rsidRPr="008E5E9C">
              <w:rPr>
                <w:sz w:val="16"/>
                <w:szCs w:val="16"/>
              </w:rPr>
              <w:t>99% de obras de arte inventariadas</w:t>
            </w:r>
            <w:r w:rsidRPr="008E5E9C">
              <w:rPr>
                <w:rStyle w:val="FootnoteReference"/>
              </w:rPr>
              <w:footnoteReference w:id="95"/>
            </w:r>
            <w:r w:rsidRPr="008E5E9C">
              <w:rPr>
                <w:sz w:val="16"/>
                <w:szCs w:val="16"/>
              </w:rPr>
              <w:t xml:space="preserve">  </w:t>
            </w:r>
          </w:p>
          <w:p w:rsidR="002E3AE7" w:rsidRPr="008E5E9C" w:rsidRDefault="002E3AE7" w:rsidP="003E0A02">
            <w:pPr>
              <w:keepNext/>
              <w:keepLines/>
              <w:rPr>
                <w:sz w:val="16"/>
                <w:szCs w:val="16"/>
              </w:rPr>
            </w:pPr>
          </w:p>
          <w:p w:rsidR="002E3AE7" w:rsidRPr="008E5E9C" w:rsidRDefault="002E3AE7" w:rsidP="003E0A02">
            <w:pPr>
              <w:keepNext/>
              <w:keepLines/>
              <w:rPr>
                <w:sz w:val="16"/>
                <w:szCs w:val="16"/>
              </w:rPr>
            </w:pPr>
            <w:r w:rsidRPr="008E5E9C">
              <w:rPr>
                <w:sz w:val="16"/>
                <w:szCs w:val="16"/>
              </w:rPr>
              <w:t>En 2017 se hará el inventario de los artículos con un valor de entre 1.000 y 5.000 francos suizos</w:t>
            </w:r>
            <w:r w:rsidRPr="008E5E9C">
              <w:rPr>
                <w:rStyle w:val="FootnoteReference"/>
              </w:rPr>
              <w:footnoteReference w:id="96"/>
            </w:r>
          </w:p>
        </w:tc>
        <w:tc>
          <w:tcPr>
            <w:tcW w:w="530" w:type="pct"/>
            <w:gridSpan w:val="2"/>
            <w:shd w:val="clear" w:color="auto" w:fill="auto"/>
            <w:tcMar>
              <w:top w:w="110" w:type="dxa"/>
              <w:left w:w="58" w:type="dxa"/>
              <w:right w:w="58" w:type="dxa"/>
            </w:tcMar>
          </w:tcPr>
          <w:p w:rsidR="002E3AE7" w:rsidRPr="008E5E9C" w:rsidRDefault="002E3AE7" w:rsidP="003E0A02">
            <w:pPr>
              <w:keepNext/>
              <w:keepLines/>
              <w:jc w:val="center"/>
              <w:rPr>
                <w:b/>
                <w:sz w:val="16"/>
                <w:szCs w:val="16"/>
              </w:rPr>
            </w:pPr>
            <w:r w:rsidRPr="008E5E9C">
              <w:rPr>
                <w:b/>
                <w:color w:val="00B050"/>
                <w:sz w:val="16"/>
                <w:szCs w:val="16"/>
              </w:rPr>
              <w:t>Avanza</w:t>
            </w: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r w:rsidRPr="008E5E9C">
              <w:rPr>
                <w:b/>
                <w:color w:val="0070C0"/>
                <w:sz w:val="16"/>
                <w:szCs w:val="16"/>
              </w:rPr>
              <w:t>No disponible en 2016</w:t>
            </w:r>
          </w:p>
          <w:p w:rsidR="002E3AE7" w:rsidRPr="008E5E9C" w:rsidRDefault="002E3AE7" w:rsidP="003E0A02">
            <w:pPr>
              <w:keepNext/>
              <w:keepLines/>
              <w:jc w:val="center"/>
              <w:rPr>
                <w:sz w:val="16"/>
                <w:szCs w:val="16"/>
              </w:rPr>
            </w:pPr>
          </w:p>
        </w:tc>
      </w:tr>
      <w:tr w:rsidR="002E3AE7" w:rsidRPr="008E5E9C" w:rsidTr="003E0A02">
        <w:trPr>
          <w:trHeight w:val="565"/>
        </w:trPr>
        <w:tc>
          <w:tcPr>
            <w:tcW w:w="5000" w:type="pct"/>
            <w:gridSpan w:val="9"/>
            <w:shd w:val="clear" w:color="auto" w:fill="C6D9F1" w:themeFill="text2" w:themeFillTint="33"/>
            <w:tcMar>
              <w:left w:w="58" w:type="dxa"/>
              <w:right w:w="58" w:type="dxa"/>
            </w:tcMar>
            <w:vAlign w:val="center"/>
          </w:tcPr>
          <w:p w:rsidR="002E3AE7" w:rsidRPr="008E5E9C" w:rsidRDefault="002E3AE7" w:rsidP="003E0A02">
            <w:pPr>
              <w:keepNext/>
              <w:keepLines/>
              <w:tabs>
                <w:tab w:val="left" w:pos="1452"/>
              </w:tabs>
              <w:ind w:left="1701" w:hanging="1701"/>
              <w:rPr>
                <w:b/>
                <w:bCs/>
                <w:sz w:val="16"/>
                <w:szCs w:val="16"/>
              </w:rPr>
            </w:pPr>
            <w:r w:rsidRPr="008E5E9C">
              <w:rPr>
                <w:b/>
                <w:bCs/>
                <w:sz w:val="16"/>
                <w:szCs w:val="16"/>
              </w:rPr>
              <w:t>Resultado previsto:</w:t>
            </w:r>
            <w:r w:rsidRPr="008E5E9C">
              <w:rPr>
                <w:b/>
                <w:bCs/>
                <w:sz w:val="16"/>
                <w:szCs w:val="16"/>
              </w:rPr>
              <w:tab/>
            </w:r>
            <w:r w:rsidRPr="008E5E9C">
              <w:rPr>
                <w:bCs/>
                <w:sz w:val="16"/>
                <w:szCs w:val="16"/>
              </w:rPr>
              <w:t>IX.4  Una Organización responsable con el medio ambiente y la sociedad en la que se garantiza la seguridad del personal de la OMPI, los delegados, los visitantes, la información y los activos físicos</w:t>
            </w:r>
          </w:p>
        </w:tc>
      </w:tr>
      <w:tr w:rsidR="002E3AE7" w:rsidRPr="008E5E9C" w:rsidTr="003E0A02">
        <w:tc>
          <w:tcPr>
            <w:tcW w:w="1077" w:type="pct"/>
            <w:shd w:val="clear" w:color="auto" w:fill="auto"/>
            <w:tcMar>
              <w:left w:w="58" w:type="dxa"/>
              <w:right w:w="58" w:type="dxa"/>
            </w:tcMar>
            <w:vAlign w:val="center"/>
          </w:tcPr>
          <w:p w:rsidR="002E3AE7" w:rsidRPr="008E5E9C" w:rsidRDefault="002E3AE7" w:rsidP="003E0A02">
            <w:pPr>
              <w:rPr>
                <w:b/>
                <w:bCs/>
                <w:sz w:val="16"/>
                <w:szCs w:val="16"/>
              </w:rPr>
            </w:pPr>
            <w:r w:rsidRPr="008E5E9C">
              <w:rPr>
                <w:b/>
                <w:bCs/>
                <w:sz w:val="16"/>
                <w:szCs w:val="16"/>
              </w:rPr>
              <w:t>Indicadores de rendimiento</w:t>
            </w:r>
          </w:p>
        </w:tc>
        <w:tc>
          <w:tcPr>
            <w:tcW w:w="1312" w:type="pct"/>
            <w:gridSpan w:val="3"/>
            <w:shd w:val="clear" w:color="auto" w:fill="auto"/>
            <w:tcMar>
              <w:left w:w="58" w:type="dxa"/>
              <w:right w:w="58" w:type="dxa"/>
            </w:tcMar>
            <w:vAlign w:val="center"/>
          </w:tcPr>
          <w:p w:rsidR="002E3AE7" w:rsidRPr="008E5E9C" w:rsidRDefault="002E3AE7" w:rsidP="003E0A02">
            <w:pPr>
              <w:rPr>
                <w:b/>
                <w:bCs/>
                <w:sz w:val="16"/>
                <w:szCs w:val="16"/>
              </w:rPr>
            </w:pPr>
            <w:r w:rsidRPr="008E5E9C">
              <w:rPr>
                <w:b/>
                <w:bCs/>
                <w:sz w:val="16"/>
                <w:szCs w:val="16"/>
              </w:rPr>
              <w:t>Referencias de base</w:t>
            </w:r>
          </w:p>
        </w:tc>
        <w:tc>
          <w:tcPr>
            <w:tcW w:w="937" w:type="pct"/>
            <w:gridSpan w:val="2"/>
            <w:shd w:val="clear" w:color="auto" w:fill="auto"/>
            <w:tcMar>
              <w:top w:w="110" w:type="dxa"/>
              <w:left w:w="58" w:type="dxa"/>
              <w:right w:w="58" w:type="dxa"/>
            </w:tcMar>
            <w:vAlign w:val="center"/>
          </w:tcPr>
          <w:p w:rsidR="002E3AE7" w:rsidRPr="008E5E9C" w:rsidRDefault="002E3AE7" w:rsidP="003E0A02">
            <w:pPr>
              <w:rPr>
                <w:b/>
                <w:bCs/>
                <w:sz w:val="16"/>
                <w:szCs w:val="16"/>
              </w:rPr>
            </w:pPr>
            <w:r w:rsidRPr="008E5E9C">
              <w:rPr>
                <w:b/>
                <w:bCs/>
                <w:sz w:val="16"/>
                <w:szCs w:val="16"/>
              </w:rPr>
              <w:t>Objetivos</w:t>
            </w:r>
          </w:p>
        </w:tc>
        <w:tc>
          <w:tcPr>
            <w:tcW w:w="1213" w:type="pct"/>
            <w:gridSpan w:val="2"/>
            <w:shd w:val="clear" w:color="auto" w:fill="FFFFFF"/>
            <w:tcMar>
              <w:top w:w="110" w:type="dxa"/>
              <w:left w:w="58" w:type="dxa"/>
              <w:right w:w="58" w:type="dxa"/>
            </w:tcMar>
            <w:vAlign w:val="center"/>
          </w:tcPr>
          <w:p w:rsidR="002E3AE7" w:rsidRPr="008E5E9C" w:rsidRDefault="002E3AE7" w:rsidP="003E0A02">
            <w:pPr>
              <w:rPr>
                <w:b/>
                <w:bCs/>
                <w:sz w:val="16"/>
                <w:szCs w:val="16"/>
              </w:rPr>
            </w:pPr>
            <w:r w:rsidRPr="008E5E9C">
              <w:rPr>
                <w:b/>
                <w:bCs/>
                <w:sz w:val="16"/>
                <w:szCs w:val="16"/>
              </w:rPr>
              <w:t>Datos sobre el rendimiento</w:t>
            </w:r>
          </w:p>
        </w:tc>
        <w:tc>
          <w:tcPr>
            <w:tcW w:w="461" w:type="pct"/>
            <w:shd w:val="clear" w:color="auto" w:fill="auto"/>
            <w:tcMar>
              <w:top w:w="110" w:type="dxa"/>
              <w:left w:w="58" w:type="dxa"/>
              <w:right w:w="58" w:type="dxa"/>
            </w:tcMar>
            <w:vAlign w:val="center"/>
          </w:tcPr>
          <w:p w:rsidR="002E3AE7" w:rsidRPr="008E5E9C" w:rsidRDefault="002E3AE7" w:rsidP="003E0A02">
            <w:pPr>
              <w:keepNext/>
              <w:keepLines/>
              <w:jc w:val="center"/>
              <w:rPr>
                <w:b/>
                <w:bCs/>
                <w:sz w:val="16"/>
                <w:szCs w:val="16"/>
              </w:rPr>
            </w:pPr>
            <w:r w:rsidRPr="008E5E9C">
              <w:rPr>
                <w:b/>
                <w:bCs/>
                <w:sz w:val="16"/>
                <w:szCs w:val="16"/>
              </w:rPr>
              <w:t>Clave de colores</w:t>
            </w:r>
          </w:p>
        </w:tc>
      </w:tr>
      <w:tr w:rsidR="002E3AE7" w:rsidRPr="008E5E9C" w:rsidTr="003E0A02">
        <w:trPr>
          <w:trHeight w:val="340"/>
        </w:trPr>
        <w:tc>
          <w:tcPr>
            <w:tcW w:w="1077" w:type="pct"/>
            <w:shd w:val="clear" w:color="auto" w:fill="auto"/>
            <w:tcMar>
              <w:left w:w="58" w:type="dxa"/>
              <w:right w:w="58" w:type="dxa"/>
            </w:tcMar>
          </w:tcPr>
          <w:p w:rsidR="002E3AE7" w:rsidRPr="008E5E9C" w:rsidRDefault="002E3AE7" w:rsidP="003E0A02">
            <w:pPr>
              <w:rPr>
                <w:sz w:val="16"/>
                <w:szCs w:val="16"/>
              </w:rPr>
            </w:pPr>
            <w:r w:rsidRPr="008E5E9C">
              <w:rPr>
                <w:sz w:val="16"/>
                <w:szCs w:val="16"/>
              </w:rPr>
              <w:t>Reducción de las repercusión de las actividades de la OMPI sobre el medio ambiente</w:t>
            </w:r>
          </w:p>
        </w:tc>
        <w:tc>
          <w:tcPr>
            <w:tcW w:w="1312" w:type="pct"/>
            <w:gridSpan w:val="3"/>
            <w:shd w:val="clear" w:color="auto" w:fill="auto"/>
            <w:tcMar>
              <w:left w:w="58" w:type="dxa"/>
              <w:right w:w="58" w:type="dxa"/>
            </w:tcMar>
          </w:tcPr>
          <w:p w:rsidR="002E3AE7" w:rsidRPr="00230C8F" w:rsidRDefault="002E3AE7" w:rsidP="003E0A02">
            <w:pPr>
              <w:rPr>
                <w:i/>
                <w:color w:val="002060"/>
                <w:sz w:val="16"/>
                <w:szCs w:val="16"/>
              </w:rPr>
            </w:pPr>
            <w:r w:rsidRPr="00230C8F">
              <w:rPr>
                <w:i/>
                <w:color w:val="002060"/>
                <w:sz w:val="16"/>
                <w:szCs w:val="16"/>
              </w:rPr>
              <w:t xml:space="preserve">Referencia actualizada a fines de 2015:  </w:t>
            </w:r>
          </w:p>
          <w:p w:rsidR="002E3AE7" w:rsidRPr="00230C8F" w:rsidRDefault="002E3AE7" w:rsidP="003E0A02">
            <w:pPr>
              <w:rPr>
                <w:color w:val="002060"/>
                <w:sz w:val="16"/>
                <w:szCs w:val="16"/>
              </w:rPr>
            </w:pPr>
            <w:r w:rsidRPr="00230C8F">
              <w:rPr>
                <w:color w:val="002060"/>
                <w:sz w:val="16"/>
                <w:szCs w:val="16"/>
              </w:rPr>
              <w:t>Emisiones de gases de efecto invernadero:  7.730 toneladas de CO2 (5,2 toneladas por empleado) en 2015,</w:t>
            </w:r>
            <w:r w:rsidRPr="00230C8F">
              <w:rPr>
                <w:rStyle w:val="FootnoteReference"/>
                <w:color w:val="002060"/>
              </w:rPr>
              <w:footnoteReference w:id="97"/>
            </w:r>
          </w:p>
          <w:p w:rsidR="002E3AE7" w:rsidRPr="00230C8F" w:rsidRDefault="002E3AE7" w:rsidP="003E0A02">
            <w:pPr>
              <w:rPr>
                <w:color w:val="002060"/>
                <w:sz w:val="16"/>
                <w:szCs w:val="16"/>
              </w:rPr>
            </w:pPr>
          </w:p>
          <w:p w:rsidR="002E3AE7" w:rsidRPr="00230C8F" w:rsidRDefault="002E3AE7" w:rsidP="003E0A02">
            <w:pPr>
              <w:rPr>
                <w:color w:val="002060"/>
                <w:sz w:val="16"/>
                <w:szCs w:val="16"/>
              </w:rPr>
            </w:pPr>
            <w:r w:rsidRPr="00230C8F">
              <w:rPr>
                <w:color w:val="002060"/>
                <w:sz w:val="16"/>
                <w:szCs w:val="16"/>
              </w:rPr>
              <w:t xml:space="preserve">Además, en 2015, la OMPI compensó  6.248 toneladas de CO2 mediante el canje de certificados de reducción de emisiones, señalando que la compensación correspondiente al gas natural fue hecha directamente por el proveedor, y que la compensación hecha en el marco de este programa también abarca los viajes.  </w:t>
            </w:r>
          </w:p>
          <w:p w:rsidR="002E3AE7" w:rsidRPr="00230C8F" w:rsidRDefault="002E3AE7" w:rsidP="003E0A02">
            <w:pPr>
              <w:rPr>
                <w:color w:val="002060"/>
                <w:sz w:val="16"/>
                <w:szCs w:val="16"/>
              </w:rPr>
            </w:pPr>
          </w:p>
          <w:p w:rsidR="002E3AE7" w:rsidRPr="00230C8F" w:rsidRDefault="002E3AE7" w:rsidP="003E0A02">
            <w:pPr>
              <w:rPr>
                <w:color w:val="002060"/>
                <w:sz w:val="16"/>
                <w:szCs w:val="16"/>
              </w:rPr>
            </w:pPr>
            <w:r w:rsidRPr="00230C8F">
              <w:rPr>
                <w:color w:val="002060"/>
                <w:sz w:val="16"/>
                <w:szCs w:val="16"/>
              </w:rPr>
              <w:t>Consumo de energía en 2015 correspondiente a la totalidad de los edificios de la sede y los edificios alquilados en Ginebra (con exclusión de las oficinas de la OMPI en el exterior)</w:t>
            </w:r>
          </w:p>
          <w:p w:rsidR="002E3AE7" w:rsidRPr="00230C8F" w:rsidRDefault="002E3AE7" w:rsidP="002E3AE7">
            <w:pPr>
              <w:pStyle w:val="ListParagraph"/>
              <w:numPr>
                <w:ilvl w:val="0"/>
                <w:numId w:val="93"/>
              </w:numPr>
              <w:ind w:left="212" w:hanging="194"/>
              <w:contextualSpacing/>
              <w:rPr>
                <w:color w:val="002060"/>
                <w:sz w:val="16"/>
                <w:szCs w:val="16"/>
                <w:lang w:val="es-ES"/>
              </w:rPr>
            </w:pPr>
            <w:r w:rsidRPr="00230C8F">
              <w:rPr>
                <w:color w:val="002060"/>
                <w:sz w:val="16"/>
                <w:szCs w:val="16"/>
                <w:lang w:val="es-ES"/>
              </w:rPr>
              <w:t>electricidad (8.176.493 KwH),</w:t>
            </w:r>
          </w:p>
          <w:p w:rsidR="002E3AE7" w:rsidRPr="00230C8F" w:rsidRDefault="002E3AE7" w:rsidP="002E3AE7">
            <w:pPr>
              <w:pStyle w:val="ListParagraph"/>
              <w:numPr>
                <w:ilvl w:val="0"/>
                <w:numId w:val="93"/>
              </w:numPr>
              <w:ind w:left="212" w:hanging="194"/>
              <w:contextualSpacing/>
              <w:rPr>
                <w:color w:val="002060"/>
                <w:sz w:val="16"/>
                <w:szCs w:val="16"/>
                <w:lang w:val="es-ES"/>
              </w:rPr>
            </w:pPr>
            <w:r w:rsidRPr="00230C8F">
              <w:rPr>
                <w:color w:val="002060"/>
                <w:sz w:val="16"/>
                <w:szCs w:val="16"/>
                <w:lang w:val="es-ES"/>
              </w:rPr>
              <w:t xml:space="preserve">agua (41.647 m3), </w:t>
            </w:r>
          </w:p>
          <w:p w:rsidR="002E3AE7" w:rsidRDefault="002E3AE7" w:rsidP="002E3AE7">
            <w:pPr>
              <w:pStyle w:val="ListParagraph"/>
              <w:numPr>
                <w:ilvl w:val="0"/>
                <w:numId w:val="93"/>
              </w:numPr>
              <w:ind w:left="212" w:hanging="194"/>
              <w:contextualSpacing/>
              <w:rPr>
                <w:color w:val="002060"/>
                <w:sz w:val="16"/>
                <w:szCs w:val="16"/>
                <w:lang w:val="es-ES"/>
              </w:rPr>
            </w:pPr>
            <w:r w:rsidRPr="00230C8F">
              <w:rPr>
                <w:color w:val="002060"/>
                <w:sz w:val="16"/>
                <w:szCs w:val="16"/>
                <w:lang w:val="es-ES"/>
              </w:rPr>
              <w:t xml:space="preserve">gas natural (7.201.417 </w:t>
            </w:r>
            <w:proofErr w:type="spellStart"/>
            <w:r w:rsidRPr="00230C8F">
              <w:rPr>
                <w:color w:val="002060"/>
                <w:sz w:val="16"/>
                <w:szCs w:val="16"/>
                <w:lang w:val="es-ES"/>
              </w:rPr>
              <w:t>KwH</w:t>
            </w:r>
            <w:proofErr w:type="spellEnd"/>
            <w:r w:rsidRPr="00230C8F">
              <w:rPr>
                <w:color w:val="002060"/>
                <w:sz w:val="16"/>
                <w:szCs w:val="16"/>
                <w:lang w:val="es-ES"/>
              </w:rPr>
              <w:t>),</w:t>
            </w:r>
          </w:p>
          <w:p w:rsidR="00D01136" w:rsidRPr="00230C8F" w:rsidRDefault="00D01136" w:rsidP="00D01136">
            <w:pPr>
              <w:pStyle w:val="ListParagraph"/>
              <w:ind w:left="212"/>
              <w:contextualSpacing/>
              <w:rPr>
                <w:color w:val="002060"/>
                <w:sz w:val="16"/>
                <w:szCs w:val="16"/>
                <w:lang w:val="es-ES"/>
              </w:rPr>
            </w:pPr>
          </w:p>
          <w:p w:rsidR="002E3AE7" w:rsidRPr="00230C8F" w:rsidRDefault="002E3AE7" w:rsidP="002E3AE7">
            <w:pPr>
              <w:pStyle w:val="ListParagraph"/>
              <w:numPr>
                <w:ilvl w:val="0"/>
                <w:numId w:val="93"/>
              </w:numPr>
              <w:ind w:left="212" w:hanging="194"/>
              <w:contextualSpacing/>
              <w:rPr>
                <w:color w:val="002060"/>
                <w:sz w:val="16"/>
                <w:szCs w:val="16"/>
                <w:lang w:val="es-ES"/>
              </w:rPr>
            </w:pPr>
            <w:r w:rsidRPr="00230C8F">
              <w:rPr>
                <w:color w:val="002060"/>
                <w:sz w:val="16"/>
                <w:szCs w:val="16"/>
                <w:lang w:val="es-ES"/>
              </w:rPr>
              <w:t xml:space="preserve">combustible para calefacción (5.050 l).  </w:t>
            </w:r>
          </w:p>
          <w:p w:rsidR="002E3AE7" w:rsidRPr="00230C8F" w:rsidRDefault="002E3AE7" w:rsidP="003E0A02">
            <w:pPr>
              <w:pStyle w:val="ListParagraph"/>
              <w:ind w:left="212" w:hanging="194"/>
              <w:rPr>
                <w:color w:val="002060"/>
                <w:sz w:val="16"/>
                <w:szCs w:val="16"/>
                <w:lang w:val="es-ES"/>
              </w:rPr>
            </w:pPr>
            <w:r w:rsidRPr="00230C8F">
              <w:rPr>
                <w:color w:val="002060"/>
                <w:sz w:val="16"/>
                <w:szCs w:val="16"/>
                <w:lang w:val="es-ES"/>
              </w:rPr>
              <w:t xml:space="preserve">    (principalmente para generadores)</w:t>
            </w:r>
          </w:p>
          <w:p w:rsidR="002E3AE7" w:rsidRPr="008E5E9C" w:rsidRDefault="002E3AE7" w:rsidP="003E0A02">
            <w:pPr>
              <w:rPr>
                <w:sz w:val="16"/>
                <w:szCs w:val="16"/>
              </w:rPr>
            </w:pPr>
          </w:p>
          <w:p w:rsidR="002E3AE7" w:rsidRPr="008E5E9C" w:rsidRDefault="002E3AE7" w:rsidP="003E0A02">
            <w:pPr>
              <w:rPr>
                <w:i/>
                <w:sz w:val="16"/>
                <w:szCs w:val="16"/>
              </w:rPr>
            </w:pPr>
            <w:r w:rsidRPr="008E5E9C">
              <w:rPr>
                <w:i/>
                <w:sz w:val="16"/>
                <w:szCs w:val="16"/>
              </w:rPr>
              <w:lastRenderedPageBreak/>
              <w:t xml:space="preserve">Referencia original en el presupuesto de 2016/17:  </w:t>
            </w:r>
          </w:p>
          <w:p w:rsidR="002E3AE7" w:rsidRPr="008E5E9C" w:rsidRDefault="002E3AE7" w:rsidP="003E0A02">
            <w:pPr>
              <w:spacing w:after="60"/>
              <w:rPr>
                <w:sz w:val="16"/>
                <w:szCs w:val="16"/>
              </w:rPr>
            </w:pPr>
            <w:r w:rsidRPr="008E5E9C">
              <w:rPr>
                <w:sz w:val="16"/>
                <w:szCs w:val="16"/>
              </w:rPr>
              <w:t>A.  Compromiso con el marco de la ONU de neutralidad climática anunciado por el Secretario General de la ONU en septiembre de 2014.</w:t>
            </w:r>
          </w:p>
          <w:p w:rsidR="002E3AE7" w:rsidRPr="008E5E9C" w:rsidRDefault="002E3AE7" w:rsidP="003E0A02">
            <w:pPr>
              <w:spacing w:after="60"/>
              <w:rPr>
                <w:sz w:val="16"/>
                <w:szCs w:val="16"/>
              </w:rPr>
            </w:pPr>
            <w:r w:rsidRPr="008E5E9C">
              <w:rPr>
                <w:sz w:val="16"/>
                <w:szCs w:val="16"/>
              </w:rPr>
              <w:t>B.  Compromiso con la normativa local y del país anfitrión relativa al consumo energético.</w:t>
            </w:r>
          </w:p>
          <w:p w:rsidR="002E3AE7" w:rsidRPr="008E5E9C" w:rsidRDefault="002E3AE7" w:rsidP="003E0A02">
            <w:pPr>
              <w:spacing w:after="60"/>
              <w:rPr>
                <w:sz w:val="16"/>
                <w:szCs w:val="16"/>
              </w:rPr>
            </w:pPr>
            <w:r w:rsidRPr="008E5E9C">
              <w:rPr>
                <w:sz w:val="16"/>
                <w:szCs w:val="16"/>
              </w:rPr>
              <w:t>C.  Niveles de consumo energético al final de 2015.</w:t>
            </w:r>
          </w:p>
        </w:tc>
        <w:tc>
          <w:tcPr>
            <w:tcW w:w="937" w:type="pct"/>
            <w:gridSpan w:val="2"/>
            <w:shd w:val="clear" w:color="auto" w:fill="auto"/>
            <w:tcMar>
              <w:top w:w="110" w:type="dxa"/>
              <w:left w:w="58" w:type="dxa"/>
              <w:right w:w="58" w:type="dxa"/>
            </w:tcMar>
          </w:tcPr>
          <w:p w:rsidR="002E3AE7" w:rsidRPr="008E5E9C" w:rsidRDefault="002E3AE7" w:rsidP="003E0A02">
            <w:pPr>
              <w:rPr>
                <w:sz w:val="16"/>
                <w:szCs w:val="16"/>
              </w:rPr>
            </w:pPr>
            <w:r w:rsidRPr="008E5E9C">
              <w:rPr>
                <w:sz w:val="16"/>
                <w:szCs w:val="16"/>
              </w:rPr>
              <w:lastRenderedPageBreak/>
              <w:t>A. Mantener las emisiones de carbono y de gases de efecto invernadero a niveles de fines de 2015</w:t>
            </w:r>
            <w:r w:rsidRPr="008E5E9C">
              <w:rPr>
                <w:rStyle w:val="FootnoteReference"/>
              </w:rPr>
              <w:footnoteReference w:id="98"/>
            </w:r>
          </w:p>
          <w:p w:rsidR="002E3AE7" w:rsidRPr="008E5E9C" w:rsidRDefault="002E3AE7" w:rsidP="003E0A02">
            <w:pPr>
              <w:rPr>
                <w:sz w:val="16"/>
                <w:szCs w:val="16"/>
              </w:rPr>
            </w:pPr>
            <w:r w:rsidRPr="008E5E9C">
              <w:rPr>
                <w:sz w:val="16"/>
                <w:szCs w:val="16"/>
              </w:rPr>
              <w:br/>
              <w:t>B. Aplicación de medidas a fines de 2017 para mantener el consumo de energía a niveles de fines de 2015 y en condiciones climáticas comparables (en el caso de la electricidad, el agua, el gas y el combustible para calefacción)</w:t>
            </w:r>
          </w:p>
        </w:tc>
        <w:tc>
          <w:tcPr>
            <w:tcW w:w="1213" w:type="pct"/>
            <w:gridSpan w:val="2"/>
            <w:shd w:val="clear" w:color="auto" w:fill="FFFFFF"/>
            <w:tcMar>
              <w:top w:w="110" w:type="dxa"/>
              <w:left w:w="58" w:type="dxa"/>
              <w:right w:w="58" w:type="dxa"/>
            </w:tcMar>
          </w:tcPr>
          <w:p w:rsidR="002E3AE7" w:rsidRPr="008E5E9C" w:rsidRDefault="002E3AE7" w:rsidP="003E0A02">
            <w:pPr>
              <w:rPr>
                <w:sz w:val="16"/>
                <w:szCs w:val="16"/>
              </w:rPr>
            </w:pPr>
            <w:r w:rsidRPr="008E5E9C">
              <w:rPr>
                <w:sz w:val="16"/>
                <w:szCs w:val="16"/>
              </w:rPr>
              <w:t>Se espera que las emisiones de carbono y de gases de efecto invernadero sigan siendo comparables a los niveles de 2015 sobre la base de los datos brutos de 2016</w:t>
            </w:r>
            <w:r w:rsidRPr="008E5E9C">
              <w:rPr>
                <w:rStyle w:val="FootnoteReference"/>
              </w:rPr>
              <w:footnoteReference w:id="99"/>
            </w:r>
          </w:p>
          <w:p w:rsidR="002E3AE7" w:rsidRPr="008E5E9C" w:rsidRDefault="002E3AE7" w:rsidP="003E0A02">
            <w:pPr>
              <w:rPr>
                <w:sz w:val="16"/>
                <w:szCs w:val="16"/>
              </w:rPr>
            </w:pPr>
          </w:p>
          <w:p w:rsidR="002E3AE7" w:rsidRPr="008E5E9C" w:rsidRDefault="002E3AE7" w:rsidP="003E0A02">
            <w:pPr>
              <w:ind w:right="-42"/>
              <w:rPr>
                <w:sz w:val="16"/>
                <w:szCs w:val="16"/>
              </w:rPr>
            </w:pPr>
            <w:r w:rsidRPr="008E5E9C">
              <w:rPr>
                <w:sz w:val="16"/>
                <w:szCs w:val="16"/>
              </w:rPr>
              <w:t>Consumo de energía en 2016 correspondiente a la totalidad de los edificios de la sede y los edificios alquilados en Ginebra (en comparación con 2015):</w:t>
            </w:r>
          </w:p>
          <w:p w:rsidR="002E3AE7" w:rsidRPr="008E5E9C" w:rsidRDefault="002E3AE7" w:rsidP="003E0A02">
            <w:pPr>
              <w:rPr>
                <w:sz w:val="16"/>
                <w:szCs w:val="16"/>
              </w:rPr>
            </w:pPr>
          </w:p>
          <w:p w:rsidR="002E3AE7" w:rsidRPr="008E5E9C" w:rsidRDefault="002E3AE7" w:rsidP="002E3AE7">
            <w:pPr>
              <w:pStyle w:val="ListParagraph"/>
              <w:numPr>
                <w:ilvl w:val="0"/>
                <w:numId w:val="95"/>
              </w:numPr>
              <w:contextualSpacing/>
              <w:rPr>
                <w:sz w:val="16"/>
                <w:szCs w:val="16"/>
                <w:lang w:val="es-ES"/>
              </w:rPr>
            </w:pPr>
            <w:r w:rsidRPr="008E5E9C">
              <w:rPr>
                <w:sz w:val="16"/>
                <w:szCs w:val="16"/>
                <w:lang w:val="es-ES"/>
              </w:rPr>
              <w:t>Electricidad:  7.758.000 KwH, (5,1% menos) debido principalmente a la instalación de detectores de movimiento y luces de bajo consumo;</w:t>
            </w:r>
          </w:p>
          <w:p w:rsidR="002E3AE7" w:rsidRPr="008E5E9C" w:rsidRDefault="002E3AE7" w:rsidP="002E3AE7">
            <w:pPr>
              <w:pStyle w:val="ListParagraph"/>
              <w:numPr>
                <w:ilvl w:val="0"/>
                <w:numId w:val="95"/>
              </w:numPr>
              <w:contextualSpacing/>
              <w:rPr>
                <w:sz w:val="16"/>
                <w:szCs w:val="16"/>
                <w:lang w:val="es-ES"/>
              </w:rPr>
            </w:pPr>
            <w:r w:rsidRPr="008E5E9C">
              <w:rPr>
                <w:sz w:val="16"/>
                <w:szCs w:val="16"/>
                <w:lang w:val="es-ES"/>
              </w:rPr>
              <w:t>Agua:  40.654 m3 (2,4% menos), por reducción del consumo;</w:t>
            </w:r>
          </w:p>
          <w:p w:rsidR="002E3AE7" w:rsidRPr="008E5E9C" w:rsidRDefault="002E3AE7" w:rsidP="002E3AE7">
            <w:pPr>
              <w:pStyle w:val="ListParagraph"/>
              <w:numPr>
                <w:ilvl w:val="0"/>
                <w:numId w:val="95"/>
              </w:numPr>
              <w:contextualSpacing/>
              <w:rPr>
                <w:sz w:val="16"/>
                <w:szCs w:val="16"/>
                <w:lang w:val="es-ES"/>
              </w:rPr>
            </w:pPr>
            <w:r w:rsidRPr="008E5E9C">
              <w:rPr>
                <w:sz w:val="16"/>
                <w:szCs w:val="16"/>
                <w:lang w:val="es-ES"/>
              </w:rPr>
              <w:t>Gas natural:  7.550.012 KwH (4,8% más), debido principalmente a que en 2016 el invierno fue más frío;</w:t>
            </w:r>
            <w:r w:rsidR="00D01136">
              <w:rPr>
                <w:sz w:val="16"/>
                <w:szCs w:val="16"/>
                <w:lang w:val="es-ES"/>
              </w:rPr>
              <w:br/>
            </w:r>
          </w:p>
          <w:p w:rsidR="002E3AE7" w:rsidRPr="008E5E9C" w:rsidRDefault="002E3AE7" w:rsidP="002E3AE7">
            <w:pPr>
              <w:pStyle w:val="ListParagraph"/>
              <w:numPr>
                <w:ilvl w:val="0"/>
                <w:numId w:val="95"/>
              </w:numPr>
              <w:contextualSpacing/>
              <w:rPr>
                <w:sz w:val="16"/>
                <w:szCs w:val="16"/>
                <w:lang w:val="es-ES"/>
              </w:rPr>
            </w:pPr>
            <w:r w:rsidRPr="008E5E9C">
              <w:rPr>
                <w:sz w:val="16"/>
                <w:szCs w:val="16"/>
                <w:lang w:val="es-ES"/>
              </w:rPr>
              <w:t xml:space="preserve">Combustible de calefacción: 5.500 l (9% más), debido principalmente a la </w:t>
            </w:r>
            <w:r w:rsidRPr="008E5E9C">
              <w:rPr>
                <w:sz w:val="16"/>
                <w:szCs w:val="16"/>
                <w:lang w:val="es-ES"/>
              </w:rPr>
              <w:lastRenderedPageBreak/>
              <w:t xml:space="preserve">decisión de llevar a cabo pruebas periódicas de mayor duración de los generadores de emergencia. </w:t>
            </w:r>
          </w:p>
          <w:p w:rsidR="002E3AE7" w:rsidRPr="008E5E9C" w:rsidRDefault="002E3AE7" w:rsidP="003E0A02">
            <w:pPr>
              <w:rPr>
                <w:sz w:val="16"/>
                <w:szCs w:val="16"/>
              </w:rPr>
            </w:pPr>
          </w:p>
        </w:tc>
        <w:tc>
          <w:tcPr>
            <w:tcW w:w="461" w:type="pct"/>
            <w:shd w:val="clear" w:color="auto" w:fill="auto"/>
            <w:tcMar>
              <w:top w:w="110" w:type="dxa"/>
              <w:left w:w="58" w:type="dxa"/>
              <w:right w:w="58" w:type="dxa"/>
            </w:tcMar>
          </w:tcPr>
          <w:p w:rsidR="002E3AE7" w:rsidRPr="008E5E9C" w:rsidRDefault="002E3AE7" w:rsidP="003E0A02">
            <w:pPr>
              <w:keepNext/>
              <w:keepLines/>
              <w:jc w:val="center"/>
              <w:rPr>
                <w:b/>
                <w:sz w:val="16"/>
                <w:szCs w:val="16"/>
              </w:rPr>
            </w:pPr>
            <w:r w:rsidRPr="008E5E9C">
              <w:rPr>
                <w:b/>
                <w:color w:val="00B050"/>
                <w:sz w:val="16"/>
                <w:szCs w:val="16"/>
              </w:rPr>
              <w:lastRenderedPageBreak/>
              <w:t>Avanza</w:t>
            </w: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r w:rsidRPr="008E5E9C">
              <w:rPr>
                <w:b/>
                <w:color w:val="00B050"/>
                <w:sz w:val="16"/>
                <w:szCs w:val="16"/>
              </w:rPr>
              <w:t>Avanza</w:t>
            </w: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sz w:val="16"/>
                <w:szCs w:val="16"/>
              </w:rPr>
            </w:pPr>
          </w:p>
          <w:p w:rsidR="002E3AE7" w:rsidRPr="008E5E9C" w:rsidRDefault="002E3AE7" w:rsidP="003E0A02">
            <w:pPr>
              <w:keepNext/>
              <w:keepLines/>
              <w:jc w:val="center"/>
              <w:rPr>
                <w:sz w:val="16"/>
                <w:szCs w:val="16"/>
              </w:rPr>
            </w:pPr>
          </w:p>
          <w:p w:rsidR="002E3AE7" w:rsidRPr="008E5E9C" w:rsidRDefault="002E3AE7" w:rsidP="003E0A02">
            <w:pPr>
              <w:keepNext/>
              <w:keepLines/>
              <w:jc w:val="center"/>
              <w:rPr>
                <w:sz w:val="16"/>
                <w:szCs w:val="16"/>
              </w:rPr>
            </w:pPr>
          </w:p>
          <w:p w:rsidR="002E3AE7" w:rsidRPr="008E5E9C" w:rsidRDefault="002E3AE7" w:rsidP="003E0A02">
            <w:pPr>
              <w:keepNext/>
              <w:keepLines/>
              <w:rPr>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r w:rsidRPr="008E5E9C">
              <w:rPr>
                <w:b/>
                <w:color w:val="00B050"/>
                <w:sz w:val="16"/>
                <w:szCs w:val="16"/>
              </w:rPr>
              <w:t>Avanza</w:t>
            </w:r>
          </w:p>
          <w:p w:rsidR="002E3AE7" w:rsidRPr="008E5E9C" w:rsidRDefault="002E3AE7" w:rsidP="003E0A02">
            <w:pPr>
              <w:keepNext/>
              <w:keepLines/>
              <w:jc w:val="center"/>
              <w:rPr>
                <w:sz w:val="16"/>
                <w:szCs w:val="16"/>
              </w:rPr>
            </w:pPr>
          </w:p>
          <w:p w:rsidR="002E3AE7" w:rsidRPr="008E5E9C" w:rsidRDefault="002E3AE7" w:rsidP="003E0A02">
            <w:pPr>
              <w:keepNext/>
              <w:keepLines/>
              <w:rPr>
                <w:sz w:val="16"/>
                <w:szCs w:val="16"/>
              </w:rPr>
            </w:pPr>
          </w:p>
          <w:p w:rsidR="002E3AE7" w:rsidRPr="008E5E9C" w:rsidRDefault="002E3AE7" w:rsidP="003E0A02">
            <w:pPr>
              <w:keepNext/>
              <w:keepLines/>
              <w:jc w:val="center"/>
              <w:rPr>
                <w:b/>
                <w:sz w:val="16"/>
                <w:szCs w:val="16"/>
              </w:rPr>
            </w:pPr>
            <w:r w:rsidRPr="008E5E9C">
              <w:rPr>
                <w:b/>
                <w:color w:val="FF0000"/>
                <w:sz w:val="16"/>
                <w:szCs w:val="16"/>
              </w:rPr>
              <w:t>No avanza</w:t>
            </w: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Default="002E3AE7" w:rsidP="003E0A02">
            <w:pPr>
              <w:keepNext/>
              <w:keepLines/>
              <w:jc w:val="center"/>
              <w:rPr>
                <w:b/>
                <w:sz w:val="16"/>
                <w:szCs w:val="16"/>
              </w:rPr>
            </w:pPr>
          </w:p>
          <w:p w:rsidR="00D01136" w:rsidRPr="008E5E9C" w:rsidRDefault="00D01136" w:rsidP="003E0A02">
            <w:pPr>
              <w:keepNext/>
              <w:keepLines/>
              <w:jc w:val="center"/>
              <w:rPr>
                <w:b/>
                <w:sz w:val="16"/>
                <w:szCs w:val="16"/>
              </w:rPr>
            </w:pPr>
          </w:p>
          <w:p w:rsidR="002E3AE7" w:rsidRPr="008E5E9C" w:rsidRDefault="002E3AE7" w:rsidP="003E0A02">
            <w:pPr>
              <w:keepNext/>
              <w:keepLines/>
              <w:jc w:val="center"/>
              <w:rPr>
                <w:b/>
                <w:sz w:val="16"/>
                <w:szCs w:val="16"/>
              </w:rPr>
            </w:pPr>
            <w:r w:rsidRPr="008E5E9C">
              <w:rPr>
                <w:b/>
                <w:color w:val="FF0000"/>
                <w:sz w:val="16"/>
                <w:szCs w:val="16"/>
              </w:rPr>
              <w:t>No avanza</w:t>
            </w:r>
          </w:p>
        </w:tc>
      </w:tr>
      <w:tr w:rsidR="002E3AE7" w:rsidRPr="008E5E9C" w:rsidTr="003E0A02">
        <w:trPr>
          <w:trHeight w:val="576"/>
        </w:trPr>
        <w:tc>
          <w:tcPr>
            <w:tcW w:w="1077" w:type="pct"/>
            <w:shd w:val="clear" w:color="auto" w:fill="auto"/>
            <w:tcMar>
              <w:left w:w="58" w:type="dxa"/>
              <w:right w:w="58" w:type="dxa"/>
            </w:tcMar>
          </w:tcPr>
          <w:p w:rsidR="002E3AE7" w:rsidRPr="008E5E9C" w:rsidRDefault="002E3AE7" w:rsidP="003E0A02">
            <w:pPr>
              <w:rPr>
                <w:sz w:val="16"/>
                <w:szCs w:val="16"/>
              </w:rPr>
            </w:pPr>
            <w:r w:rsidRPr="008E5E9C">
              <w:rPr>
                <w:sz w:val="16"/>
                <w:szCs w:val="16"/>
              </w:rPr>
              <w:lastRenderedPageBreak/>
              <w:t xml:space="preserve">Mejora de la accesibilidad al recinto de la OMPI </w:t>
            </w:r>
          </w:p>
        </w:tc>
        <w:tc>
          <w:tcPr>
            <w:tcW w:w="1312" w:type="pct"/>
            <w:gridSpan w:val="3"/>
            <w:shd w:val="clear" w:color="auto" w:fill="auto"/>
            <w:tcMar>
              <w:left w:w="58" w:type="dxa"/>
              <w:right w:w="58" w:type="dxa"/>
            </w:tcMar>
          </w:tcPr>
          <w:p w:rsidR="002E3AE7" w:rsidRPr="00230C8F" w:rsidRDefault="002E3AE7" w:rsidP="003E0A02">
            <w:pPr>
              <w:rPr>
                <w:i/>
                <w:color w:val="002060"/>
                <w:sz w:val="16"/>
                <w:szCs w:val="16"/>
              </w:rPr>
            </w:pPr>
            <w:r w:rsidRPr="00230C8F">
              <w:rPr>
                <w:i/>
                <w:color w:val="002060"/>
                <w:sz w:val="16"/>
                <w:szCs w:val="16"/>
              </w:rPr>
              <w:t xml:space="preserve">Referencia actualizada a fines de 2015:  </w:t>
            </w:r>
          </w:p>
          <w:p w:rsidR="002E3AE7" w:rsidRPr="00230C8F" w:rsidRDefault="002E3AE7" w:rsidP="003E0A02">
            <w:pPr>
              <w:pStyle w:val="CommentText"/>
              <w:rPr>
                <w:color w:val="002060"/>
                <w:sz w:val="16"/>
                <w:szCs w:val="16"/>
              </w:rPr>
            </w:pPr>
            <w:r w:rsidRPr="00230C8F">
              <w:rPr>
                <w:color w:val="002060"/>
                <w:sz w:val="16"/>
                <w:szCs w:val="16"/>
              </w:rPr>
              <w:t xml:space="preserve">N.º de lectores de pases que han de rebajarse:  </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Edificio AB (6)</w:t>
            </w:r>
            <w:r w:rsidRPr="00230C8F">
              <w:rPr>
                <w:color w:val="002060"/>
                <w:sz w:val="16"/>
                <w:szCs w:val="16"/>
              </w:rPr>
              <w:br/>
              <w:t xml:space="preserve">Edificios GBI y GBII (4) </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 xml:space="preserve">Edificio NB (32) </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Edificio del PCT (0)</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Sala de conferencias de la OMPI (0)</w:t>
            </w:r>
          </w:p>
          <w:p w:rsidR="002E3AE7" w:rsidRPr="00230C8F" w:rsidRDefault="002E3AE7" w:rsidP="003E0A02">
            <w:pPr>
              <w:pStyle w:val="CommentText"/>
              <w:rPr>
                <w:color w:val="002060"/>
                <w:sz w:val="16"/>
                <w:szCs w:val="16"/>
              </w:rPr>
            </w:pPr>
          </w:p>
          <w:p w:rsidR="002E3AE7" w:rsidRPr="00230C8F" w:rsidRDefault="002E3AE7" w:rsidP="003E0A02">
            <w:pPr>
              <w:pStyle w:val="CommentText"/>
              <w:rPr>
                <w:color w:val="002060"/>
                <w:sz w:val="16"/>
                <w:szCs w:val="16"/>
              </w:rPr>
            </w:pPr>
            <w:r w:rsidRPr="00230C8F">
              <w:rPr>
                <w:color w:val="002060"/>
                <w:sz w:val="16"/>
                <w:szCs w:val="16"/>
              </w:rPr>
              <w:t xml:space="preserve">Número de barreras de seguridad a instalar:  </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 xml:space="preserve">Edificio AB (4) </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 xml:space="preserve">pasaje de GBI a GBII (5) </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 xml:space="preserve">Edificio NB (4) </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Edificio del PCT (0)</w:t>
            </w:r>
          </w:p>
          <w:p w:rsidR="002E3AE7" w:rsidRPr="00230C8F" w:rsidRDefault="002E3AE7" w:rsidP="002E3AE7">
            <w:pPr>
              <w:pStyle w:val="CommentText"/>
              <w:numPr>
                <w:ilvl w:val="0"/>
                <w:numId w:val="94"/>
              </w:numPr>
              <w:ind w:left="212" w:hanging="180"/>
              <w:rPr>
                <w:color w:val="002060"/>
                <w:sz w:val="16"/>
                <w:szCs w:val="16"/>
              </w:rPr>
            </w:pPr>
            <w:r w:rsidRPr="00230C8F">
              <w:rPr>
                <w:color w:val="002060"/>
                <w:sz w:val="16"/>
                <w:szCs w:val="16"/>
              </w:rPr>
              <w:t xml:space="preserve">Sala de conferencias de la OMPI (0) </w:t>
            </w:r>
          </w:p>
          <w:p w:rsidR="002E3AE7" w:rsidRPr="008E5E9C" w:rsidRDefault="002E3AE7" w:rsidP="003E0A02">
            <w:pPr>
              <w:rPr>
                <w:sz w:val="16"/>
                <w:szCs w:val="16"/>
              </w:rPr>
            </w:pPr>
          </w:p>
          <w:p w:rsidR="002E3AE7" w:rsidRPr="008E5E9C" w:rsidRDefault="002E3AE7" w:rsidP="003E0A02">
            <w:pPr>
              <w:rPr>
                <w:i/>
                <w:sz w:val="16"/>
                <w:szCs w:val="16"/>
              </w:rPr>
            </w:pPr>
            <w:r w:rsidRPr="008E5E9C">
              <w:rPr>
                <w:i/>
                <w:sz w:val="16"/>
                <w:szCs w:val="16"/>
              </w:rPr>
              <w:t xml:space="preserve">Referencia original en el presupuesto de 2016/17: </w:t>
            </w:r>
          </w:p>
          <w:p w:rsidR="002E3AE7" w:rsidRPr="008E5E9C" w:rsidRDefault="002E3AE7" w:rsidP="003E0A02">
            <w:pPr>
              <w:spacing w:after="240"/>
              <w:rPr>
                <w:sz w:val="16"/>
                <w:szCs w:val="16"/>
              </w:rPr>
            </w:pPr>
            <w:r w:rsidRPr="008E5E9C">
              <w:rPr>
                <w:sz w:val="16"/>
                <w:szCs w:val="16"/>
              </w:rPr>
              <w:t>Recomendaciones contenidas en la auditoría de accesibilidad física de 2012</w:t>
            </w:r>
          </w:p>
        </w:tc>
        <w:tc>
          <w:tcPr>
            <w:tcW w:w="937" w:type="pct"/>
            <w:gridSpan w:val="2"/>
            <w:shd w:val="clear" w:color="auto" w:fill="auto"/>
            <w:tcMar>
              <w:top w:w="110" w:type="dxa"/>
              <w:left w:w="58" w:type="dxa"/>
              <w:right w:w="58" w:type="dxa"/>
            </w:tcMar>
          </w:tcPr>
          <w:p w:rsidR="002E3AE7" w:rsidRPr="008E5E9C" w:rsidRDefault="002E3AE7" w:rsidP="003E0A02">
            <w:pPr>
              <w:rPr>
                <w:sz w:val="16"/>
                <w:szCs w:val="16"/>
              </w:rPr>
            </w:pPr>
            <w:r w:rsidRPr="008E5E9C">
              <w:rPr>
                <w:sz w:val="16"/>
                <w:szCs w:val="16"/>
              </w:rPr>
              <w:t>Aplicación de las siguientes medidas al final de 2017:  1. lectores de pases rebajados a los niveles necesarios para las personas con discapacidad;  2. barreras de seguridad, cuando sea necesario.</w:t>
            </w:r>
          </w:p>
        </w:tc>
        <w:tc>
          <w:tcPr>
            <w:tcW w:w="1213" w:type="pct"/>
            <w:gridSpan w:val="2"/>
            <w:shd w:val="clear" w:color="auto" w:fill="FFFFFF"/>
            <w:tcMar>
              <w:top w:w="110" w:type="dxa"/>
              <w:left w:w="58" w:type="dxa"/>
              <w:right w:w="58" w:type="dxa"/>
            </w:tcMar>
          </w:tcPr>
          <w:p w:rsidR="002E3AE7" w:rsidRPr="008E5E9C" w:rsidRDefault="002E3AE7" w:rsidP="003E0A02">
            <w:pPr>
              <w:pStyle w:val="CommentText"/>
              <w:rPr>
                <w:sz w:val="16"/>
                <w:szCs w:val="16"/>
              </w:rPr>
            </w:pPr>
            <w:r w:rsidRPr="008E5E9C">
              <w:rPr>
                <w:sz w:val="16"/>
                <w:szCs w:val="16"/>
              </w:rPr>
              <w:t xml:space="preserve">Nº de lectores de pases rebajados:  </w:t>
            </w:r>
          </w:p>
          <w:p w:rsidR="002E3AE7" w:rsidRPr="008E5E9C" w:rsidRDefault="002E3AE7" w:rsidP="002E3AE7">
            <w:pPr>
              <w:pStyle w:val="CommentText"/>
              <w:numPr>
                <w:ilvl w:val="0"/>
                <w:numId w:val="94"/>
              </w:numPr>
              <w:ind w:left="212" w:hanging="180"/>
              <w:rPr>
                <w:sz w:val="16"/>
                <w:szCs w:val="16"/>
              </w:rPr>
            </w:pPr>
            <w:r w:rsidRPr="008E5E9C">
              <w:rPr>
                <w:sz w:val="16"/>
                <w:szCs w:val="16"/>
              </w:rPr>
              <w:t xml:space="preserve">Edificio AB (2 de 6)  </w:t>
            </w:r>
          </w:p>
          <w:p w:rsidR="002E3AE7" w:rsidRPr="008E5E9C" w:rsidRDefault="002E3AE7" w:rsidP="002E3AE7">
            <w:pPr>
              <w:pStyle w:val="CommentText"/>
              <w:numPr>
                <w:ilvl w:val="0"/>
                <w:numId w:val="94"/>
              </w:numPr>
              <w:ind w:left="212" w:hanging="180"/>
              <w:rPr>
                <w:sz w:val="16"/>
                <w:szCs w:val="16"/>
              </w:rPr>
            </w:pPr>
            <w:r w:rsidRPr="008E5E9C">
              <w:rPr>
                <w:sz w:val="16"/>
                <w:szCs w:val="16"/>
              </w:rPr>
              <w:t xml:space="preserve">Edificios GBI y GBII (2 de 4)   </w:t>
            </w:r>
          </w:p>
          <w:p w:rsidR="002E3AE7" w:rsidRPr="008E5E9C" w:rsidRDefault="002E3AE7" w:rsidP="003E0A02">
            <w:pPr>
              <w:pStyle w:val="CommentText"/>
              <w:ind w:left="32"/>
              <w:rPr>
                <w:sz w:val="16"/>
                <w:szCs w:val="16"/>
              </w:rPr>
            </w:pPr>
          </w:p>
          <w:p w:rsidR="002E3AE7" w:rsidRPr="008E5E9C" w:rsidRDefault="002E3AE7" w:rsidP="003E0A02">
            <w:pPr>
              <w:rPr>
                <w:sz w:val="16"/>
                <w:szCs w:val="16"/>
              </w:rPr>
            </w:pPr>
          </w:p>
          <w:p w:rsidR="002E3AE7" w:rsidRPr="008E5E9C" w:rsidRDefault="002E3AE7" w:rsidP="003E0A02">
            <w:pPr>
              <w:pStyle w:val="CommentText"/>
              <w:rPr>
                <w:sz w:val="16"/>
                <w:szCs w:val="16"/>
              </w:rPr>
            </w:pPr>
            <w:r w:rsidRPr="008E5E9C">
              <w:rPr>
                <w:sz w:val="16"/>
                <w:szCs w:val="16"/>
              </w:rPr>
              <w:t xml:space="preserve">Nº de barandillas instaladas:  </w:t>
            </w:r>
          </w:p>
          <w:p w:rsidR="002E3AE7" w:rsidRPr="008E5E9C" w:rsidRDefault="002E3AE7" w:rsidP="002E3AE7">
            <w:pPr>
              <w:pStyle w:val="CommentText"/>
              <w:numPr>
                <w:ilvl w:val="0"/>
                <w:numId w:val="94"/>
              </w:numPr>
              <w:ind w:left="212" w:hanging="180"/>
              <w:rPr>
                <w:sz w:val="16"/>
                <w:szCs w:val="16"/>
              </w:rPr>
            </w:pPr>
            <w:r w:rsidRPr="008E5E9C">
              <w:rPr>
                <w:sz w:val="16"/>
                <w:szCs w:val="16"/>
              </w:rPr>
              <w:t xml:space="preserve">Pasadizo del edificio GBI al edificio GBII (5 de 5)  </w:t>
            </w:r>
          </w:p>
          <w:p w:rsidR="002E3AE7" w:rsidRPr="008E5E9C" w:rsidRDefault="002E3AE7" w:rsidP="003E0A02">
            <w:pPr>
              <w:pStyle w:val="CommentText"/>
              <w:ind w:left="212"/>
              <w:rPr>
                <w:sz w:val="16"/>
                <w:szCs w:val="16"/>
              </w:rPr>
            </w:pPr>
          </w:p>
          <w:p w:rsidR="002E3AE7" w:rsidRPr="008E5E9C" w:rsidRDefault="002E3AE7" w:rsidP="003E0A02">
            <w:pPr>
              <w:rPr>
                <w:sz w:val="16"/>
                <w:szCs w:val="16"/>
              </w:rPr>
            </w:pPr>
          </w:p>
        </w:tc>
        <w:tc>
          <w:tcPr>
            <w:tcW w:w="461" w:type="pct"/>
            <w:shd w:val="clear" w:color="auto" w:fill="auto"/>
            <w:tcMar>
              <w:top w:w="110" w:type="dxa"/>
              <w:left w:w="58" w:type="dxa"/>
              <w:right w:w="58" w:type="dxa"/>
            </w:tcMar>
          </w:tcPr>
          <w:p w:rsidR="002E3AE7" w:rsidRPr="008E5E9C" w:rsidRDefault="002E3AE7" w:rsidP="003E0A02">
            <w:pPr>
              <w:keepNext/>
              <w:keepLines/>
              <w:jc w:val="center"/>
              <w:rPr>
                <w:b/>
                <w:sz w:val="16"/>
                <w:szCs w:val="16"/>
              </w:rPr>
            </w:pPr>
            <w:r w:rsidRPr="008E5E9C">
              <w:rPr>
                <w:b/>
                <w:color w:val="FF0000"/>
                <w:sz w:val="16"/>
                <w:szCs w:val="16"/>
              </w:rPr>
              <w:t>No avanza</w:t>
            </w: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p>
          <w:p w:rsidR="002E3AE7" w:rsidRPr="008E5E9C" w:rsidRDefault="002E3AE7" w:rsidP="003E0A02">
            <w:pPr>
              <w:keepNext/>
              <w:keepLines/>
              <w:jc w:val="center"/>
              <w:rPr>
                <w:b/>
                <w:sz w:val="16"/>
                <w:szCs w:val="16"/>
              </w:rPr>
            </w:pPr>
            <w:r w:rsidRPr="008E5E9C">
              <w:rPr>
                <w:b/>
                <w:color w:val="FF0000"/>
                <w:sz w:val="16"/>
                <w:szCs w:val="16"/>
              </w:rPr>
              <w:t>No avanza</w:t>
            </w:r>
          </w:p>
          <w:p w:rsidR="002E3AE7" w:rsidRPr="008E5E9C" w:rsidRDefault="002E3AE7" w:rsidP="003E0A02">
            <w:pPr>
              <w:keepNext/>
              <w:keepLines/>
              <w:jc w:val="center"/>
              <w:rPr>
                <w:b/>
                <w:sz w:val="16"/>
                <w:szCs w:val="16"/>
              </w:rPr>
            </w:pPr>
          </w:p>
          <w:p w:rsidR="002E3AE7" w:rsidRPr="008E5E9C" w:rsidRDefault="002E3AE7" w:rsidP="003E0A02">
            <w:pPr>
              <w:keepNext/>
              <w:keepLines/>
              <w:rPr>
                <w:b/>
                <w:sz w:val="16"/>
                <w:szCs w:val="16"/>
              </w:rPr>
            </w:pPr>
          </w:p>
          <w:p w:rsidR="002E3AE7" w:rsidRPr="008E5E9C" w:rsidRDefault="002E3AE7" w:rsidP="003E0A02">
            <w:pPr>
              <w:keepNext/>
              <w:keepLines/>
              <w:jc w:val="center"/>
              <w:rPr>
                <w:sz w:val="16"/>
                <w:szCs w:val="16"/>
              </w:rPr>
            </w:pPr>
          </w:p>
        </w:tc>
      </w:tr>
    </w:tbl>
    <w:p w:rsidR="002E3AE7" w:rsidRPr="008E5E9C" w:rsidRDefault="002E3AE7" w:rsidP="003E0A02">
      <w:pPr>
        <w:rPr>
          <w:sz w:val="20"/>
          <w:szCs w:val="2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2E3AE7" w:rsidRPr="008E5E9C" w:rsidTr="003E0A02">
        <w:trPr>
          <w:trHeight w:val="423"/>
          <w:jc w:val="center"/>
        </w:trPr>
        <w:tc>
          <w:tcPr>
            <w:tcW w:w="9287" w:type="dxa"/>
            <w:shd w:val="clear" w:color="auto" w:fill="C6D9F1" w:themeFill="text2" w:themeFillTint="33"/>
            <w:vAlign w:val="center"/>
          </w:tcPr>
          <w:p w:rsidR="002E3AE7" w:rsidRPr="008E5E9C" w:rsidRDefault="002E3AE7" w:rsidP="003E0A02">
            <w:pPr>
              <w:keepNext/>
              <w:keepLines/>
              <w:jc w:val="center"/>
              <w:rPr>
                <w:b/>
                <w:sz w:val="20"/>
              </w:rPr>
            </w:pPr>
            <w:r w:rsidRPr="008E5E9C">
              <w:rPr>
                <w:b/>
                <w:sz w:val="20"/>
              </w:rPr>
              <w:t>Utilización de los recursos del programa 24</w:t>
            </w:r>
          </w:p>
        </w:tc>
      </w:tr>
    </w:tbl>
    <w:p w:rsidR="002E3AE7" w:rsidRPr="008E5E9C" w:rsidRDefault="002E3AE7" w:rsidP="003E0A02">
      <w:pPr>
        <w:rPr>
          <w:sz w:val="20"/>
        </w:rPr>
      </w:pPr>
    </w:p>
    <w:p w:rsidR="002E3AE7" w:rsidRPr="008E5E9C" w:rsidRDefault="002E3AE7" w:rsidP="003E0A02">
      <w:pPr>
        <w:pStyle w:val="NormalWeb"/>
        <w:keepNext/>
        <w:keepLines/>
        <w:spacing w:before="0" w:beforeAutospacing="0" w:after="0" w:afterAutospacing="0"/>
        <w:jc w:val="center"/>
        <w:rPr>
          <w:lang w:val="es-ES"/>
        </w:rPr>
      </w:pPr>
      <w:r w:rsidRPr="008E5E9C">
        <w:rPr>
          <w:lang w:val="es-ES"/>
        </w:rPr>
        <w:t>Presupuesto y gastos reales (por resultado)</w:t>
      </w:r>
    </w:p>
    <w:p w:rsidR="002E3AE7" w:rsidRPr="008E5E9C" w:rsidRDefault="002E3AE7" w:rsidP="003E0A02">
      <w:pPr>
        <w:pStyle w:val="NormalWeb"/>
        <w:keepNext/>
        <w:keepLines/>
        <w:spacing w:before="0" w:beforeAutospacing="0" w:after="0" w:afterAutospacing="0"/>
        <w:jc w:val="center"/>
        <w:rPr>
          <w:i/>
          <w:iCs/>
          <w:sz w:val="16"/>
          <w:szCs w:val="16"/>
          <w:lang w:val="es-ES"/>
        </w:rPr>
      </w:pPr>
      <w:r w:rsidRPr="008E5E9C">
        <w:rPr>
          <w:i/>
          <w:iCs/>
          <w:sz w:val="16"/>
          <w:szCs w:val="16"/>
          <w:lang w:val="es-ES"/>
        </w:rPr>
        <w:t>(en miles de francos suizos)</w:t>
      </w:r>
    </w:p>
    <w:p w:rsidR="002E3AE7" w:rsidRPr="008E5E9C" w:rsidRDefault="002E3AE7" w:rsidP="003E0A02">
      <w:pPr>
        <w:rPr>
          <w:sz w:val="20"/>
        </w:rPr>
      </w:pPr>
    </w:p>
    <w:tbl>
      <w:tblPr>
        <w:tblW w:w="8222" w:type="dxa"/>
        <w:jc w:val="center"/>
        <w:tblLook w:val="04A0" w:firstRow="1" w:lastRow="0" w:firstColumn="1" w:lastColumn="0" w:noHBand="0" w:noVBand="1"/>
      </w:tblPr>
      <w:tblGrid>
        <w:gridCol w:w="626"/>
        <w:gridCol w:w="4235"/>
        <w:gridCol w:w="1186"/>
        <w:gridCol w:w="1310"/>
        <w:gridCol w:w="1170"/>
      </w:tblGrid>
      <w:tr w:rsidR="002E3AE7" w:rsidRPr="008E5E9C" w:rsidTr="003E0A02">
        <w:trPr>
          <w:trHeight w:val="825"/>
          <w:jc w:val="center"/>
        </w:trPr>
        <w:tc>
          <w:tcPr>
            <w:tcW w:w="4861" w:type="dxa"/>
            <w:gridSpan w:val="2"/>
            <w:tcBorders>
              <w:top w:val="nil"/>
              <w:left w:val="nil"/>
              <w:bottom w:val="nil"/>
              <w:right w:val="nil"/>
            </w:tcBorders>
            <w:shd w:val="clear" w:color="000000" w:fill="C5D9F1"/>
            <w:noWrap/>
            <w:vAlign w:val="center"/>
            <w:hideMark/>
          </w:tcPr>
          <w:p w:rsidR="002E3AE7" w:rsidRPr="008E5E9C" w:rsidRDefault="002E3AE7" w:rsidP="003E0A02">
            <w:pPr>
              <w:jc w:val="center"/>
              <w:rPr>
                <w:b/>
                <w:bCs/>
                <w:sz w:val="16"/>
                <w:szCs w:val="16"/>
              </w:rPr>
            </w:pPr>
            <w:r w:rsidRPr="008E5E9C">
              <w:rPr>
                <w:b/>
                <w:bCs/>
                <w:sz w:val="16"/>
                <w:szCs w:val="16"/>
              </w:rPr>
              <w:t xml:space="preserve">Número del resultado previsto y descripción </w:t>
            </w:r>
          </w:p>
        </w:tc>
        <w:tc>
          <w:tcPr>
            <w:tcW w:w="1155" w:type="dxa"/>
            <w:tcBorders>
              <w:top w:val="nil"/>
              <w:left w:val="nil"/>
              <w:bottom w:val="nil"/>
              <w:right w:val="nil"/>
            </w:tcBorders>
            <w:shd w:val="clear" w:color="000000" w:fill="C5D9F1"/>
            <w:vAlign w:val="center"/>
            <w:hideMark/>
          </w:tcPr>
          <w:p w:rsidR="002E3AE7" w:rsidRPr="008E5E9C" w:rsidRDefault="002E3AE7" w:rsidP="003E0A02">
            <w:pPr>
              <w:jc w:val="center"/>
              <w:rPr>
                <w:b/>
                <w:bCs/>
                <w:sz w:val="16"/>
                <w:szCs w:val="16"/>
              </w:rPr>
            </w:pPr>
            <w:r w:rsidRPr="008E5E9C">
              <w:rPr>
                <w:b/>
                <w:bCs/>
                <w:sz w:val="16"/>
                <w:szCs w:val="16"/>
              </w:rPr>
              <w:t xml:space="preserve"> Presupuesto aprobado de 2016/17 </w:t>
            </w:r>
          </w:p>
        </w:tc>
        <w:tc>
          <w:tcPr>
            <w:tcW w:w="1154" w:type="dxa"/>
            <w:tcBorders>
              <w:top w:val="nil"/>
              <w:left w:val="nil"/>
              <w:bottom w:val="nil"/>
              <w:right w:val="nil"/>
            </w:tcBorders>
            <w:shd w:val="clear" w:color="000000" w:fill="C5D9F1"/>
            <w:vAlign w:val="center"/>
            <w:hideMark/>
          </w:tcPr>
          <w:p w:rsidR="002E3AE7" w:rsidRPr="008E5E9C" w:rsidRDefault="002E3AE7" w:rsidP="003E0A02">
            <w:pPr>
              <w:jc w:val="center"/>
              <w:rPr>
                <w:b/>
                <w:bCs/>
                <w:sz w:val="16"/>
                <w:szCs w:val="16"/>
              </w:rPr>
            </w:pPr>
            <w:r w:rsidRPr="008E5E9C">
              <w:rPr>
                <w:b/>
                <w:bCs/>
                <w:sz w:val="16"/>
                <w:szCs w:val="16"/>
              </w:rPr>
              <w:t xml:space="preserve"> Presupuesto de 2016/17 tras las transferencias </w:t>
            </w:r>
          </w:p>
        </w:tc>
        <w:tc>
          <w:tcPr>
            <w:tcW w:w="1170" w:type="dxa"/>
            <w:tcBorders>
              <w:top w:val="nil"/>
              <w:left w:val="nil"/>
              <w:bottom w:val="nil"/>
              <w:right w:val="nil"/>
            </w:tcBorders>
            <w:shd w:val="clear" w:color="000000" w:fill="C5D9F1"/>
            <w:vAlign w:val="center"/>
            <w:hideMark/>
          </w:tcPr>
          <w:p w:rsidR="002E3AE7" w:rsidRPr="008E5E9C" w:rsidRDefault="002E3AE7" w:rsidP="003E0A02">
            <w:pPr>
              <w:jc w:val="center"/>
              <w:rPr>
                <w:b/>
                <w:bCs/>
                <w:sz w:val="16"/>
                <w:szCs w:val="16"/>
              </w:rPr>
            </w:pPr>
            <w:r w:rsidRPr="008E5E9C">
              <w:rPr>
                <w:b/>
                <w:bCs/>
                <w:sz w:val="16"/>
                <w:szCs w:val="16"/>
              </w:rPr>
              <w:t xml:space="preserve"> Gastos en 2016* </w:t>
            </w:r>
          </w:p>
        </w:tc>
      </w:tr>
      <w:tr w:rsidR="002E3AE7" w:rsidRPr="008E5E9C" w:rsidTr="003E0A02">
        <w:trPr>
          <w:trHeight w:val="600"/>
          <w:jc w:val="center"/>
        </w:trPr>
        <w:tc>
          <w:tcPr>
            <w:tcW w:w="626" w:type="dxa"/>
            <w:tcBorders>
              <w:top w:val="nil"/>
              <w:left w:val="nil"/>
              <w:bottom w:val="nil"/>
              <w:right w:val="nil"/>
            </w:tcBorders>
            <w:shd w:val="clear" w:color="auto" w:fill="auto"/>
            <w:noWrap/>
            <w:vAlign w:val="center"/>
            <w:hideMark/>
          </w:tcPr>
          <w:p w:rsidR="002E3AE7" w:rsidRPr="008E5E9C" w:rsidRDefault="002E3AE7" w:rsidP="003E0A02">
            <w:pPr>
              <w:rPr>
                <w:sz w:val="16"/>
                <w:szCs w:val="16"/>
              </w:rPr>
            </w:pPr>
            <w:r w:rsidRPr="008E5E9C">
              <w:rPr>
                <w:sz w:val="16"/>
                <w:szCs w:val="16"/>
              </w:rPr>
              <w:t>VIII.5</w:t>
            </w:r>
          </w:p>
        </w:tc>
        <w:tc>
          <w:tcPr>
            <w:tcW w:w="4235" w:type="dxa"/>
            <w:tcBorders>
              <w:top w:val="nil"/>
              <w:left w:val="nil"/>
              <w:bottom w:val="nil"/>
              <w:right w:val="nil"/>
            </w:tcBorders>
            <w:shd w:val="clear" w:color="auto" w:fill="auto"/>
            <w:vAlign w:val="center"/>
            <w:hideMark/>
          </w:tcPr>
          <w:p w:rsidR="002E3AE7" w:rsidRPr="008E5E9C" w:rsidRDefault="002E3AE7" w:rsidP="003E0A02">
            <w:pPr>
              <w:rPr>
                <w:sz w:val="16"/>
                <w:szCs w:val="16"/>
              </w:rPr>
            </w:pPr>
            <w:r w:rsidRPr="008E5E9C">
              <w:rPr>
                <w:sz w:val="16"/>
                <w:szCs w:val="16"/>
              </w:rPr>
              <w:t>La OMPI participa y colabora eficazmente en los procesos y negociaciones de la ONU y otras OIG</w:t>
            </w:r>
          </w:p>
        </w:tc>
        <w:tc>
          <w:tcPr>
            <w:tcW w:w="1155"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1.476</w:t>
            </w:r>
          </w:p>
        </w:tc>
        <w:tc>
          <w:tcPr>
            <w:tcW w:w="1154"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1.559</w:t>
            </w:r>
          </w:p>
        </w:tc>
        <w:tc>
          <w:tcPr>
            <w:tcW w:w="1170"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694</w:t>
            </w:r>
          </w:p>
        </w:tc>
      </w:tr>
      <w:tr w:rsidR="002E3AE7" w:rsidRPr="008E5E9C" w:rsidTr="003E0A02">
        <w:trPr>
          <w:trHeight w:val="795"/>
          <w:jc w:val="center"/>
        </w:trPr>
        <w:tc>
          <w:tcPr>
            <w:tcW w:w="626" w:type="dxa"/>
            <w:tcBorders>
              <w:top w:val="nil"/>
              <w:left w:val="nil"/>
              <w:bottom w:val="nil"/>
              <w:right w:val="nil"/>
            </w:tcBorders>
            <w:shd w:val="clear" w:color="auto" w:fill="auto"/>
            <w:noWrap/>
            <w:vAlign w:val="center"/>
            <w:hideMark/>
          </w:tcPr>
          <w:p w:rsidR="002E3AE7" w:rsidRPr="008E5E9C" w:rsidRDefault="002E3AE7" w:rsidP="003E0A02">
            <w:pPr>
              <w:rPr>
                <w:sz w:val="16"/>
                <w:szCs w:val="16"/>
              </w:rPr>
            </w:pPr>
            <w:r w:rsidRPr="008E5E9C">
              <w:rPr>
                <w:sz w:val="16"/>
                <w:szCs w:val="16"/>
              </w:rPr>
              <w:t>IX.1</w:t>
            </w:r>
          </w:p>
        </w:tc>
        <w:tc>
          <w:tcPr>
            <w:tcW w:w="4235" w:type="dxa"/>
            <w:tcBorders>
              <w:top w:val="nil"/>
              <w:left w:val="nil"/>
              <w:bottom w:val="nil"/>
              <w:right w:val="nil"/>
            </w:tcBorders>
            <w:shd w:val="clear" w:color="auto" w:fill="auto"/>
            <w:vAlign w:val="center"/>
            <w:hideMark/>
          </w:tcPr>
          <w:p w:rsidR="002E3AE7" w:rsidRPr="008E5E9C" w:rsidRDefault="002E3AE7" w:rsidP="003E0A02">
            <w:pPr>
              <w:rPr>
                <w:sz w:val="16"/>
                <w:szCs w:val="16"/>
              </w:rPr>
            </w:pPr>
            <w:r w:rsidRPr="008E5E9C">
              <w:rPr>
                <w:sz w:val="16"/>
                <w:szCs w:val="16"/>
              </w:rPr>
              <w:t>Servicios de apoyo eficaces, eficientes, de calidad y orientados al cliente, tanto a los usuarios internos como a las partes interesadas externas</w:t>
            </w:r>
          </w:p>
        </w:tc>
        <w:tc>
          <w:tcPr>
            <w:tcW w:w="1155"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44.433</w:t>
            </w:r>
          </w:p>
        </w:tc>
        <w:tc>
          <w:tcPr>
            <w:tcW w:w="1154"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49.797</w:t>
            </w:r>
          </w:p>
        </w:tc>
        <w:tc>
          <w:tcPr>
            <w:tcW w:w="1170"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19.354</w:t>
            </w:r>
          </w:p>
        </w:tc>
      </w:tr>
      <w:tr w:rsidR="002E3AE7" w:rsidRPr="008E5E9C" w:rsidTr="003E0A02">
        <w:trPr>
          <w:trHeight w:val="1260"/>
          <w:jc w:val="center"/>
        </w:trPr>
        <w:tc>
          <w:tcPr>
            <w:tcW w:w="626" w:type="dxa"/>
            <w:tcBorders>
              <w:top w:val="nil"/>
              <w:left w:val="nil"/>
              <w:bottom w:val="nil"/>
              <w:right w:val="nil"/>
            </w:tcBorders>
            <w:shd w:val="clear" w:color="auto" w:fill="auto"/>
            <w:noWrap/>
            <w:vAlign w:val="center"/>
            <w:hideMark/>
          </w:tcPr>
          <w:p w:rsidR="002E3AE7" w:rsidRPr="008E5E9C" w:rsidRDefault="002E3AE7" w:rsidP="003E0A02">
            <w:pPr>
              <w:rPr>
                <w:sz w:val="16"/>
                <w:szCs w:val="16"/>
              </w:rPr>
            </w:pPr>
            <w:r w:rsidRPr="008E5E9C">
              <w:rPr>
                <w:sz w:val="16"/>
                <w:szCs w:val="16"/>
              </w:rPr>
              <w:t>IX.4</w:t>
            </w:r>
          </w:p>
        </w:tc>
        <w:tc>
          <w:tcPr>
            <w:tcW w:w="4235" w:type="dxa"/>
            <w:tcBorders>
              <w:top w:val="nil"/>
              <w:left w:val="nil"/>
              <w:bottom w:val="nil"/>
              <w:right w:val="nil"/>
            </w:tcBorders>
            <w:shd w:val="clear" w:color="auto" w:fill="auto"/>
            <w:vAlign w:val="center"/>
            <w:hideMark/>
          </w:tcPr>
          <w:p w:rsidR="002E3AE7" w:rsidRPr="008E5E9C" w:rsidRDefault="002E3AE7" w:rsidP="003E0A02">
            <w:pPr>
              <w:rPr>
                <w:sz w:val="16"/>
                <w:szCs w:val="16"/>
              </w:rPr>
            </w:pPr>
            <w:r w:rsidRPr="008E5E9C">
              <w:rPr>
                <w:sz w:val="16"/>
                <w:szCs w:val="16"/>
              </w:rPr>
              <w:t>Una Organización responsable con el medio ambiente y la sociedad en la que se garantiza la seguridad del personal de la OMPI, los delegados, los visitantes, la información y los activos físicos</w:t>
            </w:r>
          </w:p>
        </w:tc>
        <w:tc>
          <w:tcPr>
            <w:tcW w:w="1155"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1.308</w:t>
            </w:r>
          </w:p>
        </w:tc>
        <w:tc>
          <w:tcPr>
            <w:tcW w:w="1154"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1.216</w:t>
            </w:r>
          </w:p>
        </w:tc>
        <w:tc>
          <w:tcPr>
            <w:tcW w:w="1170" w:type="dxa"/>
            <w:tcBorders>
              <w:top w:val="nil"/>
              <w:left w:val="nil"/>
              <w:bottom w:val="nil"/>
              <w:right w:val="nil"/>
            </w:tcBorders>
            <w:shd w:val="clear" w:color="auto" w:fill="auto"/>
            <w:noWrap/>
            <w:vAlign w:val="center"/>
            <w:hideMark/>
          </w:tcPr>
          <w:p w:rsidR="002E3AE7" w:rsidRPr="008E5E9C" w:rsidRDefault="002E3AE7" w:rsidP="003E0A02">
            <w:pPr>
              <w:jc w:val="center"/>
              <w:rPr>
                <w:sz w:val="16"/>
                <w:szCs w:val="16"/>
              </w:rPr>
            </w:pPr>
            <w:r w:rsidRPr="008E5E9C">
              <w:rPr>
                <w:sz w:val="16"/>
                <w:szCs w:val="16"/>
              </w:rPr>
              <w:t>537</w:t>
            </w:r>
          </w:p>
        </w:tc>
      </w:tr>
      <w:tr w:rsidR="002E3AE7" w:rsidRPr="008E5E9C" w:rsidTr="003E0A02">
        <w:trPr>
          <w:trHeight w:val="225"/>
          <w:jc w:val="center"/>
        </w:trPr>
        <w:tc>
          <w:tcPr>
            <w:tcW w:w="626" w:type="dxa"/>
            <w:tcBorders>
              <w:top w:val="nil"/>
              <w:left w:val="nil"/>
              <w:bottom w:val="nil"/>
              <w:right w:val="nil"/>
            </w:tcBorders>
            <w:shd w:val="clear" w:color="000000" w:fill="C5D9F1"/>
            <w:noWrap/>
            <w:vAlign w:val="bottom"/>
            <w:hideMark/>
          </w:tcPr>
          <w:p w:rsidR="002E3AE7" w:rsidRPr="008E5E9C" w:rsidRDefault="002E3AE7" w:rsidP="003E0A02">
            <w:pPr>
              <w:rPr>
                <w:sz w:val="16"/>
                <w:szCs w:val="16"/>
              </w:rPr>
            </w:pPr>
            <w:r w:rsidRPr="008E5E9C">
              <w:rPr>
                <w:sz w:val="16"/>
                <w:szCs w:val="16"/>
              </w:rPr>
              <w:t> </w:t>
            </w:r>
          </w:p>
        </w:tc>
        <w:tc>
          <w:tcPr>
            <w:tcW w:w="4235" w:type="dxa"/>
            <w:tcBorders>
              <w:top w:val="nil"/>
              <w:left w:val="nil"/>
              <w:bottom w:val="nil"/>
              <w:right w:val="nil"/>
            </w:tcBorders>
            <w:shd w:val="clear" w:color="000000" w:fill="C5D9F1"/>
            <w:noWrap/>
            <w:vAlign w:val="bottom"/>
            <w:hideMark/>
          </w:tcPr>
          <w:p w:rsidR="002E3AE7" w:rsidRPr="008E5E9C" w:rsidRDefault="002E3AE7" w:rsidP="003E0A02">
            <w:pPr>
              <w:jc w:val="right"/>
              <w:rPr>
                <w:b/>
                <w:bCs/>
                <w:sz w:val="16"/>
                <w:szCs w:val="16"/>
              </w:rPr>
            </w:pPr>
            <w:r w:rsidRPr="008E5E9C">
              <w:rPr>
                <w:b/>
                <w:bCs/>
                <w:sz w:val="16"/>
                <w:szCs w:val="16"/>
              </w:rPr>
              <w:t>Total</w:t>
            </w:r>
          </w:p>
        </w:tc>
        <w:tc>
          <w:tcPr>
            <w:tcW w:w="1155" w:type="dxa"/>
            <w:tcBorders>
              <w:top w:val="nil"/>
              <w:left w:val="nil"/>
              <w:bottom w:val="nil"/>
              <w:right w:val="nil"/>
            </w:tcBorders>
            <w:shd w:val="clear" w:color="000000" w:fill="C5D9F1"/>
            <w:noWrap/>
            <w:vAlign w:val="center"/>
            <w:hideMark/>
          </w:tcPr>
          <w:p w:rsidR="002E3AE7" w:rsidRPr="008E5E9C" w:rsidRDefault="002E3AE7" w:rsidP="003E0A02">
            <w:pPr>
              <w:jc w:val="center"/>
              <w:rPr>
                <w:sz w:val="16"/>
                <w:szCs w:val="16"/>
              </w:rPr>
            </w:pPr>
            <w:r w:rsidRPr="008E5E9C">
              <w:rPr>
                <w:sz w:val="16"/>
                <w:szCs w:val="16"/>
              </w:rPr>
              <w:t>47.216</w:t>
            </w:r>
          </w:p>
        </w:tc>
        <w:tc>
          <w:tcPr>
            <w:tcW w:w="1154" w:type="dxa"/>
            <w:tcBorders>
              <w:top w:val="nil"/>
              <w:left w:val="nil"/>
              <w:bottom w:val="nil"/>
              <w:right w:val="nil"/>
            </w:tcBorders>
            <w:shd w:val="clear" w:color="000000" w:fill="C5D9F1"/>
            <w:noWrap/>
            <w:vAlign w:val="center"/>
            <w:hideMark/>
          </w:tcPr>
          <w:p w:rsidR="002E3AE7" w:rsidRPr="008E5E9C" w:rsidRDefault="002E3AE7" w:rsidP="003E0A02">
            <w:pPr>
              <w:jc w:val="center"/>
              <w:rPr>
                <w:sz w:val="16"/>
                <w:szCs w:val="16"/>
              </w:rPr>
            </w:pPr>
            <w:r w:rsidRPr="008E5E9C">
              <w:rPr>
                <w:sz w:val="16"/>
                <w:szCs w:val="16"/>
              </w:rPr>
              <w:t>52.572</w:t>
            </w:r>
          </w:p>
        </w:tc>
        <w:tc>
          <w:tcPr>
            <w:tcW w:w="1170" w:type="dxa"/>
            <w:tcBorders>
              <w:top w:val="nil"/>
              <w:left w:val="nil"/>
              <w:bottom w:val="nil"/>
              <w:right w:val="nil"/>
            </w:tcBorders>
            <w:shd w:val="clear" w:color="000000" w:fill="C5D9F1"/>
            <w:noWrap/>
            <w:vAlign w:val="center"/>
            <w:hideMark/>
          </w:tcPr>
          <w:p w:rsidR="002E3AE7" w:rsidRPr="008E5E9C" w:rsidRDefault="002E3AE7" w:rsidP="003E0A02">
            <w:pPr>
              <w:jc w:val="center"/>
              <w:rPr>
                <w:sz w:val="16"/>
                <w:szCs w:val="16"/>
              </w:rPr>
            </w:pPr>
            <w:r w:rsidRPr="008E5E9C">
              <w:rPr>
                <w:sz w:val="16"/>
                <w:szCs w:val="16"/>
              </w:rPr>
              <w:t>20.584</w:t>
            </w:r>
          </w:p>
        </w:tc>
      </w:tr>
      <w:tr w:rsidR="002E3AE7" w:rsidRPr="008E5E9C" w:rsidTr="003E0A02">
        <w:trPr>
          <w:trHeight w:val="330"/>
          <w:jc w:val="center"/>
        </w:trPr>
        <w:tc>
          <w:tcPr>
            <w:tcW w:w="7170" w:type="dxa"/>
            <w:gridSpan w:val="4"/>
            <w:tcBorders>
              <w:top w:val="nil"/>
              <w:left w:val="nil"/>
              <w:bottom w:val="nil"/>
              <w:right w:val="nil"/>
            </w:tcBorders>
            <w:shd w:val="clear" w:color="auto" w:fill="auto"/>
            <w:noWrap/>
            <w:vAlign w:val="center"/>
            <w:hideMark/>
          </w:tcPr>
          <w:p w:rsidR="002E3AE7" w:rsidRPr="008E5E9C" w:rsidRDefault="002E3AE7" w:rsidP="003E0A02">
            <w:pPr>
              <w:rPr>
                <w:i/>
                <w:iCs/>
                <w:sz w:val="16"/>
                <w:szCs w:val="16"/>
              </w:rPr>
            </w:pPr>
            <w:r w:rsidRPr="008E5E9C">
              <w:rPr>
                <w:i/>
                <w:iCs/>
                <w:sz w:val="16"/>
                <w:szCs w:val="16"/>
              </w:rPr>
              <w:t>*Las cifras de gastos en 2016 son preliminares, a reserva de verificación por el Auditor Externo.</w:t>
            </w:r>
          </w:p>
        </w:tc>
        <w:tc>
          <w:tcPr>
            <w:tcW w:w="1170" w:type="dxa"/>
            <w:tcBorders>
              <w:top w:val="nil"/>
              <w:left w:val="nil"/>
              <w:bottom w:val="nil"/>
              <w:right w:val="nil"/>
            </w:tcBorders>
            <w:shd w:val="clear" w:color="auto" w:fill="auto"/>
            <w:noWrap/>
            <w:vAlign w:val="center"/>
            <w:hideMark/>
          </w:tcPr>
          <w:p w:rsidR="002E3AE7" w:rsidRPr="008E5E9C" w:rsidRDefault="002E3AE7" w:rsidP="003E0A02">
            <w:pPr>
              <w:rPr>
                <w:sz w:val="16"/>
                <w:szCs w:val="16"/>
              </w:rPr>
            </w:pPr>
          </w:p>
        </w:tc>
      </w:tr>
    </w:tbl>
    <w:p w:rsidR="002E3AE7" w:rsidRPr="008E5E9C" w:rsidRDefault="002E3AE7" w:rsidP="003E0A02">
      <w:pPr>
        <w:rPr>
          <w:sz w:val="20"/>
        </w:rPr>
      </w:pPr>
    </w:p>
    <w:p w:rsidR="002E3AE7" w:rsidRPr="008E5E9C" w:rsidRDefault="002E3AE7" w:rsidP="003E0A02">
      <w:pPr>
        <w:pStyle w:val="NormalWeb"/>
        <w:keepNext/>
        <w:keepLines/>
        <w:spacing w:before="0" w:beforeAutospacing="0" w:after="0" w:afterAutospacing="0"/>
        <w:jc w:val="center"/>
        <w:rPr>
          <w:lang w:val="es-ES"/>
        </w:rPr>
      </w:pPr>
      <w:r w:rsidRPr="008E5E9C">
        <w:rPr>
          <w:lang w:val="es-ES"/>
        </w:rPr>
        <w:lastRenderedPageBreak/>
        <w:t xml:space="preserve">Presupuesto y gastos reales (de personal y no relativos a personal) </w:t>
      </w:r>
    </w:p>
    <w:p w:rsidR="002E3AE7" w:rsidRPr="008E5E9C" w:rsidRDefault="002E3AE7" w:rsidP="003E0A02">
      <w:pPr>
        <w:pStyle w:val="NormalWeb"/>
        <w:keepNext/>
        <w:keepLines/>
        <w:spacing w:before="0" w:beforeAutospacing="0" w:after="0" w:afterAutospacing="0"/>
        <w:jc w:val="center"/>
        <w:rPr>
          <w:noProof/>
          <w:lang w:val="es-ES"/>
        </w:rPr>
      </w:pPr>
      <w:r w:rsidRPr="008E5E9C">
        <w:rPr>
          <w:i/>
          <w:noProof/>
          <w:lang w:val="es-ES"/>
        </w:rPr>
        <w:t>(en miles de francos suizos)</w:t>
      </w:r>
    </w:p>
    <w:p w:rsidR="002E3AE7" w:rsidRPr="008E5E9C" w:rsidRDefault="002E3AE7" w:rsidP="003E0A02">
      <w:pPr>
        <w:keepNext/>
        <w:jc w:val="cente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2E3AE7" w:rsidRPr="008E5E9C"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8E5E9C" w:rsidRDefault="002E3AE7" w:rsidP="003E0A02">
            <w:pPr>
              <w:keepNext/>
              <w:rPr>
                <w:sz w:val="16"/>
                <w:szCs w:val="16"/>
              </w:rPr>
            </w:pPr>
            <w:r w:rsidRPr="008E5E9C">
              <w:rPr>
                <w:sz w:val="16"/>
                <w:szCs w:val="16"/>
              </w:rPr>
              <w:t> </w:t>
            </w:r>
          </w:p>
        </w:tc>
        <w:tc>
          <w:tcPr>
            <w:tcW w:w="1420" w:type="dxa"/>
            <w:tcBorders>
              <w:top w:val="nil"/>
              <w:left w:val="nil"/>
              <w:bottom w:val="nil"/>
              <w:right w:val="nil"/>
            </w:tcBorders>
            <w:shd w:val="clear" w:color="000000" w:fill="C5D9F1"/>
            <w:vAlign w:val="center"/>
            <w:hideMark/>
          </w:tcPr>
          <w:p w:rsidR="002E3AE7" w:rsidRPr="008E5E9C" w:rsidRDefault="002E3AE7" w:rsidP="003E0A02">
            <w:pPr>
              <w:keepNext/>
              <w:jc w:val="center"/>
              <w:rPr>
                <w:b/>
                <w:bCs/>
                <w:sz w:val="16"/>
                <w:szCs w:val="16"/>
              </w:rPr>
            </w:pPr>
            <w:r w:rsidRPr="008E5E9C">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2E3AE7" w:rsidRPr="008E5E9C" w:rsidRDefault="002E3AE7" w:rsidP="003E0A02">
            <w:pPr>
              <w:keepNext/>
              <w:jc w:val="center"/>
              <w:rPr>
                <w:b/>
                <w:bCs/>
                <w:sz w:val="16"/>
                <w:szCs w:val="16"/>
              </w:rPr>
            </w:pPr>
            <w:r w:rsidRPr="008E5E9C">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8E5E9C" w:rsidRDefault="002E3AE7" w:rsidP="003E0A02">
            <w:pPr>
              <w:keepNext/>
              <w:jc w:val="center"/>
              <w:rPr>
                <w:b/>
                <w:bCs/>
                <w:sz w:val="16"/>
                <w:szCs w:val="16"/>
              </w:rPr>
            </w:pPr>
            <w:r w:rsidRPr="008E5E9C">
              <w:rPr>
                <w:b/>
                <w:bCs/>
                <w:sz w:val="16"/>
                <w:szCs w:val="16"/>
              </w:rPr>
              <w:t>Gastos en 2016*</w:t>
            </w:r>
          </w:p>
        </w:tc>
        <w:tc>
          <w:tcPr>
            <w:tcW w:w="1420" w:type="dxa"/>
            <w:tcBorders>
              <w:top w:val="nil"/>
              <w:left w:val="nil"/>
              <w:bottom w:val="nil"/>
              <w:right w:val="nil"/>
            </w:tcBorders>
            <w:shd w:val="clear" w:color="000000" w:fill="C5D9F1"/>
            <w:vAlign w:val="center"/>
            <w:hideMark/>
          </w:tcPr>
          <w:p w:rsidR="002E3AE7" w:rsidRPr="008E5E9C" w:rsidRDefault="002E3AE7" w:rsidP="003E0A02">
            <w:pPr>
              <w:keepNext/>
              <w:jc w:val="center"/>
              <w:rPr>
                <w:b/>
                <w:bCs/>
                <w:sz w:val="16"/>
                <w:szCs w:val="16"/>
              </w:rPr>
            </w:pPr>
            <w:r w:rsidRPr="008E5E9C">
              <w:rPr>
                <w:b/>
                <w:bCs/>
                <w:sz w:val="16"/>
                <w:szCs w:val="16"/>
              </w:rPr>
              <w:t>Índice de utilización (%)</w:t>
            </w:r>
          </w:p>
        </w:tc>
      </w:tr>
      <w:tr w:rsidR="002E3AE7" w:rsidRPr="008E5E9C"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8E5E9C" w:rsidRDefault="002E3AE7" w:rsidP="003E0A02">
            <w:pPr>
              <w:rPr>
                <w:sz w:val="16"/>
                <w:szCs w:val="16"/>
              </w:rPr>
            </w:pPr>
            <w:r w:rsidRPr="008E5E9C">
              <w:rPr>
                <w:sz w:val="16"/>
                <w:szCs w:val="16"/>
              </w:rPr>
              <w:t xml:space="preserve">Recursos de personal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 xml:space="preserve">19.287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 xml:space="preserve">17.165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 xml:space="preserve">8.032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47%</w:t>
            </w:r>
          </w:p>
        </w:tc>
      </w:tr>
      <w:tr w:rsidR="002E3AE7" w:rsidRPr="008E5E9C"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8E5E9C" w:rsidRDefault="002E3AE7" w:rsidP="003E0A02">
            <w:pPr>
              <w:rPr>
                <w:sz w:val="16"/>
                <w:szCs w:val="16"/>
              </w:rPr>
            </w:pPr>
            <w:r w:rsidRPr="008E5E9C">
              <w:rPr>
                <w:sz w:val="16"/>
                <w:szCs w:val="16"/>
              </w:rPr>
              <w:t xml:space="preserve">Recursos no relativos a personal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 xml:space="preserve">27.930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 xml:space="preserve">35.408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 xml:space="preserve">12.552 </w:t>
            </w:r>
          </w:p>
        </w:tc>
        <w:tc>
          <w:tcPr>
            <w:tcW w:w="1420" w:type="dxa"/>
            <w:tcBorders>
              <w:top w:val="nil"/>
              <w:left w:val="nil"/>
              <w:bottom w:val="nil"/>
              <w:right w:val="nil"/>
            </w:tcBorders>
            <w:shd w:val="clear" w:color="auto" w:fill="auto"/>
            <w:vAlign w:val="center"/>
            <w:hideMark/>
          </w:tcPr>
          <w:p w:rsidR="002E3AE7" w:rsidRPr="008E5E9C" w:rsidRDefault="002E3AE7" w:rsidP="003E0A02">
            <w:pPr>
              <w:jc w:val="center"/>
              <w:rPr>
                <w:sz w:val="16"/>
                <w:szCs w:val="16"/>
              </w:rPr>
            </w:pPr>
            <w:r w:rsidRPr="008E5E9C">
              <w:rPr>
                <w:sz w:val="16"/>
                <w:szCs w:val="16"/>
              </w:rPr>
              <w:t>35%</w:t>
            </w:r>
          </w:p>
        </w:tc>
      </w:tr>
      <w:tr w:rsidR="002E3AE7" w:rsidRPr="008E5E9C"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8E5E9C" w:rsidRDefault="002E3AE7" w:rsidP="003E0A02">
            <w:pPr>
              <w:jc w:val="right"/>
              <w:rPr>
                <w:b/>
                <w:bCs/>
                <w:sz w:val="16"/>
                <w:szCs w:val="16"/>
              </w:rPr>
            </w:pPr>
            <w:r w:rsidRPr="008E5E9C">
              <w:rPr>
                <w:b/>
                <w:bCs/>
                <w:sz w:val="16"/>
                <w:szCs w:val="16"/>
              </w:rPr>
              <w:t xml:space="preserve"> Total </w:t>
            </w:r>
          </w:p>
        </w:tc>
        <w:tc>
          <w:tcPr>
            <w:tcW w:w="1420" w:type="dxa"/>
            <w:tcBorders>
              <w:top w:val="nil"/>
              <w:left w:val="nil"/>
              <w:bottom w:val="nil"/>
              <w:right w:val="nil"/>
            </w:tcBorders>
            <w:shd w:val="clear" w:color="000000" w:fill="C5D9F1"/>
            <w:vAlign w:val="center"/>
            <w:hideMark/>
          </w:tcPr>
          <w:p w:rsidR="002E3AE7" w:rsidRPr="008E5E9C" w:rsidRDefault="002E3AE7" w:rsidP="003E0A02">
            <w:pPr>
              <w:jc w:val="center"/>
              <w:rPr>
                <w:b/>
                <w:bCs/>
                <w:sz w:val="16"/>
                <w:szCs w:val="16"/>
              </w:rPr>
            </w:pPr>
            <w:r w:rsidRPr="008E5E9C">
              <w:rPr>
                <w:b/>
                <w:bCs/>
                <w:sz w:val="16"/>
                <w:szCs w:val="16"/>
              </w:rPr>
              <w:t xml:space="preserve">47.216 </w:t>
            </w:r>
          </w:p>
        </w:tc>
        <w:tc>
          <w:tcPr>
            <w:tcW w:w="1420" w:type="dxa"/>
            <w:tcBorders>
              <w:top w:val="nil"/>
              <w:left w:val="nil"/>
              <w:bottom w:val="nil"/>
              <w:right w:val="nil"/>
            </w:tcBorders>
            <w:shd w:val="clear" w:color="000000" w:fill="C5D9F1"/>
            <w:vAlign w:val="center"/>
            <w:hideMark/>
          </w:tcPr>
          <w:p w:rsidR="002E3AE7" w:rsidRPr="008E5E9C" w:rsidRDefault="002E3AE7" w:rsidP="003E0A02">
            <w:pPr>
              <w:jc w:val="center"/>
              <w:rPr>
                <w:b/>
                <w:bCs/>
                <w:sz w:val="16"/>
                <w:szCs w:val="16"/>
              </w:rPr>
            </w:pPr>
            <w:r w:rsidRPr="008E5E9C">
              <w:rPr>
                <w:b/>
                <w:bCs/>
                <w:sz w:val="16"/>
                <w:szCs w:val="16"/>
              </w:rPr>
              <w:t xml:space="preserve">52.572 </w:t>
            </w:r>
          </w:p>
        </w:tc>
        <w:tc>
          <w:tcPr>
            <w:tcW w:w="1420" w:type="dxa"/>
            <w:tcBorders>
              <w:top w:val="nil"/>
              <w:left w:val="nil"/>
              <w:bottom w:val="nil"/>
              <w:right w:val="nil"/>
            </w:tcBorders>
            <w:shd w:val="clear" w:color="000000" w:fill="C5D9F1"/>
            <w:vAlign w:val="center"/>
            <w:hideMark/>
          </w:tcPr>
          <w:p w:rsidR="002E3AE7" w:rsidRPr="008E5E9C" w:rsidRDefault="002E3AE7" w:rsidP="003E0A02">
            <w:pPr>
              <w:jc w:val="center"/>
              <w:rPr>
                <w:b/>
                <w:bCs/>
                <w:sz w:val="16"/>
                <w:szCs w:val="16"/>
              </w:rPr>
            </w:pPr>
            <w:r w:rsidRPr="008E5E9C">
              <w:rPr>
                <w:b/>
                <w:bCs/>
                <w:sz w:val="16"/>
                <w:szCs w:val="16"/>
              </w:rPr>
              <w:t xml:space="preserve">20.584 </w:t>
            </w:r>
          </w:p>
        </w:tc>
        <w:tc>
          <w:tcPr>
            <w:tcW w:w="1420" w:type="dxa"/>
            <w:tcBorders>
              <w:top w:val="nil"/>
              <w:left w:val="nil"/>
              <w:bottom w:val="nil"/>
              <w:right w:val="nil"/>
            </w:tcBorders>
            <w:shd w:val="clear" w:color="000000" w:fill="C5D9F1"/>
            <w:vAlign w:val="center"/>
            <w:hideMark/>
          </w:tcPr>
          <w:p w:rsidR="002E3AE7" w:rsidRPr="008E5E9C" w:rsidRDefault="002E3AE7" w:rsidP="003E0A02">
            <w:pPr>
              <w:jc w:val="center"/>
              <w:rPr>
                <w:b/>
                <w:bCs/>
                <w:sz w:val="16"/>
                <w:szCs w:val="16"/>
              </w:rPr>
            </w:pPr>
            <w:r w:rsidRPr="008E5E9C">
              <w:rPr>
                <w:b/>
                <w:bCs/>
                <w:sz w:val="16"/>
                <w:szCs w:val="16"/>
              </w:rPr>
              <w:t>39%</w:t>
            </w:r>
          </w:p>
        </w:tc>
      </w:tr>
      <w:tr w:rsidR="002E3AE7" w:rsidRPr="008E5E9C"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8E5E9C" w:rsidRDefault="002E3AE7" w:rsidP="003E0A02">
            <w:pPr>
              <w:rPr>
                <w:i/>
                <w:iCs/>
                <w:sz w:val="16"/>
                <w:szCs w:val="16"/>
              </w:rPr>
            </w:pPr>
            <w:r w:rsidRPr="008E5E9C">
              <w:rPr>
                <w:i/>
                <w:iCs/>
                <w:sz w:val="16"/>
                <w:szCs w:val="16"/>
              </w:rPr>
              <w:t xml:space="preserve"> *Las cifras de gastos en 2016 son preliminares, a reserva de verificación por el Auditor Externo.</w:t>
            </w:r>
          </w:p>
        </w:tc>
      </w:tr>
    </w:tbl>
    <w:p w:rsidR="002E3AE7" w:rsidRPr="008E5E9C" w:rsidRDefault="002E3AE7" w:rsidP="003E0A02">
      <w:pPr>
        <w:rPr>
          <w:sz w:val="20"/>
        </w:rPr>
      </w:pPr>
    </w:p>
    <w:p w:rsidR="002E3AE7" w:rsidRPr="008E5E9C" w:rsidRDefault="002E3AE7" w:rsidP="003E0A02">
      <w:pPr>
        <w:keepNext/>
        <w:keepLines/>
        <w:ind w:left="567" w:right="282"/>
        <w:rPr>
          <w:i/>
          <w:sz w:val="16"/>
          <w:szCs w:val="16"/>
        </w:rPr>
      </w:pPr>
      <w:r w:rsidRPr="008E5E9C">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8E5E9C" w:rsidRDefault="002E3AE7" w:rsidP="003E0A02">
      <w:pPr>
        <w:rPr>
          <w:sz w:val="20"/>
        </w:rPr>
      </w:pPr>
    </w:p>
    <w:p w:rsidR="002E3AE7" w:rsidRPr="008E5E9C" w:rsidRDefault="002E3AE7" w:rsidP="003E0A02">
      <w:pPr>
        <w:rPr>
          <w:sz w:val="20"/>
        </w:rPr>
      </w:pPr>
    </w:p>
    <w:p w:rsidR="002E3AE7" w:rsidRPr="008E5E9C" w:rsidRDefault="002E3AE7" w:rsidP="003E0A02">
      <w:pPr>
        <w:jc w:val="both"/>
        <w:rPr>
          <w:sz w:val="20"/>
          <w:u w:val="single"/>
        </w:rPr>
      </w:pPr>
      <w:r w:rsidRPr="008E5E9C">
        <w:rPr>
          <w:sz w:val="20"/>
        </w:rPr>
        <w:t>A.</w:t>
      </w:r>
      <w:r w:rsidRPr="008E5E9C">
        <w:rPr>
          <w:sz w:val="20"/>
        </w:rPr>
        <w:tab/>
      </w:r>
      <w:r w:rsidRPr="008E5E9C">
        <w:rPr>
          <w:sz w:val="20"/>
          <w:u w:val="single"/>
        </w:rPr>
        <w:t>Presupuesto de 2016/17 tras las transferencias</w:t>
      </w:r>
    </w:p>
    <w:p w:rsidR="002E3AE7" w:rsidRPr="008E5E9C" w:rsidRDefault="002E3AE7" w:rsidP="003E0A02">
      <w:pPr>
        <w:jc w:val="both"/>
        <w:rPr>
          <w:sz w:val="20"/>
        </w:rPr>
      </w:pPr>
    </w:p>
    <w:p w:rsidR="002E3AE7" w:rsidRPr="008E5E9C" w:rsidRDefault="002E3AE7" w:rsidP="002E3AE7">
      <w:pPr>
        <w:pStyle w:val="ListParagraph"/>
        <w:numPr>
          <w:ilvl w:val="0"/>
          <w:numId w:val="96"/>
        </w:numPr>
        <w:ind w:left="0" w:firstLine="0"/>
        <w:contextualSpacing/>
        <w:jc w:val="both"/>
        <w:rPr>
          <w:lang w:val="es-ES"/>
        </w:rPr>
      </w:pPr>
      <w:r w:rsidRPr="008E5E9C">
        <w:rPr>
          <w:lang w:val="es-ES"/>
        </w:rPr>
        <w:t xml:space="preserve">El presupuesto tras las transferencias reflejó un aumento neto de recursos no relativos a personal debido principalmente a:  i) la asignación de nuevos recursos a fin de cubrir el interés pagado por anticipado en relación con el reembolso del préstamo para el nuevo edificio;  y ii) el trasvase de recursos de personal a recursos no relativos a personal en apoyo de las actividades de adquisición de T.I. y la preparación de las Asambleas.  Esto se compensó en parte gracias a la transferencia del i) grupo de mensajeros y chóferes del programa 24 al programa 27 (Servicios de conferencias y lingüísticos), como se refleja en los resultados previstos IX.1 (Servicios de apoyo eficaces, eficientes, de calidad y orientados al cliente) y IX.4 (Una Organización responsable con el medio ambiente y la sociedad);  y ii) los gastos inferiores a los previstos en 2016 en materia de mantenimiento, dotación de servicios y renovaciones de locales e instalaciones de la OMPI, como se refleja en el resultado previsto IX.1, a otras prioridades organizativas.  </w:t>
      </w:r>
    </w:p>
    <w:p w:rsidR="002E3AE7" w:rsidRPr="008E5E9C" w:rsidRDefault="002E3AE7" w:rsidP="003E0A02">
      <w:pPr>
        <w:jc w:val="both"/>
        <w:rPr>
          <w:sz w:val="20"/>
        </w:rPr>
      </w:pPr>
    </w:p>
    <w:p w:rsidR="002E3AE7" w:rsidRPr="008E5E9C" w:rsidRDefault="002E3AE7" w:rsidP="002E3AE7">
      <w:pPr>
        <w:pStyle w:val="ListParagraph"/>
        <w:numPr>
          <w:ilvl w:val="0"/>
          <w:numId w:val="96"/>
        </w:numPr>
        <w:ind w:left="0" w:firstLine="0"/>
        <w:contextualSpacing/>
        <w:jc w:val="both"/>
        <w:rPr>
          <w:lang w:val="es-ES"/>
        </w:rPr>
      </w:pPr>
      <w:r w:rsidRPr="008E5E9C">
        <w:rPr>
          <w:lang w:val="es-ES"/>
        </w:rPr>
        <w:t>El descenso general de los recursos de personal en comparación con el presupuesto aprobado de 2016/17 es el resultado neto, por una parte, de las reclasificaciones y las regularizaciones completadas de funciones de carácter continuo y, por otra, del traslado del grupo de mensajeros y chóferes al programa 27, según lo referido más arriba.</w:t>
      </w:r>
    </w:p>
    <w:p w:rsidR="002E3AE7" w:rsidRPr="008E5E9C" w:rsidRDefault="002E3AE7" w:rsidP="003E0A02">
      <w:pPr>
        <w:jc w:val="both"/>
        <w:rPr>
          <w:sz w:val="20"/>
        </w:rPr>
      </w:pPr>
    </w:p>
    <w:p w:rsidR="002E3AE7" w:rsidRPr="008E5E9C" w:rsidRDefault="002E3AE7" w:rsidP="003E0A02">
      <w:pPr>
        <w:jc w:val="both"/>
        <w:rPr>
          <w:sz w:val="20"/>
          <w:u w:val="single"/>
        </w:rPr>
      </w:pPr>
      <w:r w:rsidRPr="008E5E9C">
        <w:rPr>
          <w:sz w:val="20"/>
        </w:rPr>
        <w:t>B.</w:t>
      </w:r>
      <w:r w:rsidRPr="008E5E9C">
        <w:rPr>
          <w:sz w:val="20"/>
        </w:rPr>
        <w:tab/>
      </w:r>
      <w:r w:rsidRPr="008E5E9C">
        <w:rPr>
          <w:sz w:val="20"/>
          <w:u w:val="single"/>
        </w:rPr>
        <w:t>Utilización del presupuesto en 2016/17</w:t>
      </w:r>
    </w:p>
    <w:p w:rsidR="002E3AE7" w:rsidRPr="008E5E9C" w:rsidRDefault="002E3AE7" w:rsidP="003E0A02">
      <w:pPr>
        <w:jc w:val="both"/>
        <w:rPr>
          <w:sz w:val="20"/>
        </w:rPr>
      </w:pPr>
    </w:p>
    <w:p w:rsidR="002E3AE7" w:rsidRPr="008E5E9C" w:rsidRDefault="002E3AE7" w:rsidP="002E3AE7">
      <w:pPr>
        <w:pStyle w:val="ListParagraph"/>
        <w:numPr>
          <w:ilvl w:val="0"/>
          <w:numId w:val="96"/>
        </w:numPr>
        <w:ind w:left="0" w:firstLine="0"/>
        <w:contextualSpacing/>
        <w:jc w:val="both"/>
        <w:rPr>
          <w:lang w:val="es-ES"/>
        </w:rPr>
      </w:pPr>
      <w:r w:rsidRPr="008E5E9C">
        <w:rPr>
          <w:lang w:val="es-ES"/>
        </w:rPr>
        <w:t>La utilización del presupuesto se ha mantenido dentro de los límites establecidos (40-60%) durante el primer año del bienio.  La utilización levemente inferior de los recursos de personal se debió principalmente a las vacantes, las coberturas temporales y el personal en régimen de trabajo a tiempo parcial.</w:t>
      </w:r>
    </w:p>
    <w:p w:rsidR="002E3AE7" w:rsidRPr="008E5E9C" w:rsidRDefault="002E3AE7" w:rsidP="003E0A02">
      <w:pPr>
        <w:pStyle w:val="ListParagraph"/>
        <w:ind w:left="0"/>
        <w:jc w:val="both"/>
        <w:rPr>
          <w:lang w:val="es-ES"/>
        </w:rPr>
      </w:pPr>
    </w:p>
    <w:p w:rsidR="002E3AE7" w:rsidRPr="008E5E9C" w:rsidRDefault="002E3AE7" w:rsidP="003E0A02">
      <w:pPr>
        <w:pStyle w:val="ListParagraph"/>
        <w:ind w:left="0"/>
        <w:jc w:val="both"/>
        <w:rPr>
          <w:lang w:val="es-ES"/>
        </w:rPr>
      </w:pPr>
    </w:p>
    <w:p w:rsidR="00465A13" w:rsidRDefault="00465A13">
      <w:pPr>
        <w:rPr>
          <w:b/>
          <w:caps/>
          <w:szCs w:val="28"/>
        </w:rPr>
      </w:pPr>
      <w:r>
        <w:rPr>
          <w:b/>
          <w:bCs/>
          <w:iCs/>
        </w:rPr>
        <w:br w:type="page"/>
      </w:r>
    </w:p>
    <w:p w:rsidR="002E3AE7" w:rsidRPr="00F952C1" w:rsidRDefault="002E3AE7" w:rsidP="00207838">
      <w:pPr>
        <w:pStyle w:val="Heading2"/>
        <w:tabs>
          <w:tab w:val="left" w:pos="2410"/>
        </w:tabs>
        <w:spacing w:before="0" w:after="0"/>
        <w:ind w:left="2410" w:right="176" w:hanging="2410"/>
        <w:rPr>
          <w:b/>
          <w:bCs w:val="0"/>
          <w:iCs w:val="0"/>
        </w:rPr>
      </w:pPr>
      <w:bookmarkStart w:id="78" w:name="_Toc482711277"/>
      <w:r w:rsidRPr="00F952C1">
        <w:rPr>
          <w:b/>
          <w:bCs w:val="0"/>
          <w:iCs w:val="0"/>
        </w:rPr>
        <w:lastRenderedPageBreak/>
        <w:t>PROGRAMA 25</w:t>
      </w:r>
      <w:r w:rsidRPr="00F952C1">
        <w:rPr>
          <w:bCs w:val="0"/>
          <w:iCs w:val="0"/>
        </w:rPr>
        <w:tab/>
      </w:r>
      <w:r w:rsidRPr="00F952C1">
        <w:rPr>
          <w:b/>
          <w:bCs w:val="0"/>
          <w:iCs w:val="0"/>
        </w:rPr>
        <w:t>TECNOLOGÍAS DE LA INFORMACIÓN Y DE LAS COMUNICACIONES</w:t>
      </w:r>
      <w:bookmarkEnd w:id="78"/>
    </w:p>
    <w:p w:rsidR="002E3AE7" w:rsidRPr="00F952C1" w:rsidRDefault="002E3AE7" w:rsidP="003E0A02">
      <w:pPr>
        <w:ind w:left="1985" w:hanging="1985"/>
        <w:rPr>
          <w:sz w:val="20"/>
        </w:rPr>
      </w:pPr>
    </w:p>
    <w:p w:rsidR="002E3AE7" w:rsidRPr="00F952C1" w:rsidRDefault="002E3AE7" w:rsidP="00207838">
      <w:pPr>
        <w:ind w:left="2410" w:hanging="2410"/>
        <w:rPr>
          <w:b/>
          <w:sz w:val="20"/>
        </w:rPr>
      </w:pPr>
      <w:r w:rsidRPr="00F952C1">
        <w:rPr>
          <w:b/>
          <w:sz w:val="20"/>
        </w:rPr>
        <w:t>Director de programa</w:t>
      </w:r>
      <w:r w:rsidRPr="00F952C1">
        <w:rPr>
          <w:sz w:val="20"/>
        </w:rPr>
        <w:tab/>
      </w:r>
      <w:r w:rsidRPr="00F952C1">
        <w:rPr>
          <w:b/>
          <w:sz w:val="20"/>
        </w:rPr>
        <w:t>Sr. A. Sundaram</w:t>
      </w:r>
    </w:p>
    <w:p w:rsidR="002E3AE7" w:rsidRPr="00F952C1" w:rsidRDefault="002E3AE7" w:rsidP="003E0A02">
      <w:pPr>
        <w:jc w:val="center"/>
        <w:rPr>
          <w:rFonts w:cs="Times New Roman"/>
          <w:b/>
          <w:sz w:val="20"/>
        </w:rPr>
      </w:pPr>
      <w:r w:rsidRPr="00F952C1">
        <w:rPr>
          <w:noProof/>
          <w:lang w:val="en-US" w:eastAsia="en-US"/>
        </w:rPr>
        <w:drawing>
          <wp:inline distT="0" distB="0" distL="0" distR="0" wp14:anchorId="7890BFE6" wp14:editId="641EC22E">
            <wp:extent cx="5339952" cy="2948371"/>
            <wp:effectExtent l="0" t="0" r="0" b="4445"/>
            <wp:docPr id="112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346890" cy="2952202"/>
                    </a:xfrm>
                    <a:prstGeom prst="rect">
                      <a:avLst/>
                    </a:prstGeom>
                    <a:noFill/>
                    <a:ln>
                      <a:noFill/>
                    </a:ln>
                  </pic:spPr>
                </pic:pic>
              </a:graphicData>
            </a:graphic>
          </wp:inline>
        </w:drawing>
      </w:r>
      <w:r w:rsidRPr="00F952C1">
        <w:t xml:space="preserve"> </w:t>
      </w:r>
    </w:p>
    <w:tbl>
      <w:tblPr>
        <w:tblW w:w="5000" w:type="pct"/>
        <w:tblInd w:w="58" w:type="dxa"/>
        <w:tblLayout w:type="fixed"/>
        <w:tblCellMar>
          <w:left w:w="115" w:type="dxa"/>
          <w:right w:w="115" w:type="dxa"/>
        </w:tblCellMar>
        <w:tblLook w:val="0000" w:firstRow="0" w:lastRow="0" w:firstColumn="0" w:lastColumn="0" w:noHBand="0" w:noVBand="0"/>
      </w:tblPr>
      <w:tblGrid>
        <w:gridCol w:w="1867"/>
        <w:gridCol w:w="2576"/>
        <w:gridCol w:w="1297"/>
        <w:gridCol w:w="2679"/>
        <w:gridCol w:w="768"/>
      </w:tblGrid>
      <w:tr w:rsidR="002E3AE7" w:rsidRPr="00F952C1" w:rsidTr="003E0A02">
        <w:trPr>
          <w:trHeight w:val="565"/>
        </w:trPr>
        <w:tc>
          <w:tcPr>
            <w:tcW w:w="5000" w:type="pct"/>
            <w:gridSpan w:val="5"/>
            <w:shd w:val="clear" w:color="auto" w:fill="C6D9F1" w:themeFill="text2" w:themeFillTint="33"/>
            <w:tcMar>
              <w:left w:w="58" w:type="dxa"/>
              <w:right w:w="58" w:type="dxa"/>
            </w:tcMar>
            <w:vAlign w:val="center"/>
          </w:tcPr>
          <w:p w:rsidR="002E3AE7" w:rsidRPr="00F952C1" w:rsidRDefault="002E3AE7" w:rsidP="003E0A02">
            <w:pPr>
              <w:tabs>
                <w:tab w:val="left" w:pos="1452"/>
              </w:tabs>
              <w:ind w:left="1701" w:hanging="1701"/>
              <w:rPr>
                <w:b/>
                <w:bCs/>
                <w:sz w:val="16"/>
                <w:szCs w:val="16"/>
              </w:rPr>
            </w:pPr>
            <w:r w:rsidRPr="00F952C1">
              <w:rPr>
                <w:b/>
                <w:bCs/>
                <w:sz w:val="16"/>
                <w:szCs w:val="16"/>
              </w:rPr>
              <w:t>Resultado previsto:</w:t>
            </w:r>
            <w:r w:rsidRPr="00F952C1">
              <w:rPr>
                <w:b/>
                <w:bCs/>
                <w:sz w:val="16"/>
                <w:szCs w:val="16"/>
              </w:rPr>
              <w:tab/>
            </w:r>
            <w:r w:rsidRPr="00F952C1">
              <w:rPr>
                <w:bCs/>
                <w:sz w:val="16"/>
                <w:szCs w:val="16"/>
              </w:rPr>
              <w:t>IX.1  Servicios de apoyo eficaces, eficientes, de calidad y orientados al cliente, tanto a los usuarios internos como a las partes interesadas externas</w:t>
            </w:r>
          </w:p>
        </w:tc>
      </w:tr>
      <w:tr w:rsidR="002E3AE7" w:rsidRPr="00F952C1" w:rsidTr="003E0A02">
        <w:tc>
          <w:tcPr>
            <w:tcW w:w="1016" w:type="pct"/>
            <w:shd w:val="clear" w:color="auto" w:fill="auto"/>
            <w:tcMar>
              <w:left w:w="58" w:type="dxa"/>
              <w:right w:w="58" w:type="dxa"/>
            </w:tcMar>
            <w:vAlign w:val="center"/>
          </w:tcPr>
          <w:p w:rsidR="002E3AE7" w:rsidRPr="00F952C1" w:rsidRDefault="002E3AE7" w:rsidP="003E0A02">
            <w:pPr>
              <w:ind w:right="-58"/>
              <w:rPr>
                <w:b/>
                <w:bCs/>
                <w:sz w:val="16"/>
                <w:szCs w:val="16"/>
              </w:rPr>
            </w:pPr>
            <w:r w:rsidRPr="00F952C1">
              <w:rPr>
                <w:b/>
                <w:bCs/>
                <w:sz w:val="16"/>
                <w:szCs w:val="16"/>
              </w:rPr>
              <w:t>Indicadores de rendimiento</w:t>
            </w:r>
          </w:p>
        </w:tc>
        <w:tc>
          <w:tcPr>
            <w:tcW w:w="1402" w:type="pct"/>
            <w:shd w:val="clear" w:color="auto" w:fill="auto"/>
            <w:tcMar>
              <w:left w:w="58" w:type="dxa"/>
              <w:right w:w="58" w:type="dxa"/>
            </w:tcMar>
            <w:vAlign w:val="center"/>
          </w:tcPr>
          <w:p w:rsidR="002E3AE7" w:rsidRPr="00F952C1" w:rsidRDefault="002E3AE7" w:rsidP="003E0A02">
            <w:pPr>
              <w:rPr>
                <w:b/>
                <w:bCs/>
                <w:sz w:val="16"/>
                <w:szCs w:val="16"/>
              </w:rPr>
            </w:pPr>
            <w:r w:rsidRPr="00F952C1">
              <w:rPr>
                <w:b/>
                <w:bCs/>
                <w:sz w:val="16"/>
                <w:szCs w:val="16"/>
              </w:rPr>
              <w:t>Referencias de base</w:t>
            </w:r>
          </w:p>
        </w:tc>
        <w:tc>
          <w:tcPr>
            <w:tcW w:w="706" w:type="pct"/>
            <w:shd w:val="clear" w:color="auto" w:fill="auto"/>
            <w:tcMar>
              <w:top w:w="110" w:type="dxa"/>
              <w:left w:w="58" w:type="dxa"/>
              <w:right w:w="58" w:type="dxa"/>
            </w:tcMar>
            <w:vAlign w:val="center"/>
          </w:tcPr>
          <w:p w:rsidR="002E3AE7" w:rsidRPr="00F952C1" w:rsidRDefault="002E3AE7" w:rsidP="003E0A02">
            <w:pPr>
              <w:tabs>
                <w:tab w:val="left" w:pos="290"/>
              </w:tabs>
              <w:rPr>
                <w:b/>
                <w:bCs/>
                <w:sz w:val="16"/>
                <w:szCs w:val="16"/>
              </w:rPr>
            </w:pPr>
            <w:r w:rsidRPr="00F952C1">
              <w:rPr>
                <w:b/>
                <w:bCs/>
                <w:sz w:val="16"/>
                <w:szCs w:val="16"/>
              </w:rPr>
              <w:t>Objetivos</w:t>
            </w:r>
          </w:p>
        </w:tc>
        <w:tc>
          <w:tcPr>
            <w:tcW w:w="1458" w:type="pct"/>
            <w:shd w:val="clear" w:color="auto" w:fill="FFFFFF"/>
            <w:tcMar>
              <w:top w:w="110" w:type="dxa"/>
              <w:left w:w="58" w:type="dxa"/>
              <w:right w:w="58" w:type="dxa"/>
            </w:tcMar>
            <w:vAlign w:val="center"/>
          </w:tcPr>
          <w:p w:rsidR="002E3AE7" w:rsidRPr="00F952C1" w:rsidRDefault="002E3AE7" w:rsidP="003E0A02">
            <w:pPr>
              <w:rPr>
                <w:b/>
                <w:bCs/>
                <w:sz w:val="16"/>
                <w:szCs w:val="16"/>
              </w:rPr>
            </w:pPr>
            <w:r w:rsidRPr="00F952C1">
              <w:rPr>
                <w:b/>
                <w:bCs/>
                <w:sz w:val="16"/>
                <w:szCs w:val="16"/>
              </w:rPr>
              <w:t>Datos sobre el rendimiento</w:t>
            </w:r>
          </w:p>
        </w:tc>
        <w:tc>
          <w:tcPr>
            <w:tcW w:w="418" w:type="pct"/>
            <w:shd w:val="clear" w:color="auto" w:fill="auto"/>
            <w:tcMar>
              <w:top w:w="110" w:type="dxa"/>
              <w:left w:w="58" w:type="dxa"/>
              <w:right w:w="58" w:type="dxa"/>
            </w:tcMar>
            <w:vAlign w:val="center"/>
          </w:tcPr>
          <w:p w:rsidR="002E3AE7" w:rsidRPr="00F952C1" w:rsidRDefault="002E3AE7" w:rsidP="003E0A02">
            <w:pPr>
              <w:jc w:val="center"/>
              <w:rPr>
                <w:b/>
                <w:bCs/>
                <w:sz w:val="16"/>
                <w:szCs w:val="16"/>
              </w:rPr>
            </w:pPr>
            <w:r w:rsidRPr="00F952C1">
              <w:rPr>
                <w:b/>
                <w:bCs/>
                <w:sz w:val="16"/>
                <w:szCs w:val="16"/>
              </w:rPr>
              <w:t>Clave de colores</w:t>
            </w:r>
          </w:p>
        </w:tc>
      </w:tr>
      <w:tr w:rsidR="002E3AE7" w:rsidRPr="00F952C1" w:rsidTr="003E0A02">
        <w:trPr>
          <w:trHeight w:val="1533"/>
        </w:trPr>
        <w:tc>
          <w:tcPr>
            <w:tcW w:w="1016" w:type="pct"/>
            <w:shd w:val="clear" w:color="auto" w:fill="auto"/>
            <w:tcMar>
              <w:left w:w="58" w:type="dxa"/>
              <w:right w:w="58" w:type="dxa"/>
            </w:tcMar>
          </w:tcPr>
          <w:p w:rsidR="002E3AE7" w:rsidRPr="00F952C1" w:rsidRDefault="002E3AE7" w:rsidP="003E0A02">
            <w:pPr>
              <w:ind w:right="-58"/>
              <w:rPr>
                <w:sz w:val="16"/>
                <w:szCs w:val="16"/>
              </w:rPr>
            </w:pPr>
            <w:r w:rsidRPr="00F952C1">
              <w:rPr>
                <w:sz w:val="16"/>
                <w:szCs w:val="16"/>
              </w:rPr>
              <w:t>Alojamiento y gestión costoeficaces de las plataformas de TIC en concordancia con las necesidades operativas</w:t>
            </w:r>
          </w:p>
        </w:tc>
        <w:tc>
          <w:tcPr>
            <w:tcW w:w="1402" w:type="pct"/>
            <w:shd w:val="clear" w:color="auto" w:fill="auto"/>
            <w:tcMar>
              <w:left w:w="58" w:type="dxa"/>
              <w:right w:w="58" w:type="dxa"/>
            </w:tcMar>
          </w:tcPr>
          <w:p w:rsidR="002E3AE7" w:rsidRPr="004B1ECB" w:rsidRDefault="002E3AE7" w:rsidP="003E0A02">
            <w:pPr>
              <w:rPr>
                <w:i/>
                <w:color w:val="002060"/>
                <w:sz w:val="16"/>
                <w:szCs w:val="16"/>
              </w:rPr>
            </w:pPr>
            <w:r w:rsidRPr="004B1ECB">
              <w:rPr>
                <w:i/>
                <w:color w:val="002060"/>
                <w:sz w:val="16"/>
                <w:szCs w:val="16"/>
              </w:rPr>
              <w:t xml:space="preserve">Referencia actualizada a fines de 2015:  </w:t>
            </w:r>
          </w:p>
          <w:p w:rsidR="002E3AE7" w:rsidRPr="004B1ECB" w:rsidRDefault="002E3AE7" w:rsidP="003E0A02">
            <w:pPr>
              <w:rPr>
                <w:color w:val="002060"/>
                <w:sz w:val="16"/>
                <w:szCs w:val="16"/>
              </w:rPr>
            </w:pPr>
            <w:r w:rsidRPr="004B1ECB">
              <w:rPr>
                <w:color w:val="002060"/>
                <w:sz w:val="16"/>
                <w:szCs w:val="16"/>
              </w:rPr>
              <w:t xml:space="preserve">26 acuerdos de prestación de servicios </w:t>
            </w:r>
          </w:p>
          <w:p w:rsidR="002E3AE7" w:rsidRPr="00F952C1" w:rsidRDefault="002E3AE7" w:rsidP="003E0A02">
            <w:pPr>
              <w:rPr>
                <w:sz w:val="16"/>
                <w:szCs w:val="16"/>
              </w:rPr>
            </w:pPr>
          </w:p>
          <w:p w:rsidR="002E3AE7" w:rsidRPr="00F952C1" w:rsidRDefault="002E3AE7" w:rsidP="003E0A02">
            <w:pPr>
              <w:spacing w:after="240"/>
              <w:rPr>
                <w:i/>
                <w:sz w:val="16"/>
                <w:szCs w:val="16"/>
                <w:lang w:bidi="th-TH"/>
              </w:rPr>
            </w:pPr>
            <w:r w:rsidRPr="00F952C1">
              <w:rPr>
                <w:i/>
                <w:sz w:val="16"/>
                <w:szCs w:val="16"/>
              </w:rPr>
              <w:t>Referencia original en el presupuesto de 2016/17:</w:t>
            </w:r>
            <w:r w:rsidRPr="00F952C1">
              <w:rPr>
                <w:sz w:val="16"/>
                <w:szCs w:val="16"/>
              </w:rPr>
              <w:t xml:space="preserve">  n.d.</w:t>
            </w:r>
          </w:p>
        </w:tc>
        <w:tc>
          <w:tcPr>
            <w:tcW w:w="706" w:type="pct"/>
            <w:shd w:val="clear" w:color="auto" w:fill="auto"/>
            <w:tcMar>
              <w:top w:w="110" w:type="dxa"/>
              <w:left w:w="58" w:type="dxa"/>
              <w:right w:w="58" w:type="dxa"/>
            </w:tcMar>
          </w:tcPr>
          <w:p w:rsidR="002E3AE7" w:rsidRPr="00F952C1" w:rsidRDefault="002E3AE7" w:rsidP="003E0A02">
            <w:pPr>
              <w:rPr>
                <w:sz w:val="16"/>
                <w:szCs w:val="16"/>
              </w:rPr>
            </w:pPr>
            <w:r w:rsidRPr="00F952C1">
              <w:rPr>
                <w:sz w:val="16"/>
                <w:szCs w:val="16"/>
              </w:rPr>
              <w:t>Se elaboran y conciertan nuevos acuerdos de prestación de servicios con los usuarios más importantes de los servicios de la plataforma de TIC</w:t>
            </w:r>
          </w:p>
        </w:tc>
        <w:tc>
          <w:tcPr>
            <w:tcW w:w="1458" w:type="pct"/>
            <w:shd w:val="clear" w:color="auto" w:fill="FFFFFF"/>
            <w:tcMar>
              <w:top w:w="110" w:type="dxa"/>
              <w:left w:w="58" w:type="dxa"/>
              <w:right w:w="58" w:type="dxa"/>
            </w:tcMar>
          </w:tcPr>
          <w:p w:rsidR="002E3AE7" w:rsidRPr="00F952C1" w:rsidRDefault="002E3AE7" w:rsidP="003E0A02">
            <w:pPr>
              <w:rPr>
                <w:sz w:val="16"/>
                <w:szCs w:val="16"/>
              </w:rPr>
            </w:pPr>
            <w:r w:rsidRPr="00F952C1">
              <w:rPr>
                <w:sz w:val="16"/>
                <w:szCs w:val="16"/>
              </w:rPr>
              <w:t>Se firmaron 6 nuevos acuerdos de prestación de servicios (seguridad de la información, WIPO DAS, WIPO CASE, Servicio WIPO WebMums (Madrid Union Members), WIPO Connect, gestión de contenidos institucionales) con el Centro Internacional de Cálculos Electrónicos de las Naciones Unidas (CICE)</w:t>
            </w:r>
          </w:p>
        </w:tc>
        <w:tc>
          <w:tcPr>
            <w:tcW w:w="418" w:type="pct"/>
            <w:shd w:val="clear" w:color="auto" w:fill="auto"/>
            <w:tcMar>
              <w:top w:w="110" w:type="dxa"/>
              <w:left w:w="58" w:type="dxa"/>
              <w:right w:w="58" w:type="dxa"/>
            </w:tcMar>
          </w:tcPr>
          <w:p w:rsidR="002E3AE7" w:rsidRPr="00F952C1" w:rsidRDefault="002E3AE7" w:rsidP="003E0A02">
            <w:pPr>
              <w:jc w:val="center"/>
              <w:rPr>
                <w:b/>
                <w:sz w:val="16"/>
                <w:szCs w:val="16"/>
              </w:rPr>
            </w:pPr>
            <w:r w:rsidRPr="00F952C1">
              <w:rPr>
                <w:b/>
                <w:color w:val="00B050"/>
                <w:sz w:val="16"/>
                <w:szCs w:val="16"/>
              </w:rPr>
              <w:t>Avanza</w:t>
            </w:r>
          </w:p>
        </w:tc>
      </w:tr>
      <w:tr w:rsidR="002E3AE7" w:rsidRPr="00F952C1" w:rsidTr="003E0A02">
        <w:trPr>
          <w:trHeight w:val="556"/>
        </w:trPr>
        <w:tc>
          <w:tcPr>
            <w:tcW w:w="1016" w:type="pct"/>
            <w:shd w:val="clear" w:color="auto" w:fill="auto"/>
            <w:tcMar>
              <w:left w:w="58" w:type="dxa"/>
              <w:right w:w="58" w:type="dxa"/>
            </w:tcMar>
          </w:tcPr>
          <w:p w:rsidR="002E3AE7" w:rsidRPr="00F952C1" w:rsidRDefault="002E3AE7" w:rsidP="003E0A02">
            <w:pPr>
              <w:ind w:right="-58"/>
              <w:rPr>
                <w:sz w:val="16"/>
                <w:szCs w:val="16"/>
              </w:rPr>
            </w:pPr>
          </w:p>
        </w:tc>
        <w:tc>
          <w:tcPr>
            <w:tcW w:w="1402" w:type="pct"/>
            <w:shd w:val="clear" w:color="auto" w:fill="auto"/>
            <w:tcMar>
              <w:left w:w="58" w:type="dxa"/>
              <w:right w:w="58" w:type="dxa"/>
            </w:tcMar>
          </w:tcPr>
          <w:p w:rsidR="002E3AE7" w:rsidRPr="004B1ECB" w:rsidRDefault="002E3AE7" w:rsidP="003E0A02">
            <w:pPr>
              <w:rPr>
                <w:i/>
                <w:color w:val="002060"/>
                <w:sz w:val="16"/>
                <w:szCs w:val="16"/>
              </w:rPr>
            </w:pPr>
            <w:r w:rsidRPr="004B1ECB">
              <w:rPr>
                <w:i/>
                <w:color w:val="002060"/>
                <w:sz w:val="16"/>
                <w:szCs w:val="16"/>
              </w:rPr>
              <w:t>Referencia actualizada a fines de 2015:</w:t>
            </w:r>
            <w:r w:rsidRPr="004B1ECB">
              <w:rPr>
                <w:rStyle w:val="FootnoteReference"/>
                <w:i/>
                <w:color w:val="002060"/>
              </w:rPr>
              <w:footnoteReference w:id="100"/>
            </w:r>
            <w:r w:rsidRPr="004B1ECB">
              <w:rPr>
                <w:i/>
                <w:color w:val="002060"/>
                <w:sz w:val="16"/>
                <w:szCs w:val="16"/>
              </w:rPr>
              <w:t xml:space="preserve">  </w:t>
            </w:r>
          </w:p>
          <w:p w:rsidR="002E3AE7" w:rsidRPr="004B1ECB" w:rsidRDefault="002E3AE7" w:rsidP="002E3AE7">
            <w:pPr>
              <w:pStyle w:val="ListParagraph"/>
              <w:numPr>
                <w:ilvl w:val="0"/>
                <w:numId w:val="98"/>
              </w:numPr>
              <w:spacing w:after="60"/>
              <w:ind w:left="121" w:hanging="121"/>
              <w:contextualSpacing/>
              <w:rPr>
                <w:color w:val="002060"/>
                <w:sz w:val="16"/>
                <w:szCs w:val="16"/>
                <w:lang w:val="es-ES"/>
              </w:rPr>
            </w:pPr>
            <w:r w:rsidRPr="004B1ECB">
              <w:rPr>
                <w:color w:val="002060"/>
                <w:sz w:val="16"/>
                <w:szCs w:val="16"/>
                <w:lang w:val="es-ES"/>
              </w:rPr>
              <w:t xml:space="preserve">Costo unitario medio mensual de los servidores: 414 francos suizos </w:t>
            </w:r>
          </w:p>
          <w:p w:rsidR="002E3AE7" w:rsidRPr="004B1ECB" w:rsidRDefault="002E3AE7" w:rsidP="002E3AE7">
            <w:pPr>
              <w:pStyle w:val="ListParagraph"/>
              <w:numPr>
                <w:ilvl w:val="0"/>
                <w:numId w:val="98"/>
              </w:numPr>
              <w:spacing w:after="60"/>
              <w:ind w:left="121" w:hanging="121"/>
              <w:contextualSpacing/>
              <w:rPr>
                <w:color w:val="002060"/>
                <w:sz w:val="16"/>
                <w:szCs w:val="16"/>
                <w:lang w:val="es-ES"/>
              </w:rPr>
            </w:pPr>
            <w:r w:rsidRPr="004B1ECB">
              <w:rPr>
                <w:color w:val="002060"/>
                <w:sz w:val="16"/>
                <w:szCs w:val="16"/>
                <w:lang w:val="es-ES"/>
              </w:rPr>
              <w:t>Costo unitario medio mensual por TB de almacenamiento: 234 CHF</w:t>
            </w:r>
          </w:p>
          <w:p w:rsidR="002E3AE7" w:rsidRPr="004B1ECB" w:rsidRDefault="002E3AE7" w:rsidP="002E3AE7">
            <w:pPr>
              <w:pStyle w:val="ListParagraph"/>
              <w:numPr>
                <w:ilvl w:val="0"/>
                <w:numId w:val="98"/>
              </w:numPr>
              <w:spacing w:after="60"/>
              <w:ind w:left="121" w:right="-149" w:hanging="121"/>
              <w:contextualSpacing/>
              <w:rPr>
                <w:color w:val="002060"/>
                <w:sz w:val="16"/>
                <w:szCs w:val="16"/>
                <w:lang w:val="es-ES"/>
              </w:rPr>
            </w:pPr>
            <w:r w:rsidRPr="004B1ECB">
              <w:rPr>
                <w:color w:val="002060"/>
                <w:sz w:val="16"/>
                <w:szCs w:val="16"/>
                <w:lang w:val="es-ES"/>
              </w:rPr>
              <w:t>Costo unitario medio mensual de copia de seguridad por TB de almacenamiento: 252 CHF</w:t>
            </w:r>
          </w:p>
          <w:p w:rsidR="002E3AE7" w:rsidRPr="004B1ECB" w:rsidRDefault="002E3AE7" w:rsidP="003E0A02">
            <w:pPr>
              <w:pStyle w:val="ListParagraph"/>
              <w:spacing w:after="60"/>
              <w:ind w:left="121" w:hanging="121"/>
              <w:rPr>
                <w:color w:val="002060"/>
                <w:sz w:val="16"/>
                <w:szCs w:val="16"/>
                <w:lang w:val="es-ES"/>
              </w:rPr>
            </w:pPr>
          </w:p>
          <w:p w:rsidR="002E3AE7" w:rsidRPr="004B1ECB" w:rsidRDefault="002E3AE7" w:rsidP="003E0A02">
            <w:pPr>
              <w:rPr>
                <w:color w:val="002060"/>
                <w:sz w:val="16"/>
                <w:szCs w:val="16"/>
              </w:rPr>
            </w:pPr>
            <w:r w:rsidRPr="004B1ECB">
              <w:rPr>
                <w:color w:val="002060"/>
                <w:sz w:val="16"/>
                <w:szCs w:val="16"/>
              </w:rPr>
              <w:t>N.º de incidentes de servicio de impacto medio o alto: 1,75 por mes</w:t>
            </w:r>
          </w:p>
          <w:p w:rsidR="002E3AE7" w:rsidRPr="00F952C1" w:rsidRDefault="002E3AE7" w:rsidP="003E0A02">
            <w:pPr>
              <w:rPr>
                <w:sz w:val="16"/>
                <w:szCs w:val="16"/>
              </w:rPr>
            </w:pPr>
          </w:p>
          <w:p w:rsidR="002E3AE7" w:rsidRPr="00F952C1" w:rsidRDefault="002E3AE7" w:rsidP="003E0A02">
            <w:pPr>
              <w:rPr>
                <w:i/>
                <w:sz w:val="16"/>
                <w:szCs w:val="16"/>
                <w:lang w:bidi="th-TH"/>
              </w:rPr>
            </w:pPr>
            <w:r w:rsidRPr="00F952C1">
              <w:rPr>
                <w:i/>
                <w:sz w:val="16"/>
                <w:szCs w:val="16"/>
                <w:lang w:bidi="th-TH"/>
              </w:rPr>
              <w:t>Referencia original en el presupuesto de 2016/17:</w:t>
            </w:r>
          </w:p>
          <w:p w:rsidR="002E3AE7" w:rsidRPr="00F952C1" w:rsidRDefault="002E3AE7" w:rsidP="003E0A02">
            <w:pPr>
              <w:ind w:right="-58"/>
              <w:rPr>
                <w:sz w:val="16"/>
                <w:szCs w:val="16"/>
              </w:rPr>
            </w:pPr>
            <w:r w:rsidRPr="00F952C1">
              <w:rPr>
                <w:sz w:val="16"/>
                <w:szCs w:val="16"/>
              </w:rPr>
              <w:t xml:space="preserve">Costo unitario de los servidores: 448 francos suizos/mes; </w:t>
            </w:r>
          </w:p>
          <w:p w:rsidR="002E3AE7" w:rsidRPr="00F952C1" w:rsidRDefault="002E3AE7" w:rsidP="003E0A02">
            <w:pPr>
              <w:ind w:right="-58"/>
              <w:rPr>
                <w:sz w:val="16"/>
                <w:szCs w:val="16"/>
              </w:rPr>
            </w:pPr>
            <w:r w:rsidRPr="00F952C1">
              <w:rPr>
                <w:sz w:val="16"/>
                <w:szCs w:val="16"/>
              </w:rPr>
              <w:t xml:space="preserve">Costo unitario por TB de </w:t>
            </w:r>
            <w:r w:rsidRPr="00F952C1">
              <w:rPr>
                <w:sz w:val="16"/>
                <w:szCs w:val="16"/>
              </w:rPr>
              <w:lastRenderedPageBreak/>
              <w:t xml:space="preserve">almacenamiento: 299 francos suizos/mes; </w:t>
            </w:r>
          </w:p>
          <w:p w:rsidR="002E3AE7" w:rsidRPr="00F952C1" w:rsidRDefault="002E3AE7" w:rsidP="003E0A02">
            <w:pPr>
              <w:ind w:right="-58"/>
              <w:rPr>
                <w:sz w:val="16"/>
                <w:szCs w:val="16"/>
              </w:rPr>
            </w:pPr>
            <w:r w:rsidRPr="00F952C1">
              <w:rPr>
                <w:sz w:val="16"/>
                <w:szCs w:val="16"/>
              </w:rPr>
              <w:t xml:space="preserve">Costo unitario de copia de seguridad por TB de almacenamiento: 370 francos suizos/mes (finales de 2014);  </w:t>
            </w:r>
          </w:p>
          <w:p w:rsidR="002E3AE7" w:rsidRPr="00F952C1" w:rsidRDefault="002E3AE7" w:rsidP="003E0A02">
            <w:pPr>
              <w:rPr>
                <w:sz w:val="16"/>
                <w:szCs w:val="16"/>
              </w:rPr>
            </w:pPr>
          </w:p>
          <w:p w:rsidR="002E3AE7" w:rsidRPr="00F952C1" w:rsidRDefault="002E3AE7" w:rsidP="003E0A02">
            <w:pPr>
              <w:spacing w:after="240"/>
              <w:rPr>
                <w:sz w:val="16"/>
                <w:szCs w:val="16"/>
              </w:rPr>
            </w:pPr>
            <w:r w:rsidRPr="00F952C1">
              <w:rPr>
                <w:sz w:val="16"/>
                <w:szCs w:val="16"/>
              </w:rPr>
              <w:t>N.º de incidentes de servicio de impacto medio o alto: 1,75 por mes</w:t>
            </w:r>
          </w:p>
        </w:tc>
        <w:tc>
          <w:tcPr>
            <w:tcW w:w="706" w:type="pct"/>
            <w:shd w:val="clear" w:color="auto" w:fill="auto"/>
            <w:tcMar>
              <w:top w:w="110" w:type="dxa"/>
              <w:left w:w="58" w:type="dxa"/>
              <w:right w:w="58" w:type="dxa"/>
            </w:tcMar>
          </w:tcPr>
          <w:p w:rsidR="002E3AE7" w:rsidRPr="00F952C1" w:rsidRDefault="002E3AE7" w:rsidP="003E0A02">
            <w:pPr>
              <w:rPr>
                <w:sz w:val="16"/>
                <w:szCs w:val="16"/>
              </w:rPr>
            </w:pPr>
            <w:r w:rsidRPr="00F952C1">
              <w:rPr>
                <w:sz w:val="16"/>
                <w:szCs w:val="16"/>
              </w:rPr>
              <w:lastRenderedPageBreak/>
              <w:t xml:space="preserve">Disminución mínima del 5% anual de los costos unitarios; </w:t>
            </w: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r w:rsidRPr="00F952C1">
              <w:rPr>
                <w:sz w:val="16"/>
                <w:szCs w:val="16"/>
              </w:rPr>
              <w:t xml:space="preserve">Ningún aumento de los incidentes de servicio de impacto medio o alto </w:t>
            </w:r>
          </w:p>
        </w:tc>
        <w:tc>
          <w:tcPr>
            <w:tcW w:w="1458" w:type="pct"/>
            <w:shd w:val="clear" w:color="auto" w:fill="FFFFFF"/>
            <w:tcMar>
              <w:top w:w="110" w:type="dxa"/>
              <w:left w:w="58" w:type="dxa"/>
              <w:right w:w="58" w:type="dxa"/>
            </w:tcMar>
          </w:tcPr>
          <w:p w:rsidR="002E3AE7" w:rsidRPr="00F952C1" w:rsidRDefault="002E3AE7" w:rsidP="003E0A02">
            <w:pPr>
              <w:rPr>
                <w:sz w:val="16"/>
                <w:szCs w:val="16"/>
              </w:rPr>
            </w:pPr>
            <w:r w:rsidRPr="00F952C1">
              <w:rPr>
                <w:sz w:val="16"/>
                <w:szCs w:val="16"/>
              </w:rPr>
              <w:t xml:space="preserve">Costo unitario medio mensual de los servidores: 418 francos suizos </w:t>
            </w:r>
          </w:p>
          <w:p w:rsidR="002E3AE7" w:rsidRPr="00F952C1" w:rsidRDefault="002E3AE7" w:rsidP="003E0A02">
            <w:pPr>
              <w:pStyle w:val="ListParagraph"/>
              <w:ind w:left="115"/>
              <w:rPr>
                <w:sz w:val="16"/>
                <w:szCs w:val="16"/>
                <w:lang w:val="es-ES"/>
              </w:rPr>
            </w:pPr>
          </w:p>
          <w:p w:rsidR="002E3AE7" w:rsidRPr="00F952C1" w:rsidRDefault="002E3AE7" w:rsidP="003E0A02">
            <w:pPr>
              <w:rPr>
                <w:sz w:val="16"/>
                <w:szCs w:val="16"/>
              </w:rPr>
            </w:pPr>
            <w:r w:rsidRPr="00F952C1">
              <w:rPr>
                <w:sz w:val="16"/>
                <w:szCs w:val="16"/>
              </w:rPr>
              <w:t>Costo unitario medio mensual por TB de almacenamiento: 233 CHF</w:t>
            </w:r>
          </w:p>
          <w:p w:rsidR="002E3AE7" w:rsidRPr="00F952C1" w:rsidRDefault="002E3AE7" w:rsidP="003E0A02">
            <w:pPr>
              <w:pStyle w:val="ListParagraph"/>
              <w:ind w:left="115"/>
              <w:rPr>
                <w:sz w:val="16"/>
                <w:szCs w:val="16"/>
                <w:lang w:val="es-ES"/>
              </w:rPr>
            </w:pPr>
          </w:p>
          <w:p w:rsidR="002E3AE7" w:rsidRPr="00F952C1" w:rsidRDefault="002E3AE7" w:rsidP="003E0A02">
            <w:pPr>
              <w:rPr>
                <w:sz w:val="16"/>
                <w:szCs w:val="16"/>
              </w:rPr>
            </w:pPr>
            <w:r w:rsidRPr="00F952C1">
              <w:rPr>
                <w:sz w:val="16"/>
                <w:szCs w:val="16"/>
              </w:rPr>
              <w:t xml:space="preserve">Costo unitario medio mensual de copia de seguridad por TB de almacenamiento: 232 CHF </w:t>
            </w:r>
          </w:p>
          <w:p w:rsidR="002E3AE7" w:rsidRPr="00F952C1" w:rsidRDefault="002E3AE7" w:rsidP="003E0A02">
            <w:pPr>
              <w:rPr>
                <w:sz w:val="16"/>
                <w:szCs w:val="16"/>
              </w:rPr>
            </w:pPr>
          </w:p>
          <w:p w:rsidR="002E3AE7" w:rsidRPr="00F952C1" w:rsidRDefault="002E3AE7" w:rsidP="003E0A02">
            <w:pPr>
              <w:rPr>
                <w:sz w:val="16"/>
                <w:szCs w:val="16"/>
              </w:rPr>
            </w:pPr>
            <w:r w:rsidRPr="00F952C1">
              <w:rPr>
                <w:sz w:val="16"/>
                <w:szCs w:val="16"/>
              </w:rPr>
              <w:t xml:space="preserve">N.º de incidentes de servicio de impacto medio o alto:  1,17 por mes </w:t>
            </w:r>
          </w:p>
        </w:tc>
        <w:tc>
          <w:tcPr>
            <w:tcW w:w="418" w:type="pct"/>
            <w:shd w:val="clear" w:color="auto" w:fill="auto"/>
            <w:tcMar>
              <w:top w:w="110" w:type="dxa"/>
              <w:left w:w="58" w:type="dxa"/>
              <w:right w:w="58" w:type="dxa"/>
            </w:tcMar>
          </w:tcPr>
          <w:p w:rsidR="002E3AE7" w:rsidRPr="00F952C1" w:rsidRDefault="002E3AE7" w:rsidP="003E0A02">
            <w:pPr>
              <w:jc w:val="center"/>
              <w:rPr>
                <w:b/>
                <w:sz w:val="16"/>
                <w:szCs w:val="16"/>
              </w:rPr>
            </w:pPr>
            <w:r w:rsidRPr="00F952C1">
              <w:rPr>
                <w:b/>
                <w:color w:val="FF0000"/>
                <w:sz w:val="16"/>
                <w:szCs w:val="16"/>
              </w:rPr>
              <w:t>No avanza</w:t>
            </w:r>
          </w:p>
          <w:p w:rsidR="002E3AE7" w:rsidRPr="00F952C1" w:rsidRDefault="002E3AE7" w:rsidP="003E0A02">
            <w:pPr>
              <w:jc w:val="center"/>
              <w:rPr>
                <w:b/>
                <w:sz w:val="16"/>
                <w:szCs w:val="16"/>
              </w:rPr>
            </w:pPr>
          </w:p>
          <w:p w:rsidR="002E3AE7" w:rsidRPr="00F952C1" w:rsidRDefault="002E3AE7" w:rsidP="003E0A02">
            <w:pPr>
              <w:jc w:val="center"/>
              <w:rPr>
                <w:b/>
                <w:sz w:val="16"/>
                <w:szCs w:val="16"/>
              </w:rPr>
            </w:pPr>
            <w:r w:rsidRPr="00F952C1">
              <w:rPr>
                <w:b/>
                <w:color w:val="FF0000"/>
                <w:sz w:val="16"/>
                <w:szCs w:val="16"/>
              </w:rPr>
              <w:t>No avanza</w:t>
            </w:r>
          </w:p>
          <w:p w:rsidR="002E3AE7" w:rsidRPr="00F952C1" w:rsidRDefault="002E3AE7" w:rsidP="003E0A02">
            <w:pPr>
              <w:rPr>
                <w:b/>
                <w:sz w:val="16"/>
                <w:szCs w:val="16"/>
              </w:rPr>
            </w:pPr>
          </w:p>
          <w:p w:rsidR="002E3AE7" w:rsidRPr="00F952C1" w:rsidRDefault="002E3AE7" w:rsidP="003E0A02">
            <w:pPr>
              <w:jc w:val="center"/>
              <w:rPr>
                <w:b/>
                <w:sz w:val="16"/>
                <w:szCs w:val="16"/>
              </w:rPr>
            </w:pPr>
            <w:r w:rsidRPr="00F952C1">
              <w:rPr>
                <w:b/>
                <w:color w:val="00B050"/>
                <w:sz w:val="16"/>
                <w:szCs w:val="16"/>
              </w:rPr>
              <w:t>Avanza</w:t>
            </w:r>
            <w:r w:rsidRPr="00F952C1">
              <w:rPr>
                <w:b/>
                <w:sz w:val="16"/>
                <w:szCs w:val="16"/>
              </w:rPr>
              <w:t xml:space="preserve"> </w:t>
            </w:r>
          </w:p>
          <w:p w:rsidR="002E3AE7" w:rsidRPr="00F952C1" w:rsidRDefault="002E3AE7" w:rsidP="003E0A02">
            <w:pPr>
              <w:ind w:right="84"/>
              <w:jc w:val="center"/>
              <w:rPr>
                <w:sz w:val="16"/>
                <w:szCs w:val="16"/>
              </w:rPr>
            </w:pPr>
          </w:p>
          <w:p w:rsidR="002E3AE7" w:rsidRPr="00F952C1" w:rsidRDefault="002E3AE7" w:rsidP="003E0A02">
            <w:pPr>
              <w:rPr>
                <w:sz w:val="16"/>
                <w:szCs w:val="16"/>
              </w:rPr>
            </w:pPr>
          </w:p>
          <w:p w:rsidR="002E3AE7" w:rsidRPr="00F952C1" w:rsidRDefault="002E3AE7" w:rsidP="003E0A02">
            <w:pPr>
              <w:jc w:val="center"/>
              <w:rPr>
                <w:b/>
                <w:sz w:val="16"/>
                <w:szCs w:val="16"/>
              </w:rPr>
            </w:pPr>
          </w:p>
          <w:p w:rsidR="002E3AE7" w:rsidRPr="00F952C1" w:rsidRDefault="002E3AE7" w:rsidP="003E0A02">
            <w:pPr>
              <w:jc w:val="center"/>
              <w:rPr>
                <w:sz w:val="16"/>
                <w:szCs w:val="16"/>
              </w:rPr>
            </w:pPr>
            <w:r w:rsidRPr="00F952C1">
              <w:rPr>
                <w:b/>
                <w:color w:val="00B050"/>
                <w:sz w:val="16"/>
                <w:szCs w:val="16"/>
              </w:rPr>
              <w:t>Avanza</w:t>
            </w:r>
          </w:p>
        </w:tc>
      </w:tr>
      <w:tr w:rsidR="002E3AE7" w:rsidRPr="00F952C1" w:rsidTr="003E0A02">
        <w:trPr>
          <w:trHeight w:val="2101"/>
        </w:trPr>
        <w:tc>
          <w:tcPr>
            <w:tcW w:w="1016" w:type="pct"/>
            <w:shd w:val="clear" w:color="auto" w:fill="auto"/>
            <w:tcMar>
              <w:left w:w="58" w:type="dxa"/>
              <w:right w:w="58" w:type="dxa"/>
            </w:tcMar>
          </w:tcPr>
          <w:p w:rsidR="002E3AE7" w:rsidRPr="00F952C1" w:rsidRDefault="002E3AE7" w:rsidP="003E0A02">
            <w:pPr>
              <w:ind w:right="-58"/>
              <w:rPr>
                <w:sz w:val="16"/>
                <w:szCs w:val="16"/>
              </w:rPr>
            </w:pPr>
            <w:r w:rsidRPr="00F952C1">
              <w:rPr>
                <w:sz w:val="16"/>
                <w:szCs w:val="16"/>
              </w:rPr>
              <w:lastRenderedPageBreak/>
              <w:t>Las actividades de desarrollo de aplicaciones se ajustan a las normas relativas a los datos maestros y de referencia de la OMPI.</w:t>
            </w:r>
          </w:p>
        </w:tc>
        <w:tc>
          <w:tcPr>
            <w:tcW w:w="1402" w:type="pct"/>
            <w:shd w:val="clear" w:color="auto" w:fill="auto"/>
            <w:tcMar>
              <w:left w:w="58" w:type="dxa"/>
              <w:right w:w="58" w:type="dxa"/>
            </w:tcMar>
          </w:tcPr>
          <w:p w:rsidR="002E3AE7" w:rsidRPr="004B1ECB" w:rsidRDefault="002E3AE7" w:rsidP="003E0A02">
            <w:pPr>
              <w:rPr>
                <w:i/>
                <w:color w:val="002060"/>
                <w:sz w:val="16"/>
                <w:szCs w:val="16"/>
              </w:rPr>
            </w:pPr>
            <w:r w:rsidRPr="004B1ECB">
              <w:rPr>
                <w:i/>
                <w:color w:val="002060"/>
                <w:sz w:val="16"/>
                <w:szCs w:val="16"/>
              </w:rPr>
              <w:t xml:space="preserve">Referencia actualizada a fines de 2015:  </w:t>
            </w:r>
          </w:p>
          <w:p w:rsidR="002E3AE7" w:rsidRPr="004B1ECB" w:rsidRDefault="002E3AE7" w:rsidP="003E0A02">
            <w:pPr>
              <w:rPr>
                <w:i/>
                <w:color w:val="002060"/>
              </w:rPr>
            </w:pPr>
            <w:r w:rsidRPr="004B1ECB">
              <w:rPr>
                <w:color w:val="002060"/>
                <w:sz w:val="16"/>
                <w:szCs w:val="16"/>
              </w:rPr>
              <w:t xml:space="preserve">Ninguno </w:t>
            </w:r>
          </w:p>
          <w:p w:rsidR="002E3AE7" w:rsidRPr="00F952C1" w:rsidRDefault="002E3AE7" w:rsidP="003E0A02">
            <w:pPr>
              <w:rPr>
                <w:sz w:val="16"/>
                <w:szCs w:val="16"/>
              </w:rPr>
            </w:pPr>
          </w:p>
          <w:p w:rsidR="002E3AE7" w:rsidRPr="00F952C1" w:rsidRDefault="002E3AE7" w:rsidP="003E0A02">
            <w:pPr>
              <w:rPr>
                <w:sz w:val="16"/>
                <w:szCs w:val="16"/>
              </w:rPr>
            </w:pPr>
            <w:r w:rsidRPr="00F952C1">
              <w:rPr>
                <w:i/>
                <w:sz w:val="16"/>
                <w:szCs w:val="16"/>
                <w:lang w:bidi="th-TH"/>
              </w:rPr>
              <w:t xml:space="preserve">Referencia original en el presupuesto de 2016/17:  </w:t>
            </w:r>
            <w:r w:rsidRPr="00F952C1">
              <w:rPr>
                <w:sz w:val="16"/>
                <w:szCs w:val="16"/>
                <w:lang w:bidi="th-TH"/>
              </w:rPr>
              <w:t>n.d.</w:t>
            </w:r>
          </w:p>
        </w:tc>
        <w:tc>
          <w:tcPr>
            <w:tcW w:w="706" w:type="pct"/>
            <w:shd w:val="clear" w:color="auto" w:fill="auto"/>
            <w:tcMar>
              <w:top w:w="110" w:type="dxa"/>
              <w:left w:w="58" w:type="dxa"/>
              <w:right w:w="58" w:type="dxa"/>
            </w:tcMar>
          </w:tcPr>
          <w:p w:rsidR="002E3AE7" w:rsidRPr="00F952C1" w:rsidRDefault="002E3AE7" w:rsidP="003E0A02">
            <w:pPr>
              <w:spacing w:after="120"/>
              <w:rPr>
                <w:sz w:val="16"/>
                <w:szCs w:val="16"/>
              </w:rPr>
            </w:pPr>
            <w:r w:rsidRPr="00F952C1">
              <w:rPr>
                <w:sz w:val="16"/>
                <w:szCs w:val="16"/>
              </w:rPr>
              <w:t>Al menos un equipo de desarrollo de aplicaciones recurre a la estrategia y al depósito de datos maestros y de referencia de la OMPI</w:t>
            </w:r>
          </w:p>
        </w:tc>
        <w:tc>
          <w:tcPr>
            <w:tcW w:w="1458" w:type="pct"/>
            <w:shd w:val="clear" w:color="auto" w:fill="FFFFFF"/>
            <w:tcMar>
              <w:top w:w="110" w:type="dxa"/>
              <w:left w:w="58" w:type="dxa"/>
              <w:right w:w="58" w:type="dxa"/>
            </w:tcMar>
          </w:tcPr>
          <w:p w:rsidR="002E3AE7" w:rsidRPr="00F952C1" w:rsidRDefault="002E3AE7" w:rsidP="003E0A02">
            <w:pPr>
              <w:rPr>
                <w:sz w:val="16"/>
                <w:szCs w:val="16"/>
              </w:rPr>
            </w:pPr>
            <w:r w:rsidRPr="00F952C1">
              <w:rPr>
                <w:sz w:val="16"/>
                <w:szCs w:val="16"/>
              </w:rPr>
              <w:t>Las normas relativas a los datos maestros y de referencia de la OMPI, con inclusión de los procesos de gobernanza, aún estaban en curso de elaboración a fines de 2016</w:t>
            </w:r>
            <w:r w:rsidR="00207838">
              <w:rPr>
                <w:sz w:val="16"/>
                <w:szCs w:val="16"/>
              </w:rPr>
              <w:t>, a raíz del reposicionamiento de la iniciativa</w:t>
            </w:r>
            <w:r w:rsidRPr="00F952C1">
              <w:rPr>
                <w:sz w:val="16"/>
                <w:szCs w:val="16"/>
              </w:rPr>
              <w:t>.</w:t>
            </w:r>
          </w:p>
        </w:tc>
        <w:tc>
          <w:tcPr>
            <w:tcW w:w="418" w:type="pct"/>
            <w:shd w:val="clear" w:color="auto" w:fill="auto"/>
            <w:tcMar>
              <w:top w:w="110" w:type="dxa"/>
              <w:left w:w="58" w:type="dxa"/>
              <w:right w:w="58" w:type="dxa"/>
            </w:tcMar>
          </w:tcPr>
          <w:p w:rsidR="002E3AE7" w:rsidRPr="00F952C1" w:rsidRDefault="002E3AE7" w:rsidP="003E0A02">
            <w:pPr>
              <w:jc w:val="center"/>
              <w:rPr>
                <w:b/>
                <w:sz w:val="16"/>
                <w:szCs w:val="16"/>
              </w:rPr>
            </w:pPr>
            <w:r w:rsidRPr="00F952C1">
              <w:rPr>
                <w:b/>
                <w:color w:val="FF0000"/>
                <w:sz w:val="16"/>
                <w:szCs w:val="16"/>
              </w:rPr>
              <w:t>No avanza</w:t>
            </w:r>
          </w:p>
          <w:p w:rsidR="002E3AE7" w:rsidRPr="00F952C1" w:rsidRDefault="002E3AE7" w:rsidP="003E0A02">
            <w:pPr>
              <w:jc w:val="center"/>
              <w:rPr>
                <w:sz w:val="16"/>
                <w:szCs w:val="16"/>
              </w:rPr>
            </w:pPr>
          </w:p>
        </w:tc>
      </w:tr>
      <w:tr w:rsidR="002E3AE7" w:rsidRPr="00F952C1" w:rsidTr="003E0A02">
        <w:trPr>
          <w:trHeight w:val="795"/>
        </w:trPr>
        <w:tc>
          <w:tcPr>
            <w:tcW w:w="1016" w:type="pct"/>
            <w:shd w:val="clear" w:color="auto" w:fill="auto"/>
            <w:tcMar>
              <w:left w:w="58" w:type="dxa"/>
              <w:right w:w="58" w:type="dxa"/>
            </w:tcMar>
          </w:tcPr>
          <w:p w:rsidR="002E3AE7" w:rsidRPr="00F952C1" w:rsidRDefault="002E3AE7" w:rsidP="003E0A02">
            <w:pPr>
              <w:ind w:right="-58"/>
              <w:rPr>
                <w:sz w:val="16"/>
                <w:szCs w:val="16"/>
              </w:rPr>
            </w:pPr>
            <w:r w:rsidRPr="00F952C1">
              <w:rPr>
                <w:sz w:val="16"/>
                <w:szCs w:val="16"/>
              </w:rPr>
              <w:t>% de clientes satisfechos con los servicios prestados por el servicio de asistencia</w:t>
            </w:r>
          </w:p>
        </w:tc>
        <w:tc>
          <w:tcPr>
            <w:tcW w:w="1402" w:type="pct"/>
            <w:shd w:val="clear" w:color="auto" w:fill="auto"/>
            <w:tcMar>
              <w:left w:w="58" w:type="dxa"/>
              <w:right w:w="58" w:type="dxa"/>
            </w:tcMar>
          </w:tcPr>
          <w:p w:rsidR="002E3AE7" w:rsidRPr="004B1ECB" w:rsidRDefault="002E3AE7" w:rsidP="003E0A02">
            <w:pPr>
              <w:rPr>
                <w:i/>
                <w:color w:val="002060"/>
                <w:sz w:val="16"/>
                <w:szCs w:val="16"/>
              </w:rPr>
            </w:pPr>
            <w:r w:rsidRPr="004B1ECB">
              <w:rPr>
                <w:i/>
                <w:color w:val="002060"/>
                <w:sz w:val="16"/>
                <w:szCs w:val="16"/>
              </w:rPr>
              <w:t xml:space="preserve">Referencia actualizada a fines de 2015:  </w:t>
            </w:r>
          </w:p>
          <w:p w:rsidR="002E3AE7" w:rsidRPr="004B1ECB" w:rsidRDefault="002E3AE7" w:rsidP="003E0A02">
            <w:pPr>
              <w:rPr>
                <w:color w:val="002060"/>
                <w:sz w:val="16"/>
                <w:szCs w:val="16"/>
              </w:rPr>
            </w:pPr>
            <w:r w:rsidRPr="004B1ECB">
              <w:rPr>
                <w:color w:val="002060"/>
                <w:sz w:val="16"/>
                <w:szCs w:val="16"/>
              </w:rPr>
              <w:t xml:space="preserve">El 97% está satisfecho con los servicios prestados por el servicio de asistencia </w:t>
            </w:r>
          </w:p>
          <w:p w:rsidR="002E3AE7" w:rsidRPr="004B1ECB" w:rsidRDefault="002E3AE7" w:rsidP="002E3AE7">
            <w:pPr>
              <w:pStyle w:val="ListParagraph"/>
              <w:numPr>
                <w:ilvl w:val="0"/>
                <w:numId w:val="97"/>
              </w:numPr>
              <w:contextualSpacing/>
              <w:rPr>
                <w:i/>
                <w:color w:val="002060"/>
                <w:sz w:val="16"/>
                <w:szCs w:val="16"/>
                <w:lang w:val="es-ES"/>
              </w:rPr>
            </w:pPr>
            <w:r w:rsidRPr="004B1ECB">
              <w:rPr>
                <w:color w:val="002060"/>
                <w:sz w:val="16"/>
                <w:szCs w:val="16"/>
                <w:lang w:val="es-ES"/>
              </w:rPr>
              <w:t>El 64%</w:t>
            </w:r>
            <w:r w:rsidRPr="004B1ECB">
              <w:rPr>
                <w:rStyle w:val="FootnoteReference"/>
                <w:color w:val="002060"/>
                <w:lang w:val="es-ES"/>
              </w:rPr>
              <w:footnoteReference w:id="101"/>
            </w:r>
            <w:r w:rsidRPr="004B1ECB">
              <w:rPr>
                <w:color w:val="002060"/>
                <w:sz w:val="16"/>
                <w:szCs w:val="16"/>
                <w:lang w:val="es-ES"/>
              </w:rPr>
              <w:t xml:space="preserve">  completamente satisfecho</w:t>
            </w:r>
          </w:p>
          <w:p w:rsidR="002E3AE7" w:rsidRPr="004B1ECB" w:rsidRDefault="002E3AE7" w:rsidP="002E3AE7">
            <w:pPr>
              <w:pStyle w:val="ListParagraph"/>
              <w:numPr>
                <w:ilvl w:val="0"/>
                <w:numId w:val="97"/>
              </w:numPr>
              <w:contextualSpacing/>
              <w:rPr>
                <w:i/>
                <w:color w:val="002060"/>
                <w:sz w:val="16"/>
                <w:szCs w:val="16"/>
                <w:lang w:val="es-ES"/>
              </w:rPr>
            </w:pPr>
            <w:r w:rsidRPr="004B1ECB">
              <w:rPr>
                <w:color w:val="002060"/>
                <w:sz w:val="16"/>
                <w:szCs w:val="16"/>
                <w:lang w:val="es-ES"/>
              </w:rPr>
              <w:t>El 33% satisfecho</w:t>
            </w:r>
          </w:p>
          <w:p w:rsidR="002E3AE7" w:rsidRPr="00F952C1" w:rsidRDefault="002E3AE7" w:rsidP="003E0A02">
            <w:pPr>
              <w:rPr>
                <w:sz w:val="16"/>
                <w:szCs w:val="16"/>
              </w:rPr>
            </w:pPr>
          </w:p>
          <w:p w:rsidR="002E3AE7" w:rsidRPr="00F952C1" w:rsidRDefault="002E3AE7" w:rsidP="003E0A02">
            <w:pPr>
              <w:rPr>
                <w:i/>
                <w:sz w:val="16"/>
                <w:szCs w:val="16"/>
                <w:lang w:bidi="th-TH"/>
              </w:rPr>
            </w:pPr>
            <w:r w:rsidRPr="00F952C1">
              <w:rPr>
                <w:i/>
                <w:sz w:val="16"/>
                <w:szCs w:val="16"/>
                <w:lang w:bidi="th-TH"/>
              </w:rPr>
              <w:t xml:space="preserve">Referencia original en el presupuesto de 2016/17:  </w:t>
            </w:r>
          </w:p>
          <w:p w:rsidR="002E3AE7" w:rsidRPr="00F952C1" w:rsidRDefault="002E3AE7" w:rsidP="003E0A02">
            <w:pPr>
              <w:spacing w:after="120"/>
              <w:rPr>
                <w:sz w:val="16"/>
                <w:szCs w:val="16"/>
              </w:rPr>
            </w:pPr>
            <w:r w:rsidRPr="00F952C1">
              <w:rPr>
                <w:sz w:val="16"/>
                <w:szCs w:val="16"/>
              </w:rPr>
              <w:t>El 97% de los clientes está satisfecho o muy satisfecho con el servicio de asistencia</w:t>
            </w:r>
          </w:p>
        </w:tc>
        <w:tc>
          <w:tcPr>
            <w:tcW w:w="706" w:type="pct"/>
            <w:shd w:val="clear" w:color="auto" w:fill="auto"/>
            <w:tcMar>
              <w:top w:w="110" w:type="dxa"/>
              <w:left w:w="58" w:type="dxa"/>
              <w:right w:w="58" w:type="dxa"/>
            </w:tcMar>
          </w:tcPr>
          <w:p w:rsidR="002E3AE7" w:rsidRPr="00F952C1" w:rsidRDefault="002E3AE7" w:rsidP="003E0A02">
            <w:pPr>
              <w:rPr>
                <w:sz w:val="16"/>
                <w:szCs w:val="16"/>
              </w:rPr>
            </w:pPr>
            <w:r w:rsidRPr="00F952C1">
              <w:rPr>
                <w:sz w:val="16"/>
                <w:szCs w:val="16"/>
              </w:rPr>
              <w:t>Se mantiene el alto grado de satisfacción de los usuarios</w:t>
            </w:r>
          </w:p>
        </w:tc>
        <w:tc>
          <w:tcPr>
            <w:tcW w:w="1458" w:type="pct"/>
            <w:shd w:val="clear" w:color="auto" w:fill="FFFFFF"/>
            <w:tcMar>
              <w:top w:w="110" w:type="dxa"/>
              <w:left w:w="58" w:type="dxa"/>
              <w:right w:w="58" w:type="dxa"/>
            </w:tcMar>
          </w:tcPr>
          <w:p w:rsidR="002E3AE7" w:rsidRPr="00F952C1" w:rsidRDefault="002E3AE7" w:rsidP="003E0A02">
            <w:pPr>
              <w:rPr>
                <w:sz w:val="16"/>
                <w:szCs w:val="16"/>
              </w:rPr>
            </w:pPr>
            <w:r w:rsidRPr="00F952C1">
              <w:rPr>
                <w:sz w:val="16"/>
                <w:szCs w:val="16"/>
              </w:rPr>
              <w:t xml:space="preserve">El 97,4% está satisfecho con los servicios prestados por el servicio de asistencia </w:t>
            </w:r>
          </w:p>
          <w:p w:rsidR="002E3AE7" w:rsidRPr="00F952C1" w:rsidRDefault="002E3AE7" w:rsidP="002E3AE7">
            <w:pPr>
              <w:pStyle w:val="ListParagraph"/>
              <w:numPr>
                <w:ilvl w:val="0"/>
                <w:numId w:val="97"/>
              </w:numPr>
              <w:contextualSpacing/>
              <w:rPr>
                <w:i/>
                <w:sz w:val="16"/>
                <w:szCs w:val="16"/>
                <w:lang w:val="es-ES"/>
              </w:rPr>
            </w:pPr>
            <w:r w:rsidRPr="00F952C1">
              <w:rPr>
                <w:sz w:val="16"/>
                <w:szCs w:val="16"/>
                <w:lang w:val="es-ES"/>
              </w:rPr>
              <w:t>El 66,7% completamente satisfecho</w:t>
            </w:r>
          </w:p>
          <w:p w:rsidR="002E3AE7" w:rsidRPr="00F952C1" w:rsidRDefault="002E3AE7" w:rsidP="002E3AE7">
            <w:pPr>
              <w:pStyle w:val="ListParagraph"/>
              <w:numPr>
                <w:ilvl w:val="0"/>
                <w:numId w:val="97"/>
              </w:numPr>
              <w:contextualSpacing/>
              <w:rPr>
                <w:i/>
                <w:sz w:val="16"/>
                <w:szCs w:val="16"/>
                <w:lang w:val="es-ES"/>
              </w:rPr>
            </w:pPr>
            <w:r w:rsidRPr="00F952C1">
              <w:rPr>
                <w:sz w:val="16"/>
                <w:szCs w:val="16"/>
                <w:lang w:val="es-ES"/>
              </w:rPr>
              <w:t>El 30,7% satisfecho</w:t>
            </w:r>
          </w:p>
          <w:p w:rsidR="002E3AE7" w:rsidRPr="00F952C1" w:rsidRDefault="002E3AE7" w:rsidP="003E0A02">
            <w:pPr>
              <w:rPr>
                <w:sz w:val="16"/>
                <w:szCs w:val="16"/>
              </w:rPr>
            </w:pPr>
          </w:p>
        </w:tc>
        <w:tc>
          <w:tcPr>
            <w:tcW w:w="418" w:type="pct"/>
            <w:shd w:val="clear" w:color="auto" w:fill="auto"/>
            <w:tcMar>
              <w:top w:w="110" w:type="dxa"/>
              <w:left w:w="58" w:type="dxa"/>
              <w:right w:w="58" w:type="dxa"/>
            </w:tcMar>
          </w:tcPr>
          <w:p w:rsidR="002E3AE7" w:rsidRPr="00F952C1" w:rsidRDefault="002E3AE7" w:rsidP="003E0A02">
            <w:pPr>
              <w:jc w:val="center"/>
              <w:rPr>
                <w:b/>
                <w:sz w:val="16"/>
                <w:szCs w:val="16"/>
              </w:rPr>
            </w:pPr>
            <w:r w:rsidRPr="00F952C1">
              <w:rPr>
                <w:b/>
                <w:color w:val="00B050"/>
                <w:sz w:val="16"/>
                <w:szCs w:val="16"/>
              </w:rPr>
              <w:t>Avanza</w:t>
            </w:r>
            <w:r w:rsidRPr="00F952C1">
              <w:rPr>
                <w:b/>
                <w:sz w:val="16"/>
                <w:szCs w:val="16"/>
              </w:rPr>
              <w:t xml:space="preserve"> </w:t>
            </w:r>
          </w:p>
          <w:p w:rsidR="002E3AE7" w:rsidRPr="00F952C1" w:rsidRDefault="002E3AE7" w:rsidP="003E0A02">
            <w:pPr>
              <w:jc w:val="center"/>
              <w:rPr>
                <w:sz w:val="16"/>
                <w:szCs w:val="16"/>
              </w:rPr>
            </w:pPr>
          </w:p>
        </w:tc>
      </w:tr>
      <w:tr w:rsidR="002E3AE7" w:rsidRPr="00F952C1" w:rsidTr="003E0A02">
        <w:trPr>
          <w:trHeight w:val="3696"/>
        </w:trPr>
        <w:tc>
          <w:tcPr>
            <w:tcW w:w="1016" w:type="pct"/>
            <w:shd w:val="clear" w:color="auto" w:fill="auto"/>
            <w:tcMar>
              <w:left w:w="58" w:type="dxa"/>
              <w:right w:w="58" w:type="dxa"/>
            </w:tcMar>
          </w:tcPr>
          <w:p w:rsidR="002E3AE7" w:rsidRPr="00F952C1" w:rsidRDefault="002E3AE7" w:rsidP="003E0A02">
            <w:pPr>
              <w:ind w:right="-58"/>
              <w:rPr>
                <w:sz w:val="16"/>
                <w:szCs w:val="16"/>
              </w:rPr>
            </w:pPr>
            <w:r w:rsidRPr="00F952C1">
              <w:rPr>
                <w:sz w:val="16"/>
                <w:szCs w:val="16"/>
              </w:rPr>
              <w:t>Los proyectos de TIC de la OMPI se administran de conformidad con las Directrices para la gestión de proyectos y transición del servicio de la OMPI</w:t>
            </w:r>
          </w:p>
          <w:p w:rsidR="002E3AE7" w:rsidRPr="00F952C1" w:rsidRDefault="002E3AE7" w:rsidP="003E0A02">
            <w:pPr>
              <w:ind w:right="-58"/>
              <w:rPr>
                <w:sz w:val="16"/>
                <w:szCs w:val="16"/>
              </w:rPr>
            </w:pPr>
          </w:p>
          <w:p w:rsidR="002E3AE7" w:rsidRPr="00F952C1" w:rsidRDefault="002E3AE7" w:rsidP="003E0A02">
            <w:pPr>
              <w:ind w:right="-58"/>
              <w:rPr>
                <w:sz w:val="16"/>
                <w:szCs w:val="16"/>
              </w:rPr>
            </w:pPr>
          </w:p>
          <w:p w:rsidR="002E3AE7" w:rsidRPr="00F952C1" w:rsidRDefault="002E3AE7" w:rsidP="003E0A02">
            <w:pPr>
              <w:ind w:right="-58"/>
              <w:rPr>
                <w:sz w:val="16"/>
                <w:szCs w:val="16"/>
              </w:rPr>
            </w:pPr>
          </w:p>
        </w:tc>
        <w:tc>
          <w:tcPr>
            <w:tcW w:w="1402" w:type="pct"/>
            <w:shd w:val="clear" w:color="auto" w:fill="auto"/>
            <w:tcMar>
              <w:left w:w="58" w:type="dxa"/>
              <w:right w:w="58" w:type="dxa"/>
            </w:tcMar>
          </w:tcPr>
          <w:p w:rsidR="002E3AE7" w:rsidRPr="004B1ECB" w:rsidRDefault="002E3AE7" w:rsidP="003E0A02">
            <w:pPr>
              <w:rPr>
                <w:color w:val="002060"/>
                <w:sz w:val="16"/>
                <w:szCs w:val="16"/>
              </w:rPr>
            </w:pPr>
            <w:r w:rsidRPr="004B1ECB">
              <w:rPr>
                <w:i/>
                <w:color w:val="002060"/>
                <w:sz w:val="16"/>
                <w:szCs w:val="16"/>
              </w:rPr>
              <w:t>Referencia actualizada a fines de 2015:</w:t>
            </w:r>
            <w:r w:rsidRPr="004B1ECB">
              <w:rPr>
                <w:color w:val="002060"/>
                <w:sz w:val="16"/>
                <w:szCs w:val="16"/>
              </w:rPr>
              <w:t xml:space="preserve">  n.d. (nuevo)</w:t>
            </w:r>
          </w:p>
          <w:p w:rsidR="002E3AE7" w:rsidRPr="004B1ECB" w:rsidRDefault="002E3AE7" w:rsidP="003E0A02">
            <w:pPr>
              <w:rPr>
                <w:color w:val="002060"/>
                <w:sz w:val="16"/>
                <w:szCs w:val="16"/>
              </w:rPr>
            </w:pPr>
            <w:r w:rsidRPr="004B1ECB">
              <w:rPr>
                <w:color w:val="002060"/>
                <w:sz w:val="16"/>
                <w:szCs w:val="16"/>
              </w:rPr>
              <w:t xml:space="preserve">Definición de las directrices de la OMPI para la transición del servicio </w:t>
            </w: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i/>
                <w:sz w:val="16"/>
                <w:szCs w:val="16"/>
                <w:lang w:bidi="th-TH"/>
              </w:rPr>
            </w:pPr>
            <w:r w:rsidRPr="00F952C1">
              <w:rPr>
                <w:i/>
                <w:sz w:val="16"/>
                <w:szCs w:val="16"/>
                <w:lang w:bidi="th-TH"/>
              </w:rPr>
              <w:t xml:space="preserve">Referencia original en el presupuesto de 2016/17:  </w:t>
            </w:r>
          </w:p>
          <w:p w:rsidR="002E3AE7" w:rsidRPr="00F952C1" w:rsidRDefault="002E3AE7" w:rsidP="003E0A02">
            <w:pPr>
              <w:rPr>
                <w:sz w:val="16"/>
                <w:szCs w:val="16"/>
              </w:rPr>
            </w:pPr>
            <w:r w:rsidRPr="00F952C1">
              <w:rPr>
                <w:sz w:val="16"/>
                <w:szCs w:val="16"/>
              </w:rPr>
              <w:t>n.d. (nuevo)</w:t>
            </w:r>
          </w:p>
          <w:p w:rsidR="002E3AE7" w:rsidRPr="00F952C1" w:rsidRDefault="002E3AE7" w:rsidP="003E0A02">
            <w:pPr>
              <w:rPr>
                <w:sz w:val="16"/>
                <w:szCs w:val="16"/>
              </w:rPr>
            </w:pPr>
            <w:r w:rsidRPr="00F952C1">
              <w:rPr>
                <w:sz w:val="16"/>
                <w:szCs w:val="16"/>
              </w:rPr>
              <w:t xml:space="preserve">No se han definido las Directrices sobre transición </w:t>
            </w:r>
          </w:p>
        </w:tc>
        <w:tc>
          <w:tcPr>
            <w:tcW w:w="706" w:type="pct"/>
            <w:shd w:val="clear" w:color="auto" w:fill="auto"/>
            <w:tcMar>
              <w:top w:w="110" w:type="dxa"/>
              <w:left w:w="58" w:type="dxa"/>
              <w:right w:w="58" w:type="dxa"/>
            </w:tcMar>
          </w:tcPr>
          <w:p w:rsidR="002E3AE7" w:rsidRPr="00F952C1" w:rsidRDefault="002E3AE7" w:rsidP="003E0A02">
            <w:pPr>
              <w:rPr>
                <w:sz w:val="16"/>
                <w:szCs w:val="16"/>
              </w:rPr>
            </w:pPr>
            <w:r w:rsidRPr="00F952C1">
              <w:rPr>
                <w:sz w:val="16"/>
                <w:szCs w:val="16"/>
              </w:rPr>
              <w:t>Más del 70% de los proyectos son gestionados conforme a las Directrices de la OMPI para la gestión de proyectos</w:t>
            </w:r>
          </w:p>
          <w:p w:rsidR="002E3AE7" w:rsidRPr="00F952C1" w:rsidRDefault="002E3AE7" w:rsidP="003E0A02">
            <w:pPr>
              <w:rPr>
                <w:sz w:val="16"/>
                <w:szCs w:val="16"/>
              </w:rPr>
            </w:pPr>
          </w:p>
          <w:p w:rsidR="002E3AE7" w:rsidRPr="00F952C1" w:rsidRDefault="002E3AE7" w:rsidP="003E0A02">
            <w:pPr>
              <w:rPr>
                <w:sz w:val="16"/>
                <w:szCs w:val="16"/>
              </w:rPr>
            </w:pPr>
            <w:r w:rsidRPr="00F952C1">
              <w:rPr>
                <w:sz w:val="16"/>
                <w:szCs w:val="16"/>
              </w:rPr>
              <w:t>El 70% de los nuevos proyectos ejecutados cumplen las Directrices sobre transición del servicio</w:t>
            </w:r>
          </w:p>
        </w:tc>
        <w:tc>
          <w:tcPr>
            <w:tcW w:w="1458" w:type="pct"/>
            <w:shd w:val="clear" w:color="auto" w:fill="FFFFFF"/>
            <w:tcMar>
              <w:top w:w="110" w:type="dxa"/>
              <w:left w:w="58" w:type="dxa"/>
              <w:right w:w="58" w:type="dxa"/>
            </w:tcMar>
          </w:tcPr>
          <w:p w:rsidR="002E3AE7" w:rsidRPr="00F952C1" w:rsidRDefault="002E3AE7" w:rsidP="003E0A02">
            <w:pPr>
              <w:rPr>
                <w:sz w:val="16"/>
                <w:szCs w:val="16"/>
              </w:rPr>
            </w:pPr>
            <w:r w:rsidRPr="00F952C1">
              <w:rPr>
                <w:sz w:val="16"/>
                <w:szCs w:val="16"/>
              </w:rPr>
              <w:t>El 100% de los proyectos de TIC de la OMPI se administraron de conformidad con las Directrices para la gestión de proyectos (3 de 3)</w:t>
            </w: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r w:rsidRPr="00F952C1">
              <w:rPr>
                <w:sz w:val="16"/>
                <w:szCs w:val="16"/>
              </w:rPr>
              <w:t>El 66% de los proyectos TIC de la OMPI ejecutados cumplieron las Directrices sobre transición del servicio (2 de 3)</w:t>
            </w:r>
          </w:p>
        </w:tc>
        <w:tc>
          <w:tcPr>
            <w:tcW w:w="418" w:type="pct"/>
            <w:shd w:val="clear" w:color="auto" w:fill="auto"/>
            <w:tcMar>
              <w:top w:w="110" w:type="dxa"/>
              <w:left w:w="58" w:type="dxa"/>
              <w:right w:w="58" w:type="dxa"/>
            </w:tcMar>
          </w:tcPr>
          <w:p w:rsidR="002E3AE7" w:rsidRPr="00F952C1" w:rsidRDefault="002E3AE7" w:rsidP="003E0A02">
            <w:pPr>
              <w:jc w:val="center"/>
              <w:rPr>
                <w:b/>
                <w:sz w:val="16"/>
                <w:szCs w:val="16"/>
              </w:rPr>
            </w:pPr>
            <w:r w:rsidRPr="00F952C1">
              <w:rPr>
                <w:b/>
                <w:color w:val="00B050"/>
                <w:sz w:val="16"/>
                <w:szCs w:val="16"/>
              </w:rPr>
              <w:t>Avanza</w:t>
            </w:r>
            <w:r w:rsidRPr="00F952C1">
              <w:rPr>
                <w:b/>
                <w:sz w:val="16"/>
                <w:szCs w:val="16"/>
              </w:rPr>
              <w:t xml:space="preserve"> </w:t>
            </w: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sz w:val="16"/>
                <w:szCs w:val="16"/>
              </w:rPr>
            </w:pPr>
          </w:p>
          <w:p w:rsidR="002E3AE7" w:rsidRPr="00F952C1" w:rsidRDefault="002E3AE7" w:rsidP="003E0A02">
            <w:pPr>
              <w:rPr>
                <w:b/>
                <w:sz w:val="16"/>
                <w:szCs w:val="16"/>
              </w:rPr>
            </w:pPr>
          </w:p>
          <w:p w:rsidR="002E3AE7" w:rsidRPr="00F952C1" w:rsidRDefault="002E3AE7" w:rsidP="003E0A02">
            <w:pPr>
              <w:rPr>
                <w:b/>
                <w:sz w:val="16"/>
                <w:szCs w:val="16"/>
              </w:rPr>
            </w:pPr>
          </w:p>
          <w:p w:rsidR="002E3AE7" w:rsidRPr="00F952C1" w:rsidRDefault="002E3AE7" w:rsidP="003E0A02">
            <w:pPr>
              <w:jc w:val="center"/>
              <w:rPr>
                <w:b/>
                <w:sz w:val="16"/>
                <w:szCs w:val="16"/>
              </w:rPr>
            </w:pPr>
            <w:r w:rsidRPr="00F952C1">
              <w:rPr>
                <w:b/>
                <w:color w:val="00B050"/>
                <w:sz w:val="16"/>
                <w:szCs w:val="16"/>
              </w:rPr>
              <w:t>Avanza</w:t>
            </w:r>
            <w:r w:rsidRPr="00F952C1">
              <w:rPr>
                <w:b/>
                <w:sz w:val="16"/>
                <w:szCs w:val="16"/>
              </w:rPr>
              <w:t xml:space="preserve"> </w:t>
            </w:r>
          </w:p>
          <w:p w:rsidR="002E3AE7" w:rsidRPr="00F952C1" w:rsidRDefault="002E3AE7" w:rsidP="003E0A02">
            <w:pPr>
              <w:rPr>
                <w:sz w:val="16"/>
                <w:szCs w:val="16"/>
              </w:rPr>
            </w:pPr>
          </w:p>
        </w:tc>
      </w:tr>
    </w:tbl>
    <w:p w:rsidR="002E3AE7" w:rsidRPr="00F952C1" w:rsidRDefault="002E3AE7">
      <w:r w:rsidRPr="00F952C1">
        <w:br w:type="page"/>
      </w:r>
    </w:p>
    <w:tbl>
      <w:tblPr>
        <w:tblW w:w="5000" w:type="pct"/>
        <w:tblInd w:w="58" w:type="dxa"/>
        <w:tblLayout w:type="fixed"/>
        <w:tblCellMar>
          <w:left w:w="115" w:type="dxa"/>
          <w:right w:w="115" w:type="dxa"/>
        </w:tblCellMar>
        <w:tblLook w:val="0000" w:firstRow="0" w:lastRow="0" w:firstColumn="0" w:lastColumn="0" w:noHBand="0" w:noVBand="0"/>
      </w:tblPr>
      <w:tblGrid>
        <w:gridCol w:w="1867"/>
        <w:gridCol w:w="2576"/>
        <w:gridCol w:w="1297"/>
        <w:gridCol w:w="2679"/>
        <w:gridCol w:w="768"/>
      </w:tblGrid>
      <w:tr w:rsidR="002E3AE7" w:rsidRPr="00F952C1" w:rsidTr="003E0A02">
        <w:trPr>
          <w:trHeight w:val="565"/>
        </w:trPr>
        <w:tc>
          <w:tcPr>
            <w:tcW w:w="5000" w:type="pct"/>
            <w:gridSpan w:val="5"/>
            <w:shd w:val="clear" w:color="auto" w:fill="C6D9F1" w:themeFill="text2" w:themeFillTint="33"/>
            <w:tcMar>
              <w:left w:w="58" w:type="dxa"/>
              <w:right w:w="58" w:type="dxa"/>
            </w:tcMar>
            <w:vAlign w:val="center"/>
          </w:tcPr>
          <w:p w:rsidR="002E3AE7" w:rsidRPr="00F952C1" w:rsidRDefault="002E3AE7" w:rsidP="003E0A02">
            <w:pPr>
              <w:tabs>
                <w:tab w:val="left" w:pos="1452"/>
              </w:tabs>
              <w:ind w:left="1701" w:right="-58" w:hanging="1701"/>
              <w:rPr>
                <w:b/>
                <w:bCs/>
                <w:sz w:val="16"/>
                <w:szCs w:val="16"/>
              </w:rPr>
            </w:pPr>
            <w:r w:rsidRPr="00F952C1">
              <w:rPr>
                <w:b/>
                <w:bCs/>
                <w:sz w:val="16"/>
                <w:szCs w:val="16"/>
              </w:rPr>
              <w:lastRenderedPageBreak/>
              <w:t>Resultado previsto:</w:t>
            </w:r>
            <w:r w:rsidRPr="00F952C1">
              <w:rPr>
                <w:b/>
                <w:bCs/>
                <w:sz w:val="16"/>
                <w:szCs w:val="16"/>
              </w:rPr>
              <w:tab/>
            </w:r>
            <w:r w:rsidRPr="00F952C1">
              <w:rPr>
                <w:bCs/>
                <w:sz w:val="16"/>
                <w:szCs w:val="16"/>
              </w:rPr>
              <w:t>IX.4  Una Organización responsable con el medio ambiente y la sociedad en la que se garantiza la seguridad del personal de la OMPI, los delegados, los visitantes y los activos físicos</w:t>
            </w:r>
          </w:p>
        </w:tc>
      </w:tr>
      <w:tr w:rsidR="002E3AE7" w:rsidRPr="00F952C1" w:rsidTr="003E0A02">
        <w:tc>
          <w:tcPr>
            <w:tcW w:w="1016" w:type="pct"/>
            <w:shd w:val="clear" w:color="auto" w:fill="auto"/>
            <w:tcMar>
              <w:left w:w="58" w:type="dxa"/>
              <w:right w:w="58" w:type="dxa"/>
            </w:tcMar>
            <w:vAlign w:val="center"/>
          </w:tcPr>
          <w:p w:rsidR="002E3AE7" w:rsidRPr="00F952C1" w:rsidRDefault="002E3AE7" w:rsidP="003E0A02">
            <w:pPr>
              <w:ind w:right="-58"/>
              <w:rPr>
                <w:b/>
                <w:bCs/>
                <w:sz w:val="16"/>
                <w:szCs w:val="16"/>
              </w:rPr>
            </w:pPr>
            <w:r w:rsidRPr="00F952C1">
              <w:rPr>
                <w:b/>
                <w:bCs/>
                <w:sz w:val="16"/>
                <w:szCs w:val="16"/>
              </w:rPr>
              <w:t>Indicadores de rendimiento</w:t>
            </w:r>
          </w:p>
        </w:tc>
        <w:tc>
          <w:tcPr>
            <w:tcW w:w="1402" w:type="pct"/>
            <w:shd w:val="clear" w:color="auto" w:fill="auto"/>
            <w:tcMar>
              <w:left w:w="58" w:type="dxa"/>
              <w:right w:w="58" w:type="dxa"/>
            </w:tcMar>
            <w:vAlign w:val="center"/>
          </w:tcPr>
          <w:p w:rsidR="002E3AE7" w:rsidRPr="00F952C1" w:rsidRDefault="002E3AE7" w:rsidP="003E0A02">
            <w:pPr>
              <w:rPr>
                <w:b/>
                <w:bCs/>
                <w:sz w:val="16"/>
                <w:szCs w:val="16"/>
              </w:rPr>
            </w:pPr>
            <w:r w:rsidRPr="00F952C1">
              <w:rPr>
                <w:b/>
                <w:bCs/>
                <w:sz w:val="16"/>
                <w:szCs w:val="16"/>
              </w:rPr>
              <w:t>Referencias de base</w:t>
            </w:r>
          </w:p>
        </w:tc>
        <w:tc>
          <w:tcPr>
            <w:tcW w:w="706" w:type="pct"/>
            <w:shd w:val="clear" w:color="auto" w:fill="auto"/>
            <w:tcMar>
              <w:top w:w="110" w:type="dxa"/>
              <w:left w:w="58" w:type="dxa"/>
              <w:right w:w="58" w:type="dxa"/>
            </w:tcMar>
            <w:vAlign w:val="center"/>
          </w:tcPr>
          <w:p w:rsidR="002E3AE7" w:rsidRPr="00F952C1" w:rsidRDefault="002E3AE7" w:rsidP="003E0A02">
            <w:pPr>
              <w:rPr>
                <w:b/>
                <w:bCs/>
                <w:sz w:val="16"/>
                <w:szCs w:val="16"/>
              </w:rPr>
            </w:pPr>
            <w:r w:rsidRPr="00F952C1">
              <w:rPr>
                <w:b/>
                <w:bCs/>
                <w:sz w:val="16"/>
                <w:szCs w:val="16"/>
              </w:rPr>
              <w:t>Objetivos</w:t>
            </w:r>
          </w:p>
        </w:tc>
        <w:tc>
          <w:tcPr>
            <w:tcW w:w="1458" w:type="pct"/>
            <w:shd w:val="clear" w:color="auto" w:fill="FFFFFF"/>
            <w:tcMar>
              <w:top w:w="110" w:type="dxa"/>
              <w:left w:w="58" w:type="dxa"/>
              <w:right w:w="58" w:type="dxa"/>
            </w:tcMar>
            <w:vAlign w:val="center"/>
          </w:tcPr>
          <w:p w:rsidR="002E3AE7" w:rsidRPr="00F952C1" w:rsidRDefault="002E3AE7" w:rsidP="003E0A02">
            <w:pPr>
              <w:rPr>
                <w:b/>
                <w:bCs/>
                <w:sz w:val="16"/>
                <w:szCs w:val="16"/>
              </w:rPr>
            </w:pPr>
            <w:r w:rsidRPr="00F952C1">
              <w:rPr>
                <w:b/>
                <w:bCs/>
                <w:sz w:val="16"/>
                <w:szCs w:val="16"/>
              </w:rPr>
              <w:t>Datos sobre el rendimiento</w:t>
            </w:r>
          </w:p>
        </w:tc>
        <w:tc>
          <w:tcPr>
            <w:tcW w:w="418" w:type="pct"/>
            <w:shd w:val="clear" w:color="auto" w:fill="auto"/>
            <w:tcMar>
              <w:top w:w="110" w:type="dxa"/>
              <w:left w:w="58" w:type="dxa"/>
              <w:right w:w="58" w:type="dxa"/>
            </w:tcMar>
            <w:vAlign w:val="center"/>
          </w:tcPr>
          <w:p w:rsidR="002E3AE7" w:rsidRPr="00F952C1" w:rsidRDefault="002E3AE7" w:rsidP="003E0A02">
            <w:pPr>
              <w:jc w:val="center"/>
              <w:rPr>
                <w:b/>
                <w:bCs/>
                <w:sz w:val="16"/>
                <w:szCs w:val="16"/>
              </w:rPr>
            </w:pPr>
            <w:r w:rsidRPr="00F952C1">
              <w:rPr>
                <w:b/>
                <w:bCs/>
                <w:sz w:val="16"/>
                <w:szCs w:val="16"/>
              </w:rPr>
              <w:t>Clave de colores</w:t>
            </w:r>
          </w:p>
        </w:tc>
      </w:tr>
      <w:tr w:rsidR="002E3AE7" w:rsidRPr="00F952C1" w:rsidTr="003E0A02">
        <w:trPr>
          <w:trHeight w:val="3675"/>
        </w:trPr>
        <w:tc>
          <w:tcPr>
            <w:tcW w:w="1016" w:type="pct"/>
            <w:shd w:val="clear" w:color="auto" w:fill="auto"/>
            <w:tcMar>
              <w:left w:w="58" w:type="dxa"/>
              <w:right w:w="58" w:type="dxa"/>
            </w:tcMar>
          </w:tcPr>
          <w:p w:rsidR="002E3AE7" w:rsidRPr="00F952C1" w:rsidRDefault="002E3AE7" w:rsidP="003E0A02">
            <w:pPr>
              <w:ind w:right="-58"/>
              <w:rPr>
                <w:sz w:val="16"/>
                <w:szCs w:val="16"/>
              </w:rPr>
            </w:pPr>
            <w:r w:rsidRPr="00F952C1">
              <w:rPr>
                <w:sz w:val="16"/>
                <w:szCs w:val="16"/>
              </w:rPr>
              <w:t>Continuidad de los servicios de TIC de los sistemas esenciales</w:t>
            </w:r>
          </w:p>
        </w:tc>
        <w:tc>
          <w:tcPr>
            <w:tcW w:w="1402" w:type="pct"/>
            <w:shd w:val="clear" w:color="auto" w:fill="auto"/>
            <w:tcMar>
              <w:left w:w="58" w:type="dxa"/>
              <w:right w:w="58" w:type="dxa"/>
            </w:tcMar>
          </w:tcPr>
          <w:p w:rsidR="002E3AE7" w:rsidRPr="004B1ECB" w:rsidRDefault="002E3AE7" w:rsidP="003E0A02">
            <w:pPr>
              <w:ind w:right="-58"/>
              <w:rPr>
                <w:i/>
                <w:color w:val="002060"/>
                <w:sz w:val="16"/>
                <w:szCs w:val="16"/>
              </w:rPr>
            </w:pPr>
            <w:r w:rsidRPr="004B1ECB">
              <w:rPr>
                <w:i/>
                <w:color w:val="002060"/>
                <w:sz w:val="16"/>
                <w:szCs w:val="16"/>
              </w:rPr>
              <w:t xml:space="preserve">Referencia actualizada a fines de 2015:  </w:t>
            </w:r>
          </w:p>
          <w:p w:rsidR="002E3AE7" w:rsidRPr="004B1ECB" w:rsidRDefault="002E3AE7" w:rsidP="003E0A02">
            <w:pPr>
              <w:ind w:right="-58"/>
              <w:rPr>
                <w:color w:val="002060"/>
                <w:sz w:val="16"/>
                <w:szCs w:val="16"/>
              </w:rPr>
            </w:pPr>
            <w:r w:rsidRPr="004B1ECB">
              <w:rPr>
                <w:color w:val="002060"/>
                <w:sz w:val="16"/>
                <w:szCs w:val="16"/>
              </w:rPr>
              <w:t xml:space="preserve">Se amplió a los servicios esenciales de TIC la infraestructura de servidores, almacenamiento, respaldo y red.  En 2014/15, se evaluaron otros 12 servicios esenciales de TIC y se aplicaron las medidas adecuadas para garantizar la disponibilidad de los servicios. </w:t>
            </w:r>
          </w:p>
          <w:p w:rsidR="002E3AE7" w:rsidRPr="004B1ECB" w:rsidRDefault="002E3AE7" w:rsidP="003E0A02">
            <w:pPr>
              <w:ind w:right="-58"/>
              <w:rPr>
                <w:color w:val="002060"/>
                <w:sz w:val="16"/>
                <w:szCs w:val="16"/>
              </w:rPr>
            </w:pPr>
          </w:p>
          <w:p w:rsidR="002E3AE7" w:rsidRPr="004B1ECB" w:rsidRDefault="002E3AE7" w:rsidP="003E0A02">
            <w:pPr>
              <w:ind w:right="-58"/>
              <w:rPr>
                <w:color w:val="002060"/>
                <w:sz w:val="16"/>
                <w:szCs w:val="16"/>
              </w:rPr>
            </w:pPr>
            <w:r w:rsidRPr="004B1ECB">
              <w:rPr>
                <w:color w:val="002060"/>
                <w:sz w:val="16"/>
                <w:szCs w:val="16"/>
              </w:rPr>
              <w:t>En 2015 se validó la capacidad de prestar servicios ininterrumpidos de TIC mediante una prueba de un día de recuperación en caso de desastre; el ejercicio de recuperación en caso de fallos en los sistemas del PCT se completó en 30 minutos.</w:t>
            </w:r>
          </w:p>
          <w:p w:rsidR="002E3AE7" w:rsidRPr="00F952C1" w:rsidRDefault="002E3AE7" w:rsidP="003E0A02">
            <w:pPr>
              <w:ind w:right="-58"/>
              <w:rPr>
                <w:i/>
                <w:sz w:val="16"/>
                <w:szCs w:val="16"/>
                <w:lang w:bidi="th-TH"/>
              </w:rPr>
            </w:pPr>
          </w:p>
          <w:p w:rsidR="002E3AE7" w:rsidRPr="00F952C1" w:rsidRDefault="002E3AE7" w:rsidP="003E0A02">
            <w:pPr>
              <w:ind w:right="-58"/>
              <w:rPr>
                <w:sz w:val="16"/>
                <w:szCs w:val="16"/>
              </w:rPr>
            </w:pPr>
            <w:r w:rsidRPr="00F952C1">
              <w:rPr>
                <w:i/>
                <w:sz w:val="16"/>
                <w:szCs w:val="16"/>
                <w:lang w:bidi="th-TH"/>
              </w:rPr>
              <w:t xml:space="preserve">Referencia original en el presupuesto de 2016/17:  </w:t>
            </w:r>
          </w:p>
          <w:p w:rsidR="002E3AE7" w:rsidRDefault="002E3AE7" w:rsidP="003E0A02">
            <w:pPr>
              <w:ind w:right="-58"/>
              <w:rPr>
                <w:sz w:val="16"/>
                <w:szCs w:val="16"/>
              </w:rPr>
            </w:pPr>
            <w:r w:rsidRPr="00F952C1">
              <w:rPr>
                <w:sz w:val="16"/>
                <w:szCs w:val="16"/>
              </w:rPr>
              <w:t>Los sistemas esenciales pueden recuperarse puntualmente sin pérdida de datos en caso de importantes interrupciones localizadas</w:t>
            </w:r>
            <w:r w:rsidRPr="00F952C1">
              <w:rPr>
                <w:sz w:val="16"/>
                <w:szCs w:val="16"/>
              </w:rPr>
              <w:br/>
            </w:r>
          </w:p>
          <w:p w:rsidR="00112BA3" w:rsidRPr="00F952C1" w:rsidRDefault="00112BA3" w:rsidP="003E0A02">
            <w:pPr>
              <w:ind w:right="-58"/>
              <w:rPr>
                <w:sz w:val="16"/>
                <w:szCs w:val="16"/>
              </w:rPr>
            </w:pPr>
          </w:p>
        </w:tc>
        <w:tc>
          <w:tcPr>
            <w:tcW w:w="706" w:type="pct"/>
            <w:shd w:val="clear" w:color="auto" w:fill="auto"/>
            <w:tcMar>
              <w:top w:w="110" w:type="dxa"/>
              <w:left w:w="58" w:type="dxa"/>
              <w:right w:w="58" w:type="dxa"/>
            </w:tcMar>
          </w:tcPr>
          <w:p w:rsidR="002E3AE7" w:rsidRPr="00F952C1" w:rsidRDefault="002E3AE7" w:rsidP="003E0A02">
            <w:pPr>
              <w:rPr>
                <w:sz w:val="16"/>
                <w:szCs w:val="16"/>
              </w:rPr>
            </w:pPr>
            <w:r w:rsidRPr="00F952C1">
              <w:rPr>
                <w:sz w:val="16"/>
                <w:szCs w:val="16"/>
              </w:rPr>
              <w:t>Se avanza hacia una plataforma de TIC que permita que continúen funcionando los sistemas vitales en caso de una importante perturbación regional</w:t>
            </w:r>
          </w:p>
        </w:tc>
        <w:tc>
          <w:tcPr>
            <w:tcW w:w="1458" w:type="pct"/>
            <w:shd w:val="clear" w:color="auto" w:fill="FFFFFF"/>
            <w:tcMar>
              <w:top w:w="110" w:type="dxa"/>
              <w:left w:w="58" w:type="dxa"/>
              <w:right w:w="58" w:type="dxa"/>
            </w:tcMar>
          </w:tcPr>
          <w:p w:rsidR="002E3AE7" w:rsidRPr="00F952C1" w:rsidRDefault="002E3AE7" w:rsidP="003E0A02">
            <w:pPr>
              <w:ind w:left="29"/>
              <w:rPr>
                <w:sz w:val="16"/>
                <w:szCs w:val="16"/>
              </w:rPr>
            </w:pPr>
            <w:r w:rsidRPr="00F952C1">
              <w:rPr>
                <w:sz w:val="16"/>
                <w:szCs w:val="16"/>
              </w:rPr>
              <w:t xml:space="preserve">Se mejoraron otros 2 servicios esenciales TIC para garantizar la disponibilidad de los servicios </w:t>
            </w:r>
          </w:p>
          <w:p w:rsidR="002E3AE7" w:rsidRPr="00F952C1" w:rsidRDefault="002E3AE7" w:rsidP="003E0A02">
            <w:pPr>
              <w:ind w:left="29"/>
              <w:rPr>
                <w:sz w:val="16"/>
                <w:szCs w:val="16"/>
              </w:rPr>
            </w:pPr>
          </w:p>
          <w:p w:rsidR="002E3AE7" w:rsidRPr="00F952C1" w:rsidRDefault="002E3AE7" w:rsidP="003E0A02">
            <w:pPr>
              <w:pStyle w:val="ListParagraph"/>
              <w:ind w:left="29"/>
              <w:rPr>
                <w:sz w:val="16"/>
                <w:szCs w:val="16"/>
                <w:lang w:val="es-ES"/>
              </w:rPr>
            </w:pPr>
            <w:r w:rsidRPr="00F952C1">
              <w:rPr>
                <w:sz w:val="16"/>
                <w:szCs w:val="16"/>
                <w:lang w:val="es-ES"/>
              </w:rPr>
              <w:t>En 2016 se validó la capacidad de prestar servicios ininterrumpidos de TIC mediante una prueba de un día de recuperación en caso de desastre</w:t>
            </w:r>
          </w:p>
        </w:tc>
        <w:tc>
          <w:tcPr>
            <w:tcW w:w="418" w:type="pct"/>
            <w:shd w:val="clear" w:color="auto" w:fill="auto"/>
            <w:tcMar>
              <w:top w:w="110" w:type="dxa"/>
              <w:left w:w="58" w:type="dxa"/>
              <w:right w:w="58" w:type="dxa"/>
            </w:tcMar>
          </w:tcPr>
          <w:p w:rsidR="002E3AE7" w:rsidRPr="00F952C1" w:rsidRDefault="002E3AE7" w:rsidP="003E0A02">
            <w:pPr>
              <w:jc w:val="center"/>
              <w:rPr>
                <w:b/>
                <w:sz w:val="16"/>
                <w:szCs w:val="16"/>
              </w:rPr>
            </w:pPr>
            <w:r w:rsidRPr="00F952C1">
              <w:rPr>
                <w:b/>
                <w:color w:val="00B050"/>
                <w:sz w:val="16"/>
                <w:szCs w:val="16"/>
              </w:rPr>
              <w:t>Avanza</w:t>
            </w:r>
            <w:r w:rsidRPr="00F952C1">
              <w:rPr>
                <w:b/>
                <w:sz w:val="16"/>
                <w:szCs w:val="16"/>
              </w:rPr>
              <w:t xml:space="preserve"> </w:t>
            </w:r>
          </w:p>
          <w:p w:rsidR="002E3AE7" w:rsidRPr="00F952C1" w:rsidRDefault="002E3AE7" w:rsidP="003E0A02">
            <w:pPr>
              <w:jc w:val="center"/>
              <w:rPr>
                <w:sz w:val="16"/>
                <w:szCs w:val="16"/>
              </w:rPr>
            </w:pPr>
          </w:p>
        </w:tc>
      </w:tr>
    </w:tbl>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tblGrid>
      <w:tr w:rsidR="002E3AE7" w:rsidRPr="00F952C1" w:rsidTr="003E0A02">
        <w:trPr>
          <w:trHeight w:val="423"/>
        </w:trPr>
        <w:tc>
          <w:tcPr>
            <w:tcW w:w="9072" w:type="dxa"/>
            <w:shd w:val="clear" w:color="auto" w:fill="C6D9F1" w:themeFill="text2" w:themeFillTint="33"/>
            <w:vAlign w:val="center"/>
          </w:tcPr>
          <w:p w:rsidR="002E3AE7" w:rsidRPr="00F952C1" w:rsidRDefault="002E3AE7" w:rsidP="003E0A02">
            <w:pPr>
              <w:keepNext/>
              <w:keepLines/>
              <w:jc w:val="center"/>
              <w:rPr>
                <w:b/>
                <w:sz w:val="20"/>
              </w:rPr>
            </w:pPr>
            <w:r w:rsidRPr="00F952C1">
              <w:rPr>
                <w:b/>
                <w:sz w:val="20"/>
              </w:rPr>
              <w:t>Utilización de los recursos del programa 25</w:t>
            </w:r>
          </w:p>
        </w:tc>
      </w:tr>
    </w:tbl>
    <w:p w:rsidR="002E3AE7" w:rsidRPr="00F952C1" w:rsidRDefault="002E3AE7" w:rsidP="003E0A02">
      <w:pPr>
        <w:rPr>
          <w:sz w:val="20"/>
        </w:rPr>
      </w:pPr>
    </w:p>
    <w:p w:rsidR="002E3AE7" w:rsidRPr="00F952C1" w:rsidRDefault="002E3AE7" w:rsidP="003E0A02">
      <w:pPr>
        <w:keepNext/>
        <w:keepLines/>
        <w:jc w:val="center"/>
        <w:rPr>
          <w:sz w:val="18"/>
          <w:szCs w:val="18"/>
        </w:rPr>
      </w:pPr>
      <w:r w:rsidRPr="00F952C1">
        <w:rPr>
          <w:sz w:val="18"/>
          <w:szCs w:val="18"/>
        </w:rPr>
        <w:t>Presupuesto y gastos reales (por resultado)</w:t>
      </w:r>
    </w:p>
    <w:p w:rsidR="002E3AE7" w:rsidRPr="00F952C1" w:rsidRDefault="002E3AE7" w:rsidP="003E0A02">
      <w:pPr>
        <w:keepNext/>
        <w:keepLines/>
        <w:jc w:val="center"/>
        <w:rPr>
          <w:i/>
          <w:iCs/>
          <w:sz w:val="16"/>
          <w:szCs w:val="16"/>
        </w:rPr>
      </w:pPr>
      <w:r w:rsidRPr="00F952C1">
        <w:rPr>
          <w:i/>
          <w:iCs/>
          <w:sz w:val="16"/>
          <w:szCs w:val="16"/>
        </w:rPr>
        <w:t>(en miles de francos suizos)</w:t>
      </w:r>
    </w:p>
    <w:p w:rsidR="002E3AE7" w:rsidRPr="00F952C1" w:rsidRDefault="002E3AE7" w:rsidP="003E0A02">
      <w:pPr>
        <w:rPr>
          <w:sz w:val="20"/>
        </w:rPr>
      </w:pPr>
    </w:p>
    <w:tbl>
      <w:tblPr>
        <w:tblW w:w="8222" w:type="dxa"/>
        <w:jc w:val="center"/>
        <w:tblLayout w:type="fixed"/>
        <w:tblLook w:val="04A0" w:firstRow="1" w:lastRow="0" w:firstColumn="1" w:lastColumn="0" w:noHBand="0" w:noVBand="1"/>
      </w:tblPr>
      <w:tblGrid>
        <w:gridCol w:w="575"/>
        <w:gridCol w:w="3963"/>
        <w:gridCol w:w="1297"/>
        <w:gridCol w:w="1254"/>
        <w:gridCol w:w="1133"/>
      </w:tblGrid>
      <w:tr w:rsidR="002E3AE7" w:rsidRPr="00F952C1" w:rsidTr="003E0A02">
        <w:trPr>
          <w:trHeight w:val="825"/>
          <w:jc w:val="center"/>
        </w:trPr>
        <w:tc>
          <w:tcPr>
            <w:tcW w:w="4538" w:type="dxa"/>
            <w:gridSpan w:val="2"/>
            <w:tcBorders>
              <w:top w:val="nil"/>
              <w:left w:val="nil"/>
              <w:bottom w:val="nil"/>
              <w:right w:val="nil"/>
            </w:tcBorders>
            <w:shd w:val="clear" w:color="000000" w:fill="C5D9F1"/>
            <w:noWrap/>
            <w:vAlign w:val="center"/>
            <w:hideMark/>
          </w:tcPr>
          <w:p w:rsidR="002E3AE7" w:rsidRPr="00F952C1" w:rsidRDefault="002E3AE7" w:rsidP="003E0A02">
            <w:pPr>
              <w:jc w:val="center"/>
              <w:rPr>
                <w:b/>
                <w:bCs/>
                <w:sz w:val="16"/>
                <w:szCs w:val="16"/>
              </w:rPr>
            </w:pPr>
            <w:r w:rsidRPr="00F952C1">
              <w:rPr>
                <w:b/>
                <w:bCs/>
                <w:sz w:val="16"/>
                <w:szCs w:val="16"/>
              </w:rPr>
              <w:t xml:space="preserve">Número del resultado previsto y descripción </w:t>
            </w:r>
          </w:p>
        </w:tc>
        <w:tc>
          <w:tcPr>
            <w:tcW w:w="1297" w:type="dxa"/>
            <w:tcBorders>
              <w:top w:val="nil"/>
              <w:left w:val="nil"/>
              <w:bottom w:val="nil"/>
              <w:right w:val="nil"/>
            </w:tcBorders>
            <w:shd w:val="clear" w:color="000000" w:fill="C5D9F1"/>
            <w:vAlign w:val="center"/>
            <w:hideMark/>
          </w:tcPr>
          <w:p w:rsidR="002E3AE7" w:rsidRPr="00F952C1" w:rsidRDefault="002E3AE7" w:rsidP="003E0A02">
            <w:pPr>
              <w:jc w:val="center"/>
              <w:rPr>
                <w:b/>
                <w:bCs/>
                <w:sz w:val="16"/>
                <w:szCs w:val="16"/>
              </w:rPr>
            </w:pPr>
            <w:r w:rsidRPr="00F952C1">
              <w:rPr>
                <w:b/>
                <w:bCs/>
                <w:sz w:val="16"/>
                <w:szCs w:val="16"/>
              </w:rPr>
              <w:t xml:space="preserve"> Presupuesto aprobado de 2016/17 </w:t>
            </w:r>
          </w:p>
        </w:tc>
        <w:tc>
          <w:tcPr>
            <w:tcW w:w="1254" w:type="dxa"/>
            <w:tcBorders>
              <w:top w:val="nil"/>
              <w:left w:val="nil"/>
              <w:bottom w:val="nil"/>
              <w:right w:val="nil"/>
            </w:tcBorders>
            <w:shd w:val="clear" w:color="000000" w:fill="C5D9F1"/>
            <w:vAlign w:val="center"/>
            <w:hideMark/>
          </w:tcPr>
          <w:p w:rsidR="002E3AE7" w:rsidRPr="00F952C1" w:rsidRDefault="002E3AE7" w:rsidP="003E0A02">
            <w:pPr>
              <w:ind w:right="-84"/>
              <w:jc w:val="center"/>
              <w:rPr>
                <w:b/>
                <w:bCs/>
                <w:sz w:val="16"/>
                <w:szCs w:val="16"/>
              </w:rPr>
            </w:pPr>
            <w:r w:rsidRPr="00F952C1">
              <w:rPr>
                <w:b/>
                <w:bCs/>
                <w:sz w:val="16"/>
                <w:szCs w:val="16"/>
              </w:rPr>
              <w:t xml:space="preserve"> Presupuesto de 2016/17 tras las transferencias </w:t>
            </w:r>
          </w:p>
        </w:tc>
        <w:tc>
          <w:tcPr>
            <w:tcW w:w="1133" w:type="dxa"/>
            <w:tcBorders>
              <w:top w:val="nil"/>
              <w:left w:val="nil"/>
              <w:bottom w:val="nil"/>
              <w:right w:val="nil"/>
            </w:tcBorders>
            <w:shd w:val="clear" w:color="000000" w:fill="C5D9F1"/>
            <w:vAlign w:val="center"/>
            <w:hideMark/>
          </w:tcPr>
          <w:p w:rsidR="002E3AE7" w:rsidRPr="00F952C1" w:rsidRDefault="002E3AE7" w:rsidP="003E0A02">
            <w:pPr>
              <w:jc w:val="center"/>
              <w:rPr>
                <w:b/>
                <w:bCs/>
                <w:sz w:val="16"/>
                <w:szCs w:val="16"/>
              </w:rPr>
            </w:pPr>
            <w:r w:rsidRPr="00F952C1">
              <w:rPr>
                <w:b/>
                <w:bCs/>
                <w:sz w:val="16"/>
                <w:szCs w:val="16"/>
              </w:rPr>
              <w:t xml:space="preserve"> Gastos en 2016* </w:t>
            </w:r>
          </w:p>
        </w:tc>
      </w:tr>
      <w:tr w:rsidR="002E3AE7" w:rsidRPr="00F952C1" w:rsidTr="003E0A02">
        <w:trPr>
          <w:trHeight w:val="936"/>
          <w:jc w:val="center"/>
        </w:trPr>
        <w:tc>
          <w:tcPr>
            <w:tcW w:w="575" w:type="dxa"/>
            <w:tcBorders>
              <w:top w:val="nil"/>
              <w:left w:val="nil"/>
              <w:bottom w:val="nil"/>
              <w:right w:val="nil"/>
            </w:tcBorders>
            <w:shd w:val="clear" w:color="auto" w:fill="auto"/>
            <w:noWrap/>
            <w:vAlign w:val="center"/>
            <w:hideMark/>
          </w:tcPr>
          <w:p w:rsidR="002E3AE7" w:rsidRPr="00F952C1" w:rsidRDefault="002E3AE7" w:rsidP="003E0A02">
            <w:pPr>
              <w:rPr>
                <w:sz w:val="16"/>
                <w:szCs w:val="16"/>
              </w:rPr>
            </w:pPr>
            <w:r w:rsidRPr="00F952C1">
              <w:rPr>
                <w:sz w:val="16"/>
                <w:szCs w:val="16"/>
              </w:rPr>
              <w:t>IX.1</w:t>
            </w:r>
          </w:p>
        </w:tc>
        <w:tc>
          <w:tcPr>
            <w:tcW w:w="3963" w:type="dxa"/>
            <w:tcBorders>
              <w:top w:val="nil"/>
              <w:left w:val="nil"/>
              <w:bottom w:val="nil"/>
              <w:right w:val="nil"/>
            </w:tcBorders>
            <w:shd w:val="clear" w:color="auto" w:fill="auto"/>
            <w:vAlign w:val="center"/>
            <w:hideMark/>
          </w:tcPr>
          <w:p w:rsidR="002E3AE7" w:rsidRPr="00F952C1" w:rsidRDefault="002E3AE7" w:rsidP="003E0A02">
            <w:pPr>
              <w:rPr>
                <w:sz w:val="16"/>
                <w:szCs w:val="16"/>
              </w:rPr>
            </w:pPr>
            <w:r w:rsidRPr="00F952C1">
              <w:rPr>
                <w:sz w:val="16"/>
                <w:szCs w:val="16"/>
              </w:rPr>
              <w:t>Servicios de apoyo eficaces, eficientes, de calidad y orientados al cliente, tanto a los usuarios internos como a las partes interesadas externas</w:t>
            </w:r>
          </w:p>
        </w:tc>
        <w:tc>
          <w:tcPr>
            <w:tcW w:w="1297" w:type="dxa"/>
            <w:tcBorders>
              <w:top w:val="nil"/>
              <w:left w:val="nil"/>
              <w:bottom w:val="nil"/>
              <w:right w:val="nil"/>
            </w:tcBorders>
            <w:shd w:val="clear" w:color="auto" w:fill="auto"/>
            <w:noWrap/>
            <w:vAlign w:val="center"/>
            <w:hideMark/>
          </w:tcPr>
          <w:p w:rsidR="002E3AE7" w:rsidRPr="00F952C1" w:rsidRDefault="002E3AE7" w:rsidP="003E0A02">
            <w:pPr>
              <w:jc w:val="center"/>
              <w:rPr>
                <w:sz w:val="16"/>
                <w:szCs w:val="16"/>
              </w:rPr>
            </w:pPr>
            <w:r w:rsidRPr="00F952C1">
              <w:rPr>
                <w:sz w:val="16"/>
                <w:szCs w:val="16"/>
              </w:rPr>
              <w:t>51.480</w:t>
            </w:r>
          </w:p>
        </w:tc>
        <w:tc>
          <w:tcPr>
            <w:tcW w:w="1254" w:type="dxa"/>
            <w:tcBorders>
              <w:top w:val="nil"/>
              <w:left w:val="nil"/>
              <w:bottom w:val="nil"/>
              <w:right w:val="nil"/>
            </w:tcBorders>
            <w:shd w:val="clear" w:color="auto" w:fill="auto"/>
            <w:noWrap/>
            <w:vAlign w:val="center"/>
            <w:hideMark/>
          </w:tcPr>
          <w:p w:rsidR="002E3AE7" w:rsidRPr="00F952C1" w:rsidRDefault="002E3AE7" w:rsidP="003E0A02">
            <w:pPr>
              <w:jc w:val="center"/>
              <w:rPr>
                <w:sz w:val="16"/>
                <w:szCs w:val="16"/>
              </w:rPr>
            </w:pPr>
            <w:r w:rsidRPr="00F952C1">
              <w:rPr>
                <w:sz w:val="16"/>
                <w:szCs w:val="16"/>
              </w:rPr>
              <w:t>48.326</w:t>
            </w:r>
          </w:p>
        </w:tc>
        <w:tc>
          <w:tcPr>
            <w:tcW w:w="1133" w:type="dxa"/>
            <w:tcBorders>
              <w:top w:val="nil"/>
              <w:left w:val="nil"/>
              <w:bottom w:val="nil"/>
              <w:right w:val="nil"/>
            </w:tcBorders>
            <w:shd w:val="clear" w:color="auto" w:fill="auto"/>
            <w:noWrap/>
            <w:vAlign w:val="center"/>
            <w:hideMark/>
          </w:tcPr>
          <w:p w:rsidR="002E3AE7" w:rsidRPr="00F952C1" w:rsidRDefault="002E3AE7" w:rsidP="003E0A02">
            <w:pPr>
              <w:jc w:val="center"/>
              <w:rPr>
                <w:sz w:val="16"/>
                <w:szCs w:val="16"/>
              </w:rPr>
            </w:pPr>
            <w:r w:rsidRPr="00F952C1">
              <w:rPr>
                <w:sz w:val="16"/>
                <w:szCs w:val="16"/>
              </w:rPr>
              <w:t>21.629</w:t>
            </w:r>
          </w:p>
        </w:tc>
      </w:tr>
      <w:tr w:rsidR="002E3AE7" w:rsidRPr="00F952C1" w:rsidTr="003E0A02">
        <w:trPr>
          <w:trHeight w:val="855"/>
          <w:jc w:val="center"/>
        </w:trPr>
        <w:tc>
          <w:tcPr>
            <w:tcW w:w="575" w:type="dxa"/>
            <w:tcBorders>
              <w:top w:val="nil"/>
              <w:left w:val="nil"/>
              <w:bottom w:val="nil"/>
              <w:right w:val="nil"/>
            </w:tcBorders>
            <w:shd w:val="clear" w:color="auto" w:fill="auto"/>
            <w:noWrap/>
            <w:vAlign w:val="center"/>
            <w:hideMark/>
          </w:tcPr>
          <w:p w:rsidR="002E3AE7" w:rsidRPr="00F952C1" w:rsidRDefault="002E3AE7" w:rsidP="003E0A02">
            <w:pPr>
              <w:rPr>
                <w:sz w:val="16"/>
                <w:szCs w:val="16"/>
              </w:rPr>
            </w:pPr>
            <w:r w:rsidRPr="00F952C1">
              <w:rPr>
                <w:sz w:val="16"/>
                <w:szCs w:val="16"/>
              </w:rPr>
              <w:t>IX.4</w:t>
            </w:r>
          </w:p>
        </w:tc>
        <w:tc>
          <w:tcPr>
            <w:tcW w:w="3963" w:type="dxa"/>
            <w:tcBorders>
              <w:top w:val="nil"/>
              <w:left w:val="nil"/>
              <w:bottom w:val="nil"/>
              <w:right w:val="nil"/>
            </w:tcBorders>
            <w:shd w:val="clear" w:color="auto" w:fill="auto"/>
            <w:vAlign w:val="center"/>
            <w:hideMark/>
          </w:tcPr>
          <w:p w:rsidR="002E3AE7" w:rsidRPr="00F952C1" w:rsidRDefault="002E3AE7" w:rsidP="003E0A02">
            <w:pPr>
              <w:rPr>
                <w:sz w:val="16"/>
                <w:szCs w:val="16"/>
              </w:rPr>
            </w:pPr>
            <w:r w:rsidRPr="00F952C1">
              <w:rPr>
                <w:sz w:val="16"/>
                <w:szCs w:val="16"/>
              </w:rPr>
              <w:t>Una Organización responsable con el medio ambiente y la sociedad en la que se garantiza la seguridad del personal de la OMPI, los delegados, los visitantes, la información y los activos físicos</w:t>
            </w:r>
          </w:p>
        </w:tc>
        <w:tc>
          <w:tcPr>
            <w:tcW w:w="1297" w:type="dxa"/>
            <w:tcBorders>
              <w:top w:val="nil"/>
              <w:left w:val="nil"/>
              <w:bottom w:val="nil"/>
              <w:right w:val="nil"/>
            </w:tcBorders>
            <w:shd w:val="clear" w:color="auto" w:fill="auto"/>
            <w:noWrap/>
            <w:vAlign w:val="center"/>
            <w:hideMark/>
          </w:tcPr>
          <w:p w:rsidR="002E3AE7" w:rsidRPr="00F952C1" w:rsidRDefault="002E3AE7" w:rsidP="003E0A02">
            <w:pPr>
              <w:jc w:val="center"/>
              <w:rPr>
                <w:sz w:val="16"/>
                <w:szCs w:val="16"/>
              </w:rPr>
            </w:pPr>
            <w:r w:rsidRPr="00F952C1">
              <w:rPr>
                <w:sz w:val="16"/>
                <w:szCs w:val="16"/>
              </w:rPr>
              <w:t>552</w:t>
            </w:r>
          </w:p>
        </w:tc>
        <w:tc>
          <w:tcPr>
            <w:tcW w:w="1254" w:type="dxa"/>
            <w:tcBorders>
              <w:top w:val="nil"/>
              <w:left w:val="nil"/>
              <w:bottom w:val="nil"/>
              <w:right w:val="nil"/>
            </w:tcBorders>
            <w:shd w:val="clear" w:color="auto" w:fill="auto"/>
            <w:noWrap/>
            <w:vAlign w:val="center"/>
            <w:hideMark/>
          </w:tcPr>
          <w:p w:rsidR="002E3AE7" w:rsidRPr="00F952C1" w:rsidRDefault="002E3AE7" w:rsidP="003E0A02">
            <w:pPr>
              <w:jc w:val="center"/>
              <w:rPr>
                <w:sz w:val="16"/>
                <w:szCs w:val="16"/>
              </w:rPr>
            </w:pPr>
            <w:r w:rsidRPr="00F952C1">
              <w:rPr>
                <w:sz w:val="16"/>
                <w:szCs w:val="16"/>
              </w:rPr>
              <w:t>486</w:t>
            </w:r>
          </w:p>
        </w:tc>
        <w:tc>
          <w:tcPr>
            <w:tcW w:w="1133" w:type="dxa"/>
            <w:tcBorders>
              <w:top w:val="nil"/>
              <w:left w:val="nil"/>
              <w:bottom w:val="nil"/>
              <w:right w:val="nil"/>
            </w:tcBorders>
            <w:shd w:val="clear" w:color="auto" w:fill="auto"/>
            <w:noWrap/>
            <w:vAlign w:val="center"/>
            <w:hideMark/>
          </w:tcPr>
          <w:p w:rsidR="002E3AE7" w:rsidRPr="00F952C1" w:rsidRDefault="002E3AE7" w:rsidP="003E0A02">
            <w:pPr>
              <w:jc w:val="center"/>
              <w:rPr>
                <w:sz w:val="16"/>
                <w:szCs w:val="16"/>
              </w:rPr>
            </w:pPr>
            <w:r w:rsidRPr="00F952C1">
              <w:rPr>
                <w:sz w:val="16"/>
                <w:szCs w:val="16"/>
              </w:rPr>
              <w:t>240</w:t>
            </w:r>
          </w:p>
        </w:tc>
      </w:tr>
      <w:tr w:rsidR="002E3AE7" w:rsidRPr="00F952C1" w:rsidTr="003E0A02">
        <w:trPr>
          <w:trHeight w:val="225"/>
          <w:jc w:val="center"/>
        </w:trPr>
        <w:tc>
          <w:tcPr>
            <w:tcW w:w="575" w:type="dxa"/>
            <w:tcBorders>
              <w:top w:val="nil"/>
              <w:left w:val="nil"/>
              <w:bottom w:val="nil"/>
              <w:right w:val="nil"/>
            </w:tcBorders>
            <w:shd w:val="clear" w:color="000000" w:fill="C5D9F1"/>
            <w:noWrap/>
            <w:vAlign w:val="bottom"/>
            <w:hideMark/>
          </w:tcPr>
          <w:p w:rsidR="002E3AE7" w:rsidRPr="00F952C1" w:rsidRDefault="002E3AE7" w:rsidP="003E0A02">
            <w:pPr>
              <w:rPr>
                <w:sz w:val="16"/>
                <w:szCs w:val="16"/>
              </w:rPr>
            </w:pPr>
            <w:r w:rsidRPr="00F952C1">
              <w:rPr>
                <w:sz w:val="16"/>
                <w:szCs w:val="16"/>
              </w:rPr>
              <w:t> </w:t>
            </w:r>
          </w:p>
        </w:tc>
        <w:tc>
          <w:tcPr>
            <w:tcW w:w="3963" w:type="dxa"/>
            <w:tcBorders>
              <w:top w:val="nil"/>
              <w:left w:val="nil"/>
              <w:bottom w:val="nil"/>
              <w:right w:val="nil"/>
            </w:tcBorders>
            <w:shd w:val="clear" w:color="000000" w:fill="C5D9F1"/>
            <w:noWrap/>
            <w:vAlign w:val="bottom"/>
            <w:hideMark/>
          </w:tcPr>
          <w:p w:rsidR="002E3AE7" w:rsidRPr="00F952C1" w:rsidRDefault="002E3AE7" w:rsidP="003E0A02">
            <w:pPr>
              <w:jc w:val="right"/>
              <w:rPr>
                <w:b/>
                <w:bCs/>
                <w:sz w:val="16"/>
                <w:szCs w:val="16"/>
              </w:rPr>
            </w:pPr>
            <w:r w:rsidRPr="00F952C1">
              <w:rPr>
                <w:b/>
                <w:bCs/>
                <w:sz w:val="16"/>
                <w:szCs w:val="16"/>
              </w:rPr>
              <w:t>Total</w:t>
            </w:r>
          </w:p>
        </w:tc>
        <w:tc>
          <w:tcPr>
            <w:tcW w:w="1297" w:type="dxa"/>
            <w:tcBorders>
              <w:top w:val="nil"/>
              <w:left w:val="nil"/>
              <w:bottom w:val="nil"/>
              <w:right w:val="nil"/>
            </w:tcBorders>
            <w:shd w:val="clear" w:color="000000" w:fill="C5D9F1"/>
            <w:noWrap/>
            <w:vAlign w:val="center"/>
            <w:hideMark/>
          </w:tcPr>
          <w:p w:rsidR="002E3AE7" w:rsidRPr="00F952C1" w:rsidRDefault="002E3AE7" w:rsidP="003E0A02">
            <w:pPr>
              <w:jc w:val="center"/>
              <w:rPr>
                <w:sz w:val="16"/>
                <w:szCs w:val="16"/>
              </w:rPr>
            </w:pPr>
            <w:r w:rsidRPr="00F952C1">
              <w:rPr>
                <w:sz w:val="16"/>
                <w:szCs w:val="16"/>
              </w:rPr>
              <w:t>52.032</w:t>
            </w:r>
          </w:p>
        </w:tc>
        <w:tc>
          <w:tcPr>
            <w:tcW w:w="1254" w:type="dxa"/>
            <w:tcBorders>
              <w:top w:val="nil"/>
              <w:left w:val="nil"/>
              <w:bottom w:val="nil"/>
              <w:right w:val="nil"/>
            </w:tcBorders>
            <w:shd w:val="clear" w:color="000000" w:fill="C5D9F1"/>
            <w:noWrap/>
            <w:vAlign w:val="center"/>
            <w:hideMark/>
          </w:tcPr>
          <w:p w:rsidR="002E3AE7" w:rsidRPr="00F952C1" w:rsidRDefault="002E3AE7" w:rsidP="003E0A02">
            <w:pPr>
              <w:jc w:val="center"/>
              <w:rPr>
                <w:sz w:val="16"/>
                <w:szCs w:val="16"/>
              </w:rPr>
            </w:pPr>
            <w:r w:rsidRPr="00F952C1">
              <w:rPr>
                <w:sz w:val="16"/>
                <w:szCs w:val="16"/>
              </w:rPr>
              <w:t>48.812</w:t>
            </w:r>
          </w:p>
        </w:tc>
        <w:tc>
          <w:tcPr>
            <w:tcW w:w="1133" w:type="dxa"/>
            <w:tcBorders>
              <w:top w:val="nil"/>
              <w:left w:val="nil"/>
              <w:bottom w:val="nil"/>
              <w:right w:val="nil"/>
            </w:tcBorders>
            <w:shd w:val="clear" w:color="000000" w:fill="C5D9F1"/>
            <w:noWrap/>
            <w:vAlign w:val="center"/>
            <w:hideMark/>
          </w:tcPr>
          <w:p w:rsidR="002E3AE7" w:rsidRPr="00F952C1" w:rsidRDefault="002E3AE7" w:rsidP="003E0A02">
            <w:pPr>
              <w:jc w:val="center"/>
              <w:rPr>
                <w:sz w:val="16"/>
                <w:szCs w:val="16"/>
              </w:rPr>
            </w:pPr>
            <w:r w:rsidRPr="00F952C1">
              <w:rPr>
                <w:sz w:val="16"/>
                <w:szCs w:val="16"/>
              </w:rPr>
              <w:t>21.869</w:t>
            </w:r>
          </w:p>
        </w:tc>
      </w:tr>
      <w:tr w:rsidR="002E3AE7" w:rsidRPr="00F952C1" w:rsidTr="003E0A02">
        <w:trPr>
          <w:trHeight w:val="330"/>
          <w:jc w:val="center"/>
        </w:trPr>
        <w:tc>
          <w:tcPr>
            <w:tcW w:w="7089" w:type="dxa"/>
            <w:gridSpan w:val="4"/>
            <w:tcBorders>
              <w:top w:val="nil"/>
              <w:left w:val="nil"/>
              <w:bottom w:val="nil"/>
              <w:right w:val="nil"/>
            </w:tcBorders>
            <w:shd w:val="clear" w:color="auto" w:fill="auto"/>
            <w:noWrap/>
            <w:vAlign w:val="center"/>
            <w:hideMark/>
          </w:tcPr>
          <w:p w:rsidR="002E3AE7" w:rsidRPr="00F952C1" w:rsidRDefault="002E3AE7" w:rsidP="003E0A02">
            <w:pPr>
              <w:rPr>
                <w:i/>
                <w:iCs/>
                <w:sz w:val="16"/>
                <w:szCs w:val="16"/>
              </w:rPr>
            </w:pPr>
            <w:r w:rsidRPr="00F952C1">
              <w:rPr>
                <w:i/>
                <w:iCs/>
                <w:sz w:val="16"/>
                <w:szCs w:val="16"/>
              </w:rPr>
              <w:t>*Las cifras de gastos en 2016 son preliminares, a reserva de verificación por el Auditor Externo.</w:t>
            </w:r>
          </w:p>
        </w:tc>
        <w:tc>
          <w:tcPr>
            <w:tcW w:w="1133" w:type="dxa"/>
            <w:tcBorders>
              <w:top w:val="nil"/>
              <w:left w:val="nil"/>
              <w:bottom w:val="nil"/>
              <w:right w:val="nil"/>
            </w:tcBorders>
            <w:shd w:val="clear" w:color="auto" w:fill="auto"/>
            <w:noWrap/>
            <w:vAlign w:val="center"/>
            <w:hideMark/>
          </w:tcPr>
          <w:p w:rsidR="002E3AE7" w:rsidRPr="00F952C1" w:rsidRDefault="002E3AE7" w:rsidP="003E0A02">
            <w:pPr>
              <w:rPr>
                <w:sz w:val="16"/>
                <w:szCs w:val="16"/>
              </w:rPr>
            </w:pPr>
          </w:p>
        </w:tc>
      </w:tr>
    </w:tbl>
    <w:p w:rsidR="002E3AE7" w:rsidRPr="00F952C1" w:rsidRDefault="002E3AE7" w:rsidP="003E0A02">
      <w:pPr>
        <w:rPr>
          <w:sz w:val="20"/>
        </w:rPr>
      </w:pPr>
    </w:p>
    <w:p w:rsidR="002E3AE7" w:rsidRPr="00F952C1" w:rsidRDefault="002E3AE7" w:rsidP="003E0A02">
      <w:pPr>
        <w:keepNext/>
        <w:keepLines/>
        <w:jc w:val="center"/>
        <w:rPr>
          <w:sz w:val="18"/>
          <w:szCs w:val="18"/>
        </w:rPr>
      </w:pPr>
      <w:r w:rsidRPr="00F952C1">
        <w:rPr>
          <w:sz w:val="18"/>
          <w:szCs w:val="18"/>
        </w:rPr>
        <w:lastRenderedPageBreak/>
        <w:t xml:space="preserve">Presupuesto y gastos reales (de personal y no relativos a personal) </w:t>
      </w:r>
    </w:p>
    <w:p w:rsidR="002E3AE7" w:rsidRPr="00F952C1" w:rsidRDefault="002E3AE7" w:rsidP="003E0A02">
      <w:pPr>
        <w:keepNext/>
        <w:keepLines/>
        <w:jc w:val="center"/>
        <w:rPr>
          <w:i/>
          <w:iCs/>
          <w:sz w:val="16"/>
          <w:szCs w:val="16"/>
        </w:rPr>
      </w:pPr>
      <w:r w:rsidRPr="00F952C1">
        <w:rPr>
          <w:i/>
          <w:iCs/>
          <w:sz w:val="16"/>
          <w:szCs w:val="16"/>
        </w:rPr>
        <w:t>(en miles de francos suizos)</w:t>
      </w:r>
    </w:p>
    <w:p w:rsidR="002E3AE7" w:rsidRPr="00F952C1" w:rsidRDefault="002E3AE7" w:rsidP="003E0A02">
      <w:pPr>
        <w:keepNext/>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2E3AE7" w:rsidRPr="00F952C1"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F952C1" w:rsidRDefault="002E3AE7" w:rsidP="003E0A02">
            <w:pPr>
              <w:keepNext/>
              <w:rPr>
                <w:sz w:val="16"/>
                <w:szCs w:val="16"/>
              </w:rPr>
            </w:pPr>
            <w:r w:rsidRPr="00F952C1">
              <w:rPr>
                <w:sz w:val="16"/>
                <w:szCs w:val="16"/>
              </w:rPr>
              <w:t> </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Gastos en 2016*</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Índice de utilización (%)</w:t>
            </w:r>
          </w:p>
        </w:tc>
      </w:tr>
      <w:tr w:rsidR="002E3AE7" w:rsidRPr="00F952C1"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F952C1" w:rsidRDefault="002E3AE7" w:rsidP="003E0A02">
            <w:pPr>
              <w:keepNext/>
              <w:rPr>
                <w:sz w:val="16"/>
                <w:szCs w:val="16"/>
              </w:rPr>
            </w:pPr>
            <w:r w:rsidRPr="00F952C1">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 xml:space="preserve">14.178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 xml:space="preserve">13.289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 xml:space="preserve">6.503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49%</w:t>
            </w:r>
          </w:p>
        </w:tc>
      </w:tr>
      <w:tr w:rsidR="002E3AE7" w:rsidRPr="00F952C1"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F952C1" w:rsidRDefault="002E3AE7" w:rsidP="003E0A02">
            <w:pPr>
              <w:keepNext/>
              <w:rPr>
                <w:sz w:val="16"/>
                <w:szCs w:val="16"/>
              </w:rPr>
            </w:pPr>
            <w:r w:rsidRPr="00F952C1">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 xml:space="preserve">37.853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 xml:space="preserve">35.523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 xml:space="preserve">15.366 </w:t>
            </w:r>
          </w:p>
        </w:tc>
        <w:tc>
          <w:tcPr>
            <w:tcW w:w="1420" w:type="dxa"/>
            <w:tcBorders>
              <w:top w:val="nil"/>
              <w:left w:val="nil"/>
              <w:bottom w:val="nil"/>
              <w:right w:val="nil"/>
            </w:tcBorders>
            <w:shd w:val="clear" w:color="auto" w:fill="auto"/>
            <w:vAlign w:val="center"/>
            <w:hideMark/>
          </w:tcPr>
          <w:p w:rsidR="002E3AE7" w:rsidRPr="00F952C1" w:rsidRDefault="002E3AE7" w:rsidP="003E0A02">
            <w:pPr>
              <w:keepNext/>
              <w:jc w:val="center"/>
              <w:rPr>
                <w:sz w:val="16"/>
                <w:szCs w:val="16"/>
              </w:rPr>
            </w:pPr>
            <w:r w:rsidRPr="00F952C1">
              <w:rPr>
                <w:sz w:val="16"/>
                <w:szCs w:val="16"/>
              </w:rPr>
              <w:t>43%</w:t>
            </w:r>
          </w:p>
        </w:tc>
      </w:tr>
      <w:tr w:rsidR="002E3AE7" w:rsidRPr="00F952C1"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F952C1" w:rsidRDefault="002E3AE7" w:rsidP="003E0A02">
            <w:pPr>
              <w:keepNext/>
              <w:jc w:val="right"/>
              <w:rPr>
                <w:b/>
                <w:bCs/>
                <w:sz w:val="16"/>
                <w:szCs w:val="16"/>
              </w:rPr>
            </w:pPr>
            <w:r w:rsidRPr="00F952C1">
              <w:rPr>
                <w:b/>
                <w:bCs/>
                <w:sz w:val="16"/>
                <w:szCs w:val="16"/>
              </w:rPr>
              <w:t xml:space="preserve"> Total </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 xml:space="preserve">52.032 </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 xml:space="preserve">48.812 </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 xml:space="preserve">21.869 </w:t>
            </w:r>
          </w:p>
        </w:tc>
        <w:tc>
          <w:tcPr>
            <w:tcW w:w="1420" w:type="dxa"/>
            <w:tcBorders>
              <w:top w:val="nil"/>
              <w:left w:val="nil"/>
              <w:bottom w:val="nil"/>
              <w:right w:val="nil"/>
            </w:tcBorders>
            <w:shd w:val="clear" w:color="000000" w:fill="C5D9F1"/>
            <w:vAlign w:val="center"/>
            <w:hideMark/>
          </w:tcPr>
          <w:p w:rsidR="002E3AE7" w:rsidRPr="00F952C1" w:rsidRDefault="002E3AE7" w:rsidP="003E0A02">
            <w:pPr>
              <w:keepNext/>
              <w:jc w:val="center"/>
              <w:rPr>
                <w:b/>
                <w:bCs/>
                <w:sz w:val="16"/>
                <w:szCs w:val="16"/>
              </w:rPr>
            </w:pPr>
            <w:r w:rsidRPr="00F952C1">
              <w:rPr>
                <w:b/>
                <w:bCs/>
                <w:sz w:val="16"/>
                <w:szCs w:val="16"/>
              </w:rPr>
              <w:t>45%</w:t>
            </w:r>
          </w:p>
        </w:tc>
      </w:tr>
      <w:tr w:rsidR="002E3AE7" w:rsidRPr="00F952C1"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F952C1" w:rsidRDefault="002E3AE7" w:rsidP="003E0A02">
            <w:pPr>
              <w:keepNext/>
              <w:rPr>
                <w:i/>
                <w:iCs/>
                <w:sz w:val="16"/>
                <w:szCs w:val="16"/>
              </w:rPr>
            </w:pPr>
            <w:r w:rsidRPr="00F952C1">
              <w:rPr>
                <w:i/>
                <w:iCs/>
                <w:sz w:val="16"/>
                <w:szCs w:val="16"/>
              </w:rPr>
              <w:t xml:space="preserve"> *Las cifras de gastos en 2016 son preliminares, a reserva de verificación por el Auditor Externo.</w:t>
            </w:r>
          </w:p>
        </w:tc>
      </w:tr>
    </w:tbl>
    <w:p w:rsidR="002E3AE7" w:rsidRPr="00F952C1" w:rsidRDefault="002E3AE7" w:rsidP="003E0A02">
      <w:pPr>
        <w:keepNext/>
        <w:rPr>
          <w:sz w:val="20"/>
        </w:rPr>
      </w:pPr>
    </w:p>
    <w:p w:rsidR="002E3AE7" w:rsidRPr="00F952C1" w:rsidRDefault="002E3AE7" w:rsidP="003E0A02">
      <w:pPr>
        <w:keepNext/>
        <w:keepLines/>
        <w:ind w:left="567" w:right="282"/>
        <w:rPr>
          <w:i/>
          <w:sz w:val="16"/>
          <w:szCs w:val="16"/>
        </w:rPr>
      </w:pPr>
      <w:r w:rsidRPr="00F952C1">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F952C1" w:rsidRDefault="002E3AE7" w:rsidP="003E0A02">
      <w:pPr>
        <w:keepNext/>
        <w:rPr>
          <w:sz w:val="20"/>
        </w:rPr>
      </w:pPr>
    </w:p>
    <w:p w:rsidR="002E3AE7" w:rsidRPr="00F952C1" w:rsidRDefault="002E3AE7" w:rsidP="003E0A02">
      <w:pPr>
        <w:rPr>
          <w:sz w:val="20"/>
        </w:rPr>
      </w:pPr>
    </w:p>
    <w:p w:rsidR="002E3AE7" w:rsidRPr="00F952C1" w:rsidRDefault="002E3AE7" w:rsidP="003E0A02">
      <w:pPr>
        <w:jc w:val="both"/>
        <w:rPr>
          <w:sz w:val="20"/>
          <w:u w:val="single"/>
        </w:rPr>
      </w:pPr>
      <w:r w:rsidRPr="00F952C1">
        <w:rPr>
          <w:sz w:val="20"/>
        </w:rPr>
        <w:t>A.</w:t>
      </w:r>
      <w:r w:rsidRPr="00F952C1">
        <w:rPr>
          <w:sz w:val="20"/>
        </w:rPr>
        <w:tab/>
      </w:r>
      <w:r w:rsidRPr="00F952C1">
        <w:rPr>
          <w:sz w:val="20"/>
          <w:u w:val="single"/>
        </w:rPr>
        <w:t>Presupuesto de 2016/17 tras las transferencias</w:t>
      </w:r>
    </w:p>
    <w:p w:rsidR="002E3AE7" w:rsidRPr="00F952C1" w:rsidRDefault="002E3AE7" w:rsidP="003E0A02">
      <w:pPr>
        <w:jc w:val="both"/>
        <w:rPr>
          <w:sz w:val="20"/>
        </w:rPr>
      </w:pPr>
    </w:p>
    <w:p w:rsidR="002E3AE7" w:rsidRPr="00F952C1" w:rsidRDefault="002E3AE7" w:rsidP="002E3AE7">
      <w:pPr>
        <w:pStyle w:val="ListParagraph"/>
        <w:numPr>
          <w:ilvl w:val="0"/>
          <w:numId w:val="99"/>
        </w:numPr>
        <w:tabs>
          <w:tab w:val="left" w:pos="0"/>
          <w:tab w:val="left" w:pos="709"/>
        </w:tabs>
        <w:autoSpaceDE w:val="0"/>
        <w:autoSpaceDN w:val="0"/>
        <w:ind w:left="0" w:firstLine="0"/>
        <w:contextualSpacing/>
        <w:jc w:val="both"/>
        <w:rPr>
          <w:rFonts w:eastAsiaTheme="minorEastAsia"/>
          <w:lang w:val="es-ES" w:eastAsia="zh-CN"/>
        </w:rPr>
      </w:pPr>
      <w:r w:rsidRPr="00F952C1">
        <w:rPr>
          <w:rFonts w:eastAsiaTheme="minorEastAsia"/>
          <w:lang w:val="es-ES" w:eastAsia="zh-CN"/>
        </w:rPr>
        <w:t>La ligera disminución de recursos de personal en comparación con el presupuesto aprobado de 2016/17 se produjo principalmente por:  i) la redistribución de dos puestos (uno de ellos temporal) del programa a fin de prestar apoyo a las necesidades operativas del programa 21 (Gestión ejecutiva) y el programa 28 (Seguridad y vigilancia);  y ii) la transferencia de recursos a los no relativos a personal para permitir la contratación de servicios de consultoría para la administración de la base de datos.  Esta disminución se vio compensada por la reclasificación de un puesto a una categoría superior.</w:t>
      </w:r>
    </w:p>
    <w:p w:rsidR="002E3AE7" w:rsidRPr="00F952C1" w:rsidRDefault="002E3AE7" w:rsidP="003E0A02">
      <w:pPr>
        <w:jc w:val="both"/>
        <w:rPr>
          <w:sz w:val="20"/>
        </w:rPr>
      </w:pPr>
    </w:p>
    <w:p w:rsidR="002E3AE7" w:rsidRPr="00F952C1" w:rsidRDefault="002E3AE7" w:rsidP="002E3AE7">
      <w:pPr>
        <w:pStyle w:val="ListParagraph"/>
        <w:numPr>
          <w:ilvl w:val="0"/>
          <w:numId w:val="99"/>
        </w:numPr>
        <w:tabs>
          <w:tab w:val="left" w:pos="0"/>
          <w:tab w:val="left" w:pos="709"/>
        </w:tabs>
        <w:autoSpaceDE w:val="0"/>
        <w:autoSpaceDN w:val="0"/>
        <w:ind w:left="0" w:firstLine="0"/>
        <w:contextualSpacing/>
        <w:jc w:val="both"/>
        <w:rPr>
          <w:rFonts w:eastAsiaTheme="minorEastAsia"/>
          <w:lang w:val="es-ES" w:eastAsia="zh-CN"/>
        </w:rPr>
      </w:pPr>
      <w:r w:rsidRPr="00F952C1">
        <w:rPr>
          <w:rFonts w:eastAsiaTheme="minorEastAsia"/>
          <w:lang w:val="es-ES" w:eastAsia="zh-CN"/>
        </w:rPr>
        <w:t>La disminución general de los recursos no relativos a personal en comparación con el presupuesto aprobado de 2016/17 es el resultado neto, por un lado, de la asignación adicional de recursos a fin de cubrir:  i) la adquisición de nuevas computadoras portátiles y equipo conexo en apoyo de la iniciativa de continuidad de las actividades; y ii) la contratación de servicios de consultoría para la administración de la base de datos, citada más arriba, y, por otro lado, de la redistribución de los gastos no utilizados de 2016 a la División Técnica de T.I. para responder a otras prioridades organizativas en 2017, como se refleja en el resultado previsto IX.1 (Servicios de apoyo eficaces, eficientes, de calidad y orientados al cliente).</w:t>
      </w:r>
    </w:p>
    <w:p w:rsidR="002E3AE7" w:rsidRPr="00F952C1" w:rsidRDefault="002E3AE7" w:rsidP="003E0A02">
      <w:pPr>
        <w:jc w:val="both"/>
        <w:rPr>
          <w:sz w:val="20"/>
        </w:rPr>
      </w:pPr>
    </w:p>
    <w:p w:rsidR="002E3AE7" w:rsidRPr="00F952C1" w:rsidRDefault="002E3AE7" w:rsidP="003E0A02">
      <w:pPr>
        <w:jc w:val="both"/>
        <w:rPr>
          <w:sz w:val="20"/>
          <w:u w:val="single"/>
        </w:rPr>
      </w:pPr>
      <w:r w:rsidRPr="00F952C1">
        <w:rPr>
          <w:sz w:val="20"/>
        </w:rPr>
        <w:t>B.</w:t>
      </w:r>
      <w:r w:rsidRPr="00F952C1">
        <w:rPr>
          <w:sz w:val="20"/>
        </w:rPr>
        <w:tab/>
      </w:r>
      <w:r w:rsidRPr="00F952C1">
        <w:rPr>
          <w:sz w:val="20"/>
          <w:u w:val="single"/>
        </w:rPr>
        <w:t>Utilización del presupuesto en 2016/17</w:t>
      </w:r>
    </w:p>
    <w:p w:rsidR="002E3AE7" w:rsidRPr="00F952C1" w:rsidRDefault="002E3AE7" w:rsidP="003E0A02">
      <w:pPr>
        <w:jc w:val="both"/>
        <w:rPr>
          <w:sz w:val="20"/>
        </w:rPr>
      </w:pPr>
    </w:p>
    <w:p w:rsidR="002E3AE7" w:rsidRPr="00F952C1" w:rsidRDefault="002E3AE7" w:rsidP="002E3AE7">
      <w:pPr>
        <w:pStyle w:val="ListParagraph"/>
        <w:numPr>
          <w:ilvl w:val="0"/>
          <w:numId w:val="99"/>
        </w:numPr>
        <w:tabs>
          <w:tab w:val="left" w:pos="0"/>
          <w:tab w:val="left" w:pos="709"/>
        </w:tabs>
        <w:autoSpaceDE w:val="0"/>
        <w:autoSpaceDN w:val="0"/>
        <w:ind w:left="0" w:firstLine="0"/>
        <w:contextualSpacing/>
        <w:jc w:val="both"/>
        <w:rPr>
          <w:rFonts w:eastAsiaTheme="minorEastAsia"/>
          <w:lang w:val="es-ES" w:eastAsia="zh-CN"/>
        </w:rPr>
      </w:pPr>
      <w:r w:rsidRPr="00F952C1">
        <w:rPr>
          <w:rFonts w:eastAsiaTheme="minorEastAsia"/>
          <w:lang w:val="es-ES" w:eastAsia="zh-CN"/>
        </w:rPr>
        <w:t xml:space="preserve">La utilización de los recursos presupuestarios no relativos a personal fue inferior a la esperada debido a que los gastos fueron inferiores a lo previsto en:  i) costos relacionados con el CICE;  ii) formación;  y iii) gestión de servicios TIC y relaciones con los clientes. </w:t>
      </w:r>
    </w:p>
    <w:p w:rsidR="002E3AE7" w:rsidRPr="00F952C1" w:rsidRDefault="002E3AE7" w:rsidP="003E0A02">
      <w:pPr>
        <w:rPr>
          <w:sz w:val="20"/>
        </w:rPr>
      </w:pPr>
    </w:p>
    <w:p w:rsidR="002E3AE7" w:rsidRPr="00F952C1" w:rsidRDefault="002E3AE7" w:rsidP="003E0A02">
      <w:pPr>
        <w:rPr>
          <w:sz w:val="20"/>
        </w:rPr>
      </w:pPr>
    </w:p>
    <w:p w:rsidR="002E3AE7" w:rsidRPr="00F952C1" w:rsidRDefault="002E3AE7" w:rsidP="003E0A02">
      <w:pPr>
        <w:rPr>
          <w:sz w:val="20"/>
        </w:rPr>
      </w:pPr>
    </w:p>
    <w:p w:rsidR="00072E03" w:rsidRDefault="00072E03">
      <w:pPr>
        <w:rPr>
          <w:b/>
          <w:caps/>
          <w:szCs w:val="28"/>
        </w:rPr>
      </w:pPr>
      <w:r>
        <w:rPr>
          <w:b/>
          <w:bCs/>
          <w:iCs/>
        </w:rPr>
        <w:br w:type="page"/>
      </w:r>
    </w:p>
    <w:p w:rsidR="002E3AE7" w:rsidRPr="00CC553B" w:rsidRDefault="002E3AE7" w:rsidP="00207838">
      <w:pPr>
        <w:pStyle w:val="Heading2"/>
        <w:tabs>
          <w:tab w:val="left" w:pos="2410"/>
        </w:tabs>
        <w:spacing w:before="0" w:after="0"/>
        <w:rPr>
          <w:b/>
          <w:bCs w:val="0"/>
          <w:iCs w:val="0"/>
        </w:rPr>
      </w:pPr>
      <w:bookmarkStart w:id="79" w:name="_Toc482711278"/>
      <w:r w:rsidRPr="00CC553B">
        <w:rPr>
          <w:b/>
          <w:bCs w:val="0"/>
          <w:iCs w:val="0"/>
        </w:rPr>
        <w:lastRenderedPageBreak/>
        <w:t>PROGRAMA 26</w:t>
      </w:r>
      <w:r w:rsidRPr="00CC553B">
        <w:rPr>
          <w:b/>
          <w:bCs w:val="0"/>
          <w:iCs w:val="0"/>
        </w:rPr>
        <w:tab/>
        <w:t>SUPERVISIÓN INTERNA</w:t>
      </w:r>
      <w:bookmarkEnd w:id="79"/>
    </w:p>
    <w:p w:rsidR="002E3AE7" w:rsidRPr="00CC553B" w:rsidRDefault="002E3AE7" w:rsidP="003E0A02">
      <w:pPr>
        <w:ind w:left="1985" w:hanging="1985"/>
        <w:rPr>
          <w:sz w:val="20"/>
        </w:rPr>
      </w:pPr>
    </w:p>
    <w:p w:rsidR="002E3AE7" w:rsidRPr="00CC553B" w:rsidRDefault="002E3AE7" w:rsidP="00207838">
      <w:pPr>
        <w:tabs>
          <w:tab w:val="left" w:pos="2410"/>
        </w:tabs>
        <w:rPr>
          <w:b/>
          <w:sz w:val="20"/>
        </w:rPr>
      </w:pPr>
      <w:r w:rsidRPr="00CC553B">
        <w:rPr>
          <w:b/>
          <w:sz w:val="20"/>
        </w:rPr>
        <w:t>Director de programa</w:t>
      </w:r>
      <w:r w:rsidRPr="00CC553B">
        <w:rPr>
          <w:b/>
          <w:sz w:val="20"/>
        </w:rPr>
        <w:tab/>
        <w:t>Sr. R. Singh</w:t>
      </w:r>
    </w:p>
    <w:p w:rsidR="002E3AE7" w:rsidRPr="00CC553B" w:rsidRDefault="002E3AE7" w:rsidP="003E0A02">
      <w:pPr>
        <w:tabs>
          <w:tab w:val="left" w:pos="1985"/>
        </w:tabs>
        <w:jc w:val="center"/>
        <w:rPr>
          <w:b/>
          <w:sz w:val="20"/>
        </w:rPr>
      </w:pPr>
      <w:r w:rsidRPr="00CC553B">
        <w:rPr>
          <w:noProof/>
          <w:lang w:val="en-US" w:eastAsia="en-US"/>
        </w:rPr>
        <w:drawing>
          <wp:inline distT="0" distB="0" distL="0" distR="0" wp14:anchorId="3E41BC5B" wp14:editId="7AE3BE7B">
            <wp:extent cx="5016594" cy="2727914"/>
            <wp:effectExtent l="0" t="0" r="0"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029189" cy="2734763"/>
                    </a:xfrm>
                    <a:prstGeom prst="rect">
                      <a:avLst/>
                    </a:prstGeom>
                    <a:noFill/>
                    <a:ln>
                      <a:noFill/>
                    </a:ln>
                  </pic:spPr>
                </pic:pic>
              </a:graphicData>
            </a:graphic>
          </wp:inline>
        </w:drawing>
      </w:r>
      <w:r w:rsidRPr="00CC553B">
        <w:t xml:space="preserve"> </w:t>
      </w:r>
    </w:p>
    <w:tbl>
      <w:tblPr>
        <w:tblW w:w="4937" w:type="pct"/>
        <w:tblInd w:w="58" w:type="dxa"/>
        <w:tblLayout w:type="fixed"/>
        <w:tblCellMar>
          <w:left w:w="115" w:type="dxa"/>
          <w:right w:w="115" w:type="dxa"/>
        </w:tblCellMar>
        <w:tblLook w:val="0000" w:firstRow="0" w:lastRow="0" w:firstColumn="0" w:lastColumn="0" w:noHBand="0" w:noVBand="0"/>
      </w:tblPr>
      <w:tblGrid>
        <w:gridCol w:w="1982"/>
        <w:gridCol w:w="2536"/>
        <w:gridCol w:w="1961"/>
        <w:gridCol w:w="1814"/>
        <w:gridCol w:w="778"/>
      </w:tblGrid>
      <w:tr w:rsidR="002E3AE7" w:rsidRPr="00CC553B" w:rsidTr="003E0A02">
        <w:trPr>
          <w:trHeight w:val="565"/>
        </w:trPr>
        <w:tc>
          <w:tcPr>
            <w:tcW w:w="5000" w:type="pct"/>
            <w:gridSpan w:val="5"/>
            <w:shd w:val="clear" w:color="auto" w:fill="C6D9F1" w:themeFill="text2" w:themeFillTint="33"/>
            <w:tcMar>
              <w:left w:w="58" w:type="dxa"/>
              <w:right w:w="58" w:type="dxa"/>
            </w:tcMar>
            <w:vAlign w:val="center"/>
          </w:tcPr>
          <w:p w:rsidR="002E3AE7" w:rsidRPr="00CC553B" w:rsidRDefault="002E3AE7" w:rsidP="003E0A02">
            <w:pPr>
              <w:tabs>
                <w:tab w:val="left" w:pos="1452"/>
              </w:tabs>
              <w:ind w:left="1701" w:hanging="1701"/>
              <w:rPr>
                <w:b/>
                <w:bCs/>
                <w:sz w:val="16"/>
                <w:szCs w:val="16"/>
              </w:rPr>
            </w:pPr>
            <w:r w:rsidRPr="00CC553B">
              <w:rPr>
                <w:b/>
                <w:bCs/>
                <w:sz w:val="16"/>
                <w:szCs w:val="16"/>
              </w:rPr>
              <w:t>Resultado previsto:</w:t>
            </w:r>
            <w:r w:rsidRPr="00CC553B">
              <w:rPr>
                <w:b/>
                <w:bCs/>
                <w:sz w:val="16"/>
                <w:szCs w:val="16"/>
              </w:rPr>
              <w:tab/>
            </w:r>
            <w:r w:rsidRPr="00CC553B">
              <w:rPr>
                <w:bCs/>
                <w:sz w:val="16"/>
                <w:szCs w:val="16"/>
              </w:rPr>
              <w:t>IX.8  Mejor rendición de cuentas, aprendizaje institucional, uso óptimo de los recursos, administración, control interno y buen gobierno gracias a la ayuda que proporciona una supervisión eficaz e independiente</w:t>
            </w:r>
          </w:p>
        </w:tc>
      </w:tr>
      <w:tr w:rsidR="002E3AE7" w:rsidRPr="00CC553B" w:rsidTr="003E0A02">
        <w:tc>
          <w:tcPr>
            <w:tcW w:w="1092" w:type="pct"/>
            <w:shd w:val="clear" w:color="auto" w:fill="auto"/>
            <w:tcMar>
              <w:left w:w="58" w:type="dxa"/>
              <w:right w:w="58" w:type="dxa"/>
            </w:tcMar>
            <w:vAlign w:val="center"/>
          </w:tcPr>
          <w:p w:rsidR="002E3AE7" w:rsidRPr="00CC553B" w:rsidRDefault="002E3AE7" w:rsidP="003E0A02">
            <w:pPr>
              <w:rPr>
                <w:b/>
                <w:bCs/>
                <w:sz w:val="16"/>
                <w:szCs w:val="16"/>
              </w:rPr>
            </w:pPr>
            <w:r w:rsidRPr="00CC553B">
              <w:rPr>
                <w:b/>
                <w:bCs/>
                <w:sz w:val="16"/>
                <w:szCs w:val="16"/>
              </w:rPr>
              <w:t>Indicadores de rendimiento</w:t>
            </w:r>
          </w:p>
        </w:tc>
        <w:tc>
          <w:tcPr>
            <w:tcW w:w="1398" w:type="pct"/>
            <w:shd w:val="clear" w:color="auto" w:fill="auto"/>
            <w:tcMar>
              <w:left w:w="58" w:type="dxa"/>
              <w:right w:w="58" w:type="dxa"/>
            </w:tcMar>
            <w:vAlign w:val="center"/>
          </w:tcPr>
          <w:p w:rsidR="002E3AE7" w:rsidRPr="00CC553B" w:rsidRDefault="002E3AE7" w:rsidP="003E0A02">
            <w:pPr>
              <w:rPr>
                <w:b/>
                <w:bCs/>
                <w:sz w:val="16"/>
                <w:szCs w:val="16"/>
              </w:rPr>
            </w:pPr>
            <w:r w:rsidRPr="00CC553B">
              <w:rPr>
                <w:b/>
                <w:bCs/>
                <w:sz w:val="16"/>
                <w:szCs w:val="16"/>
              </w:rPr>
              <w:t>Referencias de base</w:t>
            </w:r>
          </w:p>
        </w:tc>
        <w:tc>
          <w:tcPr>
            <w:tcW w:w="1081" w:type="pct"/>
            <w:shd w:val="clear" w:color="auto" w:fill="auto"/>
            <w:tcMar>
              <w:top w:w="110" w:type="dxa"/>
              <w:left w:w="58" w:type="dxa"/>
              <w:right w:w="58" w:type="dxa"/>
            </w:tcMar>
            <w:vAlign w:val="center"/>
          </w:tcPr>
          <w:p w:rsidR="002E3AE7" w:rsidRPr="00CC553B" w:rsidRDefault="002E3AE7" w:rsidP="003E0A02">
            <w:pPr>
              <w:tabs>
                <w:tab w:val="left" w:pos="290"/>
              </w:tabs>
              <w:rPr>
                <w:b/>
                <w:bCs/>
                <w:sz w:val="16"/>
                <w:szCs w:val="16"/>
              </w:rPr>
            </w:pPr>
            <w:r w:rsidRPr="00CC553B">
              <w:rPr>
                <w:b/>
                <w:bCs/>
                <w:sz w:val="16"/>
                <w:szCs w:val="16"/>
              </w:rPr>
              <w:t>Objetivos</w:t>
            </w:r>
          </w:p>
        </w:tc>
        <w:tc>
          <w:tcPr>
            <w:tcW w:w="1000" w:type="pct"/>
            <w:shd w:val="clear" w:color="auto" w:fill="FFFFFF"/>
            <w:tcMar>
              <w:top w:w="110" w:type="dxa"/>
              <w:left w:w="58" w:type="dxa"/>
              <w:right w:w="58" w:type="dxa"/>
            </w:tcMar>
            <w:vAlign w:val="center"/>
          </w:tcPr>
          <w:p w:rsidR="002E3AE7" w:rsidRPr="00CC553B" w:rsidRDefault="002E3AE7" w:rsidP="003E0A02">
            <w:pPr>
              <w:rPr>
                <w:b/>
                <w:bCs/>
                <w:sz w:val="16"/>
                <w:szCs w:val="16"/>
              </w:rPr>
            </w:pPr>
            <w:r w:rsidRPr="00CC553B">
              <w:rPr>
                <w:b/>
                <w:bCs/>
                <w:sz w:val="16"/>
                <w:szCs w:val="16"/>
              </w:rPr>
              <w:t>Datos sobre el rendimiento</w:t>
            </w:r>
          </w:p>
        </w:tc>
        <w:tc>
          <w:tcPr>
            <w:tcW w:w="429" w:type="pct"/>
            <w:shd w:val="clear" w:color="auto" w:fill="auto"/>
            <w:tcMar>
              <w:top w:w="110" w:type="dxa"/>
              <w:left w:w="58" w:type="dxa"/>
              <w:right w:w="58" w:type="dxa"/>
            </w:tcMar>
            <w:vAlign w:val="center"/>
          </w:tcPr>
          <w:p w:rsidR="002E3AE7" w:rsidRPr="00CC553B" w:rsidRDefault="002E3AE7" w:rsidP="003E0A02">
            <w:pPr>
              <w:jc w:val="center"/>
              <w:rPr>
                <w:b/>
                <w:bCs/>
                <w:sz w:val="16"/>
                <w:szCs w:val="16"/>
              </w:rPr>
            </w:pPr>
            <w:r w:rsidRPr="00CC553B">
              <w:rPr>
                <w:b/>
                <w:bCs/>
                <w:sz w:val="16"/>
                <w:szCs w:val="16"/>
              </w:rPr>
              <w:t>Clave de colores</w:t>
            </w:r>
          </w:p>
        </w:tc>
      </w:tr>
      <w:tr w:rsidR="002E3AE7" w:rsidRPr="00CC553B" w:rsidTr="003E0A02">
        <w:trPr>
          <w:trHeight w:val="903"/>
        </w:trPr>
        <w:tc>
          <w:tcPr>
            <w:tcW w:w="1092" w:type="pct"/>
            <w:shd w:val="clear" w:color="auto" w:fill="auto"/>
            <w:tcMar>
              <w:left w:w="58" w:type="dxa"/>
              <w:right w:w="58" w:type="dxa"/>
            </w:tcMar>
          </w:tcPr>
          <w:p w:rsidR="002E3AE7" w:rsidRPr="00CC553B" w:rsidRDefault="002E3AE7" w:rsidP="003E0A02">
            <w:pPr>
              <w:ind w:left="15"/>
              <w:rPr>
                <w:sz w:val="16"/>
                <w:szCs w:val="16"/>
              </w:rPr>
            </w:pPr>
            <w:r w:rsidRPr="00CC553B">
              <w:rPr>
                <w:sz w:val="16"/>
                <w:szCs w:val="16"/>
              </w:rPr>
              <w:t>INDEPENDENCIA - No interferencia y grado de independencia percibido por las principales partes interesadas</w:t>
            </w:r>
          </w:p>
        </w:tc>
        <w:tc>
          <w:tcPr>
            <w:tcW w:w="1398" w:type="pct"/>
            <w:shd w:val="clear" w:color="auto" w:fill="auto"/>
            <w:tcMar>
              <w:left w:w="58" w:type="dxa"/>
              <w:right w:w="58" w:type="dxa"/>
            </w:tcMar>
          </w:tcPr>
          <w:p w:rsidR="002E3AE7" w:rsidRPr="000A50CC" w:rsidRDefault="002E3AE7" w:rsidP="003E0A02">
            <w:pPr>
              <w:rPr>
                <w:i/>
                <w:color w:val="002060"/>
                <w:sz w:val="16"/>
                <w:szCs w:val="16"/>
              </w:rPr>
            </w:pPr>
            <w:r w:rsidRPr="000A50CC">
              <w:rPr>
                <w:i/>
                <w:color w:val="002060"/>
                <w:sz w:val="16"/>
                <w:szCs w:val="16"/>
              </w:rPr>
              <w:t xml:space="preserve">Referencia actualizada a fines de 2015:  </w:t>
            </w:r>
          </w:p>
          <w:p w:rsidR="002E3AE7" w:rsidRPr="000A50CC" w:rsidRDefault="002E3AE7" w:rsidP="003E0A02">
            <w:pPr>
              <w:rPr>
                <w:color w:val="002060"/>
                <w:sz w:val="16"/>
                <w:szCs w:val="16"/>
                <w:lang w:bidi="th-TH"/>
              </w:rPr>
            </w:pPr>
            <w:r w:rsidRPr="000A50CC">
              <w:rPr>
                <w:color w:val="002060"/>
                <w:sz w:val="16"/>
                <w:szCs w:val="16"/>
                <w:lang w:bidi="th-TH"/>
              </w:rPr>
              <w:t>No hay interferencias en la labor de la DSI como se refleja en los informes anuales (WO/PBC/22/4 y WO/PBC/24/6).</w:t>
            </w:r>
          </w:p>
          <w:p w:rsidR="002E3AE7" w:rsidRPr="000A50CC" w:rsidRDefault="002E3AE7" w:rsidP="003E0A02">
            <w:pPr>
              <w:rPr>
                <w:color w:val="002060"/>
                <w:sz w:val="16"/>
                <w:szCs w:val="16"/>
                <w:lang w:bidi="th-TH"/>
              </w:rPr>
            </w:pPr>
          </w:p>
          <w:p w:rsidR="002E3AE7" w:rsidRPr="000A50CC" w:rsidRDefault="002E3AE7" w:rsidP="003E0A02">
            <w:pPr>
              <w:rPr>
                <w:color w:val="002060"/>
                <w:sz w:val="16"/>
                <w:szCs w:val="16"/>
                <w:lang w:bidi="th-TH"/>
              </w:rPr>
            </w:pPr>
            <w:r w:rsidRPr="000A50CC">
              <w:rPr>
                <w:color w:val="002060"/>
                <w:sz w:val="16"/>
                <w:szCs w:val="16"/>
                <w:lang w:bidi="th-TH"/>
              </w:rPr>
              <w:t>El director de la DSI se reunió con regularidad con el director general, la CCIS y con los representantes de los Estados miembros que lo solicitaron.</w:t>
            </w:r>
          </w:p>
          <w:p w:rsidR="002E3AE7" w:rsidRPr="000A50CC" w:rsidRDefault="002E3AE7" w:rsidP="003E0A02">
            <w:pPr>
              <w:rPr>
                <w:color w:val="002060"/>
                <w:sz w:val="16"/>
                <w:szCs w:val="16"/>
                <w:lang w:bidi="th-TH"/>
              </w:rPr>
            </w:pPr>
          </w:p>
          <w:p w:rsidR="002E3AE7" w:rsidRPr="000A50CC" w:rsidRDefault="002E3AE7" w:rsidP="003E0A02">
            <w:pPr>
              <w:ind w:left="15"/>
              <w:rPr>
                <w:color w:val="002060"/>
                <w:sz w:val="16"/>
                <w:szCs w:val="16"/>
                <w:lang w:bidi="th-TH"/>
              </w:rPr>
            </w:pPr>
            <w:r w:rsidRPr="000A50CC">
              <w:rPr>
                <w:color w:val="002060"/>
                <w:sz w:val="16"/>
                <w:szCs w:val="16"/>
                <w:lang w:bidi="th-TH"/>
              </w:rPr>
              <w:t xml:space="preserve">Los casos de presunta falta de independencia se sometieron a la CCIS, según lo previsto en el párrafo 18 de la Carta.  </w:t>
            </w:r>
          </w:p>
          <w:p w:rsidR="002E3AE7" w:rsidRPr="00CC553B" w:rsidRDefault="002E3AE7" w:rsidP="003E0A02">
            <w:pPr>
              <w:ind w:left="15"/>
              <w:rPr>
                <w:sz w:val="16"/>
                <w:szCs w:val="16"/>
                <w:lang w:bidi="th-TH"/>
              </w:rPr>
            </w:pPr>
          </w:p>
          <w:p w:rsidR="002E3AE7" w:rsidRPr="00CC553B" w:rsidRDefault="002E3AE7" w:rsidP="003E0A02">
            <w:pPr>
              <w:ind w:left="15"/>
              <w:rPr>
                <w:i/>
                <w:sz w:val="16"/>
                <w:szCs w:val="16"/>
                <w:lang w:bidi="th-TH"/>
              </w:rPr>
            </w:pPr>
            <w:r w:rsidRPr="00CC553B">
              <w:rPr>
                <w:i/>
                <w:sz w:val="16"/>
                <w:szCs w:val="16"/>
                <w:lang w:bidi="th-TH"/>
              </w:rPr>
              <w:t xml:space="preserve">Referencia original en el presupuesto de 2016/17:  </w:t>
            </w:r>
          </w:p>
          <w:p w:rsidR="002E3AE7" w:rsidRPr="00CC553B" w:rsidRDefault="002E3AE7" w:rsidP="003E0A02">
            <w:pPr>
              <w:spacing w:after="240"/>
              <w:ind w:left="15"/>
              <w:rPr>
                <w:sz w:val="16"/>
                <w:szCs w:val="16"/>
              </w:rPr>
            </w:pPr>
            <w:r w:rsidRPr="00CC553B">
              <w:rPr>
                <w:sz w:val="16"/>
                <w:szCs w:val="16"/>
              </w:rPr>
              <w:t>No hay interferencias en la labor de la DSI.</w:t>
            </w:r>
          </w:p>
        </w:tc>
        <w:tc>
          <w:tcPr>
            <w:tcW w:w="1081" w:type="pct"/>
            <w:shd w:val="clear" w:color="auto" w:fill="auto"/>
            <w:tcMar>
              <w:top w:w="110" w:type="dxa"/>
              <w:left w:w="58" w:type="dxa"/>
              <w:right w:w="58" w:type="dxa"/>
            </w:tcMar>
          </w:tcPr>
          <w:p w:rsidR="002E3AE7" w:rsidRPr="00CC553B" w:rsidRDefault="002E3AE7" w:rsidP="003E0A02">
            <w:pPr>
              <w:rPr>
                <w:sz w:val="16"/>
                <w:szCs w:val="16"/>
              </w:rPr>
            </w:pPr>
            <w:r w:rsidRPr="00CC553B">
              <w:rPr>
                <w:sz w:val="16"/>
                <w:szCs w:val="16"/>
              </w:rPr>
              <w:t>No hay inter</w:t>
            </w:r>
            <w:r w:rsidR="00ED069F">
              <w:rPr>
                <w:sz w:val="16"/>
                <w:szCs w:val="16"/>
              </w:rPr>
              <w:t>ferencias en la labor de la DSI</w:t>
            </w:r>
          </w:p>
        </w:tc>
        <w:tc>
          <w:tcPr>
            <w:tcW w:w="1000" w:type="pct"/>
            <w:shd w:val="clear" w:color="auto" w:fill="FFFFFF"/>
            <w:tcMar>
              <w:top w:w="110" w:type="dxa"/>
              <w:left w:w="58" w:type="dxa"/>
              <w:right w:w="58" w:type="dxa"/>
            </w:tcMar>
          </w:tcPr>
          <w:p w:rsidR="002E3AE7" w:rsidRPr="00CC553B" w:rsidRDefault="002E3AE7" w:rsidP="003E0A02">
            <w:pPr>
              <w:rPr>
                <w:sz w:val="16"/>
                <w:szCs w:val="16"/>
                <w:lang w:bidi="th-TH"/>
              </w:rPr>
            </w:pPr>
            <w:r w:rsidRPr="00CC553B">
              <w:rPr>
                <w:sz w:val="16"/>
                <w:szCs w:val="16"/>
                <w:lang w:bidi="th-TH"/>
              </w:rPr>
              <w:t>No hay interferencias en la labor de la DSI como se refleja en los informes anuales (WO/PBC/24/6 y WO/PBC/25/5).</w:t>
            </w:r>
            <w:r w:rsidRPr="00CC553B">
              <w:rPr>
                <w:rStyle w:val="FootnoteReference"/>
                <w:lang w:bidi="th-TH"/>
              </w:rPr>
              <w:footnoteReference w:id="102"/>
            </w:r>
            <w:r w:rsidRPr="00CC553B">
              <w:rPr>
                <w:rStyle w:val="FootnoteReference"/>
                <w:lang w:bidi="th-TH"/>
              </w:rPr>
              <w:footnoteReference w:id="103"/>
            </w:r>
          </w:p>
          <w:p w:rsidR="002E3AE7" w:rsidRPr="00CC553B" w:rsidRDefault="002E3AE7" w:rsidP="003E0A02">
            <w:pPr>
              <w:rPr>
                <w:sz w:val="16"/>
                <w:szCs w:val="16"/>
                <w:lang w:bidi="th-TH"/>
              </w:rPr>
            </w:pPr>
          </w:p>
          <w:p w:rsidR="002E3AE7" w:rsidRPr="00CC553B" w:rsidRDefault="002E3AE7" w:rsidP="003E0A02">
            <w:pPr>
              <w:rPr>
                <w:sz w:val="16"/>
                <w:szCs w:val="16"/>
                <w:lang w:bidi="th-TH"/>
              </w:rPr>
            </w:pPr>
            <w:r w:rsidRPr="00CC553B">
              <w:rPr>
                <w:sz w:val="16"/>
                <w:szCs w:val="16"/>
                <w:lang w:bidi="th-TH"/>
              </w:rPr>
              <w:t>El director de la DSI se reunió con regularidad con el Director General, la CCIS y con los representantes de los Estados miembros que lo solicitaron.</w:t>
            </w:r>
          </w:p>
          <w:p w:rsidR="002E3AE7" w:rsidRPr="00CC553B" w:rsidRDefault="002E3AE7" w:rsidP="003E0A02">
            <w:pPr>
              <w:rPr>
                <w:sz w:val="16"/>
                <w:szCs w:val="16"/>
                <w:lang w:bidi="th-TH"/>
              </w:rPr>
            </w:pPr>
          </w:p>
          <w:p w:rsidR="002E3AE7" w:rsidRPr="00CC553B" w:rsidRDefault="002E3AE7" w:rsidP="003E0A02">
            <w:pPr>
              <w:rPr>
                <w:sz w:val="16"/>
                <w:szCs w:val="16"/>
              </w:rPr>
            </w:pPr>
            <w:r w:rsidRPr="00CC553B">
              <w:rPr>
                <w:sz w:val="16"/>
                <w:szCs w:val="16"/>
                <w:lang w:bidi="th-TH"/>
              </w:rPr>
              <w:t xml:space="preserve">Los casos de presunta falta de independencia se sometieron a la CCIS, según lo previsto en el párrafo 18 de la Carta.  </w:t>
            </w:r>
          </w:p>
        </w:tc>
        <w:tc>
          <w:tcPr>
            <w:tcW w:w="429" w:type="pct"/>
            <w:shd w:val="clear" w:color="auto" w:fill="auto"/>
            <w:tcMar>
              <w:top w:w="110" w:type="dxa"/>
              <w:left w:w="58" w:type="dxa"/>
              <w:right w:w="58" w:type="dxa"/>
            </w:tcMar>
          </w:tcPr>
          <w:p w:rsidR="002E3AE7" w:rsidRPr="00CC553B" w:rsidRDefault="002E3AE7" w:rsidP="003E0A02">
            <w:pPr>
              <w:jc w:val="center"/>
              <w:rPr>
                <w:sz w:val="16"/>
                <w:szCs w:val="16"/>
              </w:rPr>
            </w:pPr>
            <w:r w:rsidRPr="00CC553B">
              <w:rPr>
                <w:b/>
                <w:color w:val="00B050"/>
                <w:sz w:val="16"/>
                <w:szCs w:val="16"/>
              </w:rPr>
              <w:t>Avanza</w:t>
            </w:r>
          </w:p>
        </w:tc>
      </w:tr>
      <w:tr w:rsidR="002E3AE7" w:rsidRPr="00CC553B" w:rsidTr="003E0A02">
        <w:trPr>
          <w:trHeight w:val="1585"/>
        </w:trPr>
        <w:tc>
          <w:tcPr>
            <w:tcW w:w="1092" w:type="pct"/>
            <w:shd w:val="clear" w:color="auto" w:fill="auto"/>
            <w:tcMar>
              <w:left w:w="58" w:type="dxa"/>
              <w:right w:w="58" w:type="dxa"/>
            </w:tcMar>
          </w:tcPr>
          <w:p w:rsidR="002E3AE7" w:rsidRPr="00CC553B" w:rsidRDefault="002E3AE7" w:rsidP="003E0A02">
            <w:pPr>
              <w:ind w:left="15"/>
              <w:rPr>
                <w:sz w:val="16"/>
                <w:szCs w:val="16"/>
              </w:rPr>
            </w:pPr>
            <w:r w:rsidRPr="00CC553B">
              <w:rPr>
                <w:sz w:val="16"/>
                <w:szCs w:val="16"/>
              </w:rPr>
              <w:t>EFECTIVIDAD - porcentaje de la labor que abarca ámbitos de importancia y de alto riesgo que está en conformidad con la estrategia de la Organización</w:t>
            </w:r>
          </w:p>
        </w:tc>
        <w:tc>
          <w:tcPr>
            <w:tcW w:w="1398" w:type="pct"/>
            <w:shd w:val="clear" w:color="auto" w:fill="auto"/>
            <w:tcMar>
              <w:left w:w="58" w:type="dxa"/>
              <w:right w:w="58" w:type="dxa"/>
            </w:tcMar>
          </w:tcPr>
          <w:p w:rsidR="002E3AE7" w:rsidRPr="000A50CC" w:rsidRDefault="002E3AE7" w:rsidP="003E0A02">
            <w:pPr>
              <w:rPr>
                <w:i/>
                <w:color w:val="002060"/>
                <w:sz w:val="16"/>
                <w:szCs w:val="16"/>
              </w:rPr>
            </w:pPr>
            <w:r w:rsidRPr="000A50CC">
              <w:rPr>
                <w:i/>
                <w:color w:val="002060"/>
                <w:sz w:val="16"/>
                <w:szCs w:val="16"/>
              </w:rPr>
              <w:t xml:space="preserve">Referencia actualizada a fines de 2015:  </w:t>
            </w:r>
          </w:p>
          <w:p w:rsidR="002E3AE7" w:rsidRPr="000A50CC" w:rsidRDefault="002E3AE7" w:rsidP="003E0A02">
            <w:pPr>
              <w:rPr>
                <w:color w:val="002060"/>
                <w:sz w:val="16"/>
                <w:szCs w:val="16"/>
              </w:rPr>
            </w:pPr>
            <w:r w:rsidRPr="000A50CC">
              <w:rPr>
                <w:color w:val="002060"/>
                <w:sz w:val="16"/>
                <w:szCs w:val="16"/>
              </w:rPr>
              <w:t xml:space="preserve">Toda la labor (100%) abarca esferas de alto riesgo y gran importancia </w:t>
            </w:r>
          </w:p>
          <w:p w:rsidR="002E3AE7" w:rsidRPr="00CC553B" w:rsidRDefault="002E3AE7" w:rsidP="003E0A02">
            <w:pPr>
              <w:ind w:left="15"/>
              <w:rPr>
                <w:i/>
                <w:sz w:val="16"/>
                <w:szCs w:val="16"/>
                <w:lang w:bidi="th-TH"/>
              </w:rPr>
            </w:pPr>
          </w:p>
          <w:p w:rsidR="002E3AE7" w:rsidRPr="00CC553B" w:rsidRDefault="002E3AE7" w:rsidP="003E0A02">
            <w:pPr>
              <w:ind w:left="15"/>
              <w:rPr>
                <w:i/>
                <w:sz w:val="16"/>
                <w:szCs w:val="16"/>
                <w:lang w:bidi="th-TH"/>
              </w:rPr>
            </w:pPr>
            <w:r w:rsidRPr="00CC553B">
              <w:rPr>
                <w:i/>
                <w:sz w:val="16"/>
                <w:szCs w:val="16"/>
                <w:lang w:bidi="th-TH"/>
              </w:rPr>
              <w:t xml:space="preserve">Referencia original en el presupuesto de 2016/17:  </w:t>
            </w:r>
          </w:p>
          <w:p w:rsidR="002E3AE7" w:rsidRPr="00CC553B" w:rsidRDefault="002E3AE7" w:rsidP="003E0A02">
            <w:pPr>
              <w:spacing w:after="240"/>
              <w:ind w:left="15"/>
              <w:rPr>
                <w:sz w:val="16"/>
                <w:szCs w:val="16"/>
              </w:rPr>
            </w:pPr>
            <w:r w:rsidRPr="00CC553B">
              <w:rPr>
                <w:sz w:val="16"/>
                <w:szCs w:val="16"/>
              </w:rPr>
              <w:t>El 100% de los ámbitos de gran importancia/alto riesgo</w:t>
            </w:r>
          </w:p>
        </w:tc>
        <w:tc>
          <w:tcPr>
            <w:tcW w:w="1081" w:type="pct"/>
            <w:shd w:val="clear" w:color="auto" w:fill="auto"/>
            <w:tcMar>
              <w:top w:w="110" w:type="dxa"/>
              <w:left w:w="58" w:type="dxa"/>
              <w:right w:w="58" w:type="dxa"/>
            </w:tcMar>
          </w:tcPr>
          <w:p w:rsidR="002E3AE7" w:rsidRPr="00CC553B" w:rsidRDefault="002E3AE7" w:rsidP="003E0A02">
            <w:pPr>
              <w:rPr>
                <w:sz w:val="16"/>
                <w:szCs w:val="16"/>
              </w:rPr>
            </w:pPr>
            <w:r w:rsidRPr="00CC553B">
              <w:rPr>
                <w:sz w:val="16"/>
                <w:szCs w:val="16"/>
              </w:rPr>
              <w:t>El 100% de la labor en ámbitos de gran importancia/alto riesgo, está en conformidad con las metas estratégicas de la OMPI</w:t>
            </w:r>
          </w:p>
        </w:tc>
        <w:tc>
          <w:tcPr>
            <w:tcW w:w="1000" w:type="pct"/>
            <w:shd w:val="clear" w:color="auto" w:fill="FFFFFF"/>
            <w:tcMar>
              <w:top w:w="110" w:type="dxa"/>
              <w:left w:w="58" w:type="dxa"/>
              <w:right w:w="58" w:type="dxa"/>
            </w:tcMar>
          </w:tcPr>
          <w:p w:rsidR="002E3AE7" w:rsidRPr="00CC553B" w:rsidRDefault="002E3AE7" w:rsidP="003E0A02">
            <w:pPr>
              <w:rPr>
                <w:sz w:val="16"/>
                <w:szCs w:val="16"/>
              </w:rPr>
            </w:pPr>
            <w:r w:rsidRPr="00CC553B">
              <w:rPr>
                <w:sz w:val="16"/>
                <w:szCs w:val="16"/>
              </w:rPr>
              <w:t>Toda la labor (100%) abarca esferas de alto riesgo y gran pertinencia</w:t>
            </w:r>
          </w:p>
        </w:tc>
        <w:tc>
          <w:tcPr>
            <w:tcW w:w="429" w:type="pct"/>
            <w:shd w:val="clear" w:color="auto" w:fill="auto"/>
            <w:tcMar>
              <w:top w:w="110" w:type="dxa"/>
              <w:left w:w="58" w:type="dxa"/>
              <w:right w:w="58" w:type="dxa"/>
            </w:tcMar>
          </w:tcPr>
          <w:p w:rsidR="002E3AE7" w:rsidRPr="00CC553B" w:rsidRDefault="002E3AE7" w:rsidP="003E0A02">
            <w:pPr>
              <w:jc w:val="center"/>
              <w:rPr>
                <w:sz w:val="16"/>
                <w:szCs w:val="16"/>
              </w:rPr>
            </w:pPr>
            <w:r w:rsidRPr="00CC553B">
              <w:rPr>
                <w:b/>
                <w:color w:val="00B050"/>
                <w:sz w:val="16"/>
                <w:szCs w:val="16"/>
              </w:rPr>
              <w:t>Avanza</w:t>
            </w:r>
          </w:p>
        </w:tc>
      </w:tr>
      <w:tr w:rsidR="002E3AE7" w:rsidRPr="00CC553B" w:rsidTr="003E0A02">
        <w:trPr>
          <w:trHeight w:val="1213"/>
        </w:trPr>
        <w:tc>
          <w:tcPr>
            <w:tcW w:w="1092" w:type="pct"/>
            <w:shd w:val="clear" w:color="auto" w:fill="auto"/>
            <w:tcMar>
              <w:left w:w="58" w:type="dxa"/>
              <w:right w:w="58" w:type="dxa"/>
            </w:tcMar>
          </w:tcPr>
          <w:p w:rsidR="002E3AE7" w:rsidRPr="00CC553B" w:rsidRDefault="002E3AE7" w:rsidP="003E0A02">
            <w:pPr>
              <w:rPr>
                <w:sz w:val="16"/>
                <w:szCs w:val="16"/>
              </w:rPr>
            </w:pPr>
            <w:r w:rsidRPr="00CC553B">
              <w:rPr>
                <w:sz w:val="16"/>
                <w:szCs w:val="16"/>
              </w:rPr>
              <w:lastRenderedPageBreak/>
              <w:t>EFICACIA – los informes de la DSI se elaboran oportunamente y se ajustan a las recomendaciones SMART (específicas, mensurables, realizables, pertinentes y sujetas a plazo)</w:t>
            </w:r>
          </w:p>
        </w:tc>
        <w:tc>
          <w:tcPr>
            <w:tcW w:w="1398" w:type="pct"/>
            <w:shd w:val="clear" w:color="auto" w:fill="auto"/>
            <w:tcMar>
              <w:left w:w="58" w:type="dxa"/>
              <w:right w:w="58" w:type="dxa"/>
            </w:tcMar>
          </w:tcPr>
          <w:p w:rsidR="002E3AE7" w:rsidRPr="000A50CC" w:rsidRDefault="002E3AE7" w:rsidP="003E0A02">
            <w:pPr>
              <w:rPr>
                <w:i/>
                <w:color w:val="002060"/>
                <w:sz w:val="16"/>
                <w:szCs w:val="16"/>
              </w:rPr>
            </w:pPr>
            <w:r w:rsidRPr="000A50CC">
              <w:rPr>
                <w:i/>
                <w:color w:val="002060"/>
                <w:sz w:val="16"/>
                <w:szCs w:val="16"/>
              </w:rPr>
              <w:t xml:space="preserve">Referencia actualizada a fines de 2015:  </w:t>
            </w:r>
          </w:p>
          <w:p w:rsidR="002E3AE7" w:rsidRPr="000A50CC" w:rsidRDefault="002E3AE7" w:rsidP="003E0A02">
            <w:pPr>
              <w:rPr>
                <w:color w:val="002060"/>
                <w:sz w:val="16"/>
                <w:szCs w:val="16"/>
                <w:lang w:bidi="th-TH"/>
              </w:rPr>
            </w:pPr>
            <w:r w:rsidRPr="000A50CC">
              <w:rPr>
                <w:color w:val="002060"/>
                <w:sz w:val="16"/>
                <w:szCs w:val="16"/>
                <w:lang w:bidi="th-TH"/>
              </w:rPr>
              <w:t xml:space="preserve">Emisión del 24% de los informes de auditoría y evaluación en menos de 4 meses  </w:t>
            </w:r>
          </w:p>
          <w:p w:rsidR="002E3AE7" w:rsidRPr="000A50CC" w:rsidRDefault="002E3AE7" w:rsidP="003E0A02">
            <w:pPr>
              <w:rPr>
                <w:color w:val="002060"/>
                <w:sz w:val="16"/>
                <w:szCs w:val="16"/>
                <w:lang w:bidi="th-TH"/>
              </w:rPr>
            </w:pPr>
          </w:p>
          <w:p w:rsidR="002E3AE7" w:rsidRPr="000A50CC" w:rsidRDefault="002E3AE7" w:rsidP="003E0A02">
            <w:pPr>
              <w:rPr>
                <w:color w:val="002060"/>
                <w:sz w:val="16"/>
                <w:szCs w:val="16"/>
                <w:lang w:bidi="th-TH"/>
              </w:rPr>
            </w:pPr>
          </w:p>
          <w:p w:rsidR="002E3AE7" w:rsidRPr="000A50CC" w:rsidRDefault="002E3AE7" w:rsidP="003E0A02">
            <w:pPr>
              <w:rPr>
                <w:color w:val="002060"/>
                <w:sz w:val="16"/>
                <w:szCs w:val="16"/>
                <w:lang w:bidi="th-TH"/>
              </w:rPr>
            </w:pPr>
          </w:p>
          <w:p w:rsidR="002E3AE7" w:rsidRPr="000A50CC" w:rsidRDefault="002E3AE7" w:rsidP="003E0A02">
            <w:pPr>
              <w:rPr>
                <w:color w:val="002060"/>
                <w:sz w:val="16"/>
                <w:szCs w:val="16"/>
                <w:lang w:bidi="th-TH"/>
              </w:rPr>
            </w:pPr>
            <w:r w:rsidRPr="000A50CC">
              <w:rPr>
                <w:color w:val="002060"/>
                <w:sz w:val="16"/>
                <w:szCs w:val="16"/>
                <w:lang w:bidi="th-TH"/>
              </w:rPr>
              <w:t xml:space="preserve">Emisión del 58% de los informes de investigación en el plazo marcado por la Política de investigación </w:t>
            </w:r>
          </w:p>
          <w:p w:rsidR="002E3AE7" w:rsidRDefault="002E3AE7" w:rsidP="003E0A02">
            <w:pPr>
              <w:rPr>
                <w:color w:val="002060"/>
                <w:sz w:val="16"/>
                <w:szCs w:val="16"/>
                <w:lang w:bidi="th-TH"/>
              </w:rPr>
            </w:pPr>
          </w:p>
          <w:p w:rsidR="005355C5" w:rsidRPr="000A50CC" w:rsidRDefault="005355C5" w:rsidP="003E0A02">
            <w:pPr>
              <w:rPr>
                <w:color w:val="002060"/>
                <w:sz w:val="16"/>
                <w:szCs w:val="16"/>
                <w:lang w:bidi="th-TH"/>
              </w:rPr>
            </w:pPr>
          </w:p>
          <w:p w:rsidR="002E3AE7" w:rsidRPr="000A50CC" w:rsidRDefault="002E3AE7" w:rsidP="003E0A02">
            <w:pPr>
              <w:rPr>
                <w:color w:val="002060"/>
                <w:sz w:val="16"/>
                <w:szCs w:val="16"/>
                <w:lang w:bidi="th-TH"/>
              </w:rPr>
            </w:pPr>
          </w:p>
          <w:p w:rsidR="002E3AE7" w:rsidRPr="000A50CC" w:rsidRDefault="002E3AE7" w:rsidP="003E0A02">
            <w:pPr>
              <w:rPr>
                <w:color w:val="002060"/>
                <w:sz w:val="16"/>
                <w:szCs w:val="16"/>
                <w:lang w:bidi="th-TH"/>
              </w:rPr>
            </w:pPr>
          </w:p>
          <w:p w:rsidR="002E3AE7" w:rsidRPr="000A50CC" w:rsidRDefault="002E3AE7" w:rsidP="003E0A02">
            <w:pPr>
              <w:rPr>
                <w:color w:val="002060"/>
                <w:sz w:val="16"/>
                <w:szCs w:val="16"/>
                <w:lang w:bidi="th-TH"/>
              </w:rPr>
            </w:pPr>
            <w:r w:rsidRPr="000A50CC">
              <w:rPr>
                <w:color w:val="002060"/>
                <w:sz w:val="16"/>
                <w:szCs w:val="16"/>
                <w:lang w:bidi="th-TH"/>
              </w:rPr>
              <w:t xml:space="preserve">Al 88% de los directores les pareció que las recomendaciones de la DSI eran SMART </w:t>
            </w:r>
          </w:p>
          <w:p w:rsidR="002E3AE7" w:rsidRPr="000A50CC" w:rsidRDefault="002E3AE7" w:rsidP="003E0A02">
            <w:pPr>
              <w:rPr>
                <w:i/>
                <w:color w:val="002060"/>
                <w:sz w:val="16"/>
                <w:szCs w:val="16"/>
                <w:u w:val="single"/>
                <w:lang w:bidi="th-TH"/>
              </w:rPr>
            </w:pPr>
          </w:p>
          <w:p w:rsidR="002E3AE7" w:rsidRPr="00CC553B" w:rsidRDefault="002E3AE7" w:rsidP="003E0A02">
            <w:pPr>
              <w:rPr>
                <w:i/>
                <w:sz w:val="16"/>
                <w:szCs w:val="16"/>
                <w:u w:val="single"/>
                <w:lang w:bidi="th-TH"/>
              </w:rPr>
            </w:pPr>
          </w:p>
          <w:p w:rsidR="002E3AE7" w:rsidRPr="00CC553B" w:rsidRDefault="002E3AE7" w:rsidP="003E0A02">
            <w:pPr>
              <w:ind w:left="15"/>
              <w:rPr>
                <w:i/>
                <w:sz w:val="16"/>
                <w:szCs w:val="16"/>
                <w:lang w:bidi="th-TH"/>
              </w:rPr>
            </w:pPr>
            <w:r w:rsidRPr="00CC553B">
              <w:rPr>
                <w:i/>
                <w:sz w:val="16"/>
                <w:szCs w:val="16"/>
                <w:lang w:bidi="th-TH"/>
              </w:rPr>
              <w:t xml:space="preserve">Referencia original en el presupuesto de 2016/17:  </w:t>
            </w: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lang w:bidi="th-TH"/>
              </w:rPr>
              <w:t>Emisión del 75% de los informes de auditoría y evaluación en menos de 4 meses</w:t>
            </w:r>
            <w:r w:rsidRPr="00CC553B">
              <w:rPr>
                <w:sz w:val="16"/>
                <w:szCs w:val="16"/>
              </w:rPr>
              <w:t xml:space="preserve">;  </w:t>
            </w:r>
          </w:p>
          <w:p w:rsidR="002E3AE7" w:rsidRPr="00CC553B" w:rsidRDefault="002E3AE7" w:rsidP="003E0A02">
            <w:pPr>
              <w:rPr>
                <w:sz w:val="16"/>
                <w:szCs w:val="16"/>
              </w:rPr>
            </w:pPr>
            <w:r w:rsidRPr="00CC553B">
              <w:rPr>
                <w:sz w:val="16"/>
                <w:szCs w:val="16"/>
              </w:rPr>
              <w:br/>
              <w:t xml:space="preserve">Emisión de la totalidad de los informes sobre actividades de investigación de conformidad con la política de investigación;  </w:t>
            </w:r>
          </w:p>
          <w:p w:rsidR="002E3AE7" w:rsidRPr="00CC553B" w:rsidRDefault="002E3AE7" w:rsidP="003E0A02">
            <w:pPr>
              <w:spacing w:after="120"/>
              <w:rPr>
                <w:sz w:val="16"/>
                <w:szCs w:val="16"/>
              </w:rPr>
            </w:pPr>
            <w:r w:rsidRPr="00CC553B">
              <w:rPr>
                <w:sz w:val="16"/>
                <w:szCs w:val="16"/>
              </w:rPr>
              <w:br/>
              <w:t>El 75% de las recomendaciones son SMART</w:t>
            </w:r>
          </w:p>
        </w:tc>
        <w:tc>
          <w:tcPr>
            <w:tcW w:w="1081" w:type="pct"/>
            <w:shd w:val="clear" w:color="auto" w:fill="auto"/>
            <w:tcMar>
              <w:top w:w="110" w:type="dxa"/>
              <w:left w:w="58" w:type="dxa"/>
              <w:right w:w="58" w:type="dxa"/>
            </w:tcMar>
          </w:tcPr>
          <w:p w:rsidR="002E3AE7" w:rsidRPr="000A50CC" w:rsidRDefault="002E3AE7" w:rsidP="003E0A02">
            <w:pPr>
              <w:rPr>
                <w:i/>
                <w:color w:val="002060"/>
                <w:sz w:val="16"/>
                <w:szCs w:val="16"/>
              </w:rPr>
            </w:pPr>
            <w:r w:rsidRPr="000A50CC">
              <w:rPr>
                <w:i/>
                <w:color w:val="002060"/>
                <w:sz w:val="16"/>
                <w:szCs w:val="16"/>
              </w:rPr>
              <w:t xml:space="preserve">Objetivo actualizado:  </w:t>
            </w:r>
          </w:p>
          <w:p w:rsidR="002E3AE7" w:rsidRPr="000A50CC" w:rsidRDefault="002E3AE7" w:rsidP="003E0A02">
            <w:pPr>
              <w:rPr>
                <w:color w:val="002060"/>
                <w:sz w:val="16"/>
                <w:szCs w:val="16"/>
              </w:rPr>
            </w:pPr>
          </w:p>
          <w:p w:rsidR="002E3AE7" w:rsidRPr="000A50CC" w:rsidRDefault="002E3AE7" w:rsidP="003E0A02">
            <w:pPr>
              <w:rPr>
                <w:color w:val="002060"/>
                <w:sz w:val="16"/>
                <w:szCs w:val="16"/>
                <w:lang w:bidi="th-TH"/>
              </w:rPr>
            </w:pPr>
            <w:r w:rsidRPr="000A50CC">
              <w:rPr>
                <w:color w:val="002060"/>
                <w:sz w:val="16"/>
                <w:szCs w:val="16"/>
                <w:lang w:bidi="th-TH"/>
              </w:rPr>
              <w:t>Emisión del 85% de los informes de auditoría y evaluación en menos de 4 meses</w:t>
            </w:r>
            <w:r w:rsidRPr="000A50CC">
              <w:rPr>
                <w:color w:val="002060"/>
                <w:sz w:val="16"/>
                <w:szCs w:val="16"/>
                <w:lang w:bidi="th-TH"/>
              </w:rPr>
              <w:br/>
            </w:r>
          </w:p>
          <w:p w:rsidR="002E3AE7" w:rsidRPr="000A50CC" w:rsidRDefault="002E3AE7" w:rsidP="003E0A02">
            <w:pPr>
              <w:rPr>
                <w:color w:val="002060"/>
                <w:sz w:val="16"/>
                <w:szCs w:val="16"/>
                <w:lang w:bidi="th-TH"/>
              </w:rPr>
            </w:pPr>
          </w:p>
          <w:p w:rsidR="002E3AE7" w:rsidRPr="000A50CC" w:rsidRDefault="002E3AE7" w:rsidP="003E0A02">
            <w:pPr>
              <w:rPr>
                <w:color w:val="002060"/>
                <w:sz w:val="16"/>
                <w:szCs w:val="16"/>
                <w:lang w:bidi="th-TH"/>
              </w:rPr>
            </w:pPr>
            <w:r w:rsidRPr="000A50CC">
              <w:rPr>
                <w:color w:val="002060"/>
                <w:sz w:val="16"/>
                <w:szCs w:val="16"/>
                <w:lang w:bidi="th-TH"/>
              </w:rPr>
              <w:t>Emisión de la totalidad de los informes de investigación en el plazo marcado por la Política de investigación</w:t>
            </w:r>
            <w:r w:rsidRPr="000A50CC">
              <w:rPr>
                <w:color w:val="002060"/>
                <w:sz w:val="16"/>
                <w:szCs w:val="16"/>
                <w:lang w:bidi="th-TH"/>
              </w:rPr>
              <w:br/>
            </w:r>
          </w:p>
          <w:p w:rsidR="002E3AE7" w:rsidRDefault="002E3AE7" w:rsidP="003E0A02">
            <w:pPr>
              <w:rPr>
                <w:color w:val="002060"/>
                <w:sz w:val="16"/>
                <w:szCs w:val="16"/>
                <w:lang w:bidi="th-TH"/>
              </w:rPr>
            </w:pPr>
          </w:p>
          <w:p w:rsidR="005355C5" w:rsidRPr="000A50CC" w:rsidRDefault="005355C5" w:rsidP="003E0A02">
            <w:pPr>
              <w:rPr>
                <w:color w:val="002060"/>
                <w:sz w:val="16"/>
                <w:szCs w:val="16"/>
                <w:lang w:bidi="th-TH"/>
              </w:rPr>
            </w:pPr>
          </w:p>
          <w:p w:rsidR="002E3AE7" w:rsidRPr="000A50CC" w:rsidRDefault="002E3AE7" w:rsidP="003E0A02">
            <w:pPr>
              <w:rPr>
                <w:color w:val="002060"/>
                <w:sz w:val="16"/>
                <w:szCs w:val="16"/>
                <w:lang w:bidi="th-TH"/>
              </w:rPr>
            </w:pPr>
            <w:r w:rsidRPr="000A50CC">
              <w:rPr>
                <w:color w:val="002060"/>
                <w:sz w:val="16"/>
                <w:szCs w:val="16"/>
                <w:lang w:bidi="th-TH"/>
              </w:rPr>
              <w:t>Al 100% de los directores les parece que las recomendaciones de la DSI son SMART</w:t>
            </w:r>
          </w:p>
          <w:p w:rsidR="002E3AE7" w:rsidRPr="00CC553B" w:rsidRDefault="002E3AE7" w:rsidP="003E0A02">
            <w:pPr>
              <w:rPr>
                <w:i/>
                <w:sz w:val="16"/>
                <w:szCs w:val="16"/>
              </w:rPr>
            </w:pPr>
          </w:p>
          <w:p w:rsidR="002E3AE7" w:rsidRPr="00CC553B" w:rsidRDefault="002E3AE7" w:rsidP="003E0A02">
            <w:pPr>
              <w:rPr>
                <w:i/>
                <w:sz w:val="16"/>
                <w:szCs w:val="16"/>
              </w:rPr>
            </w:pPr>
            <w:r w:rsidRPr="00CC553B">
              <w:rPr>
                <w:i/>
                <w:sz w:val="16"/>
                <w:szCs w:val="16"/>
              </w:rPr>
              <w:t>Objetivo original</w:t>
            </w: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lang w:bidi="th-TH"/>
              </w:rPr>
              <w:t>Emisión del 85% de los informes de auditoría y evaluación en menos de 4 meses</w:t>
            </w:r>
            <w:r w:rsidRPr="00CC553B">
              <w:rPr>
                <w:sz w:val="16"/>
                <w:szCs w:val="16"/>
              </w:rPr>
              <w:br/>
            </w:r>
          </w:p>
          <w:p w:rsidR="002E3AE7" w:rsidRPr="00CC553B" w:rsidRDefault="002E3AE7" w:rsidP="003E0A02">
            <w:pPr>
              <w:rPr>
                <w:sz w:val="16"/>
                <w:szCs w:val="16"/>
              </w:rPr>
            </w:pPr>
            <w:r w:rsidRPr="00CC553B">
              <w:rPr>
                <w:sz w:val="16"/>
                <w:szCs w:val="16"/>
                <w:lang w:bidi="th-TH"/>
              </w:rPr>
              <w:t>Emisión de la totalidad de los informes de investigación en el plazo marcado por la política de investigación</w:t>
            </w: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rPr>
              <w:t>El 100% de las recomendaciones son SMART</w:t>
            </w:r>
          </w:p>
        </w:tc>
        <w:tc>
          <w:tcPr>
            <w:tcW w:w="1000" w:type="pct"/>
            <w:shd w:val="clear" w:color="auto" w:fill="FFFFFF"/>
            <w:tcMar>
              <w:top w:w="110" w:type="dxa"/>
              <w:left w:w="58" w:type="dxa"/>
              <w:right w:w="58" w:type="dxa"/>
            </w:tcMar>
          </w:tcPr>
          <w:p w:rsidR="002E3AE7" w:rsidRPr="00CC553B" w:rsidRDefault="002E3AE7" w:rsidP="003E0A02">
            <w:pPr>
              <w:rPr>
                <w:sz w:val="16"/>
                <w:szCs w:val="16"/>
                <w:lang w:bidi="th-TH"/>
              </w:rPr>
            </w:pPr>
          </w:p>
          <w:p w:rsidR="002E3AE7" w:rsidRPr="00CC553B" w:rsidRDefault="002E3AE7" w:rsidP="003E0A02">
            <w:pPr>
              <w:rPr>
                <w:sz w:val="16"/>
                <w:szCs w:val="16"/>
                <w:lang w:bidi="th-TH"/>
              </w:rPr>
            </w:pPr>
          </w:p>
          <w:p w:rsidR="002E3AE7" w:rsidRPr="00CC553B" w:rsidRDefault="002E3AE7" w:rsidP="003E0A02">
            <w:pPr>
              <w:rPr>
                <w:sz w:val="16"/>
                <w:szCs w:val="16"/>
                <w:lang w:bidi="th-TH"/>
              </w:rPr>
            </w:pPr>
            <w:r w:rsidRPr="00CC553B">
              <w:rPr>
                <w:sz w:val="16"/>
                <w:szCs w:val="16"/>
                <w:lang w:bidi="th-TH"/>
              </w:rPr>
              <w:t>a) El 50% de los informes de auditoría y evaluación se emitieron en menos de 4 meses</w:t>
            </w:r>
          </w:p>
          <w:p w:rsidR="002E3AE7" w:rsidRPr="00CC553B" w:rsidRDefault="002E3AE7" w:rsidP="003E0A02">
            <w:pPr>
              <w:rPr>
                <w:sz w:val="16"/>
                <w:szCs w:val="16"/>
                <w:lang w:bidi="th-TH"/>
              </w:rPr>
            </w:pPr>
          </w:p>
          <w:p w:rsidR="002E3AE7" w:rsidRPr="00CC553B" w:rsidRDefault="002E3AE7" w:rsidP="003E0A02">
            <w:pPr>
              <w:rPr>
                <w:sz w:val="16"/>
                <w:szCs w:val="16"/>
                <w:lang w:bidi="th-TH"/>
              </w:rPr>
            </w:pPr>
          </w:p>
          <w:p w:rsidR="002E3AE7" w:rsidRPr="00CC553B" w:rsidRDefault="002E3AE7" w:rsidP="003E0A02">
            <w:pPr>
              <w:rPr>
                <w:sz w:val="16"/>
                <w:szCs w:val="16"/>
                <w:lang w:bidi="th-TH"/>
              </w:rPr>
            </w:pPr>
            <w:r w:rsidRPr="00CC553B">
              <w:rPr>
                <w:sz w:val="16"/>
                <w:szCs w:val="16"/>
                <w:lang w:bidi="th-TH"/>
              </w:rPr>
              <w:t xml:space="preserve">b) El 53% de los informes de investigación se emitieron en el plazo marcado por la Política de investigación </w:t>
            </w:r>
          </w:p>
          <w:p w:rsidR="002E3AE7" w:rsidRPr="00CC553B" w:rsidRDefault="002E3AE7" w:rsidP="003E0A02">
            <w:pPr>
              <w:rPr>
                <w:sz w:val="16"/>
                <w:szCs w:val="16"/>
                <w:lang w:bidi="th-TH"/>
              </w:rPr>
            </w:pPr>
          </w:p>
          <w:p w:rsidR="002E3AE7" w:rsidRPr="00CC553B" w:rsidRDefault="002E3AE7" w:rsidP="003E0A02">
            <w:pPr>
              <w:rPr>
                <w:sz w:val="16"/>
                <w:szCs w:val="16"/>
                <w:lang w:bidi="th-TH"/>
              </w:rPr>
            </w:pPr>
          </w:p>
          <w:p w:rsidR="002E3AE7" w:rsidRPr="00CC553B" w:rsidRDefault="002E3AE7" w:rsidP="003E0A02">
            <w:pPr>
              <w:rPr>
                <w:sz w:val="16"/>
                <w:szCs w:val="16"/>
                <w:lang w:bidi="th-TH"/>
              </w:rPr>
            </w:pPr>
            <w:r w:rsidRPr="00CC553B">
              <w:rPr>
                <w:sz w:val="16"/>
                <w:szCs w:val="16"/>
                <w:lang w:bidi="th-TH"/>
              </w:rPr>
              <w:t>c) Al 81% de los directores les pareció que las recomendaciones de la DSI eran SMART</w:t>
            </w:r>
          </w:p>
          <w:p w:rsidR="002E3AE7" w:rsidRPr="00CC553B" w:rsidRDefault="002E3AE7" w:rsidP="003E0A02">
            <w:pPr>
              <w:rPr>
                <w:sz w:val="16"/>
                <w:szCs w:val="16"/>
                <w:lang w:bidi="th-TH"/>
              </w:rPr>
            </w:pPr>
          </w:p>
          <w:p w:rsidR="002E3AE7" w:rsidRPr="00CC553B" w:rsidRDefault="002E3AE7" w:rsidP="003E0A02">
            <w:pPr>
              <w:rPr>
                <w:sz w:val="16"/>
                <w:szCs w:val="16"/>
              </w:rPr>
            </w:pPr>
          </w:p>
        </w:tc>
        <w:tc>
          <w:tcPr>
            <w:tcW w:w="429" w:type="pct"/>
            <w:shd w:val="clear" w:color="auto" w:fill="auto"/>
            <w:tcMar>
              <w:top w:w="110" w:type="dxa"/>
              <w:left w:w="58" w:type="dxa"/>
              <w:right w:w="58" w:type="dxa"/>
            </w:tcMar>
          </w:tcPr>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r w:rsidRPr="00CC553B">
              <w:rPr>
                <w:b/>
                <w:bCs/>
                <w:color w:val="FF0000"/>
                <w:sz w:val="16"/>
                <w:szCs w:val="16"/>
              </w:rPr>
              <w:t>No avanza</w:t>
            </w:r>
          </w:p>
          <w:p w:rsidR="002E3AE7" w:rsidRPr="00CC553B" w:rsidRDefault="002E3AE7" w:rsidP="003E0A02">
            <w:pPr>
              <w:rPr>
                <w:b/>
                <w:bCs/>
                <w:sz w:val="16"/>
                <w:szCs w:val="16"/>
              </w:rPr>
            </w:pPr>
          </w:p>
          <w:p w:rsidR="002E3AE7" w:rsidRPr="00CC553B" w:rsidRDefault="002E3AE7" w:rsidP="003E0A02">
            <w:pPr>
              <w:rPr>
                <w:b/>
                <w:bCs/>
                <w:sz w:val="16"/>
                <w:szCs w:val="16"/>
              </w:rPr>
            </w:pPr>
          </w:p>
          <w:p w:rsidR="002E3AE7" w:rsidRPr="00CC553B" w:rsidRDefault="002E3AE7" w:rsidP="003E0A02">
            <w:pP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r w:rsidRPr="00CC553B">
              <w:rPr>
                <w:b/>
                <w:bCs/>
                <w:color w:val="FF0000"/>
                <w:sz w:val="16"/>
                <w:szCs w:val="16"/>
              </w:rPr>
              <w:t>No avanza</w:t>
            </w:r>
          </w:p>
          <w:p w:rsidR="002E3AE7" w:rsidRPr="00CC553B" w:rsidRDefault="002E3AE7" w:rsidP="003E0A02">
            <w:pPr>
              <w:jc w:val="center"/>
              <w:rPr>
                <w:b/>
                <w:bCs/>
                <w:sz w:val="16"/>
                <w:szCs w:val="16"/>
              </w:rPr>
            </w:pPr>
          </w:p>
          <w:p w:rsidR="002E3AE7" w:rsidRPr="00CC553B" w:rsidRDefault="002E3AE7" w:rsidP="003E0A02">
            <w:pP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r w:rsidRPr="00CC553B">
              <w:rPr>
                <w:b/>
                <w:bCs/>
                <w:color w:val="00B050"/>
                <w:sz w:val="16"/>
                <w:szCs w:val="16"/>
              </w:rPr>
              <w:t>Avanza</w:t>
            </w:r>
          </w:p>
          <w:p w:rsidR="002E3AE7" w:rsidRPr="00CC553B" w:rsidRDefault="002E3AE7" w:rsidP="003E0A02">
            <w:pPr>
              <w:jc w:val="center"/>
              <w:rPr>
                <w:b/>
                <w:bCs/>
                <w:sz w:val="16"/>
                <w:szCs w:val="16"/>
              </w:rPr>
            </w:pPr>
          </w:p>
        </w:tc>
      </w:tr>
      <w:tr w:rsidR="002E3AE7" w:rsidRPr="00CC553B" w:rsidTr="003E0A02">
        <w:trPr>
          <w:trHeight w:val="1213"/>
        </w:trPr>
        <w:tc>
          <w:tcPr>
            <w:tcW w:w="1092" w:type="pct"/>
            <w:shd w:val="clear" w:color="auto" w:fill="auto"/>
            <w:tcMar>
              <w:left w:w="58" w:type="dxa"/>
              <w:right w:w="58" w:type="dxa"/>
            </w:tcMar>
          </w:tcPr>
          <w:p w:rsidR="002E3AE7" w:rsidRPr="00CC553B" w:rsidRDefault="002E3AE7" w:rsidP="003E0A02">
            <w:pPr>
              <w:ind w:left="15"/>
              <w:rPr>
                <w:sz w:val="16"/>
                <w:szCs w:val="16"/>
              </w:rPr>
            </w:pPr>
            <w:r w:rsidRPr="00CC553B">
              <w:rPr>
                <w:sz w:val="16"/>
                <w:szCs w:val="16"/>
              </w:rPr>
              <w:t>PERTINENCIA, VALOR AÑADIDO Y ADMINISTRACIÓN - Ahorros o mejoras tangibles en los procedimientos y sistemas</w:t>
            </w:r>
          </w:p>
        </w:tc>
        <w:tc>
          <w:tcPr>
            <w:tcW w:w="1398" w:type="pct"/>
            <w:shd w:val="clear" w:color="auto" w:fill="auto"/>
            <w:tcMar>
              <w:left w:w="58" w:type="dxa"/>
              <w:right w:w="58" w:type="dxa"/>
            </w:tcMar>
          </w:tcPr>
          <w:p w:rsidR="002E3AE7" w:rsidRPr="000A50CC" w:rsidRDefault="002E3AE7" w:rsidP="003E0A02">
            <w:pPr>
              <w:rPr>
                <w:i/>
                <w:color w:val="002060"/>
                <w:sz w:val="16"/>
                <w:szCs w:val="16"/>
              </w:rPr>
            </w:pPr>
            <w:r w:rsidRPr="000A50CC">
              <w:rPr>
                <w:i/>
                <w:color w:val="002060"/>
                <w:sz w:val="16"/>
                <w:szCs w:val="16"/>
              </w:rPr>
              <w:t xml:space="preserve">Referencia actualizada a fines de 2015:  </w:t>
            </w:r>
          </w:p>
          <w:p w:rsidR="002E3AE7" w:rsidRPr="000A50CC" w:rsidRDefault="002E3AE7" w:rsidP="003E0A02">
            <w:pPr>
              <w:rPr>
                <w:color w:val="002060"/>
                <w:sz w:val="16"/>
                <w:szCs w:val="16"/>
              </w:rPr>
            </w:pPr>
            <w:r w:rsidRPr="000A50CC">
              <w:rPr>
                <w:color w:val="002060"/>
                <w:sz w:val="16"/>
                <w:szCs w:val="16"/>
              </w:rPr>
              <w:t xml:space="preserve">Al 69% de los directores les pareció que las recomendaciones de la DSI habían dado lugar a mejoras en la eficacia </w:t>
            </w:r>
          </w:p>
          <w:p w:rsidR="002E3AE7" w:rsidRPr="00CC553B" w:rsidRDefault="002E3AE7" w:rsidP="003E0A02">
            <w:pPr>
              <w:rPr>
                <w:sz w:val="16"/>
                <w:szCs w:val="16"/>
              </w:rPr>
            </w:pPr>
          </w:p>
          <w:p w:rsidR="002E3AE7" w:rsidRPr="00CC553B" w:rsidRDefault="002E3AE7" w:rsidP="003E0A02">
            <w:pPr>
              <w:rPr>
                <w:sz w:val="16"/>
                <w:szCs w:val="16"/>
              </w:rPr>
            </w:pPr>
          </w:p>
          <w:p w:rsidR="002E3AE7" w:rsidRPr="000A50CC" w:rsidRDefault="002E3AE7" w:rsidP="003E0A02">
            <w:pPr>
              <w:rPr>
                <w:color w:val="002060"/>
                <w:sz w:val="16"/>
                <w:szCs w:val="16"/>
              </w:rPr>
            </w:pPr>
          </w:p>
          <w:p w:rsidR="002E3AE7" w:rsidRPr="000A50CC" w:rsidRDefault="002E3AE7" w:rsidP="003E0A02">
            <w:pPr>
              <w:rPr>
                <w:color w:val="002060"/>
                <w:sz w:val="16"/>
                <w:szCs w:val="16"/>
              </w:rPr>
            </w:pPr>
            <w:r w:rsidRPr="000A50CC">
              <w:rPr>
                <w:color w:val="002060"/>
                <w:sz w:val="16"/>
                <w:szCs w:val="16"/>
              </w:rPr>
              <w:t xml:space="preserve">El 28% de los ahorros anuales podrían deberse a las recomendaciones de la DSI </w:t>
            </w:r>
          </w:p>
          <w:p w:rsidR="002E3AE7" w:rsidRPr="00CC553B" w:rsidRDefault="002E3AE7" w:rsidP="003E0A02">
            <w:pPr>
              <w:ind w:left="15"/>
              <w:rPr>
                <w:i/>
                <w:sz w:val="16"/>
                <w:szCs w:val="16"/>
                <w:u w:val="single"/>
                <w:lang w:bidi="th-TH"/>
              </w:rPr>
            </w:pPr>
          </w:p>
          <w:p w:rsidR="002E3AE7" w:rsidRPr="00CC553B" w:rsidRDefault="002E3AE7" w:rsidP="003E0A02">
            <w:pPr>
              <w:ind w:left="15"/>
              <w:rPr>
                <w:i/>
                <w:sz w:val="16"/>
                <w:szCs w:val="16"/>
                <w:lang w:bidi="th-TH"/>
              </w:rPr>
            </w:pPr>
          </w:p>
          <w:p w:rsidR="002E3AE7" w:rsidRPr="00CC553B" w:rsidRDefault="002E3AE7" w:rsidP="003E0A02">
            <w:pPr>
              <w:ind w:left="15"/>
              <w:rPr>
                <w:i/>
                <w:sz w:val="16"/>
                <w:szCs w:val="16"/>
                <w:u w:val="single"/>
                <w:lang w:bidi="th-TH"/>
              </w:rPr>
            </w:pPr>
            <w:r w:rsidRPr="00CC553B">
              <w:rPr>
                <w:i/>
                <w:sz w:val="16"/>
                <w:szCs w:val="16"/>
                <w:lang w:bidi="th-TH"/>
              </w:rPr>
              <w:t xml:space="preserve">Referencia original en el presupuesto de 2016/17:  </w:t>
            </w:r>
          </w:p>
          <w:p w:rsidR="002E3AE7" w:rsidRPr="00CC553B" w:rsidRDefault="002E3AE7" w:rsidP="003E0A02">
            <w:pPr>
              <w:ind w:left="15"/>
              <w:rPr>
                <w:sz w:val="16"/>
                <w:szCs w:val="16"/>
              </w:rPr>
            </w:pPr>
            <w:r w:rsidRPr="00CC553B">
              <w:rPr>
                <w:sz w:val="16"/>
                <w:szCs w:val="16"/>
              </w:rPr>
              <w:t>n.d. (se proporcionarán a finales de 2015)</w:t>
            </w:r>
          </w:p>
        </w:tc>
        <w:tc>
          <w:tcPr>
            <w:tcW w:w="1081" w:type="pct"/>
            <w:shd w:val="clear" w:color="auto" w:fill="auto"/>
            <w:tcMar>
              <w:top w:w="110" w:type="dxa"/>
              <w:left w:w="58" w:type="dxa"/>
              <w:right w:w="58" w:type="dxa"/>
            </w:tcMar>
          </w:tcPr>
          <w:p w:rsidR="002E3AE7" w:rsidRPr="000A50CC" w:rsidRDefault="002E3AE7" w:rsidP="003E0A02">
            <w:pPr>
              <w:rPr>
                <w:i/>
                <w:color w:val="002060"/>
                <w:sz w:val="16"/>
                <w:szCs w:val="16"/>
              </w:rPr>
            </w:pPr>
            <w:r w:rsidRPr="000A50CC">
              <w:rPr>
                <w:i/>
                <w:color w:val="002060"/>
                <w:sz w:val="16"/>
                <w:szCs w:val="16"/>
              </w:rPr>
              <w:t xml:space="preserve">Objetivo actualizado:  </w:t>
            </w:r>
          </w:p>
          <w:p w:rsidR="002E3AE7" w:rsidRPr="000A50CC" w:rsidRDefault="002E3AE7" w:rsidP="003E0A02">
            <w:pPr>
              <w:rPr>
                <w:color w:val="002060"/>
                <w:sz w:val="16"/>
                <w:szCs w:val="16"/>
              </w:rPr>
            </w:pPr>
          </w:p>
          <w:p w:rsidR="002E3AE7" w:rsidRPr="000A50CC" w:rsidRDefault="002E3AE7" w:rsidP="003E0A02">
            <w:pPr>
              <w:rPr>
                <w:color w:val="002060"/>
                <w:sz w:val="16"/>
                <w:szCs w:val="16"/>
              </w:rPr>
            </w:pPr>
            <w:r w:rsidRPr="000A50CC">
              <w:rPr>
                <w:color w:val="002060"/>
                <w:sz w:val="16"/>
                <w:szCs w:val="16"/>
              </w:rPr>
              <w:t>Al 50% de los directores les parece que las recomendaciones de la DSI dieron lugar a mejoras en la eficacia</w:t>
            </w:r>
          </w:p>
          <w:p w:rsidR="002E3AE7" w:rsidRPr="000A50CC" w:rsidRDefault="002E3AE7" w:rsidP="003E0A02">
            <w:pPr>
              <w:rPr>
                <w:color w:val="002060"/>
                <w:sz w:val="16"/>
                <w:szCs w:val="16"/>
              </w:rPr>
            </w:pPr>
          </w:p>
          <w:p w:rsidR="002E3AE7" w:rsidRPr="000A50CC" w:rsidRDefault="002E3AE7" w:rsidP="003E0A02">
            <w:pPr>
              <w:rPr>
                <w:color w:val="002060"/>
                <w:sz w:val="16"/>
                <w:szCs w:val="16"/>
              </w:rPr>
            </w:pPr>
          </w:p>
          <w:p w:rsidR="002E3AE7" w:rsidRPr="000A50CC" w:rsidRDefault="002E3AE7" w:rsidP="003E0A02">
            <w:pPr>
              <w:rPr>
                <w:color w:val="002060"/>
                <w:sz w:val="16"/>
                <w:szCs w:val="16"/>
              </w:rPr>
            </w:pPr>
            <w:r w:rsidRPr="000A50CC">
              <w:rPr>
                <w:color w:val="002060"/>
                <w:sz w:val="16"/>
                <w:szCs w:val="16"/>
              </w:rPr>
              <w:t>El 50% de los ahorros anuales podrían deberse a las recomendaciones de la DSI</w:t>
            </w:r>
          </w:p>
          <w:p w:rsidR="002E3AE7" w:rsidRPr="00CC553B" w:rsidRDefault="002E3AE7" w:rsidP="003E0A02">
            <w:pPr>
              <w:rPr>
                <w:sz w:val="16"/>
                <w:szCs w:val="16"/>
              </w:rPr>
            </w:pPr>
          </w:p>
          <w:p w:rsidR="002E3AE7" w:rsidRPr="00CC553B" w:rsidRDefault="002E3AE7" w:rsidP="003E0A02">
            <w:pPr>
              <w:rPr>
                <w:i/>
                <w:sz w:val="16"/>
                <w:szCs w:val="16"/>
                <w:lang w:bidi="th-TH"/>
              </w:rPr>
            </w:pPr>
            <w:r w:rsidRPr="00CC553B">
              <w:rPr>
                <w:i/>
                <w:sz w:val="16"/>
                <w:szCs w:val="16"/>
              </w:rPr>
              <w:t>Objetivo original en el presupuesto 2016/17</w:t>
            </w:r>
          </w:p>
          <w:p w:rsidR="002E3AE7" w:rsidRPr="00CC553B" w:rsidRDefault="002E3AE7" w:rsidP="003E0A02">
            <w:pPr>
              <w:spacing w:after="120"/>
              <w:rPr>
                <w:sz w:val="16"/>
                <w:szCs w:val="16"/>
              </w:rPr>
            </w:pPr>
            <w:r w:rsidRPr="00CC553B">
              <w:rPr>
                <w:sz w:val="16"/>
                <w:szCs w:val="16"/>
              </w:rPr>
              <w:t>El 50% de las recomendaciones dan lugar a mejoras de la eficacia</w:t>
            </w:r>
          </w:p>
        </w:tc>
        <w:tc>
          <w:tcPr>
            <w:tcW w:w="1000" w:type="pct"/>
            <w:shd w:val="clear" w:color="auto" w:fill="FFFFFF"/>
            <w:tcMar>
              <w:top w:w="110" w:type="dxa"/>
              <w:left w:w="58" w:type="dxa"/>
              <w:right w:w="58" w:type="dxa"/>
            </w:tcMar>
          </w:tcPr>
          <w:p w:rsidR="002E3AE7" w:rsidRPr="00CC553B" w:rsidRDefault="002E3AE7" w:rsidP="003E0A02">
            <w:pPr>
              <w:rPr>
                <w:sz w:val="16"/>
                <w:szCs w:val="16"/>
              </w:rPr>
            </w:pP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rPr>
              <w:t xml:space="preserve">Al 71% de los directores les pareció que las recomendaciones de la DSI habían dado lugar a mejoras en la eficacia </w:t>
            </w: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rPr>
              <w:t>El 30% de los ahorros anuales podrían deberse a las recomendaciones de la DSI</w:t>
            </w:r>
          </w:p>
          <w:p w:rsidR="002E3AE7" w:rsidRPr="00CC553B" w:rsidRDefault="002E3AE7" w:rsidP="003E0A02">
            <w:pPr>
              <w:rPr>
                <w:sz w:val="16"/>
                <w:szCs w:val="16"/>
              </w:rPr>
            </w:pPr>
          </w:p>
        </w:tc>
        <w:tc>
          <w:tcPr>
            <w:tcW w:w="429" w:type="pct"/>
            <w:shd w:val="clear" w:color="auto" w:fill="auto"/>
            <w:tcMar>
              <w:top w:w="110" w:type="dxa"/>
              <w:left w:w="58" w:type="dxa"/>
              <w:right w:w="58" w:type="dxa"/>
            </w:tcMar>
          </w:tcPr>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r w:rsidRPr="00CC553B">
              <w:rPr>
                <w:b/>
                <w:bCs/>
                <w:color w:val="00B050"/>
                <w:sz w:val="16"/>
                <w:szCs w:val="16"/>
              </w:rPr>
              <w:t>Avanza</w:t>
            </w:r>
          </w:p>
          <w:p w:rsidR="002E3AE7" w:rsidRPr="00CC553B" w:rsidRDefault="002E3AE7" w:rsidP="003E0A02">
            <w:pPr>
              <w:jc w:val="center"/>
              <w:rPr>
                <w:sz w:val="16"/>
                <w:szCs w:val="16"/>
              </w:rPr>
            </w:pPr>
          </w:p>
          <w:p w:rsidR="002E3AE7" w:rsidRPr="00CC553B" w:rsidRDefault="002E3AE7" w:rsidP="003E0A02">
            <w:pPr>
              <w:jc w:val="center"/>
              <w:rPr>
                <w:sz w:val="16"/>
                <w:szCs w:val="16"/>
              </w:rPr>
            </w:pPr>
          </w:p>
          <w:p w:rsidR="002E3AE7" w:rsidRPr="00CC553B" w:rsidRDefault="002E3AE7" w:rsidP="003E0A02">
            <w:pPr>
              <w:jc w:val="center"/>
              <w:rPr>
                <w:sz w:val="16"/>
                <w:szCs w:val="16"/>
              </w:rPr>
            </w:pPr>
          </w:p>
          <w:p w:rsidR="002E3AE7" w:rsidRPr="00CC553B" w:rsidRDefault="002E3AE7" w:rsidP="003E0A02">
            <w:pPr>
              <w:rPr>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r w:rsidRPr="00CC553B">
              <w:rPr>
                <w:b/>
                <w:bCs/>
                <w:color w:val="FF0000"/>
                <w:sz w:val="16"/>
                <w:szCs w:val="16"/>
              </w:rPr>
              <w:t>No avanza</w:t>
            </w:r>
          </w:p>
          <w:p w:rsidR="002E3AE7" w:rsidRPr="00CC553B" w:rsidRDefault="002E3AE7" w:rsidP="003E0A02">
            <w:pPr>
              <w:jc w:val="center"/>
              <w:rPr>
                <w:b/>
                <w:sz w:val="16"/>
                <w:szCs w:val="16"/>
              </w:rPr>
            </w:pPr>
          </w:p>
        </w:tc>
      </w:tr>
      <w:tr w:rsidR="002E3AE7" w:rsidRPr="00CC553B" w:rsidTr="003E0A02">
        <w:trPr>
          <w:trHeight w:val="1920"/>
        </w:trPr>
        <w:tc>
          <w:tcPr>
            <w:tcW w:w="1092" w:type="pct"/>
            <w:shd w:val="clear" w:color="auto" w:fill="auto"/>
            <w:tcMar>
              <w:left w:w="58" w:type="dxa"/>
              <w:right w:w="58" w:type="dxa"/>
            </w:tcMar>
          </w:tcPr>
          <w:p w:rsidR="002E3AE7" w:rsidRPr="00CC553B" w:rsidRDefault="002E3AE7" w:rsidP="003E0A02">
            <w:pPr>
              <w:ind w:left="15"/>
              <w:rPr>
                <w:sz w:val="16"/>
                <w:szCs w:val="16"/>
              </w:rPr>
            </w:pPr>
            <w:r w:rsidRPr="00CC553B">
              <w:rPr>
                <w:sz w:val="16"/>
                <w:szCs w:val="16"/>
              </w:rPr>
              <w:t>APRENDIZAJE INSTITUCIONAL:  Adopción de enseñanzas y recomendaciones extraídas de los procesos de supervisión</w:t>
            </w:r>
          </w:p>
        </w:tc>
        <w:tc>
          <w:tcPr>
            <w:tcW w:w="1398" w:type="pct"/>
            <w:shd w:val="clear" w:color="auto" w:fill="auto"/>
            <w:tcMar>
              <w:left w:w="58" w:type="dxa"/>
              <w:right w:w="58" w:type="dxa"/>
            </w:tcMar>
          </w:tcPr>
          <w:p w:rsidR="002E3AE7" w:rsidRPr="000A50CC" w:rsidRDefault="002E3AE7" w:rsidP="003E0A02">
            <w:pPr>
              <w:rPr>
                <w:i/>
                <w:color w:val="002060"/>
                <w:sz w:val="16"/>
                <w:szCs w:val="16"/>
              </w:rPr>
            </w:pPr>
            <w:r w:rsidRPr="000A50CC">
              <w:rPr>
                <w:i/>
                <w:color w:val="002060"/>
                <w:sz w:val="16"/>
                <w:szCs w:val="16"/>
              </w:rPr>
              <w:t xml:space="preserve">Referencia actualizada a fines de 2015:  </w:t>
            </w:r>
          </w:p>
          <w:p w:rsidR="002E3AE7" w:rsidRPr="000A50CC" w:rsidRDefault="002E3AE7" w:rsidP="003E0A02">
            <w:pPr>
              <w:rPr>
                <w:color w:val="002060"/>
                <w:sz w:val="16"/>
                <w:szCs w:val="16"/>
              </w:rPr>
            </w:pPr>
            <w:r w:rsidRPr="000A50CC">
              <w:rPr>
                <w:color w:val="002060"/>
                <w:sz w:val="16"/>
                <w:szCs w:val="16"/>
              </w:rPr>
              <w:t>Más del 95% de las recomendaciones aceptadas</w:t>
            </w:r>
          </w:p>
          <w:p w:rsidR="002E3AE7" w:rsidRPr="000A50CC" w:rsidRDefault="002E3AE7" w:rsidP="003E0A02">
            <w:pPr>
              <w:rPr>
                <w:color w:val="002060"/>
                <w:sz w:val="16"/>
                <w:szCs w:val="16"/>
              </w:rPr>
            </w:pPr>
          </w:p>
          <w:p w:rsidR="002E3AE7" w:rsidRPr="000A50CC" w:rsidRDefault="002E3AE7" w:rsidP="003E0A02">
            <w:pPr>
              <w:ind w:left="15"/>
              <w:rPr>
                <w:color w:val="002060"/>
                <w:sz w:val="16"/>
                <w:szCs w:val="16"/>
              </w:rPr>
            </w:pPr>
            <w:r w:rsidRPr="000A50CC">
              <w:rPr>
                <w:color w:val="002060"/>
                <w:sz w:val="16"/>
                <w:szCs w:val="16"/>
              </w:rPr>
              <w:t>El 40% se han aplicado en un plazo de dos años.</w:t>
            </w:r>
          </w:p>
          <w:p w:rsidR="002E3AE7" w:rsidRPr="00CC553B" w:rsidRDefault="002E3AE7" w:rsidP="003E0A02">
            <w:pPr>
              <w:ind w:left="15"/>
              <w:rPr>
                <w:sz w:val="16"/>
                <w:szCs w:val="16"/>
                <w:lang w:bidi="th-TH"/>
              </w:rPr>
            </w:pPr>
          </w:p>
          <w:p w:rsidR="002E3AE7" w:rsidRPr="00CC553B" w:rsidRDefault="002E3AE7" w:rsidP="003E0A02">
            <w:pPr>
              <w:ind w:left="15"/>
              <w:rPr>
                <w:i/>
                <w:sz w:val="16"/>
                <w:szCs w:val="16"/>
                <w:lang w:bidi="th-TH"/>
              </w:rPr>
            </w:pPr>
            <w:r w:rsidRPr="00CC553B">
              <w:rPr>
                <w:i/>
                <w:sz w:val="16"/>
                <w:szCs w:val="16"/>
                <w:lang w:bidi="th-TH"/>
              </w:rPr>
              <w:t xml:space="preserve">Referencia original en el presupuesto de 2016/17:  </w:t>
            </w:r>
          </w:p>
          <w:p w:rsidR="002E3AE7" w:rsidRPr="00CC553B" w:rsidRDefault="002E3AE7" w:rsidP="003E0A02">
            <w:pPr>
              <w:ind w:left="15"/>
              <w:rPr>
                <w:sz w:val="16"/>
                <w:szCs w:val="16"/>
              </w:rPr>
            </w:pPr>
            <w:r w:rsidRPr="00CC553B">
              <w:rPr>
                <w:sz w:val="16"/>
                <w:szCs w:val="16"/>
              </w:rPr>
              <w:t>90% de las recomendaciones aceptadas y 90% de las recomendaciones aplicadas en un plazo de dos años.</w:t>
            </w:r>
          </w:p>
        </w:tc>
        <w:tc>
          <w:tcPr>
            <w:tcW w:w="1081" w:type="pct"/>
            <w:shd w:val="clear" w:color="auto" w:fill="auto"/>
            <w:tcMar>
              <w:top w:w="110" w:type="dxa"/>
              <w:left w:w="58" w:type="dxa"/>
              <w:right w:w="58" w:type="dxa"/>
            </w:tcMar>
          </w:tcPr>
          <w:p w:rsidR="002E3AE7" w:rsidRPr="00CC553B" w:rsidRDefault="002E3AE7" w:rsidP="003E0A02">
            <w:pPr>
              <w:rPr>
                <w:i/>
                <w:sz w:val="16"/>
                <w:szCs w:val="16"/>
              </w:rPr>
            </w:pPr>
          </w:p>
          <w:p w:rsidR="002E3AE7" w:rsidRPr="00CC553B" w:rsidRDefault="002E3AE7" w:rsidP="003E0A02">
            <w:pPr>
              <w:rPr>
                <w:i/>
                <w:sz w:val="16"/>
                <w:szCs w:val="16"/>
              </w:rPr>
            </w:pPr>
          </w:p>
          <w:p w:rsidR="002E3AE7" w:rsidRPr="00CC553B" w:rsidRDefault="002E3AE7" w:rsidP="003E0A02">
            <w:pPr>
              <w:rPr>
                <w:sz w:val="16"/>
                <w:szCs w:val="16"/>
              </w:rPr>
            </w:pPr>
            <w:r w:rsidRPr="00CC553B">
              <w:rPr>
                <w:sz w:val="16"/>
                <w:szCs w:val="16"/>
              </w:rPr>
              <w:t xml:space="preserve">90% de las recomendaciones aceptadas </w:t>
            </w:r>
          </w:p>
          <w:p w:rsidR="002E3AE7" w:rsidRPr="00CC553B" w:rsidRDefault="002E3AE7" w:rsidP="003E0A02">
            <w:pPr>
              <w:rPr>
                <w:sz w:val="16"/>
                <w:szCs w:val="16"/>
              </w:rPr>
            </w:pP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rPr>
              <w:t xml:space="preserve">El 90% de las recomendaciones se aplican en un plazo de dos años </w:t>
            </w:r>
          </w:p>
        </w:tc>
        <w:tc>
          <w:tcPr>
            <w:tcW w:w="1000" w:type="pct"/>
            <w:shd w:val="clear" w:color="auto" w:fill="FFFFFF"/>
            <w:tcMar>
              <w:top w:w="110" w:type="dxa"/>
              <w:left w:w="58" w:type="dxa"/>
              <w:right w:w="58" w:type="dxa"/>
            </w:tcMar>
          </w:tcPr>
          <w:p w:rsidR="002E3AE7" w:rsidRPr="00CC553B" w:rsidRDefault="002E3AE7" w:rsidP="003E0A02">
            <w:pPr>
              <w:rPr>
                <w:sz w:val="16"/>
                <w:szCs w:val="16"/>
              </w:rPr>
            </w:pP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rPr>
              <w:t xml:space="preserve">95% de las recomendaciones aceptadas </w:t>
            </w:r>
          </w:p>
          <w:p w:rsidR="002E3AE7" w:rsidRPr="00CC553B" w:rsidRDefault="002E3AE7" w:rsidP="003E0A02">
            <w:pPr>
              <w:rPr>
                <w:sz w:val="16"/>
                <w:szCs w:val="16"/>
              </w:rPr>
            </w:pPr>
          </w:p>
          <w:p w:rsidR="002E3AE7" w:rsidRPr="00CC553B" w:rsidRDefault="002E3AE7" w:rsidP="003E0A02">
            <w:pPr>
              <w:rPr>
                <w:sz w:val="16"/>
                <w:szCs w:val="16"/>
              </w:rPr>
            </w:pPr>
          </w:p>
          <w:p w:rsidR="002E3AE7" w:rsidRPr="00CC553B" w:rsidRDefault="002E3AE7" w:rsidP="003E0A02">
            <w:pPr>
              <w:rPr>
                <w:sz w:val="16"/>
                <w:szCs w:val="16"/>
              </w:rPr>
            </w:pPr>
            <w:r w:rsidRPr="00CC553B">
              <w:rPr>
                <w:sz w:val="16"/>
                <w:szCs w:val="16"/>
              </w:rPr>
              <w:t>El 59% se han aplicado en un plazo de dos años.</w:t>
            </w:r>
          </w:p>
        </w:tc>
        <w:tc>
          <w:tcPr>
            <w:tcW w:w="429" w:type="pct"/>
            <w:shd w:val="clear" w:color="auto" w:fill="auto"/>
            <w:tcMar>
              <w:top w:w="110" w:type="dxa"/>
              <w:left w:w="58" w:type="dxa"/>
              <w:right w:w="58" w:type="dxa"/>
            </w:tcMar>
          </w:tcPr>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r w:rsidRPr="00CC553B">
              <w:rPr>
                <w:b/>
                <w:bCs/>
                <w:color w:val="00B050"/>
                <w:sz w:val="16"/>
                <w:szCs w:val="16"/>
              </w:rPr>
              <w:t>Avanza</w:t>
            </w:r>
          </w:p>
          <w:p w:rsidR="002E3AE7" w:rsidRPr="00CC553B" w:rsidRDefault="002E3AE7" w:rsidP="003E0A02">
            <w:pPr>
              <w:rPr>
                <w:sz w:val="16"/>
                <w:szCs w:val="16"/>
              </w:rPr>
            </w:pPr>
          </w:p>
          <w:p w:rsidR="002E3AE7" w:rsidRPr="00CC553B" w:rsidRDefault="005355C5" w:rsidP="003E0A02">
            <w:pPr>
              <w:rPr>
                <w:sz w:val="16"/>
                <w:szCs w:val="16"/>
              </w:rPr>
            </w:pPr>
            <w:r>
              <w:rPr>
                <w:sz w:val="16"/>
                <w:szCs w:val="16"/>
              </w:rPr>
              <w:br/>
            </w:r>
          </w:p>
          <w:p w:rsidR="002E3AE7" w:rsidRPr="00CC553B" w:rsidRDefault="002E3AE7" w:rsidP="003E0A02">
            <w:pPr>
              <w:jc w:val="center"/>
              <w:rPr>
                <w:b/>
                <w:bCs/>
                <w:sz w:val="16"/>
                <w:szCs w:val="16"/>
              </w:rPr>
            </w:pPr>
          </w:p>
          <w:p w:rsidR="002E3AE7" w:rsidRPr="00CC553B" w:rsidRDefault="002E3AE7" w:rsidP="003E0A02">
            <w:pPr>
              <w:jc w:val="center"/>
              <w:rPr>
                <w:b/>
                <w:bCs/>
                <w:sz w:val="16"/>
                <w:szCs w:val="16"/>
              </w:rPr>
            </w:pPr>
            <w:r w:rsidRPr="00CC553B">
              <w:rPr>
                <w:b/>
                <w:bCs/>
                <w:color w:val="00B050"/>
                <w:sz w:val="16"/>
                <w:szCs w:val="16"/>
              </w:rPr>
              <w:t>Avanza</w:t>
            </w:r>
          </w:p>
          <w:p w:rsidR="002E3AE7" w:rsidRPr="00CC553B" w:rsidRDefault="002E3AE7" w:rsidP="003E0A02">
            <w:pPr>
              <w:jc w:val="center"/>
              <w:rPr>
                <w:sz w:val="16"/>
                <w:szCs w:val="16"/>
              </w:rPr>
            </w:pPr>
          </w:p>
        </w:tc>
      </w:tr>
    </w:tbl>
    <w:p w:rsidR="002E3AE7" w:rsidRPr="00CC553B" w:rsidRDefault="002E3AE7" w:rsidP="003E0A02">
      <w:pPr>
        <w:rPr>
          <w:sz w:val="20"/>
        </w:rPr>
      </w:pPr>
    </w:p>
    <w:p w:rsidR="002E3AE7" w:rsidRPr="00CC553B" w:rsidRDefault="002E3AE7">
      <w:pPr>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072"/>
      </w:tblGrid>
      <w:tr w:rsidR="002E3AE7" w:rsidRPr="00CC553B" w:rsidTr="003E0A02">
        <w:trPr>
          <w:trHeight w:val="423"/>
        </w:trPr>
        <w:tc>
          <w:tcPr>
            <w:tcW w:w="9072" w:type="dxa"/>
            <w:shd w:val="clear" w:color="auto" w:fill="C6D9F1" w:themeFill="text2" w:themeFillTint="33"/>
            <w:vAlign w:val="center"/>
          </w:tcPr>
          <w:p w:rsidR="002E3AE7" w:rsidRPr="00CC553B" w:rsidRDefault="002E3AE7" w:rsidP="003E0A02">
            <w:pPr>
              <w:keepNext/>
              <w:keepLines/>
              <w:jc w:val="center"/>
              <w:rPr>
                <w:b/>
                <w:sz w:val="20"/>
              </w:rPr>
            </w:pPr>
            <w:r w:rsidRPr="00CC553B">
              <w:rPr>
                <w:b/>
                <w:sz w:val="20"/>
              </w:rPr>
              <w:lastRenderedPageBreak/>
              <w:t>Utilización de los recursos del programa 26</w:t>
            </w:r>
          </w:p>
        </w:tc>
      </w:tr>
    </w:tbl>
    <w:p w:rsidR="002E3AE7" w:rsidRPr="00CC553B" w:rsidRDefault="002E3AE7" w:rsidP="003E0A02">
      <w:pPr>
        <w:rPr>
          <w:sz w:val="20"/>
        </w:rPr>
      </w:pPr>
    </w:p>
    <w:p w:rsidR="002E3AE7" w:rsidRPr="00CC553B" w:rsidRDefault="002E3AE7" w:rsidP="003E0A02">
      <w:pPr>
        <w:keepNext/>
        <w:keepLines/>
        <w:jc w:val="center"/>
        <w:rPr>
          <w:sz w:val="18"/>
          <w:szCs w:val="18"/>
        </w:rPr>
      </w:pPr>
      <w:r w:rsidRPr="00CC553B">
        <w:rPr>
          <w:sz w:val="18"/>
          <w:szCs w:val="18"/>
        </w:rPr>
        <w:t>Presupuesto y gastos reales (por resultado)</w:t>
      </w:r>
    </w:p>
    <w:p w:rsidR="002E3AE7" w:rsidRPr="00CC553B" w:rsidRDefault="002E3AE7" w:rsidP="003E0A02">
      <w:pPr>
        <w:keepNext/>
        <w:keepLines/>
        <w:jc w:val="center"/>
        <w:rPr>
          <w:i/>
          <w:iCs/>
          <w:sz w:val="16"/>
          <w:szCs w:val="16"/>
        </w:rPr>
      </w:pPr>
      <w:r w:rsidRPr="00CC553B">
        <w:rPr>
          <w:i/>
          <w:iCs/>
          <w:sz w:val="16"/>
          <w:szCs w:val="16"/>
        </w:rPr>
        <w:t>(en miles de francos suizos)</w:t>
      </w:r>
    </w:p>
    <w:p w:rsidR="002E3AE7" w:rsidRPr="00CC553B" w:rsidRDefault="002E3AE7" w:rsidP="003E0A02">
      <w:pPr>
        <w:rPr>
          <w:sz w:val="20"/>
        </w:rPr>
      </w:pPr>
    </w:p>
    <w:tbl>
      <w:tblPr>
        <w:tblW w:w="8222" w:type="dxa"/>
        <w:jc w:val="center"/>
        <w:tblLayout w:type="fixed"/>
        <w:tblLook w:val="04A0" w:firstRow="1" w:lastRow="0" w:firstColumn="1" w:lastColumn="0" w:noHBand="0" w:noVBand="1"/>
      </w:tblPr>
      <w:tblGrid>
        <w:gridCol w:w="507"/>
        <w:gridCol w:w="4172"/>
        <w:gridCol w:w="1215"/>
        <w:gridCol w:w="1195"/>
        <w:gridCol w:w="1133"/>
      </w:tblGrid>
      <w:tr w:rsidR="002E3AE7" w:rsidRPr="00CC553B" w:rsidTr="003E0A02">
        <w:trPr>
          <w:trHeight w:val="825"/>
          <w:jc w:val="center"/>
        </w:trPr>
        <w:tc>
          <w:tcPr>
            <w:tcW w:w="4679" w:type="dxa"/>
            <w:gridSpan w:val="2"/>
            <w:tcBorders>
              <w:top w:val="nil"/>
              <w:left w:val="nil"/>
              <w:bottom w:val="nil"/>
              <w:right w:val="nil"/>
            </w:tcBorders>
            <w:shd w:val="clear" w:color="000000" w:fill="C5D9F1"/>
            <w:noWrap/>
            <w:vAlign w:val="center"/>
            <w:hideMark/>
          </w:tcPr>
          <w:p w:rsidR="002E3AE7" w:rsidRPr="00CC553B" w:rsidRDefault="002E3AE7" w:rsidP="003E0A02">
            <w:pPr>
              <w:jc w:val="center"/>
              <w:rPr>
                <w:b/>
                <w:bCs/>
                <w:sz w:val="16"/>
                <w:szCs w:val="16"/>
              </w:rPr>
            </w:pPr>
            <w:r w:rsidRPr="00CC553B">
              <w:rPr>
                <w:b/>
                <w:bCs/>
                <w:sz w:val="16"/>
                <w:szCs w:val="16"/>
              </w:rPr>
              <w:t xml:space="preserve">Número del resultado previsto y descripción </w:t>
            </w:r>
          </w:p>
        </w:tc>
        <w:tc>
          <w:tcPr>
            <w:tcW w:w="1215"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 xml:space="preserve"> Presupuesto aprobado de 2016/17 </w:t>
            </w:r>
          </w:p>
        </w:tc>
        <w:tc>
          <w:tcPr>
            <w:tcW w:w="1195" w:type="dxa"/>
            <w:tcBorders>
              <w:top w:val="nil"/>
              <w:left w:val="nil"/>
              <w:bottom w:val="nil"/>
              <w:right w:val="nil"/>
            </w:tcBorders>
            <w:shd w:val="clear" w:color="000000" w:fill="C5D9F1"/>
            <w:vAlign w:val="center"/>
            <w:hideMark/>
          </w:tcPr>
          <w:p w:rsidR="002E3AE7" w:rsidRPr="00CC553B" w:rsidRDefault="002E3AE7" w:rsidP="003E0A02">
            <w:pPr>
              <w:ind w:left="-57" w:right="-70"/>
              <w:jc w:val="center"/>
              <w:rPr>
                <w:b/>
                <w:bCs/>
                <w:sz w:val="16"/>
                <w:szCs w:val="16"/>
              </w:rPr>
            </w:pPr>
            <w:r w:rsidRPr="00CC553B">
              <w:rPr>
                <w:b/>
                <w:bCs/>
                <w:sz w:val="16"/>
                <w:szCs w:val="16"/>
              </w:rPr>
              <w:t xml:space="preserve">Presupuesto de 2016/17 tras las transferencias </w:t>
            </w:r>
          </w:p>
        </w:tc>
        <w:tc>
          <w:tcPr>
            <w:tcW w:w="1133"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 xml:space="preserve"> Gastos en 2016* </w:t>
            </w:r>
          </w:p>
        </w:tc>
      </w:tr>
      <w:tr w:rsidR="002E3AE7" w:rsidRPr="00CC553B" w:rsidTr="003E0A02">
        <w:trPr>
          <w:trHeight w:val="819"/>
          <w:jc w:val="center"/>
        </w:trPr>
        <w:tc>
          <w:tcPr>
            <w:tcW w:w="507" w:type="dxa"/>
            <w:tcBorders>
              <w:top w:val="nil"/>
              <w:left w:val="nil"/>
              <w:bottom w:val="nil"/>
              <w:right w:val="nil"/>
            </w:tcBorders>
            <w:shd w:val="clear" w:color="auto" w:fill="auto"/>
            <w:noWrap/>
            <w:vAlign w:val="center"/>
            <w:hideMark/>
          </w:tcPr>
          <w:p w:rsidR="002E3AE7" w:rsidRPr="00CC553B" w:rsidRDefault="002E3AE7" w:rsidP="003E0A02">
            <w:pPr>
              <w:rPr>
                <w:sz w:val="16"/>
                <w:szCs w:val="16"/>
              </w:rPr>
            </w:pPr>
            <w:r w:rsidRPr="00CC553B">
              <w:rPr>
                <w:sz w:val="16"/>
                <w:szCs w:val="16"/>
              </w:rPr>
              <w:t>IX.8</w:t>
            </w:r>
          </w:p>
        </w:tc>
        <w:tc>
          <w:tcPr>
            <w:tcW w:w="4172" w:type="dxa"/>
            <w:tcBorders>
              <w:top w:val="nil"/>
              <w:left w:val="nil"/>
              <w:bottom w:val="nil"/>
              <w:right w:val="nil"/>
            </w:tcBorders>
            <w:shd w:val="clear" w:color="auto" w:fill="auto"/>
            <w:vAlign w:val="center"/>
            <w:hideMark/>
          </w:tcPr>
          <w:p w:rsidR="002E3AE7" w:rsidRPr="00CC553B" w:rsidRDefault="002E3AE7" w:rsidP="003E0A02">
            <w:pPr>
              <w:rPr>
                <w:sz w:val="16"/>
                <w:szCs w:val="16"/>
              </w:rPr>
            </w:pPr>
            <w:r w:rsidRPr="00CC553B">
              <w:rPr>
                <w:sz w:val="16"/>
                <w:szCs w:val="16"/>
              </w:rPr>
              <w:t>Mejor rendición de cuentas, aprendizaje institucional, uso óptimo de los recursos, administración, control interno y buen gobierno gracias a la ayuda que proporciona una supervisión eficaz e independiente</w:t>
            </w:r>
          </w:p>
        </w:tc>
        <w:tc>
          <w:tcPr>
            <w:tcW w:w="1215" w:type="dxa"/>
            <w:tcBorders>
              <w:top w:val="nil"/>
              <w:left w:val="nil"/>
              <w:bottom w:val="nil"/>
              <w:right w:val="nil"/>
            </w:tcBorders>
            <w:shd w:val="clear" w:color="auto" w:fill="auto"/>
            <w:noWrap/>
            <w:vAlign w:val="center"/>
            <w:hideMark/>
          </w:tcPr>
          <w:p w:rsidR="002E3AE7" w:rsidRPr="00CC553B" w:rsidRDefault="002E3AE7" w:rsidP="003E0A02">
            <w:pPr>
              <w:jc w:val="center"/>
              <w:rPr>
                <w:sz w:val="16"/>
                <w:szCs w:val="16"/>
              </w:rPr>
            </w:pPr>
            <w:r w:rsidRPr="00CC553B">
              <w:rPr>
                <w:sz w:val="16"/>
                <w:szCs w:val="16"/>
              </w:rPr>
              <w:t>5.358</w:t>
            </w:r>
          </w:p>
        </w:tc>
        <w:tc>
          <w:tcPr>
            <w:tcW w:w="1195" w:type="dxa"/>
            <w:tcBorders>
              <w:top w:val="nil"/>
              <w:left w:val="nil"/>
              <w:bottom w:val="nil"/>
              <w:right w:val="nil"/>
            </w:tcBorders>
            <w:shd w:val="clear" w:color="auto" w:fill="auto"/>
            <w:noWrap/>
            <w:vAlign w:val="center"/>
            <w:hideMark/>
          </w:tcPr>
          <w:p w:rsidR="002E3AE7" w:rsidRPr="00CC553B" w:rsidRDefault="002E3AE7" w:rsidP="003E0A02">
            <w:pPr>
              <w:jc w:val="center"/>
              <w:rPr>
                <w:sz w:val="16"/>
                <w:szCs w:val="16"/>
              </w:rPr>
            </w:pPr>
            <w:r w:rsidRPr="00CC553B">
              <w:rPr>
                <w:sz w:val="16"/>
                <w:szCs w:val="16"/>
              </w:rPr>
              <w:t>5.450</w:t>
            </w:r>
          </w:p>
        </w:tc>
        <w:tc>
          <w:tcPr>
            <w:tcW w:w="1133" w:type="dxa"/>
            <w:tcBorders>
              <w:top w:val="nil"/>
              <w:left w:val="nil"/>
              <w:bottom w:val="nil"/>
              <w:right w:val="nil"/>
            </w:tcBorders>
            <w:shd w:val="clear" w:color="auto" w:fill="auto"/>
            <w:noWrap/>
            <w:vAlign w:val="center"/>
            <w:hideMark/>
          </w:tcPr>
          <w:p w:rsidR="002E3AE7" w:rsidRPr="00CC553B" w:rsidRDefault="002E3AE7" w:rsidP="003E0A02">
            <w:pPr>
              <w:jc w:val="center"/>
              <w:rPr>
                <w:sz w:val="16"/>
                <w:szCs w:val="16"/>
              </w:rPr>
            </w:pPr>
            <w:r w:rsidRPr="00CC553B">
              <w:rPr>
                <w:sz w:val="16"/>
                <w:szCs w:val="16"/>
              </w:rPr>
              <w:t>2.049</w:t>
            </w:r>
          </w:p>
        </w:tc>
      </w:tr>
      <w:tr w:rsidR="002E3AE7" w:rsidRPr="00CC553B" w:rsidTr="003E0A02">
        <w:trPr>
          <w:trHeight w:val="225"/>
          <w:jc w:val="center"/>
        </w:trPr>
        <w:tc>
          <w:tcPr>
            <w:tcW w:w="507" w:type="dxa"/>
            <w:tcBorders>
              <w:top w:val="nil"/>
              <w:left w:val="nil"/>
              <w:bottom w:val="nil"/>
              <w:right w:val="nil"/>
            </w:tcBorders>
            <w:shd w:val="clear" w:color="000000" w:fill="C5D9F1"/>
            <w:noWrap/>
            <w:vAlign w:val="bottom"/>
            <w:hideMark/>
          </w:tcPr>
          <w:p w:rsidR="002E3AE7" w:rsidRPr="00CC553B" w:rsidRDefault="002E3AE7" w:rsidP="003E0A02">
            <w:pPr>
              <w:rPr>
                <w:sz w:val="16"/>
                <w:szCs w:val="16"/>
              </w:rPr>
            </w:pPr>
            <w:r w:rsidRPr="00CC553B">
              <w:rPr>
                <w:sz w:val="16"/>
                <w:szCs w:val="16"/>
              </w:rPr>
              <w:t> </w:t>
            </w:r>
          </w:p>
        </w:tc>
        <w:tc>
          <w:tcPr>
            <w:tcW w:w="4172" w:type="dxa"/>
            <w:tcBorders>
              <w:top w:val="nil"/>
              <w:left w:val="nil"/>
              <w:bottom w:val="nil"/>
              <w:right w:val="nil"/>
            </w:tcBorders>
            <w:shd w:val="clear" w:color="000000" w:fill="C5D9F1"/>
            <w:noWrap/>
            <w:vAlign w:val="bottom"/>
            <w:hideMark/>
          </w:tcPr>
          <w:p w:rsidR="002E3AE7" w:rsidRPr="00CC553B" w:rsidRDefault="002E3AE7" w:rsidP="003E0A02">
            <w:pPr>
              <w:jc w:val="right"/>
              <w:rPr>
                <w:b/>
                <w:bCs/>
                <w:sz w:val="16"/>
                <w:szCs w:val="16"/>
              </w:rPr>
            </w:pPr>
            <w:r w:rsidRPr="00CC553B">
              <w:rPr>
                <w:b/>
                <w:bCs/>
                <w:sz w:val="16"/>
                <w:szCs w:val="16"/>
              </w:rPr>
              <w:t>Total</w:t>
            </w:r>
          </w:p>
        </w:tc>
        <w:tc>
          <w:tcPr>
            <w:tcW w:w="1215" w:type="dxa"/>
            <w:tcBorders>
              <w:top w:val="nil"/>
              <w:left w:val="nil"/>
              <w:bottom w:val="nil"/>
              <w:right w:val="nil"/>
            </w:tcBorders>
            <w:shd w:val="clear" w:color="000000" w:fill="C5D9F1"/>
            <w:noWrap/>
            <w:vAlign w:val="center"/>
            <w:hideMark/>
          </w:tcPr>
          <w:p w:rsidR="002E3AE7" w:rsidRPr="00CC553B" w:rsidRDefault="002E3AE7" w:rsidP="003E0A02">
            <w:pPr>
              <w:jc w:val="center"/>
              <w:rPr>
                <w:sz w:val="16"/>
                <w:szCs w:val="16"/>
              </w:rPr>
            </w:pPr>
            <w:r w:rsidRPr="00CC553B">
              <w:rPr>
                <w:sz w:val="16"/>
                <w:szCs w:val="16"/>
              </w:rPr>
              <w:t>5.358</w:t>
            </w:r>
          </w:p>
        </w:tc>
        <w:tc>
          <w:tcPr>
            <w:tcW w:w="1195" w:type="dxa"/>
            <w:tcBorders>
              <w:top w:val="nil"/>
              <w:left w:val="nil"/>
              <w:bottom w:val="nil"/>
              <w:right w:val="nil"/>
            </w:tcBorders>
            <w:shd w:val="clear" w:color="000000" w:fill="C5D9F1"/>
            <w:noWrap/>
            <w:vAlign w:val="center"/>
            <w:hideMark/>
          </w:tcPr>
          <w:p w:rsidR="002E3AE7" w:rsidRPr="00CC553B" w:rsidRDefault="002E3AE7" w:rsidP="003E0A02">
            <w:pPr>
              <w:jc w:val="center"/>
              <w:rPr>
                <w:sz w:val="16"/>
                <w:szCs w:val="16"/>
              </w:rPr>
            </w:pPr>
            <w:r w:rsidRPr="00CC553B">
              <w:rPr>
                <w:sz w:val="16"/>
                <w:szCs w:val="16"/>
              </w:rPr>
              <w:t>5.450</w:t>
            </w:r>
          </w:p>
        </w:tc>
        <w:tc>
          <w:tcPr>
            <w:tcW w:w="1133" w:type="dxa"/>
            <w:tcBorders>
              <w:top w:val="nil"/>
              <w:left w:val="nil"/>
              <w:bottom w:val="nil"/>
              <w:right w:val="nil"/>
            </w:tcBorders>
            <w:shd w:val="clear" w:color="000000" w:fill="C5D9F1"/>
            <w:noWrap/>
            <w:vAlign w:val="center"/>
            <w:hideMark/>
          </w:tcPr>
          <w:p w:rsidR="002E3AE7" w:rsidRPr="00CC553B" w:rsidRDefault="002E3AE7" w:rsidP="003E0A02">
            <w:pPr>
              <w:jc w:val="center"/>
              <w:rPr>
                <w:sz w:val="16"/>
                <w:szCs w:val="16"/>
              </w:rPr>
            </w:pPr>
            <w:r w:rsidRPr="00CC553B">
              <w:rPr>
                <w:sz w:val="16"/>
                <w:szCs w:val="16"/>
              </w:rPr>
              <w:t>2.049</w:t>
            </w:r>
          </w:p>
        </w:tc>
      </w:tr>
      <w:tr w:rsidR="002E3AE7" w:rsidRPr="00CC553B" w:rsidTr="003E0A02">
        <w:trPr>
          <w:trHeight w:val="330"/>
          <w:jc w:val="center"/>
        </w:trPr>
        <w:tc>
          <w:tcPr>
            <w:tcW w:w="7089" w:type="dxa"/>
            <w:gridSpan w:val="4"/>
            <w:tcBorders>
              <w:top w:val="nil"/>
              <w:left w:val="nil"/>
              <w:bottom w:val="nil"/>
              <w:right w:val="nil"/>
            </w:tcBorders>
            <w:shd w:val="clear" w:color="auto" w:fill="auto"/>
            <w:noWrap/>
            <w:vAlign w:val="center"/>
            <w:hideMark/>
          </w:tcPr>
          <w:p w:rsidR="002E3AE7" w:rsidRPr="00CC553B" w:rsidRDefault="002E3AE7" w:rsidP="003E0A02">
            <w:pPr>
              <w:rPr>
                <w:i/>
                <w:iCs/>
                <w:sz w:val="16"/>
                <w:szCs w:val="16"/>
              </w:rPr>
            </w:pPr>
            <w:r w:rsidRPr="00CC553B">
              <w:rPr>
                <w:i/>
                <w:iCs/>
                <w:sz w:val="16"/>
                <w:szCs w:val="16"/>
              </w:rPr>
              <w:t>*Las cifras de gastos en 2016 son preliminares, a reserva de verificación por el Auditor Externo.</w:t>
            </w:r>
          </w:p>
        </w:tc>
        <w:tc>
          <w:tcPr>
            <w:tcW w:w="1133" w:type="dxa"/>
            <w:tcBorders>
              <w:top w:val="nil"/>
              <w:left w:val="nil"/>
              <w:bottom w:val="nil"/>
              <w:right w:val="nil"/>
            </w:tcBorders>
            <w:shd w:val="clear" w:color="auto" w:fill="auto"/>
            <w:noWrap/>
            <w:vAlign w:val="center"/>
            <w:hideMark/>
          </w:tcPr>
          <w:p w:rsidR="002E3AE7" w:rsidRPr="00CC553B" w:rsidRDefault="002E3AE7" w:rsidP="003E0A02">
            <w:pPr>
              <w:rPr>
                <w:sz w:val="16"/>
                <w:szCs w:val="16"/>
              </w:rPr>
            </w:pPr>
          </w:p>
        </w:tc>
      </w:tr>
    </w:tbl>
    <w:p w:rsidR="002E3AE7" w:rsidRPr="00CC553B" w:rsidRDefault="002E3AE7" w:rsidP="003E0A02">
      <w:pPr>
        <w:keepNext/>
        <w:keepLines/>
        <w:jc w:val="center"/>
        <w:rPr>
          <w:sz w:val="18"/>
          <w:szCs w:val="18"/>
        </w:rPr>
      </w:pPr>
    </w:p>
    <w:p w:rsidR="002E3AE7" w:rsidRPr="00CC553B" w:rsidRDefault="002E3AE7" w:rsidP="003E0A02">
      <w:pPr>
        <w:keepNext/>
        <w:keepLines/>
        <w:jc w:val="center"/>
        <w:rPr>
          <w:sz w:val="18"/>
          <w:szCs w:val="18"/>
        </w:rPr>
      </w:pPr>
      <w:r w:rsidRPr="00CC553B">
        <w:rPr>
          <w:sz w:val="18"/>
          <w:szCs w:val="18"/>
        </w:rPr>
        <w:t xml:space="preserve">Presupuesto y gastos reales (de personal y no relativos a personal) </w:t>
      </w:r>
    </w:p>
    <w:p w:rsidR="002E3AE7" w:rsidRPr="00CC553B" w:rsidRDefault="002E3AE7" w:rsidP="003E0A02">
      <w:pPr>
        <w:keepNext/>
        <w:keepLines/>
        <w:jc w:val="center"/>
        <w:rPr>
          <w:i/>
          <w:iCs/>
          <w:sz w:val="16"/>
          <w:szCs w:val="16"/>
        </w:rPr>
      </w:pPr>
      <w:r w:rsidRPr="00CC553B">
        <w:rPr>
          <w:i/>
          <w:iCs/>
          <w:sz w:val="16"/>
          <w:szCs w:val="16"/>
        </w:rPr>
        <w:t>(en miles de francos suizos)</w:t>
      </w:r>
    </w:p>
    <w:p w:rsidR="002E3AE7" w:rsidRPr="00CC553B" w:rsidRDefault="002E3AE7" w:rsidP="003E0A02">
      <w:pPr>
        <w:keepNext/>
        <w:keepLines/>
        <w:jc w:val="cente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2E3AE7" w:rsidRPr="00CC553B"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CC553B" w:rsidRDefault="002E3AE7" w:rsidP="003E0A02">
            <w:pPr>
              <w:rPr>
                <w:sz w:val="16"/>
                <w:szCs w:val="16"/>
              </w:rPr>
            </w:pPr>
            <w:r w:rsidRPr="00CC553B">
              <w:rPr>
                <w:sz w:val="16"/>
                <w:szCs w:val="16"/>
              </w:rPr>
              <w:t> </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Gastos en 2016*</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Índice de utilización (%)</w:t>
            </w:r>
          </w:p>
        </w:tc>
      </w:tr>
      <w:tr w:rsidR="002E3AE7" w:rsidRPr="00CC553B"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CC553B" w:rsidRDefault="002E3AE7" w:rsidP="003E0A02">
            <w:pPr>
              <w:rPr>
                <w:sz w:val="16"/>
                <w:szCs w:val="16"/>
              </w:rPr>
            </w:pPr>
            <w:r w:rsidRPr="00CC553B">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 xml:space="preserve">4.658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 xml:space="preserve">4.790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 xml:space="preserve">1.847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39%</w:t>
            </w:r>
          </w:p>
        </w:tc>
      </w:tr>
      <w:tr w:rsidR="002E3AE7" w:rsidRPr="00CC553B"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CC553B" w:rsidRDefault="002E3AE7" w:rsidP="003E0A02">
            <w:pPr>
              <w:rPr>
                <w:sz w:val="16"/>
                <w:szCs w:val="16"/>
              </w:rPr>
            </w:pPr>
            <w:r w:rsidRPr="00CC553B">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 xml:space="preserve">700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 xml:space="preserve">659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 xml:space="preserve">202 </w:t>
            </w:r>
          </w:p>
        </w:tc>
        <w:tc>
          <w:tcPr>
            <w:tcW w:w="1420" w:type="dxa"/>
            <w:tcBorders>
              <w:top w:val="nil"/>
              <w:left w:val="nil"/>
              <w:bottom w:val="nil"/>
              <w:right w:val="nil"/>
            </w:tcBorders>
            <w:shd w:val="clear" w:color="auto" w:fill="auto"/>
            <w:vAlign w:val="center"/>
            <w:hideMark/>
          </w:tcPr>
          <w:p w:rsidR="002E3AE7" w:rsidRPr="00CC553B" w:rsidRDefault="002E3AE7" w:rsidP="003E0A02">
            <w:pPr>
              <w:jc w:val="center"/>
              <w:rPr>
                <w:sz w:val="16"/>
                <w:szCs w:val="16"/>
              </w:rPr>
            </w:pPr>
            <w:r w:rsidRPr="00CC553B">
              <w:rPr>
                <w:sz w:val="16"/>
                <w:szCs w:val="16"/>
              </w:rPr>
              <w:t>31%</w:t>
            </w:r>
          </w:p>
        </w:tc>
      </w:tr>
      <w:tr w:rsidR="002E3AE7" w:rsidRPr="00CC553B"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CC553B" w:rsidRDefault="002E3AE7" w:rsidP="003E0A02">
            <w:pPr>
              <w:jc w:val="right"/>
              <w:rPr>
                <w:b/>
                <w:bCs/>
                <w:sz w:val="16"/>
                <w:szCs w:val="16"/>
              </w:rPr>
            </w:pPr>
            <w:r w:rsidRPr="00CC553B">
              <w:rPr>
                <w:b/>
                <w:bCs/>
                <w:sz w:val="16"/>
                <w:szCs w:val="16"/>
              </w:rPr>
              <w:t xml:space="preserve"> Total </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 xml:space="preserve">5.358 </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 xml:space="preserve">5.450 </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 xml:space="preserve">2.049 </w:t>
            </w:r>
          </w:p>
        </w:tc>
        <w:tc>
          <w:tcPr>
            <w:tcW w:w="1420" w:type="dxa"/>
            <w:tcBorders>
              <w:top w:val="nil"/>
              <w:left w:val="nil"/>
              <w:bottom w:val="nil"/>
              <w:right w:val="nil"/>
            </w:tcBorders>
            <w:shd w:val="clear" w:color="000000" w:fill="C5D9F1"/>
            <w:vAlign w:val="center"/>
            <w:hideMark/>
          </w:tcPr>
          <w:p w:rsidR="002E3AE7" w:rsidRPr="00CC553B" w:rsidRDefault="002E3AE7" w:rsidP="003E0A02">
            <w:pPr>
              <w:jc w:val="center"/>
              <w:rPr>
                <w:b/>
                <w:bCs/>
                <w:sz w:val="16"/>
                <w:szCs w:val="16"/>
              </w:rPr>
            </w:pPr>
            <w:r w:rsidRPr="00CC553B">
              <w:rPr>
                <w:b/>
                <w:bCs/>
                <w:sz w:val="16"/>
                <w:szCs w:val="16"/>
              </w:rPr>
              <w:t>38%</w:t>
            </w:r>
          </w:p>
        </w:tc>
      </w:tr>
      <w:tr w:rsidR="002E3AE7" w:rsidRPr="00CC553B"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CC553B" w:rsidRDefault="002E3AE7" w:rsidP="003E0A02">
            <w:pPr>
              <w:rPr>
                <w:i/>
                <w:iCs/>
                <w:sz w:val="16"/>
                <w:szCs w:val="16"/>
              </w:rPr>
            </w:pPr>
            <w:r w:rsidRPr="00CC553B">
              <w:rPr>
                <w:i/>
                <w:iCs/>
                <w:sz w:val="16"/>
                <w:szCs w:val="16"/>
              </w:rPr>
              <w:t xml:space="preserve"> *Las cifras de gastos en 2016 son preliminares, a reserva de verificación por el Auditor Externo.</w:t>
            </w:r>
          </w:p>
        </w:tc>
      </w:tr>
    </w:tbl>
    <w:p w:rsidR="002E3AE7" w:rsidRPr="00CC553B" w:rsidRDefault="002E3AE7" w:rsidP="003E0A02">
      <w:pPr>
        <w:rPr>
          <w:sz w:val="20"/>
        </w:rPr>
      </w:pPr>
    </w:p>
    <w:p w:rsidR="002E3AE7" w:rsidRPr="00CC553B" w:rsidRDefault="002E3AE7" w:rsidP="003E0A02">
      <w:pPr>
        <w:keepNext/>
        <w:keepLines/>
        <w:ind w:left="567" w:right="282"/>
        <w:rPr>
          <w:i/>
          <w:sz w:val="16"/>
          <w:szCs w:val="16"/>
        </w:rPr>
      </w:pPr>
      <w:r w:rsidRPr="00CC553B">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CC553B" w:rsidRDefault="002E3AE7" w:rsidP="003E0A02">
      <w:pPr>
        <w:rPr>
          <w:sz w:val="20"/>
        </w:rPr>
      </w:pPr>
    </w:p>
    <w:p w:rsidR="002E3AE7" w:rsidRPr="00CC553B" w:rsidRDefault="002E3AE7" w:rsidP="003E0A02">
      <w:pPr>
        <w:jc w:val="both"/>
        <w:rPr>
          <w:sz w:val="20"/>
        </w:rPr>
      </w:pPr>
    </w:p>
    <w:p w:rsidR="002E3AE7" w:rsidRPr="00CC553B" w:rsidRDefault="002E3AE7" w:rsidP="003E0A02">
      <w:pPr>
        <w:jc w:val="both"/>
        <w:rPr>
          <w:sz w:val="20"/>
          <w:u w:val="single"/>
        </w:rPr>
      </w:pPr>
      <w:r w:rsidRPr="00CC553B">
        <w:rPr>
          <w:sz w:val="20"/>
        </w:rPr>
        <w:t>A.</w:t>
      </w:r>
      <w:r w:rsidRPr="00CC553B">
        <w:rPr>
          <w:sz w:val="20"/>
        </w:rPr>
        <w:tab/>
      </w:r>
      <w:r w:rsidRPr="00CC553B">
        <w:rPr>
          <w:sz w:val="20"/>
          <w:u w:val="single"/>
        </w:rPr>
        <w:t>Presupuesto de 2016/17 tras las transferencias</w:t>
      </w:r>
    </w:p>
    <w:p w:rsidR="002E3AE7" w:rsidRPr="00CC553B" w:rsidRDefault="002E3AE7" w:rsidP="003E0A02">
      <w:pPr>
        <w:jc w:val="both"/>
        <w:rPr>
          <w:sz w:val="20"/>
        </w:rPr>
      </w:pPr>
    </w:p>
    <w:p w:rsidR="002E3AE7" w:rsidRPr="00CC553B" w:rsidRDefault="002E3AE7" w:rsidP="002E3AE7">
      <w:pPr>
        <w:pStyle w:val="ListParagraph"/>
        <w:keepNext/>
        <w:keepLines/>
        <w:numPr>
          <w:ilvl w:val="0"/>
          <w:numId w:val="100"/>
        </w:numPr>
        <w:tabs>
          <w:tab w:val="left" w:pos="0"/>
          <w:tab w:val="left" w:pos="709"/>
        </w:tabs>
        <w:autoSpaceDE w:val="0"/>
        <w:autoSpaceDN w:val="0"/>
        <w:ind w:left="0" w:firstLine="0"/>
        <w:contextualSpacing/>
        <w:jc w:val="both"/>
        <w:rPr>
          <w:rFonts w:cs="Arial"/>
          <w:lang w:val="es-ES" w:eastAsia="ko-KR"/>
        </w:rPr>
      </w:pPr>
      <w:r w:rsidRPr="00CC553B">
        <w:rPr>
          <w:rFonts w:cs="Arial"/>
          <w:lang w:val="es-ES" w:eastAsia="zh-CN"/>
        </w:rPr>
        <w:t>El aumento general en el presupuesto de 2016/17 tras las transferencias en comparación con el presupuesto aprobado de 2016/17 se debió principalmente al aumento de los recursos de personal asignados al programa a fin de cubrir la necesidad de un investigador con contrato temporal para mejorar la calidad y puntualidad de la labor realizada por la sección de investigación de la DSI.  La ligera disminución en los recursos no relativos a personal se debió a la transferencia de recursos para pasantías al programa 23 (Gestión y desarrollo de los recursos humanos), que lleva la gestión centralizada de las pasantías.</w:t>
      </w:r>
      <w:r w:rsidRPr="00CC553B">
        <w:rPr>
          <w:rFonts w:cs="Arial"/>
          <w:lang w:val="es-ES" w:eastAsia="ko-KR"/>
        </w:rPr>
        <w:t xml:space="preserve">  </w:t>
      </w:r>
    </w:p>
    <w:p w:rsidR="002E3AE7" w:rsidRPr="00CC553B" w:rsidRDefault="002E3AE7" w:rsidP="003E0A02">
      <w:pPr>
        <w:jc w:val="both"/>
        <w:rPr>
          <w:sz w:val="20"/>
        </w:rPr>
      </w:pPr>
    </w:p>
    <w:p w:rsidR="002E3AE7" w:rsidRPr="00CC553B" w:rsidRDefault="002E3AE7" w:rsidP="003E0A02">
      <w:pPr>
        <w:jc w:val="both"/>
        <w:rPr>
          <w:sz w:val="20"/>
          <w:u w:val="single"/>
        </w:rPr>
      </w:pPr>
      <w:r w:rsidRPr="00CC553B">
        <w:rPr>
          <w:sz w:val="20"/>
        </w:rPr>
        <w:t>B.</w:t>
      </w:r>
      <w:r w:rsidRPr="00CC553B">
        <w:rPr>
          <w:sz w:val="20"/>
        </w:rPr>
        <w:tab/>
      </w:r>
      <w:r w:rsidRPr="00CC553B">
        <w:rPr>
          <w:sz w:val="20"/>
          <w:u w:val="single"/>
        </w:rPr>
        <w:t>Utilización del presupuesto en 2016/17</w:t>
      </w:r>
    </w:p>
    <w:p w:rsidR="002E3AE7" w:rsidRPr="00CC553B" w:rsidRDefault="002E3AE7" w:rsidP="003E0A02">
      <w:pPr>
        <w:jc w:val="both"/>
        <w:rPr>
          <w:sz w:val="20"/>
        </w:rPr>
      </w:pPr>
    </w:p>
    <w:p w:rsidR="002E3AE7" w:rsidRPr="00CC553B" w:rsidRDefault="002E3AE7" w:rsidP="002E3AE7">
      <w:pPr>
        <w:pStyle w:val="ListParagraph"/>
        <w:keepNext/>
        <w:keepLines/>
        <w:numPr>
          <w:ilvl w:val="0"/>
          <w:numId w:val="100"/>
        </w:numPr>
        <w:tabs>
          <w:tab w:val="left" w:pos="0"/>
          <w:tab w:val="left" w:pos="709"/>
        </w:tabs>
        <w:autoSpaceDE w:val="0"/>
        <w:autoSpaceDN w:val="0"/>
        <w:ind w:left="0" w:firstLine="0"/>
        <w:contextualSpacing/>
        <w:jc w:val="both"/>
        <w:rPr>
          <w:rFonts w:cs="Arial"/>
          <w:b/>
          <w:u w:val="single"/>
          <w:lang w:val="es-ES" w:eastAsia="zh-CN"/>
        </w:rPr>
      </w:pPr>
      <w:r w:rsidRPr="00CC553B">
        <w:rPr>
          <w:rFonts w:cs="Arial"/>
          <w:lang w:val="es-ES" w:eastAsia="zh-CN"/>
        </w:rPr>
        <w:t xml:space="preserve">La utilización </w:t>
      </w:r>
      <w:r w:rsidR="005355C5">
        <w:rPr>
          <w:rFonts w:cs="Arial"/>
          <w:lang w:val="es-ES" w:eastAsia="zh-CN"/>
        </w:rPr>
        <w:t>d</w:t>
      </w:r>
      <w:r w:rsidRPr="00CC553B">
        <w:rPr>
          <w:rFonts w:cs="Arial"/>
          <w:lang w:val="es-ES" w:eastAsia="zh-CN"/>
        </w:rPr>
        <w:t>el presupuesto de recursos de personal fue inferior a la esperada debido a dos vacantes y a ciertos arreglos de trabajo a tiempo parcial observados durante la mayor parte del año.  Los gastos no relativos a personal también fueron inferiores a lo previsto en auditoría, evaluación y actividades relacionadas con la investigación.</w:t>
      </w:r>
    </w:p>
    <w:p w:rsidR="002E3AE7" w:rsidRPr="00CC553B" w:rsidRDefault="002E3AE7" w:rsidP="003E0A02">
      <w:pPr>
        <w:rPr>
          <w:sz w:val="20"/>
        </w:rPr>
      </w:pPr>
    </w:p>
    <w:p w:rsidR="002E3AE7" w:rsidRPr="00CC553B" w:rsidRDefault="002E3AE7" w:rsidP="003E0A02">
      <w:pPr>
        <w:rPr>
          <w:sz w:val="20"/>
        </w:rPr>
      </w:pPr>
    </w:p>
    <w:p w:rsidR="002E3AE7" w:rsidRPr="00CC553B" w:rsidRDefault="002E3AE7" w:rsidP="003E0A02">
      <w:pPr>
        <w:rPr>
          <w:sz w:val="20"/>
        </w:rPr>
      </w:pPr>
    </w:p>
    <w:p w:rsidR="000377FC" w:rsidRDefault="000377FC">
      <w:pPr>
        <w:rPr>
          <w:b/>
          <w:bCs/>
          <w:iCs/>
          <w:caps/>
          <w:szCs w:val="28"/>
          <w:lang w:val="es-ES_tradnl"/>
        </w:rPr>
      </w:pPr>
      <w:r>
        <w:rPr>
          <w:b/>
          <w:lang w:val="es-ES_tradnl"/>
        </w:rPr>
        <w:br w:type="page"/>
      </w:r>
    </w:p>
    <w:p w:rsidR="002E3AE7" w:rsidRPr="004C3DA6" w:rsidRDefault="002E3AE7" w:rsidP="003E0A02">
      <w:pPr>
        <w:pStyle w:val="Heading2"/>
        <w:tabs>
          <w:tab w:val="left" w:pos="2410"/>
        </w:tabs>
        <w:ind w:right="-1"/>
        <w:jc w:val="both"/>
        <w:rPr>
          <w:b/>
        </w:rPr>
      </w:pPr>
      <w:bookmarkStart w:id="80" w:name="_Toc482711279"/>
      <w:r w:rsidRPr="004C3DA6">
        <w:rPr>
          <w:b/>
          <w:lang w:val="es-ES_tradnl"/>
        </w:rPr>
        <w:lastRenderedPageBreak/>
        <w:t>PROGRAMA 27</w:t>
      </w:r>
      <w:r w:rsidRPr="004C3DA6">
        <w:rPr>
          <w:lang w:val="es-ES_tradnl"/>
        </w:rPr>
        <w:tab/>
      </w:r>
      <w:r w:rsidRPr="004C3DA6">
        <w:rPr>
          <w:b/>
          <w:lang w:val="es-ES_tradnl"/>
        </w:rPr>
        <w:t>SERVICIOS DE CONFERENCIAS Y LINGÜÍSTICOS</w:t>
      </w:r>
      <w:bookmarkEnd w:id="80"/>
    </w:p>
    <w:p w:rsidR="002E3AE7" w:rsidRPr="004C3DA6" w:rsidRDefault="002E3AE7" w:rsidP="003E0A02">
      <w:pPr>
        <w:jc w:val="both"/>
        <w:rPr>
          <w:sz w:val="20"/>
        </w:rPr>
      </w:pPr>
    </w:p>
    <w:p w:rsidR="002E3AE7" w:rsidRPr="004C3DA6" w:rsidRDefault="002E3AE7" w:rsidP="003E0A02">
      <w:pPr>
        <w:tabs>
          <w:tab w:val="left" w:pos="2410"/>
        </w:tabs>
        <w:jc w:val="both"/>
        <w:rPr>
          <w:sz w:val="20"/>
        </w:rPr>
      </w:pPr>
      <w:r w:rsidRPr="004C3DA6">
        <w:rPr>
          <w:b/>
          <w:sz w:val="20"/>
          <w:lang w:val="es-ES_tradnl"/>
        </w:rPr>
        <w:t>Director de programa</w:t>
      </w:r>
      <w:r w:rsidRPr="004C3DA6">
        <w:rPr>
          <w:sz w:val="20"/>
          <w:lang w:val="es-ES_tradnl"/>
        </w:rPr>
        <w:tab/>
      </w:r>
      <w:r w:rsidRPr="004C3DA6">
        <w:rPr>
          <w:b/>
          <w:sz w:val="20"/>
          <w:lang w:val="es-ES_tradnl"/>
        </w:rPr>
        <w:t>Sr. A. Sundaram</w:t>
      </w:r>
    </w:p>
    <w:p w:rsidR="002E3AE7" w:rsidRPr="004C3DA6" w:rsidRDefault="002E3AE7" w:rsidP="003E0A02">
      <w:pPr>
        <w:jc w:val="center"/>
      </w:pPr>
      <w:r w:rsidRPr="004C3DA6">
        <w:rPr>
          <w:noProof/>
          <w:lang w:val="en-US" w:eastAsia="en-US"/>
        </w:rPr>
        <w:drawing>
          <wp:inline distT="0" distB="0" distL="0" distR="0" wp14:anchorId="6ADE5064" wp14:editId="17154DBB">
            <wp:extent cx="4885128" cy="2466812"/>
            <wp:effectExtent l="0" t="0" r="0" b="0"/>
            <wp:docPr id="112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4891301" cy="2469929"/>
                    </a:xfrm>
                    <a:prstGeom prst="rect">
                      <a:avLst/>
                    </a:prstGeom>
                    <a:noFill/>
                    <a:ln>
                      <a:noFill/>
                    </a:ln>
                  </pic:spPr>
                </pic:pic>
              </a:graphicData>
            </a:graphic>
          </wp:inline>
        </w:drawing>
      </w:r>
    </w:p>
    <w:tbl>
      <w:tblPr>
        <w:tblW w:w="4937" w:type="pct"/>
        <w:tblInd w:w="58" w:type="dxa"/>
        <w:tblLayout w:type="fixed"/>
        <w:tblCellMar>
          <w:left w:w="115" w:type="dxa"/>
          <w:right w:w="115" w:type="dxa"/>
        </w:tblCellMar>
        <w:tblLook w:val="0000" w:firstRow="0" w:lastRow="0" w:firstColumn="0" w:lastColumn="0" w:noHBand="0" w:noVBand="0"/>
      </w:tblPr>
      <w:tblGrid>
        <w:gridCol w:w="1943"/>
        <w:gridCol w:w="2299"/>
        <w:gridCol w:w="1375"/>
        <w:gridCol w:w="2525"/>
        <w:gridCol w:w="929"/>
      </w:tblGrid>
      <w:tr w:rsidR="002E3AE7" w:rsidRPr="004C3DA6" w:rsidTr="003E0A02">
        <w:trPr>
          <w:trHeight w:val="565"/>
        </w:trPr>
        <w:tc>
          <w:tcPr>
            <w:tcW w:w="5000" w:type="pct"/>
            <w:gridSpan w:val="5"/>
            <w:shd w:val="clear" w:color="auto" w:fill="C6D9F1" w:themeFill="text2" w:themeFillTint="33"/>
            <w:tcMar>
              <w:left w:w="58" w:type="dxa"/>
              <w:right w:w="58" w:type="dxa"/>
            </w:tcMar>
            <w:vAlign w:val="center"/>
          </w:tcPr>
          <w:p w:rsidR="002E3AE7" w:rsidRPr="004C3DA6" w:rsidRDefault="002E3AE7" w:rsidP="003E0A02">
            <w:pPr>
              <w:tabs>
                <w:tab w:val="left" w:pos="1452"/>
              </w:tabs>
              <w:ind w:left="1701" w:hanging="1701"/>
              <w:rPr>
                <w:b/>
                <w:bCs/>
                <w:sz w:val="16"/>
                <w:szCs w:val="16"/>
              </w:rPr>
            </w:pPr>
            <w:r w:rsidRPr="004C3DA6">
              <w:rPr>
                <w:b/>
                <w:bCs/>
                <w:sz w:val="16"/>
                <w:szCs w:val="16"/>
              </w:rPr>
              <w:t>Resultado previsto:</w:t>
            </w:r>
            <w:r w:rsidRPr="004C3DA6">
              <w:rPr>
                <w:b/>
                <w:bCs/>
                <w:sz w:val="16"/>
                <w:szCs w:val="16"/>
              </w:rPr>
              <w:tab/>
            </w:r>
            <w:r w:rsidRPr="004C3DA6">
              <w:rPr>
                <w:bCs/>
                <w:sz w:val="16"/>
                <w:szCs w:val="16"/>
                <w:lang w:val="es-ES_tradnl"/>
              </w:rPr>
              <w:t>IX.1  Servicios de apoyo eficaces, eficientes, de calidad y orientados al cliente, tanto a los usuarios internos como a las partes interesadas externas</w:t>
            </w:r>
          </w:p>
        </w:tc>
      </w:tr>
      <w:tr w:rsidR="002E3AE7" w:rsidRPr="004C3DA6" w:rsidTr="003E0A02">
        <w:tc>
          <w:tcPr>
            <w:tcW w:w="1071" w:type="pct"/>
            <w:shd w:val="clear" w:color="auto" w:fill="auto"/>
            <w:tcMar>
              <w:left w:w="58" w:type="dxa"/>
              <w:right w:w="58" w:type="dxa"/>
            </w:tcMar>
            <w:vAlign w:val="center"/>
          </w:tcPr>
          <w:p w:rsidR="002E3AE7" w:rsidRPr="004C3DA6" w:rsidRDefault="002E3AE7" w:rsidP="003E0A02">
            <w:pPr>
              <w:rPr>
                <w:b/>
                <w:bCs/>
                <w:sz w:val="16"/>
                <w:szCs w:val="16"/>
              </w:rPr>
            </w:pPr>
            <w:r w:rsidRPr="004C3DA6">
              <w:rPr>
                <w:b/>
                <w:bCs/>
                <w:sz w:val="16"/>
                <w:szCs w:val="16"/>
                <w:lang w:val="es-ES_tradnl"/>
              </w:rPr>
              <w:t>Indicadores de rendimiento</w:t>
            </w:r>
          </w:p>
        </w:tc>
        <w:tc>
          <w:tcPr>
            <w:tcW w:w="1267" w:type="pct"/>
            <w:shd w:val="clear" w:color="auto" w:fill="auto"/>
            <w:tcMar>
              <w:left w:w="58" w:type="dxa"/>
              <w:right w:w="58" w:type="dxa"/>
            </w:tcMar>
            <w:vAlign w:val="center"/>
          </w:tcPr>
          <w:p w:rsidR="002E3AE7" w:rsidRPr="004C3DA6" w:rsidRDefault="002E3AE7" w:rsidP="003E0A02">
            <w:pPr>
              <w:rPr>
                <w:b/>
                <w:bCs/>
                <w:sz w:val="16"/>
                <w:szCs w:val="16"/>
              </w:rPr>
            </w:pPr>
            <w:r w:rsidRPr="004C3DA6">
              <w:rPr>
                <w:b/>
                <w:bCs/>
                <w:sz w:val="16"/>
                <w:szCs w:val="16"/>
                <w:lang w:val="es-ES_tradnl"/>
              </w:rPr>
              <w:t>Referencias de base</w:t>
            </w:r>
          </w:p>
        </w:tc>
        <w:tc>
          <w:tcPr>
            <w:tcW w:w="758" w:type="pct"/>
            <w:shd w:val="clear" w:color="auto" w:fill="auto"/>
            <w:tcMar>
              <w:top w:w="110" w:type="dxa"/>
              <w:left w:w="58" w:type="dxa"/>
              <w:right w:w="58" w:type="dxa"/>
            </w:tcMar>
            <w:vAlign w:val="center"/>
          </w:tcPr>
          <w:p w:rsidR="002E3AE7" w:rsidRPr="004C3DA6" w:rsidRDefault="002E3AE7" w:rsidP="003E0A02">
            <w:pPr>
              <w:tabs>
                <w:tab w:val="left" w:pos="290"/>
              </w:tabs>
              <w:rPr>
                <w:b/>
                <w:bCs/>
                <w:sz w:val="16"/>
                <w:szCs w:val="16"/>
              </w:rPr>
            </w:pPr>
            <w:r w:rsidRPr="004C3DA6">
              <w:rPr>
                <w:b/>
                <w:bCs/>
                <w:sz w:val="16"/>
                <w:szCs w:val="16"/>
                <w:lang w:val="es-ES_tradnl"/>
              </w:rPr>
              <w:t>Objetivos</w:t>
            </w:r>
          </w:p>
        </w:tc>
        <w:tc>
          <w:tcPr>
            <w:tcW w:w="1392" w:type="pct"/>
            <w:shd w:val="clear" w:color="auto" w:fill="FFFFFF"/>
            <w:tcMar>
              <w:top w:w="110" w:type="dxa"/>
              <w:left w:w="58" w:type="dxa"/>
              <w:right w:w="58" w:type="dxa"/>
            </w:tcMar>
            <w:vAlign w:val="center"/>
          </w:tcPr>
          <w:p w:rsidR="002E3AE7" w:rsidRPr="004C3DA6" w:rsidRDefault="002E3AE7" w:rsidP="003E0A02">
            <w:pPr>
              <w:rPr>
                <w:b/>
                <w:bCs/>
                <w:sz w:val="16"/>
                <w:szCs w:val="16"/>
              </w:rPr>
            </w:pPr>
            <w:r w:rsidRPr="004C3DA6">
              <w:rPr>
                <w:b/>
                <w:bCs/>
                <w:sz w:val="16"/>
                <w:szCs w:val="16"/>
                <w:lang w:val="es-ES_tradnl"/>
              </w:rPr>
              <w:t>Datos sobre el rendimiento</w:t>
            </w:r>
          </w:p>
        </w:tc>
        <w:tc>
          <w:tcPr>
            <w:tcW w:w="513" w:type="pct"/>
            <w:shd w:val="clear" w:color="auto" w:fill="auto"/>
            <w:tcMar>
              <w:top w:w="110" w:type="dxa"/>
              <w:left w:w="58" w:type="dxa"/>
              <w:right w:w="58" w:type="dxa"/>
            </w:tcMar>
            <w:vAlign w:val="center"/>
          </w:tcPr>
          <w:p w:rsidR="002E3AE7" w:rsidRPr="004C3DA6" w:rsidRDefault="002E3AE7" w:rsidP="003E0A02">
            <w:pPr>
              <w:jc w:val="center"/>
              <w:rPr>
                <w:b/>
                <w:bCs/>
                <w:sz w:val="16"/>
                <w:szCs w:val="16"/>
              </w:rPr>
            </w:pPr>
            <w:r w:rsidRPr="004C3DA6">
              <w:rPr>
                <w:b/>
                <w:bCs/>
                <w:sz w:val="16"/>
                <w:szCs w:val="16"/>
                <w:lang w:val="es-ES_tradnl"/>
              </w:rPr>
              <w:t>Clave de colores</w:t>
            </w:r>
          </w:p>
        </w:tc>
      </w:tr>
      <w:tr w:rsidR="002E3AE7" w:rsidRPr="004C3DA6" w:rsidTr="003E0A02">
        <w:trPr>
          <w:trHeight w:val="750"/>
        </w:trPr>
        <w:tc>
          <w:tcPr>
            <w:tcW w:w="1071" w:type="pct"/>
            <w:shd w:val="clear" w:color="auto" w:fill="auto"/>
            <w:tcMar>
              <w:left w:w="58" w:type="dxa"/>
              <w:right w:w="58" w:type="dxa"/>
            </w:tcMar>
          </w:tcPr>
          <w:p w:rsidR="002E3AE7" w:rsidRPr="004C3DA6" w:rsidRDefault="002E3AE7" w:rsidP="003E0A02">
            <w:pPr>
              <w:ind w:right="176"/>
              <w:rPr>
                <w:sz w:val="16"/>
                <w:szCs w:val="16"/>
              </w:rPr>
            </w:pPr>
            <w:r w:rsidRPr="004C3DA6">
              <w:rPr>
                <w:sz w:val="16"/>
                <w:szCs w:val="16"/>
                <w:lang w:val="es-ES_tradnl"/>
              </w:rPr>
              <w:t>% de usuarios internos y externos satisfecho con los Servicios de Conferencias de la OMPI</w:t>
            </w:r>
          </w:p>
        </w:tc>
        <w:tc>
          <w:tcPr>
            <w:tcW w:w="1267" w:type="pct"/>
            <w:shd w:val="clear" w:color="auto" w:fill="auto"/>
            <w:tcMar>
              <w:left w:w="58" w:type="dxa"/>
              <w:right w:w="58" w:type="dxa"/>
            </w:tcMar>
          </w:tcPr>
          <w:p w:rsidR="002E3AE7" w:rsidRPr="009136D2" w:rsidRDefault="002E3AE7" w:rsidP="003E0A02">
            <w:pPr>
              <w:rPr>
                <w:i/>
                <w:color w:val="002060"/>
                <w:sz w:val="16"/>
                <w:szCs w:val="16"/>
              </w:rPr>
            </w:pPr>
            <w:r w:rsidRPr="009136D2">
              <w:rPr>
                <w:i/>
                <w:color w:val="002060"/>
                <w:sz w:val="16"/>
                <w:szCs w:val="16"/>
                <w:lang w:val="es-ES_tradnl"/>
              </w:rPr>
              <w:t>Referencia actualizada a fines de 2015:</w:t>
            </w:r>
            <w:r w:rsidRPr="009136D2">
              <w:rPr>
                <w:i/>
                <w:color w:val="002060"/>
                <w:sz w:val="16"/>
                <w:szCs w:val="16"/>
              </w:rPr>
              <w:t xml:space="preserve">  </w:t>
            </w:r>
          </w:p>
          <w:p w:rsidR="002E3AE7" w:rsidRPr="009136D2" w:rsidRDefault="002E3AE7" w:rsidP="003E0A02">
            <w:pPr>
              <w:rPr>
                <w:rFonts w:eastAsia="Batang"/>
                <w:color w:val="002060"/>
                <w:sz w:val="16"/>
                <w:szCs w:val="16"/>
                <w:lang w:eastAsia="ja-JP"/>
              </w:rPr>
            </w:pPr>
            <w:r w:rsidRPr="009136D2">
              <w:rPr>
                <w:color w:val="002060"/>
                <w:sz w:val="16"/>
                <w:szCs w:val="16"/>
              </w:rPr>
              <w:t xml:space="preserve">El 97% </w:t>
            </w:r>
            <w:r w:rsidRPr="009136D2">
              <w:rPr>
                <w:rFonts w:eastAsia="Batang"/>
                <w:color w:val="002060"/>
                <w:sz w:val="16"/>
                <w:szCs w:val="16"/>
                <w:lang w:eastAsia="ja-JP"/>
              </w:rPr>
              <w:t xml:space="preserve">de los usuarios en 2014/15 consideró excelente o buena la calidad general de los servicios de conferencias de la OMPI:  </w:t>
            </w:r>
          </w:p>
          <w:p w:rsidR="002E3AE7" w:rsidRPr="009136D2" w:rsidRDefault="002E3AE7" w:rsidP="003E0A02">
            <w:pPr>
              <w:pStyle w:val="ListParagraph"/>
              <w:ind w:left="0"/>
              <w:rPr>
                <w:rFonts w:eastAsia="Batang" w:cs="Arial"/>
                <w:color w:val="002060"/>
                <w:sz w:val="16"/>
                <w:szCs w:val="16"/>
                <w:lang w:val="es-ES" w:eastAsia="ja-JP"/>
              </w:rPr>
            </w:pPr>
            <w:r w:rsidRPr="009136D2">
              <w:rPr>
                <w:rFonts w:eastAsia="Batang" w:cs="Arial"/>
                <w:color w:val="002060"/>
                <w:sz w:val="16"/>
                <w:szCs w:val="16"/>
                <w:lang w:val="es-ES" w:eastAsia="ja-JP"/>
              </w:rPr>
              <w:t xml:space="preserve">- 2014:  excelente (48%) o buena (49%);  </w:t>
            </w:r>
          </w:p>
          <w:p w:rsidR="002E3AE7" w:rsidRPr="009136D2" w:rsidRDefault="002E3AE7" w:rsidP="003E0A02">
            <w:pPr>
              <w:pStyle w:val="ListParagraph"/>
              <w:ind w:left="0"/>
              <w:rPr>
                <w:rFonts w:eastAsia="Batang" w:cs="Arial"/>
                <w:color w:val="002060"/>
                <w:sz w:val="16"/>
                <w:szCs w:val="16"/>
                <w:lang w:val="es-ES" w:eastAsia="ja-JP"/>
              </w:rPr>
            </w:pPr>
            <w:r w:rsidRPr="009136D2">
              <w:rPr>
                <w:rFonts w:eastAsia="Batang" w:cs="Arial"/>
                <w:color w:val="002060"/>
                <w:sz w:val="16"/>
                <w:szCs w:val="16"/>
                <w:lang w:val="es-ES" w:eastAsia="ja-JP"/>
              </w:rPr>
              <w:t xml:space="preserve">- 2015:  excelente (60%) o buena (37%).  </w:t>
            </w:r>
          </w:p>
          <w:p w:rsidR="002E3AE7" w:rsidRPr="004C3DA6" w:rsidRDefault="002E3AE7" w:rsidP="003E0A02">
            <w:pPr>
              <w:rPr>
                <w:sz w:val="16"/>
                <w:szCs w:val="16"/>
              </w:rPr>
            </w:pPr>
          </w:p>
          <w:p w:rsidR="002E3AE7" w:rsidRPr="004C3DA6" w:rsidRDefault="002E3AE7" w:rsidP="003E0A02">
            <w:pPr>
              <w:rPr>
                <w:i/>
                <w:sz w:val="16"/>
                <w:szCs w:val="16"/>
                <w:lang w:bidi="th-TH"/>
              </w:rPr>
            </w:pPr>
            <w:r w:rsidRPr="004C3DA6">
              <w:rPr>
                <w:i/>
                <w:sz w:val="16"/>
                <w:szCs w:val="16"/>
                <w:lang w:val="es-ES_tradnl" w:bidi="th-TH"/>
              </w:rPr>
              <w:t>Referencia original en el presupuesto de 2016/17:</w:t>
            </w:r>
            <w:r w:rsidRPr="004C3DA6">
              <w:rPr>
                <w:i/>
                <w:sz w:val="16"/>
                <w:szCs w:val="16"/>
                <w:lang w:bidi="th-TH"/>
              </w:rPr>
              <w:t xml:space="preserve">  </w:t>
            </w:r>
          </w:p>
          <w:p w:rsidR="002E3AE7" w:rsidRPr="004C3DA6" w:rsidRDefault="002E3AE7" w:rsidP="003E0A02">
            <w:pPr>
              <w:spacing w:after="60"/>
              <w:rPr>
                <w:sz w:val="16"/>
                <w:szCs w:val="16"/>
              </w:rPr>
            </w:pPr>
            <w:r w:rsidRPr="004C3DA6">
              <w:rPr>
                <w:sz w:val="16"/>
                <w:szCs w:val="16"/>
                <w:lang w:val="es-ES_tradnl"/>
              </w:rPr>
              <w:t>97% de los participantes satisfecho con los servicios (a fines de 2014)</w:t>
            </w:r>
          </w:p>
        </w:tc>
        <w:tc>
          <w:tcPr>
            <w:tcW w:w="758" w:type="pct"/>
            <w:shd w:val="clear" w:color="auto" w:fill="auto"/>
            <w:tcMar>
              <w:top w:w="110" w:type="dxa"/>
              <w:left w:w="58" w:type="dxa"/>
              <w:right w:w="58" w:type="dxa"/>
            </w:tcMar>
          </w:tcPr>
          <w:p w:rsidR="002E3AE7" w:rsidRPr="009136D2" w:rsidRDefault="002E3AE7" w:rsidP="003E0A02">
            <w:pPr>
              <w:ind w:right="-97"/>
              <w:rPr>
                <w:i/>
                <w:color w:val="002060"/>
                <w:sz w:val="16"/>
                <w:szCs w:val="16"/>
              </w:rPr>
            </w:pPr>
            <w:r w:rsidRPr="009136D2">
              <w:rPr>
                <w:i/>
                <w:color w:val="002060"/>
                <w:sz w:val="16"/>
                <w:szCs w:val="16"/>
                <w:lang w:val="es-ES_tradnl"/>
              </w:rPr>
              <w:t>Objetivo actualizado:</w:t>
            </w:r>
            <w:r w:rsidRPr="009136D2">
              <w:rPr>
                <w:i/>
                <w:color w:val="002060"/>
                <w:sz w:val="16"/>
                <w:szCs w:val="16"/>
              </w:rPr>
              <w:t xml:space="preserve">  </w:t>
            </w:r>
          </w:p>
          <w:p w:rsidR="002E3AE7" w:rsidRPr="009136D2" w:rsidRDefault="002E3AE7" w:rsidP="003E0A02">
            <w:pPr>
              <w:rPr>
                <w:color w:val="002060"/>
                <w:sz w:val="16"/>
                <w:szCs w:val="16"/>
              </w:rPr>
            </w:pPr>
            <w:r w:rsidRPr="009136D2">
              <w:rPr>
                <w:color w:val="002060"/>
                <w:sz w:val="16"/>
                <w:szCs w:val="16"/>
                <w:lang w:val="es-ES_tradnl"/>
              </w:rPr>
              <w:t>Mantener el % de fines de 2015</w:t>
            </w:r>
          </w:p>
          <w:p w:rsidR="002E3AE7" w:rsidRPr="004C3DA6" w:rsidRDefault="002E3AE7" w:rsidP="003E0A02">
            <w:pPr>
              <w:rPr>
                <w:i/>
                <w:sz w:val="16"/>
                <w:szCs w:val="16"/>
              </w:rPr>
            </w:pPr>
          </w:p>
          <w:p w:rsidR="002E3AE7" w:rsidRPr="004C3DA6" w:rsidRDefault="002E3AE7" w:rsidP="003E0A02">
            <w:pPr>
              <w:rPr>
                <w:i/>
                <w:sz w:val="16"/>
                <w:szCs w:val="16"/>
                <w:lang w:bidi="th-TH"/>
              </w:rPr>
            </w:pPr>
            <w:r w:rsidRPr="004C3DA6">
              <w:rPr>
                <w:i/>
                <w:sz w:val="16"/>
                <w:szCs w:val="16"/>
                <w:lang w:val="es-ES_tradnl" w:bidi="th-TH"/>
              </w:rPr>
              <w:t>Objetivo original en el presupuesto 2016/17:</w:t>
            </w:r>
            <w:r w:rsidRPr="004C3DA6">
              <w:rPr>
                <w:i/>
                <w:sz w:val="16"/>
                <w:szCs w:val="16"/>
                <w:lang w:bidi="th-TH"/>
              </w:rPr>
              <w:t xml:space="preserve">  </w:t>
            </w:r>
          </w:p>
          <w:p w:rsidR="002E3AE7" w:rsidRPr="004C3DA6" w:rsidRDefault="002E3AE7" w:rsidP="003E0A02">
            <w:pPr>
              <w:rPr>
                <w:sz w:val="16"/>
                <w:szCs w:val="16"/>
              </w:rPr>
            </w:pPr>
            <w:r w:rsidRPr="004C3DA6">
              <w:rPr>
                <w:sz w:val="16"/>
                <w:szCs w:val="16"/>
                <w:lang w:val="es-ES_tradnl"/>
              </w:rPr>
              <w:t>Mantener el % de fines de 2014</w:t>
            </w:r>
          </w:p>
        </w:tc>
        <w:tc>
          <w:tcPr>
            <w:tcW w:w="1392" w:type="pct"/>
            <w:shd w:val="clear" w:color="auto" w:fill="FFFFFF"/>
            <w:tcMar>
              <w:top w:w="110" w:type="dxa"/>
              <w:left w:w="58" w:type="dxa"/>
              <w:right w:w="58" w:type="dxa"/>
            </w:tcMar>
          </w:tcPr>
          <w:p w:rsidR="002E3AE7" w:rsidRPr="004C3DA6" w:rsidRDefault="002E3AE7" w:rsidP="003E0A02">
            <w:pPr>
              <w:rPr>
                <w:rFonts w:eastAsia="Batang"/>
                <w:sz w:val="16"/>
                <w:szCs w:val="16"/>
                <w:lang w:eastAsia="ja-JP"/>
              </w:rPr>
            </w:pPr>
            <w:r w:rsidRPr="004C3DA6">
              <w:rPr>
                <w:sz w:val="16"/>
                <w:szCs w:val="16"/>
              </w:rPr>
              <w:t xml:space="preserve">El 96% de los usuarios consideró excelente (56%) o buena (40%) la calidad general de los servicios de conferencias de la OMPI </w:t>
            </w:r>
          </w:p>
          <w:p w:rsidR="002E3AE7" w:rsidRPr="004C3DA6" w:rsidRDefault="002E3AE7" w:rsidP="003E0A02">
            <w:pPr>
              <w:ind w:right="176"/>
              <w:rPr>
                <w:sz w:val="16"/>
                <w:szCs w:val="16"/>
              </w:rPr>
            </w:pPr>
          </w:p>
        </w:tc>
        <w:tc>
          <w:tcPr>
            <w:tcW w:w="513" w:type="pct"/>
            <w:shd w:val="clear" w:color="auto" w:fill="auto"/>
            <w:tcMar>
              <w:top w:w="110" w:type="dxa"/>
              <w:left w:w="58" w:type="dxa"/>
              <w:right w:w="58" w:type="dxa"/>
            </w:tcMar>
          </w:tcPr>
          <w:p w:rsidR="002E3AE7" w:rsidRPr="004C3DA6" w:rsidRDefault="002E3AE7" w:rsidP="003E0A02">
            <w:pPr>
              <w:jc w:val="center"/>
              <w:rPr>
                <w:b/>
                <w:sz w:val="16"/>
                <w:szCs w:val="16"/>
              </w:rPr>
            </w:pPr>
            <w:r w:rsidRPr="004C3DA6">
              <w:rPr>
                <w:b/>
                <w:color w:val="00B050"/>
                <w:sz w:val="16"/>
                <w:szCs w:val="16"/>
                <w:lang w:val="es-ES_tradnl"/>
              </w:rPr>
              <w:t>Avanza</w:t>
            </w:r>
          </w:p>
          <w:p w:rsidR="002E3AE7" w:rsidRPr="004C3DA6" w:rsidRDefault="002E3AE7" w:rsidP="003E0A02">
            <w:pPr>
              <w:ind w:right="176"/>
              <w:jc w:val="center"/>
              <w:rPr>
                <w:sz w:val="16"/>
                <w:szCs w:val="16"/>
              </w:rPr>
            </w:pPr>
          </w:p>
        </w:tc>
      </w:tr>
      <w:tr w:rsidR="002E3AE7" w:rsidRPr="004C3DA6" w:rsidTr="003E0A02">
        <w:trPr>
          <w:trHeight w:val="1195"/>
        </w:trPr>
        <w:tc>
          <w:tcPr>
            <w:tcW w:w="1071" w:type="pct"/>
            <w:shd w:val="clear" w:color="auto" w:fill="auto"/>
            <w:tcMar>
              <w:left w:w="58" w:type="dxa"/>
              <w:right w:w="58" w:type="dxa"/>
            </w:tcMar>
          </w:tcPr>
          <w:p w:rsidR="002E3AE7" w:rsidRPr="004C3DA6" w:rsidRDefault="002E3AE7" w:rsidP="003E0A02">
            <w:pPr>
              <w:ind w:right="176"/>
              <w:rPr>
                <w:sz w:val="16"/>
                <w:szCs w:val="16"/>
              </w:rPr>
            </w:pPr>
            <w:r w:rsidRPr="004C3DA6">
              <w:rPr>
                <w:sz w:val="16"/>
                <w:szCs w:val="16"/>
                <w:lang w:val="es-ES_tradnl"/>
              </w:rPr>
              <w:t>Aplicación eficaz de la Política lingüística de la OMPI</w:t>
            </w:r>
          </w:p>
        </w:tc>
        <w:tc>
          <w:tcPr>
            <w:tcW w:w="1267" w:type="pct"/>
            <w:shd w:val="clear" w:color="auto" w:fill="auto"/>
            <w:tcMar>
              <w:left w:w="58" w:type="dxa"/>
              <w:right w:w="58" w:type="dxa"/>
            </w:tcMar>
          </w:tcPr>
          <w:p w:rsidR="002E3AE7" w:rsidRPr="009136D2" w:rsidRDefault="002E3AE7" w:rsidP="003E0A02">
            <w:pPr>
              <w:rPr>
                <w:i/>
                <w:color w:val="002060"/>
                <w:sz w:val="16"/>
                <w:szCs w:val="16"/>
              </w:rPr>
            </w:pPr>
            <w:r w:rsidRPr="009136D2">
              <w:rPr>
                <w:i/>
                <w:color w:val="002060"/>
                <w:sz w:val="16"/>
                <w:szCs w:val="16"/>
                <w:lang w:val="es-ES_tradnl"/>
              </w:rPr>
              <w:t>Referencia actualizada a fines de 2015:</w:t>
            </w:r>
            <w:r w:rsidRPr="009136D2">
              <w:rPr>
                <w:i/>
                <w:color w:val="002060"/>
                <w:sz w:val="16"/>
                <w:szCs w:val="16"/>
              </w:rPr>
              <w:t xml:space="preserve">  </w:t>
            </w:r>
          </w:p>
          <w:p w:rsidR="002E3AE7" w:rsidRPr="009136D2" w:rsidRDefault="002E3AE7" w:rsidP="003E0A02">
            <w:pPr>
              <w:rPr>
                <w:color w:val="002060"/>
                <w:sz w:val="16"/>
                <w:szCs w:val="16"/>
              </w:rPr>
            </w:pPr>
            <w:r w:rsidRPr="009136D2">
              <w:rPr>
                <w:color w:val="002060"/>
                <w:sz w:val="16"/>
                <w:szCs w:val="16"/>
              </w:rPr>
              <w:t xml:space="preserve">Además de todos los comités/grupos de trabajo, en 2014/15 la cobertura en seis idiomas se amplió a cuatro grupos de trabajo:  </w:t>
            </w:r>
          </w:p>
          <w:p w:rsidR="002E3AE7" w:rsidRPr="009136D2" w:rsidRDefault="002E3AE7" w:rsidP="003E0A02">
            <w:pPr>
              <w:rPr>
                <w:color w:val="002060"/>
                <w:sz w:val="16"/>
                <w:szCs w:val="16"/>
              </w:rPr>
            </w:pPr>
            <w:r w:rsidRPr="009136D2">
              <w:rPr>
                <w:color w:val="002060"/>
                <w:sz w:val="16"/>
                <w:szCs w:val="16"/>
              </w:rPr>
              <w:t xml:space="preserve">i) el Grupo de Trabajo sobre el PCT; </w:t>
            </w:r>
          </w:p>
          <w:p w:rsidR="002E3AE7" w:rsidRPr="009136D2" w:rsidRDefault="002E3AE7" w:rsidP="003E0A02">
            <w:pPr>
              <w:rPr>
                <w:color w:val="002060"/>
                <w:sz w:val="16"/>
                <w:szCs w:val="16"/>
              </w:rPr>
            </w:pPr>
            <w:r w:rsidRPr="009136D2">
              <w:rPr>
                <w:color w:val="002060"/>
                <w:sz w:val="16"/>
                <w:szCs w:val="16"/>
              </w:rPr>
              <w:t xml:space="preserve">ii) el Grupo de Trabajo sobre el Desarrollo Jurídico del Sistema de La Haya para el Registro Internacional de Dibujos y Modelos Industriales;  </w:t>
            </w:r>
          </w:p>
          <w:p w:rsidR="002E3AE7" w:rsidRPr="009136D2" w:rsidRDefault="002E3AE7" w:rsidP="003E0A02">
            <w:pPr>
              <w:rPr>
                <w:color w:val="002060"/>
                <w:sz w:val="16"/>
                <w:szCs w:val="16"/>
              </w:rPr>
            </w:pPr>
            <w:r w:rsidRPr="009136D2">
              <w:rPr>
                <w:color w:val="002060"/>
                <w:sz w:val="16"/>
                <w:szCs w:val="16"/>
              </w:rPr>
              <w:t xml:space="preserve">iii) el Grupo de Trabajo sobre el Desarrollo Jurídico del Sistema de Madrid para el Registro Internacional de Marcas;  y </w:t>
            </w:r>
          </w:p>
          <w:p w:rsidR="002E3AE7" w:rsidRPr="009136D2" w:rsidRDefault="002E3AE7" w:rsidP="003E0A02">
            <w:pPr>
              <w:rPr>
                <w:color w:val="002060"/>
                <w:sz w:val="16"/>
                <w:szCs w:val="16"/>
              </w:rPr>
            </w:pPr>
            <w:r w:rsidRPr="009136D2">
              <w:rPr>
                <w:color w:val="002060"/>
                <w:sz w:val="16"/>
                <w:szCs w:val="16"/>
              </w:rPr>
              <w:t xml:space="preserve">iv) el Grupo de Trabajo sobre la Revisión de la CIP.  </w:t>
            </w:r>
          </w:p>
          <w:p w:rsidR="002E3AE7" w:rsidRPr="009136D2" w:rsidRDefault="002E3AE7" w:rsidP="003E0A02">
            <w:pPr>
              <w:rPr>
                <w:color w:val="002060"/>
                <w:sz w:val="16"/>
                <w:szCs w:val="16"/>
              </w:rPr>
            </w:pPr>
          </w:p>
          <w:p w:rsidR="002E3AE7" w:rsidRPr="009136D2" w:rsidRDefault="002E3AE7" w:rsidP="003E0A02">
            <w:pPr>
              <w:rPr>
                <w:color w:val="002060"/>
                <w:sz w:val="16"/>
                <w:szCs w:val="16"/>
              </w:rPr>
            </w:pPr>
            <w:r w:rsidRPr="009136D2">
              <w:rPr>
                <w:color w:val="002060"/>
                <w:sz w:val="16"/>
                <w:szCs w:val="16"/>
                <w:lang w:val="es-ES_tradnl"/>
              </w:rPr>
              <w:t xml:space="preserve">Aproximadamente el 87% de los documentos recibidos para traducción (3.489 de un total de 4.030 documentos) se </w:t>
            </w:r>
            <w:r w:rsidRPr="009136D2">
              <w:rPr>
                <w:color w:val="002060"/>
                <w:sz w:val="16"/>
                <w:szCs w:val="16"/>
                <w:lang w:val="es-ES_tradnl"/>
              </w:rPr>
              <w:lastRenderedPageBreak/>
              <w:t>mantuvo por debajo de las 3.300 palabras.</w:t>
            </w:r>
            <w:r w:rsidRPr="009136D2">
              <w:rPr>
                <w:color w:val="002060"/>
                <w:sz w:val="16"/>
                <w:szCs w:val="16"/>
              </w:rPr>
              <w:t xml:space="preserve">  </w:t>
            </w:r>
            <w:r w:rsidRPr="009136D2">
              <w:rPr>
                <w:color w:val="002060"/>
                <w:sz w:val="16"/>
                <w:szCs w:val="16"/>
                <w:lang w:val="es-ES_tradnl"/>
              </w:rPr>
              <w:t>El resto, que excedió este límite de palabras, eran principalmente publicaciones, actas literales u otros informes anuales, documentos que contienen recopilaciones de prácticas en los Estados miembros y documentos preparados en respuesta a solicitudes concretas de los Estados miembros, que no están sujetos a esa limitación de extensión.</w:t>
            </w:r>
            <w:r w:rsidRPr="009136D2">
              <w:rPr>
                <w:color w:val="002060"/>
                <w:sz w:val="16"/>
                <w:szCs w:val="16"/>
              </w:rPr>
              <w:t xml:space="preserve">  </w:t>
            </w:r>
          </w:p>
          <w:p w:rsidR="002E3AE7" w:rsidRPr="004C3DA6" w:rsidRDefault="002E3AE7" w:rsidP="003E0A02">
            <w:pPr>
              <w:rPr>
                <w:sz w:val="16"/>
                <w:szCs w:val="16"/>
              </w:rPr>
            </w:pPr>
          </w:p>
          <w:p w:rsidR="002E3AE7" w:rsidRPr="004C3DA6" w:rsidRDefault="002E3AE7" w:rsidP="003E0A02">
            <w:pPr>
              <w:rPr>
                <w:sz w:val="16"/>
                <w:szCs w:val="16"/>
              </w:rPr>
            </w:pPr>
            <w:r w:rsidRPr="004C3DA6">
              <w:rPr>
                <w:i/>
                <w:sz w:val="16"/>
                <w:szCs w:val="16"/>
                <w:lang w:val="es-ES_tradnl" w:bidi="th-TH"/>
              </w:rPr>
              <w:t>Referencia original en el presupuesto de 2016/17:</w:t>
            </w:r>
            <w:r w:rsidRPr="004C3DA6">
              <w:rPr>
                <w:i/>
                <w:sz w:val="16"/>
                <w:szCs w:val="16"/>
                <w:lang w:bidi="th-TH"/>
              </w:rPr>
              <w:t xml:space="preserve">  </w:t>
            </w:r>
          </w:p>
          <w:p w:rsidR="002E3AE7" w:rsidRPr="004C3DA6" w:rsidRDefault="002E3AE7" w:rsidP="003E0A02">
            <w:pPr>
              <w:spacing w:after="60"/>
              <w:rPr>
                <w:sz w:val="16"/>
                <w:szCs w:val="16"/>
              </w:rPr>
            </w:pPr>
            <w:r w:rsidRPr="004C3DA6">
              <w:rPr>
                <w:sz w:val="16"/>
                <w:szCs w:val="16"/>
                <w:lang w:val="es-ES_tradnl"/>
              </w:rPr>
              <w:t>Cobertura de idiomas ampliada a los documentos de todos los comités, órganos principales y grupos de trabajo</w:t>
            </w:r>
          </w:p>
        </w:tc>
        <w:tc>
          <w:tcPr>
            <w:tcW w:w="758" w:type="pct"/>
            <w:shd w:val="clear" w:color="auto" w:fill="auto"/>
            <w:tcMar>
              <w:top w:w="110" w:type="dxa"/>
              <w:left w:w="58" w:type="dxa"/>
              <w:right w:w="58" w:type="dxa"/>
            </w:tcMar>
          </w:tcPr>
          <w:p w:rsidR="002E3AE7" w:rsidRPr="004C3DA6" w:rsidRDefault="002E3AE7" w:rsidP="003E0A02">
            <w:pPr>
              <w:rPr>
                <w:sz w:val="16"/>
                <w:szCs w:val="16"/>
              </w:rPr>
            </w:pPr>
            <w:r w:rsidRPr="004C3DA6">
              <w:rPr>
                <w:sz w:val="16"/>
                <w:szCs w:val="16"/>
                <w:lang w:val="es-ES_tradnl"/>
              </w:rPr>
              <w:lastRenderedPageBreak/>
              <w:t>Cobertura de idiomas ampliada a los documentos de todos los comités, órganos principales y grupos de trabajo, y se mantiene la longitud de los documentos conforme a lo dispuesto en la Política</w:t>
            </w:r>
          </w:p>
          <w:p w:rsidR="002E3AE7" w:rsidRPr="004C3DA6" w:rsidRDefault="002E3AE7" w:rsidP="003E0A02">
            <w:pPr>
              <w:rPr>
                <w:sz w:val="16"/>
                <w:szCs w:val="16"/>
              </w:rPr>
            </w:pPr>
          </w:p>
        </w:tc>
        <w:tc>
          <w:tcPr>
            <w:tcW w:w="1392" w:type="pct"/>
            <w:shd w:val="clear" w:color="auto" w:fill="FFFFFF"/>
            <w:tcMar>
              <w:top w:w="110" w:type="dxa"/>
              <w:left w:w="58" w:type="dxa"/>
              <w:right w:w="58" w:type="dxa"/>
            </w:tcMar>
          </w:tcPr>
          <w:p w:rsidR="002E3AE7" w:rsidRPr="004C3DA6" w:rsidRDefault="002E3AE7" w:rsidP="003E0A02">
            <w:pPr>
              <w:ind w:right="176"/>
              <w:rPr>
                <w:sz w:val="16"/>
                <w:szCs w:val="16"/>
              </w:rPr>
            </w:pPr>
            <w:r w:rsidRPr="004C3DA6">
              <w:rPr>
                <w:sz w:val="16"/>
                <w:szCs w:val="16"/>
              </w:rPr>
              <w:t>La cobertura en seis idiomas se amplió a otros dos grupos de trabajo:  i) el Grupo de Trabajo encargado de preparar el Reglamento Común del Arreglo de Lisboa y del Acta de Ginebra del Arreglo de Lisboa; y ii)  la Unión de la CIP – Comité de Expertos.</w:t>
            </w:r>
          </w:p>
          <w:p w:rsidR="002E3AE7" w:rsidRPr="004C3DA6" w:rsidRDefault="002E3AE7" w:rsidP="003E0A02">
            <w:pPr>
              <w:ind w:right="176"/>
              <w:rPr>
                <w:sz w:val="16"/>
                <w:szCs w:val="16"/>
              </w:rPr>
            </w:pPr>
            <w:r w:rsidRPr="004C3DA6">
              <w:rPr>
                <w:sz w:val="16"/>
                <w:szCs w:val="16"/>
              </w:rPr>
              <w:t>(En total, todos los comités/órganos principales y seis grupos de trabajo)</w:t>
            </w:r>
          </w:p>
          <w:p w:rsidR="002E3AE7" w:rsidRPr="004C3DA6" w:rsidRDefault="002E3AE7" w:rsidP="003E0A02">
            <w:pPr>
              <w:ind w:right="176"/>
              <w:rPr>
                <w:sz w:val="16"/>
                <w:szCs w:val="16"/>
              </w:rPr>
            </w:pPr>
          </w:p>
          <w:p w:rsidR="002E3AE7" w:rsidRPr="004C3DA6" w:rsidRDefault="002E3AE7" w:rsidP="003E0A02">
            <w:pPr>
              <w:ind w:right="176"/>
              <w:rPr>
                <w:sz w:val="16"/>
                <w:szCs w:val="16"/>
              </w:rPr>
            </w:pPr>
          </w:p>
          <w:p w:rsidR="002E3AE7" w:rsidRPr="004C3DA6" w:rsidRDefault="002E3AE7" w:rsidP="005355C5">
            <w:pPr>
              <w:ind w:right="176"/>
              <w:rPr>
                <w:sz w:val="16"/>
                <w:szCs w:val="16"/>
              </w:rPr>
            </w:pPr>
            <w:r w:rsidRPr="004C3DA6">
              <w:rPr>
                <w:sz w:val="16"/>
                <w:szCs w:val="16"/>
              </w:rPr>
              <w:t xml:space="preserve">El 81% (542 de 666) de los documentos de reuniones que se recibieron para su traducción se mantuvieron por debajo del límite de palabras de 10 páginas estándar de las Naciones Unidas o 3.300 palabras.  Los demás documentos que superaron este límite fueron en su mayor parte actas literales u otros informes anuales, propuestas de Estados miembros y </w:t>
            </w:r>
            <w:r w:rsidRPr="004C3DA6">
              <w:rPr>
                <w:sz w:val="16"/>
                <w:szCs w:val="16"/>
              </w:rPr>
              <w:lastRenderedPageBreak/>
              <w:t xml:space="preserve">documentos que los Estados miembros solicitaron específicamente que aparecieran en su totalidad en </w:t>
            </w:r>
            <w:r w:rsidR="005355C5">
              <w:rPr>
                <w:sz w:val="16"/>
                <w:szCs w:val="16"/>
              </w:rPr>
              <w:t>6</w:t>
            </w:r>
            <w:r w:rsidRPr="004C3DA6">
              <w:rPr>
                <w:sz w:val="16"/>
                <w:szCs w:val="16"/>
              </w:rPr>
              <w:t xml:space="preserve"> idiomas.</w:t>
            </w:r>
          </w:p>
        </w:tc>
        <w:tc>
          <w:tcPr>
            <w:tcW w:w="513" w:type="pct"/>
            <w:shd w:val="clear" w:color="auto" w:fill="auto"/>
            <w:tcMar>
              <w:top w:w="110" w:type="dxa"/>
              <w:left w:w="58" w:type="dxa"/>
              <w:right w:w="58" w:type="dxa"/>
            </w:tcMar>
          </w:tcPr>
          <w:p w:rsidR="002E3AE7" w:rsidRPr="004C3DA6" w:rsidRDefault="002E3AE7" w:rsidP="003E0A02">
            <w:pPr>
              <w:jc w:val="center"/>
              <w:rPr>
                <w:b/>
                <w:sz w:val="16"/>
                <w:szCs w:val="16"/>
              </w:rPr>
            </w:pPr>
            <w:r w:rsidRPr="004C3DA6">
              <w:rPr>
                <w:b/>
                <w:color w:val="00B050"/>
                <w:sz w:val="16"/>
                <w:szCs w:val="16"/>
                <w:lang w:val="es-ES_tradnl"/>
              </w:rPr>
              <w:lastRenderedPageBreak/>
              <w:t>Avanza</w:t>
            </w: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p>
          <w:p w:rsidR="002E3AE7" w:rsidRPr="004C3DA6" w:rsidRDefault="002E3AE7" w:rsidP="003E0A02">
            <w:pPr>
              <w:jc w:val="center"/>
              <w:rPr>
                <w:b/>
                <w:sz w:val="16"/>
                <w:szCs w:val="16"/>
              </w:rPr>
            </w:pPr>
            <w:r w:rsidRPr="004C3DA6">
              <w:rPr>
                <w:b/>
                <w:color w:val="00B050"/>
                <w:sz w:val="16"/>
                <w:szCs w:val="16"/>
                <w:lang w:val="es-ES_tradnl"/>
              </w:rPr>
              <w:t>Avanza</w:t>
            </w:r>
          </w:p>
        </w:tc>
      </w:tr>
      <w:tr w:rsidR="002E3AE7" w:rsidRPr="004C3DA6" w:rsidTr="003E0A02">
        <w:trPr>
          <w:trHeight w:val="444"/>
        </w:trPr>
        <w:tc>
          <w:tcPr>
            <w:tcW w:w="1071" w:type="pct"/>
            <w:shd w:val="clear" w:color="auto" w:fill="auto"/>
            <w:tcMar>
              <w:left w:w="58" w:type="dxa"/>
              <w:right w:w="58" w:type="dxa"/>
            </w:tcMar>
          </w:tcPr>
          <w:p w:rsidR="002E3AE7" w:rsidRPr="004C3DA6" w:rsidRDefault="002E3AE7" w:rsidP="003E0A02">
            <w:pPr>
              <w:ind w:right="176"/>
              <w:rPr>
                <w:sz w:val="16"/>
                <w:szCs w:val="16"/>
              </w:rPr>
            </w:pPr>
            <w:r w:rsidRPr="004C3DA6">
              <w:rPr>
                <w:sz w:val="16"/>
                <w:szCs w:val="16"/>
                <w:lang w:val="es-ES_tradnl"/>
              </w:rPr>
              <w:lastRenderedPageBreak/>
              <w:t>Disminución de los costos de impresión (por página)</w:t>
            </w:r>
          </w:p>
        </w:tc>
        <w:tc>
          <w:tcPr>
            <w:tcW w:w="1267" w:type="pct"/>
            <w:shd w:val="clear" w:color="auto" w:fill="auto"/>
            <w:tcMar>
              <w:left w:w="58" w:type="dxa"/>
              <w:right w:w="58" w:type="dxa"/>
            </w:tcMar>
          </w:tcPr>
          <w:p w:rsidR="002E3AE7" w:rsidRPr="009136D2" w:rsidRDefault="002E3AE7" w:rsidP="003E0A02">
            <w:pPr>
              <w:rPr>
                <w:i/>
                <w:color w:val="002060"/>
                <w:sz w:val="16"/>
                <w:szCs w:val="16"/>
              </w:rPr>
            </w:pPr>
            <w:r w:rsidRPr="009136D2">
              <w:rPr>
                <w:i/>
                <w:color w:val="002060"/>
                <w:sz w:val="16"/>
                <w:szCs w:val="16"/>
                <w:lang w:val="es-ES_tradnl"/>
              </w:rPr>
              <w:t>Referencia actualizada a fines de 2015:</w:t>
            </w:r>
          </w:p>
          <w:p w:rsidR="002E3AE7" w:rsidRPr="009136D2" w:rsidRDefault="002E3AE7" w:rsidP="003E0A02">
            <w:pPr>
              <w:rPr>
                <w:color w:val="002060"/>
                <w:sz w:val="16"/>
                <w:szCs w:val="16"/>
              </w:rPr>
            </w:pPr>
            <w:r w:rsidRPr="009136D2">
              <w:rPr>
                <w:color w:val="002060"/>
                <w:sz w:val="16"/>
                <w:szCs w:val="16"/>
                <w:lang w:val="es-ES_tradnl"/>
              </w:rPr>
              <w:t>El costo medio por página tanto en 2014 como en 2015 fue de 0,15 francos suizos (reducción del 25%)</w:t>
            </w:r>
          </w:p>
          <w:p w:rsidR="002E3AE7" w:rsidRPr="004C3DA6" w:rsidRDefault="002E3AE7" w:rsidP="003E0A02">
            <w:pPr>
              <w:rPr>
                <w:sz w:val="16"/>
                <w:szCs w:val="16"/>
              </w:rPr>
            </w:pPr>
          </w:p>
          <w:p w:rsidR="002E3AE7" w:rsidRPr="004C3DA6" w:rsidRDefault="002E3AE7" w:rsidP="003E0A02">
            <w:pPr>
              <w:rPr>
                <w:i/>
                <w:sz w:val="16"/>
                <w:szCs w:val="16"/>
                <w:lang w:bidi="th-TH"/>
              </w:rPr>
            </w:pPr>
            <w:r w:rsidRPr="004C3DA6">
              <w:rPr>
                <w:i/>
                <w:sz w:val="16"/>
                <w:szCs w:val="16"/>
                <w:lang w:val="es-ES_tradnl" w:bidi="th-TH"/>
              </w:rPr>
              <w:t>Referencia original en el presupuesto de 2016/17:</w:t>
            </w:r>
          </w:p>
          <w:p w:rsidR="002E3AE7" w:rsidRPr="004C3DA6" w:rsidRDefault="002E3AE7" w:rsidP="003E0A02">
            <w:pPr>
              <w:spacing w:after="60"/>
              <w:rPr>
                <w:sz w:val="16"/>
                <w:szCs w:val="16"/>
              </w:rPr>
            </w:pPr>
            <w:r w:rsidRPr="004C3DA6">
              <w:rPr>
                <w:sz w:val="16"/>
                <w:szCs w:val="16"/>
              </w:rPr>
              <w:t>0,14 CHF por página</w:t>
            </w:r>
          </w:p>
        </w:tc>
        <w:tc>
          <w:tcPr>
            <w:tcW w:w="758" w:type="pct"/>
            <w:shd w:val="clear" w:color="auto" w:fill="auto"/>
            <w:tcMar>
              <w:top w:w="110" w:type="dxa"/>
              <w:left w:w="58" w:type="dxa"/>
              <w:right w:w="58" w:type="dxa"/>
            </w:tcMar>
          </w:tcPr>
          <w:p w:rsidR="002E3AE7" w:rsidRPr="004C3DA6" w:rsidRDefault="002E3AE7" w:rsidP="003E0A02">
            <w:pPr>
              <w:rPr>
                <w:sz w:val="16"/>
                <w:szCs w:val="16"/>
              </w:rPr>
            </w:pPr>
            <w:r w:rsidRPr="004C3DA6">
              <w:rPr>
                <w:sz w:val="16"/>
                <w:szCs w:val="16"/>
              </w:rPr>
              <w:t>Lograr que el costo medio por página siga siendo de 0,15 CHF</w:t>
            </w:r>
          </w:p>
        </w:tc>
        <w:tc>
          <w:tcPr>
            <w:tcW w:w="1392" w:type="pct"/>
            <w:shd w:val="clear" w:color="auto" w:fill="FFFFFF"/>
            <w:tcMar>
              <w:top w:w="110" w:type="dxa"/>
              <w:left w:w="58" w:type="dxa"/>
              <w:right w:w="58" w:type="dxa"/>
            </w:tcMar>
          </w:tcPr>
          <w:p w:rsidR="002E3AE7" w:rsidRPr="004C3DA6" w:rsidRDefault="002E3AE7" w:rsidP="003E0A02">
            <w:pPr>
              <w:ind w:right="176"/>
              <w:rPr>
                <w:sz w:val="16"/>
                <w:szCs w:val="16"/>
              </w:rPr>
            </w:pPr>
            <w:r w:rsidRPr="004C3DA6">
              <w:rPr>
                <w:sz w:val="16"/>
                <w:szCs w:val="16"/>
              </w:rPr>
              <w:t>El costo medio por página fue de 0,161 CHF</w:t>
            </w:r>
          </w:p>
        </w:tc>
        <w:tc>
          <w:tcPr>
            <w:tcW w:w="513" w:type="pct"/>
            <w:shd w:val="clear" w:color="auto" w:fill="auto"/>
            <w:tcMar>
              <w:top w:w="110" w:type="dxa"/>
              <w:left w:w="58" w:type="dxa"/>
              <w:right w:w="58" w:type="dxa"/>
            </w:tcMar>
          </w:tcPr>
          <w:p w:rsidR="002E3AE7" w:rsidRPr="004C3DA6" w:rsidRDefault="002E3AE7" w:rsidP="003E0A02">
            <w:pPr>
              <w:ind w:right="176"/>
              <w:jc w:val="center"/>
              <w:rPr>
                <w:b/>
                <w:sz w:val="16"/>
                <w:szCs w:val="16"/>
              </w:rPr>
            </w:pPr>
            <w:r w:rsidRPr="004C3DA6">
              <w:rPr>
                <w:b/>
                <w:color w:val="FF0000"/>
                <w:sz w:val="16"/>
                <w:szCs w:val="16"/>
                <w:lang w:val="es-ES_tradnl"/>
              </w:rPr>
              <w:t>No avanza</w:t>
            </w:r>
          </w:p>
        </w:tc>
      </w:tr>
      <w:tr w:rsidR="002E3AE7" w:rsidRPr="004C3DA6" w:rsidTr="003E0A02">
        <w:trPr>
          <w:trHeight w:val="1213"/>
        </w:trPr>
        <w:tc>
          <w:tcPr>
            <w:tcW w:w="1071" w:type="pct"/>
            <w:shd w:val="clear" w:color="auto" w:fill="auto"/>
            <w:tcMar>
              <w:left w:w="58" w:type="dxa"/>
              <w:right w:w="58" w:type="dxa"/>
            </w:tcMar>
          </w:tcPr>
          <w:p w:rsidR="002E3AE7" w:rsidRPr="004C3DA6" w:rsidRDefault="002E3AE7" w:rsidP="003E0A02">
            <w:pPr>
              <w:ind w:right="176"/>
              <w:rPr>
                <w:sz w:val="16"/>
                <w:szCs w:val="16"/>
              </w:rPr>
            </w:pPr>
            <w:r w:rsidRPr="004C3DA6">
              <w:rPr>
                <w:sz w:val="16"/>
                <w:szCs w:val="16"/>
                <w:lang w:val="es-ES_tradnl"/>
              </w:rPr>
              <w:t>Publicación a tiempo de los documentos para los comités y grupos de  trabajo</w:t>
            </w:r>
          </w:p>
        </w:tc>
        <w:tc>
          <w:tcPr>
            <w:tcW w:w="1267" w:type="pct"/>
            <w:shd w:val="clear" w:color="auto" w:fill="auto"/>
            <w:tcMar>
              <w:left w:w="58" w:type="dxa"/>
              <w:right w:w="58" w:type="dxa"/>
            </w:tcMar>
          </w:tcPr>
          <w:p w:rsidR="002E3AE7" w:rsidRPr="009136D2" w:rsidRDefault="002E3AE7" w:rsidP="003E0A02">
            <w:pPr>
              <w:rPr>
                <w:i/>
                <w:color w:val="002060"/>
                <w:sz w:val="16"/>
                <w:szCs w:val="16"/>
              </w:rPr>
            </w:pPr>
            <w:r w:rsidRPr="009136D2">
              <w:rPr>
                <w:i/>
                <w:color w:val="002060"/>
                <w:sz w:val="16"/>
                <w:szCs w:val="16"/>
                <w:lang w:val="es-ES_tradnl"/>
              </w:rPr>
              <w:t>Referencia actualizada a fines de 2015:</w:t>
            </w:r>
          </w:p>
          <w:p w:rsidR="002E3AE7" w:rsidRPr="009136D2" w:rsidRDefault="002E3AE7" w:rsidP="003E0A02">
            <w:pPr>
              <w:rPr>
                <w:rFonts w:eastAsiaTheme="minorHAnsi"/>
                <w:color w:val="002060"/>
                <w:sz w:val="16"/>
                <w:szCs w:val="16"/>
              </w:rPr>
            </w:pPr>
            <w:r w:rsidRPr="009136D2">
              <w:rPr>
                <w:rFonts w:eastAsiaTheme="minorHAnsi"/>
                <w:color w:val="002060"/>
                <w:sz w:val="16"/>
                <w:szCs w:val="16"/>
                <w:lang w:val="es-ES_tradnl"/>
              </w:rPr>
              <w:t>En 2014/15 el 52,6% de los documentos para los comités más importantes se publicaron en todos los idiomas dos meses antes de la respectiva reunión</w:t>
            </w:r>
          </w:p>
          <w:p w:rsidR="002E3AE7" w:rsidRPr="009136D2" w:rsidRDefault="002E3AE7" w:rsidP="003E0A02">
            <w:pPr>
              <w:rPr>
                <w:rFonts w:eastAsiaTheme="minorHAnsi"/>
                <w:color w:val="002060"/>
                <w:sz w:val="16"/>
                <w:szCs w:val="16"/>
              </w:rPr>
            </w:pPr>
            <w:r w:rsidRPr="009136D2">
              <w:rPr>
                <w:rFonts w:eastAsiaTheme="minorHAnsi"/>
                <w:color w:val="002060"/>
                <w:sz w:val="16"/>
                <w:szCs w:val="16"/>
              </w:rPr>
              <w:t>-  2014:  41%</w:t>
            </w:r>
          </w:p>
          <w:p w:rsidR="002E3AE7" w:rsidRPr="009136D2" w:rsidRDefault="002E3AE7" w:rsidP="003E0A02">
            <w:pPr>
              <w:rPr>
                <w:rFonts w:eastAsiaTheme="minorHAnsi"/>
                <w:color w:val="002060"/>
                <w:sz w:val="16"/>
                <w:szCs w:val="16"/>
              </w:rPr>
            </w:pPr>
            <w:r w:rsidRPr="009136D2">
              <w:rPr>
                <w:rFonts w:eastAsiaTheme="minorHAnsi"/>
                <w:color w:val="002060"/>
                <w:sz w:val="16"/>
                <w:szCs w:val="16"/>
              </w:rPr>
              <w:t>-  2015:  69%</w:t>
            </w:r>
          </w:p>
          <w:p w:rsidR="002E3AE7" w:rsidRPr="004C3DA6" w:rsidRDefault="002E3AE7" w:rsidP="003E0A02">
            <w:pPr>
              <w:rPr>
                <w:sz w:val="16"/>
                <w:szCs w:val="16"/>
              </w:rPr>
            </w:pPr>
          </w:p>
          <w:p w:rsidR="002E3AE7" w:rsidRPr="004C3DA6" w:rsidRDefault="002E3AE7" w:rsidP="003E0A02">
            <w:pPr>
              <w:rPr>
                <w:i/>
                <w:sz w:val="16"/>
                <w:szCs w:val="16"/>
                <w:lang w:bidi="th-TH"/>
              </w:rPr>
            </w:pPr>
            <w:r w:rsidRPr="004C3DA6">
              <w:rPr>
                <w:i/>
                <w:sz w:val="16"/>
                <w:szCs w:val="16"/>
                <w:lang w:val="es-ES_tradnl" w:bidi="th-TH"/>
              </w:rPr>
              <w:t>Referencia original en el presupuesto de 2016/17:</w:t>
            </w:r>
            <w:r w:rsidRPr="004C3DA6">
              <w:rPr>
                <w:i/>
                <w:sz w:val="16"/>
                <w:szCs w:val="16"/>
                <w:lang w:bidi="th-TH"/>
              </w:rPr>
              <w:t xml:space="preserve">  </w:t>
            </w:r>
          </w:p>
          <w:p w:rsidR="002E3AE7" w:rsidRPr="004C3DA6" w:rsidRDefault="002E3AE7" w:rsidP="003E0A02">
            <w:pPr>
              <w:spacing w:after="60"/>
              <w:rPr>
                <w:sz w:val="16"/>
                <w:szCs w:val="16"/>
              </w:rPr>
            </w:pPr>
            <w:r w:rsidRPr="004C3DA6">
              <w:rPr>
                <w:sz w:val="16"/>
                <w:szCs w:val="16"/>
                <w:lang w:val="es-ES_tradnl"/>
              </w:rPr>
              <w:t>21% de los documentos publicados en todos los idiomas dos meses antes de la respectiva reunión.</w:t>
            </w:r>
          </w:p>
        </w:tc>
        <w:tc>
          <w:tcPr>
            <w:tcW w:w="758" w:type="pct"/>
            <w:shd w:val="clear" w:color="auto" w:fill="auto"/>
            <w:tcMar>
              <w:top w:w="110" w:type="dxa"/>
              <w:left w:w="58" w:type="dxa"/>
              <w:right w:w="58" w:type="dxa"/>
            </w:tcMar>
          </w:tcPr>
          <w:p w:rsidR="002E3AE7" w:rsidRPr="004C3DA6" w:rsidRDefault="002E3AE7" w:rsidP="003E0A02">
            <w:pPr>
              <w:rPr>
                <w:sz w:val="16"/>
                <w:szCs w:val="16"/>
              </w:rPr>
            </w:pPr>
            <w:r w:rsidRPr="004C3DA6">
              <w:rPr>
                <w:sz w:val="16"/>
                <w:szCs w:val="16"/>
                <w:lang w:val="es-ES_tradnl"/>
              </w:rPr>
              <w:t>65% de los documentos publicados en todos los idiomas dos meses antes de la respectiva  reunión</w:t>
            </w:r>
          </w:p>
        </w:tc>
        <w:tc>
          <w:tcPr>
            <w:tcW w:w="1392" w:type="pct"/>
            <w:shd w:val="clear" w:color="auto" w:fill="FFFFFF"/>
            <w:tcMar>
              <w:top w:w="110" w:type="dxa"/>
              <w:left w:w="58" w:type="dxa"/>
              <w:right w:w="58" w:type="dxa"/>
            </w:tcMar>
          </w:tcPr>
          <w:p w:rsidR="002E3AE7" w:rsidRPr="004C3DA6" w:rsidRDefault="002E3AE7" w:rsidP="003E0A02">
            <w:pPr>
              <w:ind w:right="176"/>
              <w:rPr>
                <w:sz w:val="16"/>
                <w:szCs w:val="16"/>
              </w:rPr>
            </w:pPr>
            <w:r w:rsidRPr="004C3DA6">
              <w:rPr>
                <w:sz w:val="16"/>
                <w:szCs w:val="16"/>
                <w:lang w:val="es-ES_tradnl"/>
              </w:rPr>
              <w:t>51% de los documentos publicados en todos los idiomas dos meses antes de la respectiva  reunión</w:t>
            </w:r>
          </w:p>
        </w:tc>
        <w:tc>
          <w:tcPr>
            <w:tcW w:w="513" w:type="pct"/>
            <w:shd w:val="clear" w:color="auto" w:fill="auto"/>
            <w:tcMar>
              <w:top w:w="110" w:type="dxa"/>
              <w:left w:w="58" w:type="dxa"/>
              <w:right w:w="58" w:type="dxa"/>
            </w:tcMar>
          </w:tcPr>
          <w:p w:rsidR="002E3AE7" w:rsidRPr="004C3DA6" w:rsidRDefault="002E3AE7" w:rsidP="003E0A02">
            <w:pPr>
              <w:ind w:right="176"/>
              <w:jc w:val="center"/>
              <w:rPr>
                <w:sz w:val="16"/>
                <w:szCs w:val="16"/>
              </w:rPr>
            </w:pPr>
            <w:r w:rsidRPr="004C3DA6">
              <w:rPr>
                <w:b/>
                <w:color w:val="FF0000"/>
                <w:sz w:val="16"/>
                <w:szCs w:val="16"/>
                <w:lang w:val="es-ES_tradnl"/>
              </w:rPr>
              <w:t>No avanza</w:t>
            </w:r>
          </w:p>
        </w:tc>
      </w:tr>
      <w:tr w:rsidR="002E3AE7" w:rsidRPr="004C3DA6" w:rsidTr="003E0A02">
        <w:trPr>
          <w:trHeight w:val="462"/>
        </w:trPr>
        <w:tc>
          <w:tcPr>
            <w:tcW w:w="1071" w:type="pct"/>
            <w:shd w:val="clear" w:color="auto" w:fill="auto"/>
            <w:tcMar>
              <w:left w:w="58" w:type="dxa"/>
              <w:right w:w="58" w:type="dxa"/>
            </w:tcMar>
          </w:tcPr>
          <w:p w:rsidR="002E3AE7" w:rsidRPr="004C3DA6" w:rsidRDefault="002E3AE7" w:rsidP="003E0A02">
            <w:pPr>
              <w:ind w:right="176"/>
              <w:rPr>
                <w:sz w:val="16"/>
                <w:szCs w:val="16"/>
              </w:rPr>
            </w:pPr>
            <w:r w:rsidRPr="004C3DA6">
              <w:rPr>
                <w:sz w:val="16"/>
                <w:szCs w:val="16"/>
                <w:lang w:val="es-ES_tradnl"/>
              </w:rPr>
              <w:t>Costo por palabra traducida</w:t>
            </w:r>
          </w:p>
        </w:tc>
        <w:tc>
          <w:tcPr>
            <w:tcW w:w="1267" w:type="pct"/>
            <w:shd w:val="clear" w:color="auto" w:fill="auto"/>
            <w:tcMar>
              <w:left w:w="58" w:type="dxa"/>
              <w:right w:w="58" w:type="dxa"/>
            </w:tcMar>
          </w:tcPr>
          <w:p w:rsidR="002E3AE7" w:rsidRPr="009136D2" w:rsidRDefault="002E3AE7" w:rsidP="003E0A02">
            <w:pPr>
              <w:rPr>
                <w:i/>
                <w:color w:val="002060"/>
                <w:sz w:val="16"/>
                <w:szCs w:val="16"/>
              </w:rPr>
            </w:pPr>
            <w:r w:rsidRPr="009136D2">
              <w:rPr>
                <w:i/>
                <w:color w:val="002060"/>
                <w:sz w:val="16"/>
                <w:szCs w:val="16"/>
                <w:lang w:val="es-ES_tradnl"/>
              </w:rPr>
              <w:t>Referencia actualizada a fines de 2015:</w:t>
            </w:r>
            <w:r w:rsidRPr="009136D2">
              <w:rPr>
                <w:i/>
                <w:color w:val="002060"/>
                <w:sz w:val="16"/>
                <w:szCs w:val="16"/>
              </w:rPr>
              <w:t xml:space="preserve">  </w:t>
            </w:r>
          </w:p>
          <w:p w:rsidR="002E3AE7" w:rsidRPr="009136D2" w:rsidRDefault="002E3AE7" w:rsidP="003E0A02">
            <w:pPr>
              <w:rPr>
                <w:color w:val="002060"/>
                <w:sz w:val="16"/>
                <w:szCs w:val="16"/>
              </w:rPr>
            </w:pPr>
            <w:r w:rsidRPr="009136D2">
              <w:rPr>
                <w:color w:val="002060"/>
                <w:sz w:val="16"/>
                <w:szCs w:val="16"/>
                <w:lang w:val="es-ES_tradnl"/>
              </w:rPr>
              <w:t>El costo por palabra traducida fue de:</w:t>
            </w:r>
            <w:r w:rsidRPr="009136D2">
              <w:rPr>
                <w:color w:val="002060"/>
                <w:sz w:val="16"/>
                <w:szCs w:val="16"/>
              </w:rPr>
              <w:t xml:space="preserve">  </w:t>
            </w:r>
          </w:p>
          <w:p w:rsidR="002E3AE7" w:rsidRPr="009136D2" w:rsidRDefault="002E3AE7" w:rsidP="003E0A02">
            <w:pPr>
              <w:rPr>
                <w:color w:val="002060"/>
                <w:sz w:val="16"/>
                <w:szCs w:val="16"/>
              </w:rPr>
            </w:pPr>
            <w:r w:rsidRPr="009136D2">
              <w:rPr>
                <w:color w:val="002060"/>
                <w:sz w:val="16"/>
                <w:szCs w:val="16"/>
                <w:lang w:val="es-ES_tradnl"/>
              </w:rPr>
              <w:t>- 0,59 francos suizos en 2014 (reducción del 6,3% en comparación con 2013)</w:t>
            </w:r>
          </w:p>
          <w:p w:rsidR="002E3AE7" w:rsidRPr="009136D2" w:rsidRDefault="002E3AE7" w:rsidP="003E0A02">
            <w:pPr>
              <w:rPr>
                <w:color w:val="002060"/>
                <w:sz w:val="16"/>
                <w:szCs w:val="16"/>
              </w:rPr>
            </w:pPr>
            <w:r w:rsidRPr="009136D2">
              <w:rPr>
                <w:color w:val="002060"/>
                <w:sz w:val="16"/>
                <w:szCs w:val="16"/>
                <w:lang w:val="es-ES_tradnl"/>
              </w:rPr>
              <w:t>- 0,57 francos suizos en 2015 (reducción del 3,4% en comparación con 2014)</w:t>
            </w:r>
          </w:p>
          <w:p w:rsidR="002E3AE7" w:rsidRPr="009136D2" w:rsidRDefault="002E3AE7" w:rsidP="003E0A02">
            <w:pPr>
              <w:rPr>
                <w:color w:val="002060"/>
                <w:sz w:val="16"/>
                <w:szCs w:val="16"/>
              </w:rPr>
            </w:pPr>
          </w:p>
          <w:p w:rsidR="002E3AE7" w:rsidRPr="009136D2" w:rsidRDefault="002E3AE7" w:rsidP="003E0A02">
            <w:pPr>
              <w:rPr>
                <w:color w:val="002060"/>
                <w:sz w:val="16"/>
                <w:szCs w:val="16"/>
              </w:rPr>
            </w:pPr>
            <w:r w:rsidRPr="009136D2">
              <w:rPr>
                <w:color w:val="002060"/>
                <w:sz w:val="16"/>
                <w:szCs w:val="16"/>
                <w:lang w:val="es-ES_tradnl"/>
              </w:rPr>
              <w:t>En 2014 se tradujo un total de 15,03 millones de palabras (45.537 páginas estándar de las Naciones Unidas), y 15,32 millones de palabras (46.420 páginas) en 2015.</w:t>
            </w:r>
          </w:p>
          <w:p w:rsidR="002E3AE7" w:rsidRPr="004C3DA6" w:rsidRDefault="002E3AE7" w:rsidP="003E0A02">
            <w:pPr>
              <w:rPr>
                <w:sz w:val="16"/>
                <w:szCs w:val="16"/>
              </w:rPr>
            </w:pPr>
          </w:p>
          <w:p w:rsidR="002E3AE7" w:rsidRPr="004C3DA6" w:rsidRDefault="002E3AE7" w:rsidP="003E0A02">
            <w:pPr>
              <w:rPr>
                <w:i/>
                <w:sz w:val="16"/>
                <w:szCs w:val="16"/>
                <w:lang w:bidi="th-TH"/>
              </w:rPr>
            </w:pPr>
            <w:r w:rsidRPr="004C3DA6">
              <w:rPr>
                <w:i/>
                <w:sz w:val="16"/>
                <w:szCs w:val="16"/>
                <w:lang w:val="es-ES_tradnl" w:bidi="th-TH"/>
              </w:rPr>
              <w:t>Referencia original en el presupuesto de 2016/17:</w:t>
            </w:r>
            <w:r w:rsidRPr="004C3DA6">
              <w:rPr>
                <w:i/>
                <w:sz w:val="16"/>
                <w:szCs w:val="16"/>
                <w:lang w:bidi="th-TH"/>
              </w:rPr>
              <w:t xml:space="preserve">  </w:t>
            </w:r>
          </w:p>
          <w:p w:rsidR="002E3AE7" w:rsidRPr="004C3DA6" w:rsidRDefault="002E3AE7" w:rsidP="003E0A02">
            <w:pPr>
              <w:spacing w:after="60"/>
              <w:rPr>
                <w:sz w:val="16"/>
                <w:szCs w:val="16"/>
              </w:rPr>
            </w:pPr>
            <w:r w:rsidRPr="004C3DA6">
              <w:rPr>
                <w:sz w:val="16"/>
                <w:szCs w:val="16"/>
                <w:lang w:val="es-ES_tradnl"/>
              </w:rPr>
              <w:t>0,59 francos suizos por palabra</w:t>
            </w:r>
          </w:p>
        </w:tc>
        <w:tc>
          <w:tcPr>
            <w:tcW w:w="758" w:type="pct"/>
            <w:shd w:val="clear" w:color="auto" w:fill="auto"/>
            <w:tcMar>
              <w:top w:w="110" w:type="dxa"/>
              <w:left w:w="58" w:type="dxa"/>
              <w:right w:w="58" w:type="dxa"/>
            </w:tcMar>
          </w:tcPr>
          <w:p w:rsidR="002E3AE7" w:rsidRPr="004C3DA6" w:rsidRDefault="002E3AE7" w:rsidP="003E0A02">
            <w:pPr>
              <w:rPr>
                <w:sz w:val="16"/>
                <w:szCs w:val="16"/>
              </w:rPr>
            </w:pPr>
            <w:r w:rsidRPr="004C3DA6">
              <w:rPr>
                <w:sz w:val="16"/>
                <w:szCs w:val="16"/>
                <w:lang w:val="es-ES_tradnl"/>
              </w:rPr>
              <w:t>Mantener el costo</w:t>
            </w:r>
          </w:p>
        </w:tc>
        <w:tc>
          <w:tcPr>
            <w:tcW w:w="1392" w:type="pct"/>
            <w:shd w:val="clear" w:color="auto" w:fill="FFFFFF"/>
            <w:tcMar>
              <w:top w:w="110" w:type="dxa"/>
              <w:left w:w="58" w:type="dxa"/>
              <w:right w:w="58" w:type="dxa"/>
            </w:tcMar>
          </w:tcPr>
          <w:p w:rsidR="002E3AE7" w:rsidRPr="004C3DA6" w:rsidRDefault="002E3AE7" w:rsidP="003E0A02">
            <w:pPr>
              <w:tabs>
                <w:tab w:val="left" w:pos="2500"/>
              </w:tabs>
              <w:ind w:right="47"/>
              <w:rPr>
                <w:sz w:val="16"/>
                <w:szCs w:val="16"/>
              </w:rPr>
            </w:pPr>
            <w:r w:rsidRPr="004C3DA6">
              <w:rPr>
                <w:sz w:val="16"/>
                <w:szCs w:val="16"/>
              </w:rPr>
              <w:t>El costo por palabra traducida se redujo más, hasta 0,55 francos suizos (-3.5% en comparación con 2015)</w:t>
            </w:r>
          </w:p>
          <w:p w:rsidR="002E3AE7" w:rsidRPr="004C3DA6" w:rsidRDefault="002E3AE7" w:rsidP="003E0A02">
            <w:pPr>
              <w:ind w:right="176"/>
              <w:rPr>
                <w:sz w:val="16"/>
                <w:szCs w:val="16"/>
              </w:rPr>
            </w:pPr>
          </w:p>
          <w:p w:rsidR="002E3AE7" w:rsidRPr="004C3DA6" w:rsidRDefault="002E3AE7" w:rsidP="003E0A02">
            <w:pPr>
              <w:ind w:right="176"/>
              <w:rPr>
                <w:sz w:val="16"/>
                <w:szCs w:val="16"/>
              </w:rPr>
            </w:pPr>
            <w:r w:rsidRPr="004C3DA6">
              <w:rPr>
                <w:sz w:val="16"/>
                <w:szCs w:val="16"/>
              </w:rPr>
              <w:t>En total se tradujeron 15,69 millones de palabras (47.554 páginas estándar de las Naciones Unidas) (un 2.6% más en comparación con 2015)</w:t>
            </w:r>
          </w:p>
        </w:tc>
        <w:tc>
          <w:tcPr>
            <w:tcW w:w="513" w:type="pct"/>
            <w:shd w:val="clear" w:color="auto" w:fill="auto"/>
            <w:tcMar>
              <w:top w:w="110" w:type="dxa"/>
              <w:left w:w="58" w:type="dxa"/>
              <w:right w:w="58" w:type="dxa"/>
            </w:tcMar>
          </w:tcPr>
          <w:p w:rsidR="002E3AE7" w:rsidRPr="004C3DA6" w:rsidRDefault="002E3AE7" w:rsidP="003E0A02">
            <w:pPr>
              <w:ind w:right="28"/>
              <w:jc w:val="center"/>
              <w:rPr>
                <w:b/>
                <w:sz w:val="16"/>
                <w:szCs w:val="16"/>
              </w:rPr>
            </w:pPr>
            <w:r w:rsidRPr="004C3DA6">
              <w:rPr>
                <w:b/>
                <w:color w:val="00B050"/>
                <w:sz w:val="16"/>
                <w:szCs w:val="16"/>
                <w:lang w:val="es-ES_tradnl"/>
              </w:rPr>
              <w:t>Avanza</w:t>
            </w: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jc w:val="center"/>
              <w:rPr>
                <w:b/>
                <w:sz w:val="16"/>
                <w:szCs w:val="16"/>
              </w:rPr>
            </w:pPr>
          </w:p>
          <w:p w:rsidR="002E3AE7" w:rsidRPr="004C3DA6" w:rsidRDefault="002E3AE7" w:rsidP="003E0A02">
            <w:pPr>
              <w:ind w:right="28"/>
              <w:rPr>
                <w:sz w:val="16"/>
                <w:szCs w:val="16"/>
              </w:rPr>
            </w:pPr>
            <w:r w:rsidRPr="004C3DA6">
              <w:rPr>
                <w:b/>
                <w:sz w:val="16"/>
                <w:szCs w:val="16"/>
              </w:rPr>
              <w:br/>
            </w:r>
          </w:p>
        </w:tc>
      </w:tr>
    </w:tbl>
    <w:p w:rsidR="002E3AE7" w:rsidRPr="004C3DA6" w:rsidRDefault="002E3AE7">
      <w:pPr>
        <w:rPr>
          <w:sz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287"/>
      </w:tblGrid>
      <w:tr w:rsidR="002E3AE7" w:rsidRPr="004C3DA6" w:rsidTr="00112BA3">
        <w:trPr>
          <w:trHeight w:val="423"/>
          <w:jc w:val="center"/>
        </w:trPr>
        <w:tc>
          <w:tcPr>
            <w:tcW w:w="9287" w:type="dxa"/>
            <w:shd w:val="clear" w:color="auto" w:fill="C6D9F1" w:themeFill="text2" w:themeFillTint="33"/>
            <w:vAlign w:val="center"/>
          </w:tcPr>
          <w:p w:rsidR="002E3AE7" w:rsidRPr="004C3DA6" w:rsidRDefault="002E3AE7" w:rsidP="003E0A02">
            <w:pPr>
              <w:keepNext/>
              <w:keepLines/>
              <w:jc w:val="center"/>
              <w:rPr>
                <w:b/>
                <w:sz w:val="20"/>
              </w:rPr>
            </w:pPr>
            <w:r w:rsidRPr="004C3DA6">
              <w:rPr>
                <w:b/>
                <w:sz w:val="20"/>
                <w:lang w:val="es-ES_tradnl"/>
              </w:rPr>
              <w:lastRenderedPageBreak/>
              <w:t>Utilización de los recursos del programa 27</w:t>
            </w:r>
          </w:p>
        </w:tc>
      </w:tr>
    </w:tbl>
    <w:p w:rsidR="002E3AE7" w:rsidRPr="004C3DA6" w:rsidRDefault="002E3AE7" w:rsidP="003E0A02">
      <w:pPr>
        <w:keepNext/>
        <w:keepLines/>
        <w:rPr>
          <w:sz w:val="20"/>
        </w:rPr>
      </w:pPr>
    </w:p>
    <w:p w:rsidR="002E3AE7" w:rsidRPr="004C3DA6" w:rsidRDefault="002E3AE7" w:rsidP="003E0A02">
      <w:pPr>
        <w:pStyle w:val="NormalWeb"/>
        <w:keepNext/>
        <w:keepLines/>
        <w:spacing w:before="0" w:beforeAutospacing="0" w:after="0" w:afterAutospacing="0"/>
        <w:jc w:val="center"/>
        <w:rPr>
          <w:lang w:val="es-ES"/>
        </w:rPr>
      </w:pPr>
      <w:r w:rsidRPr="004C3DA6">
        <w:rPr>
          <w:lang w:val="es-ES_tradnl"/>
        </w:rPr>
        <w:t>Presupuesto y gastos reales (por resultado)</w:t>
      </w:r>
    </w:p>
    <w:p w:rsidR="002E3AE7" w:rsidRPr="004C3DA6" w:rsidRDefault="002E3AE7" w:rsidP="003E0A02">
      <w:pPr>
        <w:pStyle w:val="NormalWeb"/>
        <w:keepNext/>
        <w:keepLines/>
        <w:spacing w:before="0" w:beforeAutospacing="0" w:after="0" w:afterAutospacing="0"/>
        <w:jc w:val="center"/>
        <w:rPr>
          <w:i/>
          <w:iCs/>
          <w:sz w:val="16"/>
          <w:szCs w:val="16"/>
          <w:lang w:val="es-ES"/>
        </w:rPr>
      </w:pPr>
      <w:r w:rsidRPr="004C3DA6">
        <w:rPr>
          <w:i/>
          <w:iCs/>
          <w:sz w:val="16"/>
          <w:szCs w:val="16"/>
          <w:lang w:val="es-ES_tradnl"/>
        </w:rPr>
        <w:t>(en miles de francos suizos)</w:t>
      </w:r>
    </w:p>
    <w:p w:rsidR="002E3AE7" w:rsidRPr="004C3DA6" w:rsidRDefault="002E3AE7" w:rsidP="003E0A02">
      <w:pPr>
        <w:keepNext/>
        <w:keepLines/>
        <w:rPr>
          <w:sz w:val="20"/>
        </w:rPr>
      </w:pPr>
    </w:p>
    <w:tbl>
      <w:tblPr>
        <w:tblW w:w="8222" w:type="dxa"/>
        <w:jc w:val="center"/>
        <w:tblLook w:val="04A0" w:firstRow="1" w:lastRow="0" w:firstColumn="1" w:lastColumn="0" w:noHBand="0" w:noVBand="1"/>
      </w:tblPr>
      <w:tblGrid>
        <w:gridCol w:w="502"/>
        <w:gridCol w:w="4298"/>
        <w:gridCol w:w="1186"/>
        <w:gridCol w:w="1310"/>
        <w:gridCol w:w="1180"/>
      </w:tblGrid>
      <w:tr w:rsidR="002E3AE7" w:rsidRPr="004C3DA6" w:rsidTr="003E0A02">
        <w:trPr>
          <w:trHeight w:val="825"/>
          <w:jc w:val="center"/>
        </w:trPr>
        <w:tc>
          <w:tcPr>
            <w:tcW w:w="4800" w:type="dxa"/>
            <w:gridSpan w:val="2"/>
            <w:tcBorders>
              <w:top w:val="nil"/>
              <w:left w:val="nil"/>
              <w:bottom w:val="nil"/>
              <w:right w:val="nil"/>
            </w:tcBorders>
            <w:shd w:val="clear" w:color="000000" w:fill="C5D9F1"/>
            <w:noWrap/>
            <w:vAlign w:val="center"/>
            <w:hideMark/>
          </w:tcPr>
          <w:p w:rsidR="002E3AE7" w:rsidRPr="004C3DA6" w:rsidRDefault="002E3AE7" w:rsidP="003E0A02">
            <w:pPr>
              <w:keepNext/>
              <w:keepLines/>
              <w:jc w:val="center"/>
              <w:rPr>
                <w:b/>
                <w:bCs/>
                <w:sz w:val="16"/>
                <w:szCs w:val="16"/>
              </w:rPr>
            </w:pPr>
            <w:r w:rsidRPr="004C3DA6">
              <w:rPr>
                <w:b/>
                <w:bCs/>
                <w:sz w:val="16"/>
                <w:szCs w:val="16"/>
                <w:lang w:val="es-ES_tradnl"/>
              </w:rPr>
              <w:t>Número del resultado previsto y descripción</w:t>
            </w:r>
            <w:r w:rsidRPr="004C3DA6">
              <w:rPr>
                <w:b/>
                <w:bCs/>
                <w:sz w:val="16"/>
                <w:szCs w:val="16"/>
              </w:rPr>
              <w:t xml:space="preserve"> </w:t>
            </w:r>
          </w:p>
        </w:tc>
        <w:tc>
          <w:tcPr>
            <w:tcW w:w="1180" w:type="dxa"/>
            <w:tcBorders>
              <w:top w:val="nil"/>
              <w:left w:val="nil"/>
              <w:bottom w:val="nil"/>
              <w:right w:val="nil"/>
            </w:tcBorders>
            <w:shd w:val="clear" w:color="000000" w:fill="C5D9F1"/>
            <w:vAlign w:val="center"/>
            <w:hideMark/>
          </w:tcPr>
          <w:p w:rsidR="002E3AE7" w:rsidRPr="004C3DA6" w:rsidRDefault="002E3AE7" w:rsidP="003E0A02">
            <w:pPr>
              <w:keepNext/>
              <w:keepLines/>
              <w:jc w:val="center"/>
              <w:rPr>
                <w:b/>
                <w:bCs/>
                <w:sz w:val="16"/>
                <w:szCs w:val="16"/>
              </w:rPr>
            </w:pPr>
            <w:r w:rsidRPr="004C3DA6">
              <w:rPr>
                <w:b/>
                <w:bCs/>
                <w:sz w:val="16"/>
                <w:szCs w:val="16"/>
              </w:rPr>
              <w:t xml:space="preserve"> </w:t>
            </w:r>
            <w:r w:rsidRPr="004C3DA6">
              <w:rPr>
                <w:b/>
                <w:bCs/>
                <w:sz w:val="16"/>
                <w:szCs w:val="16"/>
                <w:lang w:val="es-ES_tradnl"/>
              </w:rPr>
              <w:t>Presupuesto aprobado de 2016/17</w:t>
            </w:r>
            <w:r w:rsidRPr="004C3DA6">
              <w:rPr>
                <w:b/>
                <w:bCs/>
                <w:sz w:val="16"/>
                <w:szCs w:val="16"/>
              </w:rPr>
              <w:t xml:space="preserve"> </w:t>
            </w:r>
          </w:p>
        </w:tc>
        <w:tc>
          <w:tcPr>
            <w:tcW w:w="1180" w:type="dxa"/>
            <w:tcBorders>
              <w:top w:val="nil"/>
              <w:left w:val="nil"/>
              <w:bottom w:val="nil"/>
              <w:right w:val="nil"/>
            </w:tcBorders>
            <w:shd w:val="clear" w:color="000000" w:fill="C5D9F1"/>
            <w:vAlign w:val="center"/>
            <w:hideMark/>
          </w:tcPr>
          <w:p w:rsidR="002E3AE7" w:rsidRPr="004C3DA6" w:rsidRDefault="002E3AE7" w:rsidP="003E0A02">
            <w:pPr>
              <w:keepNext/>
              <w:keepLines/>
              <w:jc w:val="center"/>
              <w:rPr>
                <w:b/>
                <w:bCs/>
                <w:sz w:val="16"/>
                <w:szCs w:val="16"/>
              </w:rPr>
            </w:pPr>
            <w:r w:rsidRPr="004C3DA6">
              <w:rPr>
                <w:b/>
                <w:bCs/>
                <w:sz w:val="16"/>
                <w:szCs w:val="16"/>
              </w:rPr>
              <w:t xml:space="preserve"> </w:t>
            </w:r>
            <w:r w:rsidRPr="004C3DA6">
              <w:rPr>
                <w:b/>
                <w:bCs/>
                <w:sz w:val="16"/>
                <w:szCs w:val="16"/>
                <w:lang w:val="es-ES_tradnl"/>
              </w:rPr>
              <w:t>Presupuesto de 2016/17 tras las transferencias</w:t>
            </w:r>
            <w:r w:rsidRPr="004C3DA6">
              <w:rPr>
                <w:b/>
                <w:bCs/>
                <w:sz w:val="16"/>
                <w:szCs w:val="16"/>
              </w:rPr>
              <w:t xml:space="preserve"> </w:t>
            </w:r>
          </w:p>
        </w:tc>
        <w:tc>
          <w:tcPr>
            <w:tcW w:w="1180" w:type="dxa"/>
            <w:tcBorders>
              <w:top w:val="nil"/>
              <w:left w:val="nil"/>
              <w:bottom w:val="nil"/>
              <w:right w:val="nil"/>
            </w:tcBorders>
            <w:shd w:val="clear" w:color="000000" w:fill="C5D9F1"/>
            <w:vAlign w:val="center"/>
            <w:hideMark/>
          </w:tcPr>
          <w:p w:rsidR="002E3AE7" w:rsidRPr="004C3DA6" w:rsidRDefault="002E3AE7" w:rsidP="003E0A02">
            <w:pPr>
              <w:keepNext/>
              <w:keepLines/>
              <w:jc w:val="center"/>
              <w:rPr>
                <w:b/>
                <w:bCs/>
                <w:sz w:val="16"/>
                <w:szCs w:val="16"/>
              </w:rPr>
            </w:pPr>
            <w:r w:rsidRPr="004C3DA6">
              <w:rPr>
                <w:b/>
                <w:bCs/>
                <w:sz w:val="16"/>
                <w:szCs w:val="16"/>
              </w:rPr>
              <w:t xml:space="preserve"> </w:t>
            </w:r>
            <w:r w:rsidRPr="004C3DA6">
              <w:rPr>
                <w:b/>
                <w:bCs/>
                <w:sz w:val="16"/>
                <w:szCs w:val="16"/>
                <w:lang w:val="es-ES_tradnl"/>
              </w:rPr>
              <w:t>Gastos en 2016*</w:t>
            </w:r>
            <w:r w:rsidRPr="004C3DA6">
              <w:rPr>
                <w:b/>
                <w:bCs/>
                <w:sz w:val="16"/>
                <w:szCs w:val="16"/>
              </w:rPr>
              <w:t xml:space="preserve"> </w:t>
            </w:r>
          </w:p>
        </w:tc>
      </w:tr>
      <w:tr w:rsidR="002E3AE7" w:rsidRPr="004C3DA6" w:rsidTr="003E0A02">
        <w:trPr>
          <w:trHeight w:val="823"/>
          <w:jc w:val="center"/>
        </w:trPr>
        <w:tc>
          <w:tcPr>
            <w:tcW w:w="502" w:type="dxa"/>
            <w:tcBorders>
              <w:top w:val="nil"/>
              <w:left w:val="nil"/>
              <w:bottom w:val="nil"/>
              <w:right w:val="nil"/>
            </w:tcBorders>
            <w:shd w:val="clear" w:color="auto" w:fill="auto"/>
            <w:noWrap/>
            <w:vAlign w:val="center"/>
            <w:hideMark/>
          </w:tcPr>
          <w:p w:rsidR="002E3AE7" w:rsidRPr="004C3DA6" w:rsidRDefault="002E3AE7" w:rsidP="003E0A02">
            <w:pPr>
              <w:keepNext/>
              <w:keepLines/>
              <w:rPr>
                <w:sz w:val="16"/>
                <w:szCs w:val="16"/>
              </w:rPr>
            </w:pPr>
            <w:r w:rsidRPr="004C3DA6">
              <w:rPr>
                <w:sz w:val="16"/>
                <w:szCs w:val="16"/>
              </w:rPr>
              <w:t>IX.1</w:t>
            </w:r>
          </w:p>
        </w:tc>
        <w:tc>
          <w:tcPr>
            <w:tcW w:w="4298" w:type="dxa"/>
            <w:tcBorders>
              <w:top w:val="nil"/>
              <w:left w:val="nil"/>
              <w:bottom w:val="nil"/>
              <w:right w:val="nil"/>
            </w:tcBorders>
            <w:shd w:val="clear" w:color="auto" w:fill="auto"/>
            <w:vAlign w:val="center"/>
            <w:hideMark/>
          </w:tcPr>
          <w:p w:rsidR="002E3AE7" w:rsidRPr="004C3DA6" w:rsidRDefault="002E3AE7" w:rsidP="003E0A02">
            <w:pPr>
              <w:keepNext/>
              <w:keepLines/>
              <w:rPr>
                <w:sz w:val="16"/>
                <w:szCs w:val="16"/>
              </w:rPr>
            </w:pPr>
            <w:r w:rsidRPr="004C3DA6">
              <w:rPr>
                <w:sz w:val="16"/>
                <w:szCs w:val="16"/>
                <w:lang w:val="es-ES_tradnl"/>
              </w:rPr>
              <w:t>Servicios de apoyo eficaces, eficientes, de calidad y orientados al cliente, tanto a los usuarios internos como a las partes interesadas externas</w:t>
            </w:r>
          </w:p>
        </w:tc>
        <w:tc>
          <w:tcPr>
            <w:tcW w:w="1180" w:type="dxa"/>
            <w:tcBorders>
              <w:top w:val="nil"/>
              <w:left w:val="nil"/>
              <w:bottom w:val="nil"/>
              <w:right w:val="nil"/>
            </w:tcBorders>
            <w:shd w:val="clear" w:color="auto" w:fill="auto"/>
            <w:noWrap/>
            <w:vAlign w:val="center"/>
            <w:hideMark/>
          </w:tcPr>
          <w:p w:rsidR="002E3AE7" w:rsidRPr="004C3DA6" w:rsidRDefault="002E3AE7" w:rsidP="003E0A02">
            <w:pPr>
              <w:keepNext/>
              <w:keepLines/>
              <w:jc w:val="center"/>
              <w:rPr>
                <w:sz w:val="16"/>
                <w:szCs w:val="16"/>
              </w:rPr>
            </w:pPr>
            <w:r w:rsidRPr="004C3DA6">
              <w:rPr>
                <w:sz w:val="16"/>
                <w:szCs w:val="16"/>
              </w:rPr>
              <w:t>38.925</w:t>
            </w:r>
          </w:p>
        </w:tc>
        <w:tc>
          <w:tcPr>
            <w:tcW w:w="1180" w:type="dxa"/>
            <w:tcBorders>
              <w:top w:val="nil"/>
              <w:left w:val="nil"/>
              <w:bottom w:val="nil"/>
              <w:right w:val="nil"/>
            </w:tcBorders>
            <w:shd w:val="clear" w:color="auto" w:fill="auto"/>
            <w:noWrap/>
            <w:vAlign w:val="center"/>
            <w:hideMark/>
          </w:tcPr>
          <w:p w:rsidR="002E3AE7" w:rsidRPr="004C3DA6" w:rsidRDefault="002E3AE7" w:rsidP="003E0A02">
            <w:pPr>
              <w:keepNext/>
              <w:keepLines/>
              <w:jc w:val="center"/>
              <w:rPr>
                <w:sz w:val="16"/>
                <w:szCs w:val="16"/>
              </w:rPr>
            </w:pPr>
            <w:r w:rsidRPr="004C3DA6">
              <w:rPr>
                <w:sz w:val="16"/>
                <w:szCs w:val="16"/>
              </w:rPr>
              <w:t>38.622</w:t>
            </w:r>
          </w:p>
        </w:tc>
        <w:tc>
          <w:tcPr>
            <w:tcW w:w="1180" w:type="dxa"/>
            <w:tcBorders>
              <w:top w:val="nil"/>
              <w:left w:val="nil"/>
              <w:bottom w:val="nil"/>
              <w:right w:val="nil"/>
            </w:tcBorders>
            <w:shd w:val="clear" w:color="auto" w:fill="auto"/>
            <w:noWrap/>
            <w:vAlign w:val="center"/>
            <w:hideMark/>
          </w:tcPr>
          <w:p w:rsidR="002E3AE7" w:rsidRPr="004C3DA6" w:rsidRDefault="002E3AE7" w:rsidP="003E0A02">
            <w:pPr>
              <w:keepNext/>
              <w:keepLines/>
              <w:jc w:val="center"/>
              <w:rPr>
                <w:sz w:val="16"/>
                <w:szCs w:val="16"/>
              </w:rPr>
            </w:pPr>
            <w:r w:rsidRPr="004C3DA6">
              <w:rPr>
                <w:sz w:val="16"/>
                <w:szCs w:val="16"/>
              </w:rPr>
              <w:t>17.609</w:t>
            </w:r>
          </w:p>
        </w:tc>
      </w:tr>
      <w:tr w:rsidR="002E3AE7" w:rsidRPr="004C3DA6" w:rsidTr="003E0A02">
        <w:trPr>
          <w:trHeight w:val="850"/>
          <w:jc w:val="center"/>
        </w:trPr>
        <w:tc>
          <w:tcPr>
            <w:tcW w:w="502" w:type="dxa"/>
            <w:tcBorders>
              <w:top w:val="nil"/>
              <w:left w:val="nil"/>
              <w:bottom w:val="nil"/>
              <w:right w:val="nil"/>
            </w:tcBorders>
            <w:shd w:val="clear" w:color="auto" w:fill="auto"/>
            <w:noWrap/>
            <w:vAlign w:val="center"/>
            <w:hideMark/>
          </w:tcPr>
          <w:p w:rsidR="002E3AE7" w:rsidRPr="004C3DA6" w:rsidRDefault="002E3AE7" w:rsidP="003E0A02">
            <w:pPr>
              <w:keepNext/>
              <w:keepLines/>
              <w:rPr>
                <w:sz w:val="16"/>
                <w:szCs w:val="16"/>
              </w:rPr>
            </w:pPr>
            <w:r w:rsidRPr="004C3DA6">
              <w:rPr>
                <w:sz w:val="16"/>
                <w:szCs w:val="16"/>
              </w:rPr>
              <w:t>IX.4</w:t>
            </w:r>
          </w:p>
        </w:tc>
        <w:tc>
          <w:tcPr>
            <w:tcW w:w="4298" w:type="dxa"/>
            <w:tcBorders>
              <w:top w:val="nil"/>
              <w:left w:val="nil"/>
              <w:bottom w:val="nil"/>
              <w:right w:val="nil"/>
            </w:tcBorders>
            <w:shd w:val="clear" w:color="auto" w:fill="auto"/>
            <w:vAlign w:val="center"/>
            <w:hideMark/>
          </w:tcPr>
          <w:p w:rsidR="002E3AE7" w:rsidRPr="004C3DA6" w:rsidRDefault="002E3AE7" w:rsidP="003E0A02">
            <w:pPr>
              <w:keepNext/>
              <w:keepLines/>
              <w:rPr>
                <w:sz w:val="16"/>
                <w:szCs w:val="16"/>
              </w:rPr>
            </w:pPr>
            <w:r w:rsidRPr="004C3DA6">
              <w:rPr>
                <w:sz w:val="16"/>
                <w:szCs w:val="16"/>
                <w:lang w:val="es-ES_tradnl"/>
              </w:rPr>
              <w:t>Una Organización responsable con el medio ambiente y la sociedad en la que se garantiza la seguridad del personal de la OMPI, los delegados, los visitantes, la información y los activos físicos</w:t>
            </w:r>
          </w:p>
        </w:tc>
        <w:tc>
          <w:tcPr>
            <w:tcW w:w="1180" w:type="dxa"/>
            <w:tcBorders>
              <w:top w:val="nil"/>
              <w:left w:val="nil"/>
              <w:bottom w:val="nil"/>
              <w:right w:val="nil"/>
            </w:tcBorders>
            <w:shd w:val="clear" w:color="auto" w:fill="auto"/>
            <w:noWrap/>
            <w:vAlign w:val="center"/>
            <w:hideMark/>
          </w:tcPr>
          <w:p w:rsidR="002E3AE7" w:rsidRPr="004C3DA6" w:rsidRDefault="002E3AE7" w:rsidP="003E0A02">
            <w:pPr>
              <w:keepNext/>
              <w:keepLines/>
              <w:jc w:val="center"/>
              <w:rPr>
                <w:sz w:val="16"/>
                <w:szCs w:val="16"/>
              </w:rPr>
            </w:pPr>
            <w:r w:rsidRPr="004C3DA6">
              <w:rPr>
                <w:sz w:val="16"/>
                <w:szCs w:val="16"/>
              </w:rPr>
              <w:t>0</w:t>
            </w:r>
          </w:p>
        </w:tc>
        <w:tc>
          <w:tcPr>
            <w:tcW w:w="1180" w:type="dxa"/>
            <w:tcBorders>
              <w:top w:val="nil"/>
              <w:left w:val="nil"/>
              <w:bottom w:val="nil"/>
              <w:right w:val="nil"/>
            </w:tcBorders>
            <w:shd w:val="clear" w:color="auto" w:fill="auto"/>
            <w:noWrap/>
            <w:vAlign w:val="center"/>
            <w:hideMark/>
          </w:tcPr>
          <w:p w:rsidR="002E3AE7" w:rsidRPr="004C3DA6" w:rsidRDefault="002E3AE7" w:rsidP="003E0A02">
            <w:pPr>
              <w:keepNext/>
              <w:keepLines/>
              <w:jc w:val="center"/>
              <w:rPr>
                <w:sz w:val="16"/>
                <w:szCs w:val="16"/>
              </w:rPr>
            </w:pPr>
            <w:r w:rsidRPr="004C3DA6">
              <w:rPr>
                <w:sz w:val="16"/>
                <w:szCs w:val="16"/>
              </w:rPr>
              <w:t>39</w:t>
            </w:r>
          </w:p>
        </w:tc>
        <w:tc>
          <w:tcPr>
            <w:tcW w:w="1180" w:type="dxa"/>
            <w:tcBorders>
              <w:top w:val="nil"/>
              <w:left w:val="nil"/>
              <w:bottom w:val="nil"/>
              <w:right w:val="nil"/>
            </w:tcBorders>
            <w:shd w:val="clear" w:color="auto" w:fill="auto"/>
            <w:noWrap/>
            <w:vAlign w:val="center"/>
            <w:hideMark/>
          </w:tcPr>
          <w:p w:rsidR="002E3AE7" w:rsidRPr="004C3DA6" w:rsidRDefault="002E3AE7" w:rsidP="003E0A02">
            <w:pPr>
              <w:keepNext/>
              <w:keepLines/>
              <w:jc w:val="center"/>
              <w:rPr>
                <w:sz w:val="16"/>
                <w:szCs w:val="16"/>
              </w:rPr>
            </w:pPr>
            <w:r w:rsidRPr="004C3DA6">
              <w:rPr>
                <w:sz w:val="16"/>
                <w:szCs w:val="16"/>
              </w:rPr>
              <w:t>0</w:t>
            </w:r>
          </w:p>
        </w:tc>
      </w:tr>
      <w:tr w:rsidR="002E3AE7" w:rsidRPr="004C3DA6" w:rsidTr="003E0A02">
        <w:trPr>
          <w:trHeight w:val="225"/>
          <w:jc w:val="center"/>
        </w:trPr>
        <w:tc>
          <w:tcPr>
            <w:tcW w:w="502" w:type="dxa"/>
            <w:tcBorders>
              <w:top w:val="nil"/>
              <w:left w:val="nil"/>
              <w:bottom w:val="nil"/>
              <w:right w:val="nil"/>
            </w:tcBorders>
            <w:shd w:val="clear" w:color="000000" w:fill="C5D9F1"/>
            <w:noWrap/>
            <w:vAlign w:val="bottom"/>
            <w:hideMark/>
          </w:tcPr>
          <w:p w:rsidR="002E3AE7" w:rsidRPr="004C3DA6" w:rsidRDefault="002E3AE7" w:rsidP="003E0A02">
            <w:pPr>
              <w:keepNext/>
              <w:keepLines/>
              <w:rPr>
                <w:sz w:val="16"/>
                <w:szCs w:val="16"/>
              </w:rPr>
            </w:pPr>
            <w:r w:rsidRPr="004C3DA6">
              <w:rPr>
                <w:sz w:val="16"/>
                <w:szCs w:val="16"/>
              </w:rPr>
              <w:t> </w:t>
            </w:r>
          </w:p>
        </w:tc>
        <w:tc>
          <w:tcPr>
            <w:tcW w:w="4298" w:type="dxa"/>
            <w:tcBorders>
              <w:top w:val="nil"/>
              <w:left w:val="nil"/>
              <w:bottom w:val="nil"/>
              <w:right w:val="nil"/>
            </w:tcBorders>
            <w:shd w:val="clear" w:color="000000" w:fill="C5D9F1"/>
            <w:noWrap/>
            <w:vAlign w:val="bottom"/>
            <w:hideMark/>
          </w:tcPr>
          <w:p w:rsidR="002E3AE7" w:rsidRPr="004C3DA6" w:rsidRDefault="002E3AE7" w:rsidP="003E0A02">
            <w:pPr>
              <w:keepNext/>
              <w:keepLines/>
              <w:jc w:val="right"/>
              <w:rPr>
                <w:b/>
                <w:bCs/>
                <w:sz w:val="16"/>
                <w:szCs w:val="16"/>
              </w:rPr>
            </w:pPr>
            <w:r w:rsidRPr="004C3DA6">
              <w:rPr>
                <w:b/>
                <w:bCs/>
                <w:sz w:val="16"/>
                <w:szCs w:val="16"/>
                <w:lang w:val="es-ES_tradnl"/>
              </w:rPr>
              <w:t>Total</w:t>
            </w:r>
          </w:p>
        </w:tc>
        <w:tc>
          <w:tcPr>
            <w:tcW w:w="1180" w:type="dxa"/>
            <w:tcBorders>
              <w:top w:val="nil"/>
              <w:left w:val="nil"/>
              <w:bottom w:val="nil"/>
              <w:right w:val="nil"/>
            </w:tcBorders>
            <w:shd w:val="clear" w:color="000000" w:fill="C5D9F1"/>
            <w:noWrap/>
            <w:vAlign w:val="center"/>
            <w:hideMark/>
          </w:tcPr>
          <w:p w:rsidR="002E3AE7" w:rsidRPr="004C3DA6" w:rsidRDefault="002E3AE7" w:rsidP="003E0A02">
            <w:pPr>
              <w:keepNext/>
              <w:keepLines/>
              <w:jc w:val="center"/>
              <w:rPr>
                <w:sz w:val="16"/>
                <w:szCs w:val="16"/>
              </w:rPr>
            </w:pPr>
            <w:r w:rsidRPr="004C3DA6">
              <w:rPr>
                <w:sz w:val="16"/>
                <w:szCs w:val="16"/>
              </w:rPr>
              <w:t>38.925</w:t>
            </w:r>
          </w:p>
        </w:tc>
        <w:tc>
          <w:tcPr>
            <w:tcW w:w="1180" w:type="dxa"/>
            <w:tcBorders>
              <w:top w:val="nil"/>
              <w:left w:val="nil"/>
              <w:bottom w:val="nil"/>
              <w:right w:val="nil"/>
            </w:tcBorders>
            <w:shd w:val="clear" w:color="000000" w:fill="C5D9F1"/>
            <w:noWrap/>
            <w:vAlign w:val="center"/>
            <w:hideMark/>
          </w:tcPr>
          <w:p w:rsidR="002E3AE7" w:rsidRPr="004C3DA6" w:rsidRDefault="002E3AE7" w:rsidP="003E0A02">
            <w:pPr>
              <w:keepNext/>
              <w:keepLines/>
              <w:jc w:val="center"/>
              <w:rPr>
                <w:sz w:val="16"/>
                <w:szCs w:val="16"/>
              </w:rPr>
            </w:pPr>
            <w:r w:rsidRPr="004C3DA6">
              <w:rPr>
                <w:sz w:val="16"/>
                <w:szCs w:val="16"/>
              </w:rPr>
              <w:t>38.661</w:t>
            </w:r>
          </w:p>
        </w:tc>
        <w:tc>
          <w:tcPr>
            <w:tcW w:w="1180" w:type="dxa"/>
            <w:tcBorders>
              <w:top w:val="nil"/>
              <w:left w:val="nil"/>
              <w:bottom w:val="nil"/>
              <w:right w:val="nil"/>
            </w:tcBorders>
            <w:shd w:val="clear" w:color="000000" w:fill="C5D9F1"/>
            <w:noWrap/>
            <w:vAlign w:val="center"/>
            <w:hideMark/>
          </w:tcPr>
          <w:p w:rsidR="002E3AE7" w:rsidRPr="004C3DA6" w:rsidRDefault="002E3AE7" w:rsidP="003E0A02">
            <w:pPr>
              <w:keepNext/>
              <w:keepLines/>
              <w:jc w:val="center"/>
              <w:rPr>
                <w:sz w:val="16"/>
                <w:szCs w:val="16"/>
              </w:rPr>
            </w:pPr>
            <w:r w:rsidRPr="004C3DA6">
              <w:rPr>
                <w:sz w:val="16"/>
                <w:szCs w:val="16"/>
              </w:rPr>
              <w:t>17.609</w:t>
            </w:r>
          </w:p>
        </w:tc>
      </w:tr>
      <w:tr w:rsidR="002E3AE7" w:rsidRPr="004C3DA6" w:rsidTr="003E0A02">
        <w:trPr>
          <w:trHeight w:val="330"/>
          <w:jc w:val="center"/>
        </w:trPr>
        <w:tc>
          <w:tcPr>
            <w:tcW w:w="7160" w:type="dxa"/>
            <w:gridSpan w:val="4"/>
            <w:tcBorders>
              <w:top w:val="nil"/>
              <w:left w:val="nil"/>
              <w:bottom w:val="nil"/>
              <w:right w:val="nil"/>
            </w:tcBorders>
            <w:shd w:val="clear" w:color="auto" w:fill="auto"/>
            <w:noWrap/>
            <w:vAlign w:val="center"/>
            <w:hideMark/>
          </w:tcPr>
          <w:p w:rsidR="002E3AE7" w:rsidRPr="004C3DA6" w:rsidRDefault="002E3AE7" w:rsidP="003E0A02">
            <w:pPr>
              <w:keepNext/>
              <w:keepLines/>
              <w:rPr>
                <w:i/>
                <w:iCs/>
                <w:sz w:val="16"/>
                <w:szCs w:val="16"/>
              </w:rPr>
            </w:pPr>
            <w:r w:rsidRPr="004C3DA6">
              <w:rPr>
                <w:i/>
                <w:iCs/>
                <w:sz w:val="16"/>
                <w:szCs w:val="16"/>
                <w:lang w:val="es-ES_tradnl"/>
              </w:rPr>
              <w:t>*Las cifras de gastos en 2016 son preliminares, a reserva de verificación por el Auditor Externo.</w:t>
            </w:r>
          </w:p>
        </w:tc>
        <w:tc>
          <w:tcPr>
            <w:tcW w:w="1180" w:type="dxa"/>
            <w:tcBorders>
              <w:top w:val="nil"/>
              <w:left w:val="nil"/>
              <w:bottom w:val="nil"/>
              <w:right w:val="nil"/>
            </w:tcBorders>
            <w:shd w:val="clear" w:color="auto" w:fill="auto"/>
            <w:noWrap/>
            <w:vAlign w:val="center"/>
            <w:hideMark/>
          </w:tcPr>
          <w:p w:rsidR="002E3AE7" w:rsidRPr="004C3DA6" w:rsidRDefault="002E3AE7" w:rsidP="003E0A02">
            <w:pPr>
              <w:keepNext/>
              <w:keepLines/>
              <w:rPr>
                <w:sz w:val="16"/>
                <w:szCs w:val="16"/>
              </w:rPr>
            </w:pPr>
          </w:p>
        </w:tc>
      </w:tr>
    </w:tbl>
    <w:p w:rsidR="002E3AE7" w:rsidRPr="004C3DA6" w:rsidRDefault="002E3AE7" w:rsidP="003E0A02">
      <w:pPr>
        <w:rPr>
          <w:sz w:val="20"/>
        </w:rPr>
      </w:pPr>
    </w:p>
    <w:p w:rsidR="002E3AE7" w:rsidRPr="004C3DA6" w:rsidRDefault="002E3AE7" w:rsidP="003E0A02">
      <w:pPr>
        <w:pStyle w:val="NormalWeb"/>
        <w:keepNext/>
        <w:keepLines/>
        <w:spacing w:before="0" w:beforeAutospacing="0" w:after="0" w:afterAutospacing="0"/>
        <w:jc w:val="center"/>
        <w:rPr>
          <w:lang w:val="es-ES"/>
        </w:rPr>
      </w:pPr>
      <w:r w:rsidRPr="004C3DA6">
        <w:rPr>
          <w:lang w:val="es-ES_tradnl"/>
        </w:rPr>
        <w:t>Presupuesto y gastos reales (de personal y no relativos a personal)</w:t>
      </w:r>
      <w:r w:rsidRPr="004C3DA6">
        <w:rPr>
          <w:lang w:val="es-ES"/>
        </w:rPr>
        <w:t xml:space="preserve"> </w:t>
      </w:r>
    </w:p>
    <w:p w:rsidR="002E3AE7" w:rsidRPr="004C3DA6" w:rsidRDefault="002E3AE7" w:rsidP="003E0A02">
      <w:pPr>
        <w:pStyle w:val="NormalWeb"/>
        <w:keepNext/>
        <w:keepLines/>
        <w:spacing w:before="0" w:beforeAutospacing="0" w:after="0" w:afterAutospacing="0"/>
        <w:jc w:val="center"/>
        <w:rPr>
          <w:i/>
          <w:iCs/>
          <w:sz w:val="16"/>
          <w:szCs w:val="16"/>
          <w:lang w:val="es-ES"/>
        </w:rPr>
      </w:pPr>
      <w:r w:rsidRPr="004C3DA6">
        <w:rPr>
          <w:i/>
          <w:iCs/>
          <w:sz w:val="16"/>
          <w:szCs w:val="16"/>
          <w:lang w:val="es-ES_tradnl"/>
        </w:rPr>
        <w:t>(en miles de francos suizos)</w:t>
      </w:r>
    </w:p>
    <w:p w:rsidR="002E3AE7" w:rsidRPr="004C3DA6" w:rsidRDefault="002E3AE7" w:rsidP="003E0A02">
      <w:pPr>
        <w:rPr>
          <w:sz w:val="20"/>
        </w:rPr>
      </w:pPr>
    </w:p>
    <w:tbl>
      <w:tblPr>
        <w:tblW w:w="8120" w:type="dxa"/>
        <w:jc w:val="center"/>
        <w:tblInd w:w="93" w:type="dxa"/>
        <w:tblLook w:val="04A0" w:firstRow="1" w:lastRow="0" w:firstColumn="1" w:lastColumn="0" w:noHBand="0" w:noVBand="1"/>
      </w:tblPr>
      <w:tblGrid>
        <w:gridCol w:w="2440"/>
        <w:gridCol w:w="1420"/>
        <w:gridCol w:w="1420"/>
        <w:gridCol w:w="1420"/>
        <w:gridCol w:w="1420"/>
      </w:tblGrid>
      <w:tr w:rsidR="002E3AE7" w:rsidRPr="004C3DA6"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4C3DA6" w:rsidRDefault="002E3AE7" w:rsidP="003E0A02">
            <w:pPr>
              <w:rPr>
                <w:sz w:val="16"/>
                <w:szCs w:val="16"/>
              </w:rPr>
            </w:pPr>
            <w:r w:rsidRPr="004C3DA6">
              <w:rPr>
                <w:sz w:val="16"/>
                <w:szCs w:val="16"/>
              </w:rPr>
              <w:t> </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lang w:val="es-ES_tradnl"/>
              </w:rPr>
              <w:t>Presupuesto aprobado de 2016/17</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lang w:val="es-ES_tradnl"/>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lang w:val="es-ES_tradnl"/>
              </w:rPr>
              <w:t>Gastos en 2016*</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lang w:val="es-ES_tradnl"/>
              </w:rPr>
              <w:t>Índice de utilización (%)</w:t>
            </w:r>
          </w:p>
        </w:tc>
      </w:tr>
      <w:tr w:rsidR="002E3AE7" w:rsidRPr="004C3DA6"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4C3DA6" w:rsidRDefault="002E3AE7" w:rsidP="003E0A02">
            <w:pPr>
              <w:rPr>
                <w:sz w:val="16"/>
                <w:szCs w:val="16"/>
              </w:rPr>
            </w:pPr>
            <w:r w:rsidRPr="004C3DA6">
              <w:rPr>
                <w:sz w:val="16"/>
                <w:szCs w:val="16"/>
              </w:rPr>
              <w:t xml:space="preserve"> </w:t>
            </w:r>
            <w:r w:rsidRPr="004C3DA6">
              <w:rPr>
                <w:sz w:val="16"/>
                <w:szCs w:val="16"/>
                <w:lang w:val="es-ES_tradnl"/>
              </w:rPr>
              <w:t>Recursos de personal</w:t>
            </w:r>
            <w:r w:rsidRPr="004C3DA6">
              <w:rPr>
                <w:sz w:val="16"/>
                <w:szCs w:val="16"/>
              </w:rPr>
              <w:t xml:space="preserve">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 xml:space="preserve">29.571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 xml:space="preserve">28.834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 xml:space="preserve">13.024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45%</w:t>
            </w:r>
          </w:p>
        </w:tc>
      </w:tr>
      <w:tr w:rsidR="002E3AE7" w:rsidRPr="004C3DA6"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4C3DA6" w:rsidRDefault="002E3AE7" w:rsidP="003E0A02">
            <w:pPr>
              <w:rPr>
                <w:sz w:val="16"/>
                <w:szCs w:val="16"/>
              </w:rPr>
            </w:pPr>
            <w:r w:rsidRPr="004C3DA6">
              <w:rPr>
                <w:sz w:val="16"/>
                <w:szCs w:val="16"/>
              </w:rPr>
              <w:t xml:space="preserve"> </w:t>
            </w:r>
            <w:r w:rsidRPr="004C3DA6">
              <w:rPr>
                <w:sz w:val="16"/>
                <w:szCs w:val="16"/>
                <w:lang w:val="es-ES_tradnl"/>
              </w:rPr>
              <w:t>Recursos no relativos a personal</w:t>
            </w:r>
            <w:r w:rsidRPr="004C3DA6">
              <w:rPr>
                <w:sz w:val="16"/>
                <w:szCs w:val="16"/>
              </w:rPr>
              <w:t xml:space="preserve">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 xml:space="preserve">9.354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 xml:space="preserve">9.826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 xml:space="preserve">4.585 </w:t>
            </w:r>
          </w:p>
        </w:tc>
        <w:tc>
          <w:tcPr>
            <w:tcW w:w="1420" w:type="dxa"/>
            <w:tcBorders>
              <w:top w:val="nil"/>
              <w:left w:val="nil"/>
              <w:bottom w:val="nil"/>
              <w:right w:val="nil"/>
            </w:tcBorders>
            <w:shd w:val="clear" w:color="auto" w:fill="auto"/>
            <w:vAlign w:val="center"/>
            <w:hideMark/>
          </w:tcPr>
          <w:p w:rsidR="002E3AE7" w:rsidRPr="004C3DA6" w:rsidRDefault="002E3AE7" w:rsidP="003E0A02">
            <w:pPr>
              <w:jc w:val="center"/>
              <w:rPr>
                <w:sz w:val="16"/>
                <w:szCs w:val="16"/>
              </w:rPr>
            </w:pPr>
            <w:r w:rsidRPr="004C3DA6">
              <w:rPr>
                <w:sz w:val="16"/>
                <w:szCs w:val="16"/>
              </w:rPr>
              <w:t>47%</w:t>
            </w:r>
          </w:p>
        </w:tc>
      </w:tr>
      <w:tr w:rsidR="002E3AE7" w:rsidRPr="004C3DA6"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4C3DA6" w:rsidRDefault="002E3AE7" w:rsidP="003E0A02">
            <w:pPr>
              <w:jc w:val="right"/>
              <w:rPr>
                <w:b/>
                <w:bCs/>
                <w:sz w:val="16"/>
                <w:szCs w:val="16"/>
              </w:rPr>
            </w:pPr>
            <w:r w:rsidRPr="004C3DA6">
              <w:rPr>
                <w:b/>
                <w:bCs/>
                <w:sz w:val="16"/>
                <w:szCs w:val="16"/>
              </w:rPr>
              <w:t xml:space="preserve"> </w:t>
            </w:r>
            <w:r w:rsidRPr="004C3DA6">
              <w:rPr>
                <w:b/>
                <w:bCs/>
                <w:sz w:val="16"/>
                <w:szCs w:val="16"/>
                <w:lang w:val="es-ES_tradnl"/>
              </w:rPr>
              <w:t>Total</w:t>
            </w:r>
            <w:r w:rsidRPr="004C3DA6">
              <w:rPr>
                <w:b/>
                <w:bCs/>
                <w:sz w:val="16"/>
                <w:szCs w:val="16"/>
              </w:rPr>
              <w:t xml:space="preserve"> </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rPr>
              <w:t xml:space="preserve">38.925 </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rPr>
              <w:t xml:space="preserve">38.661 </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rPr>
              <w:t xml:space="preserve">17.609 </w:t>
            </w:r>
          </w:p>
        </w:tc>
        <w:tc>
          <w:tcPr>
            <w:tcW w:w="1420" w:type="dxa"/>
            <w:tcBorders>
              <w:top w:val="nil"/>
              <w:left w:val="nil"/>
              <w:bottom w:val="nil"/>
              <w:right w:val="nil"/>
            </w:tcBorders>
            <w:shd w:val="clear" w:color="000000" w:fill="C5D9F1"/>
            <w:vAlign w:val="center"/>
            <w:hideMark/>
          </w:tcPr>
          <w:p w:rsidR="002E3AE7" w:rsidRPr="004C3DA6" w:rsidRDefault="002E3AE7" w:rsidP="003E0A02">
            <w:pPr>
              <w:jc w:val="center"/>
              <w:rPr>
                <w:b/>
                <w:bCs/>
                <w:sz w:val="16"/>
                <w:szCs w:val="16"/>
              </w:rPr>
            </w:pPr>
            <w:r w:rsidRPr="004C3DA6">
              <w:rPr>
                <w:b/>
                <w:bCs/>
                <w:sz w:val="16"/>
                <w:szCs w:val="16"/>
              </w:rPr>
              <w:t>46%</w:t>
            </w:r>
          </w:p>
        </w:tc>
      </w:tr>
      <w:tr w:rsidR="002E3AE7" w:rsidRPr="004C3DA6"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4C3DA6" w:rsidRDefault="002E3AE7" w:rsidP="003E0A02">
            <w:pPr>
              <w:rPr>
                <w:i/>
                <w:iCs/>
                <w:sz w:val="16"/>
                <w:szCs w:val="16"/>
              </w:rPr>
            </w:pPr>
            <w:r w:rsidRPr="004C3DA6">
              <w:rPr>
                <w:i/>
                <w:iCs/>
                <w:sz w:val="16"/>
                <w:szCs w:val="16"/>
              </w:rPr>
              <w:t xml:space="preserve"> </w:t>
            </w:r>
            <w:r w:rsidRPr="004C3DA6">
              <w:rPr>
                <w:i/>
                <w:iCs/>
                <w:sz w:val="16"/>
                <w:szCs w:val="16"/>
                <w:lang w:val="es-ES_tradnl"/>
              </w:rPr>
              <w:t>*Las cifras de gastos en 2016 son preliminares, a reserva de verificación por el Auditor Externo</w:t>
            </w:r>
            <w:r w:rsidRPr="004C3DA6">
              <w:rPr>
                <w:i/>
                <w:iCs/>
                <w:sz w:val="16"/>
                <w:szCs w:val="16"/>
              </w:rPr>
              <w:t>.</w:t>
            </w:r>
          </w:p>
        </w:tc>
      </w:tr>
    </w:tbl>
    <w:p w:rsidR="002E3AE7" w:rsidRPr="004C3DA6" w:rsidRDefault="002E3AE7" w:rsidP="003E0A02">
      <w:pPr>
        <w:jc w:val="center"/>
        <w:rPr>
          <w:sz w:val="20"/>
        </w:rPr>
      </w:pPr>
    </w:p>
    <w:p w:rsidR="002E3AE7" w:rsidRPr="004C3DA6" w:rsidRDefault="002E3AE7" w:rsidP="003E0A02">
      <w:pPr>
        <w:keepNext/>
        <w:keepLines/>
        <w:ind w:left="567" w:right="282"/>
        <w:rPr>
          <w:i/>
          <w:sz w:val="16"/>
          <w:szCs w:val="16"/>
        </w:rPr>
      </w:pPr>
      <w:r w:rsidRPr="004C3DA6">
        <w:rPr>
          <w:i/>
          <w:sz w:val="16"/>
          <w:szCs w:val="16"/>
          <w:lang w:val="es-ES_tradnl"/>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4C3DA6" w:rsidRDefault="002E3AE7" w:rsidP="003E0A02">
      <w:pPr>
        <w:rPr>
          <w:sz w:val="20"/>
        </w:rPr>
      </w:pPr>
    </w:p>
    <w:p w:rsidR="002E3AE7" w:rsidRPr="004C3DA6" w:rsidRDefault="002E3AE7" w:rsidP="003E0A02">
      <w:pPr>
        <w:jc w:val="both"/>
        <w:rPr>
          <w:sz w:val="20"/>
        </w:rPr>
      </w:pPr>
    </w:p>
    <w:p w:rsidR="002E3AE7" w:rsidRPr="004C3DA6" w:rsidRDefault="002E3AE7" w:rsidP="003E0A02">
      <w:pPr>
        <w:jc w:val="both"/>
        <w:rPr>
          <w:sz w:val="20"/>
          <w:u w:val="single"/>
        </w:rPr>
      </w:pPr>
      <w:r w:rsidRPr="004C3DA6">
        <w:rPr>
          <w:sz w:val="20"/>
          <w:lang w:val="es-ES_tradnl"/>
        </w:rPr>
        <w:t>A.</w:t>
      </w:r>
      <w:r w:rsidRPr="004C3DA6">
        <w:rPr>
          <w:sz w:val="20"/>
          <w:lang w:val="es-ES_tradnl"/>
        </w:rPr>
        <w:tab/>
      </w:r>
      <w:r w:rsidRPr="004C3DA6">
        <w:rPr>
          <w:sz w:val="20"/>
          <w:u w:val="single"/>
          <w:lang w:val="es-ES_tradnl"/>
        </w:rPr>
        <w:t>Presupuesto de 2016/17 tras las transferencias</w:t>
      </w:r>
    </w:p>
    <w:p w:rsidR="002E3AE7" w:rsidRPr="004C3DA6" w:rsidRDefault="002E3AE7" w:rsidP="003E0A02">
      <w:pPr>
        <w:jc w:val="both"/>
        <w:rPr>
          <w:sz w:val="20"/>
        </w:rPr>
      </w:pPr>
    </w:p>
    <w:p w:rsidR="002E3AE7" w:rsidRPr="004C3DA6" w:rsidRDefault="002E3AE7" w:rsidP="002E3AE7">
      <w:pPr>
        <w:pStyle w:val="ListParagraph"/>
        <w:numPr>
          <w:ilvl w:val="0"/>
          <w:numId w:val="101"/>
        </w:numPr>
        <w:ind w:left="0" w:firstLine="0"/>
        <w:jc w:val="both"/>
        <w:rPr>
          <w:lang w:val="es-ES"/>
        </w:rPr>
      </w:pPr>
      <w:r w:rsidRPr="004C3DA6">
        <w:rPr>
          <w:lang w:val="es-ES"/>
        </w:rPr>
        <w:t xml:space="preserve">El aumento del presupuesto de 2016/17 tras las transferencias (recursos no relativos a personal) se debió principalmente a:  i) la transferencia del grupo de mensajeros y chóferes al programa (presupuestado inicialmente en los servicios generales de apoyo (programa 24)), como se refleja en los resultados previstos IX.1 (Servicios de apoyo eficaces, eficientes, de calidad y orientados al cliente) y IX.4 (Una Organización responsable con el medio ambiente y la sociedad;  y ii) la redistribución de recursos de personal a recursos no relativos a personal para la contratación de personal temporal para los servicios de conferencias y de imprenta. </w:t>
      </w:r>
    </w:p>
    <w:p w:rsidR="002E3AE7" w:rsidRPr="004C3DA6" w:rsidRDefault="002E3AE7" w:rsidP="003E0A02">
      <w:pPr>
        <w:jc w:val="both"/>
        <w:rPr>
          <w:sz w:val="20"/>
        </w:rPr>
      </w:pPr>
    </w:p>
    <w:p w:rsidR="002E3AE7" w:rsidRPr="004C3DA6" w:rsidRDefault="002E3AE7" w:rsidP="002E3AE7">
      <w:pPr>
        <w:pStyle w:val="ListParagraph"/>
        <w:numPr>
          <w:ilvl w:val="0"/>
          <w:numId w:val="101"/>
        </w:numPr>
        <w:ind w:left="0" w:firstLine="0"/>
        <w:jc w:val="both"/>
        <w:rPr>
          <w:lang w:val="es-ES"/>
        </w:rPr>
      </w:pPr>
      <w:r w:rsidRPr="004C3DA6">
        <w:rPr>
          <w:lang w:val="es-ES"/>
        </w:rPr>
        <w:t>El descenso neto del presupuesto de 2016/17 tras las transferencias (personal) respondió, por un lado, a las reclasificaciones y a la transferencia del grupo de mensajeros y chóferes y, por otro, a la transferencia de recursos del programa para apoyar otras necesidades operativas en el Sector de Administración y Gestión (programas 22, 24 y 28).</w:t>
      </w:r>
    </w:p>
    <w:p w:rsidR="002E3AE7" w:rsidRPr="004C3DA6" w:rsidRDefault="002E3AE7" w:rsidP="003E0A02">
      <w:pPr>
        <w:jc w:val="both"/>
        <w:rPr>
          <w:sz w:val="20"/>
        </w:rPr>
      </w:pPr>
    </w:p>
    <w:p w:rsidR="002E3AE7" w:rsidRPr="004C3DA6" w:rsidRDefault="002E3AE7" w:rsidP="003E0A02">
      <w:pPr>
        <w:jc w:val="both"/>
        <w:rPr>
          <w:sz w:val="20"/>
          <w:u w:val="single"/>
        </w:rPr>
      </w:pPr>
      <w:r w:rsidRPr="004C3DA6">
        <w:rPr>
          <w:sz w:val="20"/>
          <w:lang w:val="es-ES_tradnl"/>
        </w:rPr>
        <w:t>B.</w:t>
      </w:r>
      <w:r w:rsidRPr="004C3DA6">
        <w:rPr>
          <w:sz w:val="20"/>
          <w:lang w:val="es-ES_tradnl"/>
        </w:rPr>
        <w:tab/>
      </w:r>
      <w:r w:rsidRPr="004C3DA6">
        <w:rPr>
          <w:sz w:val="20"/>
          <w:u w:val="single"/>
          <w:lang w:val="es-ES_tradnl"/>
        </w:rPr>
        <w:t>Utilización del presupuesto en 2016/17</w:t>
      </w:r>
    </w:p>
    <w:p w:rsidR="002E3AE7" w:rsidRPr="004C3DA6" w:rsidRDefault="002E3AE7" w:rsidP="003E0A02">
      <w:pPr>
        <w:jc w:val="both"/>
        <w:rPr>
          <w:sz w:val="20"/>
        </w:rPr>
      </w:pPr>
    </w:p>
    <w:p w:rsidR="002E3AE7" w:rsidRPr="004C3DA6" w:rsidRDefault="002E3AE7" w:rsidP="002E3AE7">
      <w:pPr>
        <w:pStyle w:val="ListParagraph"/>
        <w:numPr>
          <w:ilvl w:val="0"/>
          <w:numId w:val="101"/>
        </w:numPr>
        <w:ind w:left="0" w:firstLine="0"/>
        <w:jc w:val="both"/>
        <w:rPr>
          <w:lang w:val="es-ES"/>
        </w:rPr>
      </w:pPr>
      <w:r w:rsidRPr="004C3DA6">
        <w:rPr>
          <w:lang w:val="es-ES"/>
        </w:rPr>
        <w:t>La utilización del presupuesto de personal fue ligeramente inferior a la esperada, debido principalmente a las vacantes, concretamente en la División Lingüística y en la División de Conferencias y Servicios Generales.  La subutilización de recursos no relativos a personal se debió principalmente a que los gastos en actividades relacionadas con la traducción y con la integración de las herramientas de la T.I. y de la traducción asistida por computadora fueron inferiores a lo esperado.</w:t>
      </w:r>
    </w:p>
    <w:p w:rsidR="002E3AE7" w:rsidRPr="004C3DA6" w:rsidRDefault="002E3AE7" w:rsidP="003E0A02">
      <w:pPr>
        <w:pStyle w:val="ListParagraph"/>
        <w:ind w:left="0"/>
        <w:jc w:val="both"/>
        <w:rPr>
          <w:lang w:val="es-ES"/>
        </w:rPr>
      </w:pPr>
    </w:p>
    <w:p w:rsidR="000377FC" w:rsidRDefault="000377FC">
      <w:pPr>
        <w:rPr>
          <w:rFonts w:eastAsia="Times New Roman" w:cs="Times New Roman"/>
          <w:sz w:val="20"/>
          <w:lang w:eastAsia="en-US"/>
        </w:rPr>
      </w:pPr>
      <w:r>
        <w:br w:type="page"/>
      </w:r>
    </w:p>
    <w:p w:rsidR="002E3AE7" w:rsidRPr="00820927" w:rsidRDefault="002E3AE7" w:rsidP="005355C5">
      <w:pPr>
        <w:pStyle w:val="Heading2"/>
        <w:tabs>
          <w:tab w:val="left" w:pos="2410"/>
        </w:tabs>
        <w:spacing w:before="0" w:after="0"/>
        <w:ind w:left="2410" w:hanging="2410"/>
        <w:rPr>
          <w:b/>
          <w:szCs w:val="22"/>
        </w:rPr>
      </w:pPr>
      <w:bookmarkStart w:id="81" w:name="_Toc482711280"/>
      <w:r w:rsidRPr="00820927">
        <w:rPr>
          <w:b/>
          <w:szCs w:val="22"/>
        </w:rPr>
        <w:lastRenderedPageBreak/>
        <w:t>PROGRAMA 28</w:t>
      </w:r>
      <w:r w:rsidRPr="00820927">
        <w:rPr>
          <w:b/>
          <w:szCs w:val="22"/>
        </w:rPr>
        <w:tab/>
        <w:t>ASEGURAMIENTO DE LA INFORMACIÓN, SEGURIDAD Y VIGILANCIA</w:t>
      </w:r>
      <w:bookmarkEnd w:id="81"/>
    </w:p>
    <w:p w:rsidR="002E3AE7" w:rsidRPr="00820927" w:rsidRDefault="002E3AE7" w:rsidP="003E0A02">
      <w:pPr>
        <w:tabs>
          <w:tab w:val="left" w:pos="1985"/>
        </w:tabs>
        <w:rPr>
          <w:sz w:val="20"/>
        </w:rPr>
      </w:pPr>
    </w:p>
    <w:p w:rsidR="002E3AE7" w:rsidRPr="00820927" w:rsidRDefault="002E3AE7" w:rsidP="005355C5">
      <w:pPr>
        <w:tabs>
          <w:tab w:val="left" w:pos="2410"/>
        </w:tabs>
        <w:rPr>
          <w:b/>
          <w:sz w:val="20"/>
        </w:rPr>
      </w:pPr>
      <w:r w:rsidRPr="00820927">
        <w:rPr>
          <w:b/>
          <w:sz w:val="20"/>
        </w:rPr>
        <w:t>Director de programa</w:t>
      </w:r>
      <w:r w:rsidRPr="00820927">
        <w:rPr>
          <w:sz w:val="20"/>
        </w:rPr>
        <w:tab/>
      </w:r>
      <w:r w:rsidRPr="00820927">
        <w:rPr>
          <w:b/>
          <w:sz w:val="20"/>
        </w:rPr>
        <w:t>Sr. A. Sundaram</w:t>
      </w:r>
    </w:p>
    <w:p w:rsidR="002E3AE7" w:rsidRPr="00820927" w:rsidRDefault="002E3AE7" w:rsidP="003E0A02">
      <w:pPr>
        <w:jc w:val="center"/>
      </w:pPr>
      <w:r w:rsidRPr="00820927">
        <w:rPr>
          <w:noProof/>
          <w:lang w:val="en-US" w:eastAsia="en-US"/>
        </w:rPr>
        <w:drawing>
          <wp:inline distT="0" distB="0" distL="0" distR="0" wp14:anchorId="55360597" wp14:editId="6821D195">
            <wp:extent cx="4702539" cy="2570384"/>
            <wp:effectExtent l="0" t="0" r="3175" b="1905"/>
            <wp:docPr id="1137"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702539" cy="2570384"/>
                    </a:xfrm>
                    <a:prstGeom prst="rect">
                      <a:avLst/>
                    </a:prstGeom>
                    <a:noFill/>
                    <a:ln>
                      <a:noFill/>
                    </a:ln>
                  </pic:spPr>
                </pic:pic>
              </a:graphicData>
            </a:graphic>
          </wp:inline>
        </w:drawing>
      </w:r>
      <w:r w:rsidRPr="00820927">
        <w:t xml:space="preserve"> </w:t>
      </w:r>
    </w:p>
    <w:tbl>
      <w:tblPr>
        <w:tblW w:w="5015" w:type="pct"/>
        <w:tblInd w:w="58" w:type="dxa"/>
        <w:tblLayout w:type="fixed"/>
        <w:tblCellMar>
          <w:left w:w="115" w:type="dxa"/>
          <w:right w:w="115" w:type="dxa"/>
        </w:tblCellMar>
        <w:tblLook w:val="0000" w:firstRow="0" w:lastRow="0" w:firstColumn="0" w:lastColumn="0" w:noHBand="0" w:noVBand="0"/>
      </w:tblPr>
      <w:tblGrid>
        <w:gridCol w:w="1981"/>
        <w:gridCol w:w="2540"/>
        <w:gridCol w:w="1332"/>
        <w:gridCol w:w="2442"/>
        <w:gridCol w:w="920"/>
      </w:tblGrid>
      <w:tr w:rsidR="002E3AE7" w:rsidRPr="00820927" w:rsidTr="003E0A02">
        <w:trPr>
          <w:trHeight w:val="565"/>
        </w:trPr>
        <w:tc>
          <w:tcPr>
            <w:tcW w:w="5000" w:type="pct"/>
            <w:gridSpan w:val="5"/>
            <w:shd w:val="clear" w:color="auto" w:fill="C6D9F1" w:themeFill="text2" w:themeFillTint="33"/>
            <w:tcMar>
              <w:left w:w="58" w:type="dxa"/>
              <w:right w:w="58" w:type="dxa"/>
            </w:tcMar>
            <w:vAlign w:val="center"/>
          </w:tcPr>
          <w:p w:rsidR="002E3AE7" w:rsidRPr="00820927" w:rsidRDefault="002E3AE7" w:rsidP="003E0A02">
            <w:pPr>
              <w:keepNext/>
              <w:keepLines/>
              <w:tabs>
                <w:tab w:val="left" w:pos="1452"/>
              </w:tabs>
              <w:ind w:left="1701" w:hanging="1701"/>
              <w:rPr>
                <w:b/>
                <w:bCs/>
                <w:sz w:val="16"/>
                <w:szCs w:val="16"/>
              </w:rPr>
            </w:pPr>
            <w:r w:rsidRPr="00820927">
              <w:rPr>
                <w:b/>
                <w:bCs/>
                <w:sz w:val="16"/>
                <w:szCs w:val="16"/>
              </w:rPr>
              <w:t>Resultado previsto:</w:t>
            </w:r>
            <w:r w:rsidRPr="00820927">
              <w:rPr>
                <w:b/>
                <w:bCs/>
                <w:sz w:val="16"/>
                <w:szCs w:val="16"/>
              </w:rPr>
              <w:tab/>
            </w:r>
            <w:r w:rsidRPr="00820927">
              <w:rPr>
                <w:bCs/>
                <w:sz w:val="16"/>
                <w:szCs w:val="16"/>
              </w:rPr>
              <w:t>IX.1  Servicios de apoyo eficaces, eficientes, de calidad y orientados al cliente, tanto a los usuarios internos como a las partes interesadas externas</w:t>
            </w:r>
          </w:p>
        </w:tc>
      </w:tr>
      <w:tr w:rsidR="002E3AE7" w:rsidRPr="00820927" w:rsidTr="003E0A02">
        <w:tc>
          <w:tcPr>
            <w:tcW w:w="1075" w:type="pct"/>
            <w:shd w:val="clear" w:color="auto" w:fill="auto"/>
            <w:tcMar>
              <w:left w:w="58" w:type="dxa"/>
              <w:right w:w="58" w:type="dxa"/>
            </w:tcMar>
            <w:vAlign w:val="center"/>
          </w:tcPr>
          <w:p w:rsidR="002E3AE7" w:rsidRPr="00820927" w:rsidRDefault="002E3AE7" w:rsidP="003E0A02">
            <w:pPr>
              <w:rPr>
                <w:b/>
                <w:bCs/>
                <w:sz w:val="16"/>
                <w:szCs w:val="16"/>
              </w:rPr>
            </w:pPr>
            <w:r w:rsidRPr="00820927">
              <w:rPr>
                <w:b/>
                <w:bCs/>
                <w:sz w:val="16"/>
                <w:szCs w:val="16"/>
              </w:rPr>
              <w:t>Indicadores de rendimiento</w:t>
            </w:r>
          </w:p>
        </w:tc>
        <w:tc>
          <w:tcPr>
            <w:tcW w:w="1378" w:type="pct"/>
            <w:shd w:val="clear" w:color="auto" w:fill="auto"/>
            <w:tcMar>
              <w:left w:w="58" w:type="dxa"/>
              <w:right w:w="58" w:type="dxa"/>
            </w:tcMar>
            <w:vAlign w:val="center"/>
          </w:tcPr>
          <w:p w:rsidR="002E3AE7" w:rsidRPr="00820927" w:rsidRDefault="002E3AE7" w:rsidP="003E0A02">
            <w:pPr>
              <w:rPr>
                <w:b/>
                <w:bCs/>
                <w:sz w:val="16"/>
                <w:szCs w:val="16"/>
              </w:rPr>
            </w:pPr>
            <w:r w:rsidRPr="00820927">
              <w:rPr>
                <w:b/>
                <w:bCs/>
                <w:sz w:val="16"/>
                <w:szCs w:val="16"/>
              </w:rPr>
              <w:t>Referencias de base</w:t>
            </w:r>
          </w:p>
        </w:tc>
        <w:tc>
          <w:tcPr>
            <w:tcW w:w="723" w:type="pct"/>
            <w:shd w:val="clear" w:color="auto" w:fill="auto"/>
            <w:tcMar>
              <w:top w:w="110" w:type="dxa"/>
              <w:left w:w="58" w:type="dxa"/>
              <w:right w:w="58" w:type="dxa"/>
            </w:tcMar>
            <w:vAlign w:val="center"/>
          </w:tcPr>
          <w:p w:rsidR="002E3AE7" w:rsidRPr="00820927" w:rsidRDefault="002E3AE7" w:rsidP="003E0A02">
            <w:pPr>
              <w:tabs>
                <w:tab w:val="left" w:pos="290"/>
              </w:tabs>
              <w:rPr>
                <w:b/>
                <w:bCs/>
                <w:sz w:val="16"/>
                <w:szCs w:val="16"/>
              </w:rPr>
            </w:pPr>
            <w:r w:rsidRPr="00820927">
              <w:rPr>
                <w:b/>
                <w:bCs/>
                <w:sz w:val="16"/>
                <w:szCs w:val="16"/>
              </w:rPr>
              <w:t>Objetivos</w:t>
            </w:r>
          </w:p>
        </w:tc>
        <w:tc>
          <w:tcPr>
            <w:tcW w:w="1325" w:type="pct"/>
            <w:shd w:val="clear" w:color="auto" w:fill="FFFFFF"/>
            <w:tcMar>
              <w:top w:w="110" w:type="dxa"/>
              <w:left w:w="58" w:type="dxa"/>
              <w:right w:w="58" w:type="dxa"/>
            </w:tcMar>
            <w:vAlign w:val="center"/>
          </w:tcPr>
          <w:p w:rsidR="002E3AE7" w:rsidRPr="00820927" w:rsidRDefault="002E3AE7" w:rsidP="003E0A02">
            <w:pPr>
              <w:rPr>
                <w:b/>
                <w:bCs/>
                <w:sz w:val="16"/>
                <w:szCs w:val="16"/>
              </w:rPr>
            </w:pPr>
            <w:r w:rsidRPr="00820927">
              <w:rPr>
                <w:b/>
                <w:bCs/>
                <w:sz w:val="16"/>
                <w:szCs w:val="16"/>
              </w:rPr>
              <w:t>Datos sobre el rendimiento</w:t>
            </w:r>
          </w:p>
        </w:tc>
        <w:tc>
          <w:tcPr>
            <w:tcW w:w="499" w:type="pct"/>
            <w:shd w:val="clear" w:color="auto" w:fill="auto"/>
            <w:tcMar>
              <w:top w:w="110" w:type="dxa"/>
              <w:left w:w="58" w:type="dxa"/>
              <w:right w:w="58" w:type="dxa"/>
            </w:tcMar>
            <w:vAlign w:val="center"/>
          </w:tcPr>
          <w:p w:rsidR="002E3AE7" w:rsidRPr="00820927" w:rsidRDefault="002E3AE7" w:rsidP="003E0A02">
            <w:pPr>
              <w:keepNext/>
              <w:keepLines/>
              <w:jc w:val="center"/>
              <w:rPr>
                <w:b/>
                <w:bCs/>
                <w:sz w:val="16"/>
                <w:szCs w:val="16"/>
              </w:rPr>
            </w:pPr>
            <w:r w:rsidRPr="00820927">
              <w:rPr>
                <w:b/>
                <w:bCs/>
                <w:sz w:val="16"/>
                <w:szCs w:val="16"/>
              </w:rPr>
              <w:t>Clave de colores</w:t>
            </w:r>
          </w:p>
        </w:tc>
      </w:tr>
      <w:tr w:rsidR="002E3AE7" w:rsidRPr="00820927" w:rsidTr="003E0A02">
        <w:trPr>
          <w:trHeight w:val="432"/>
        </w:trPr>
        <w:tc>
          <w:tcPr>
            <w:tcW w:w="1075" w:type="pct"/>
            <w:shd w:val="clear" w:color="auto" w:fill="auto"/>
            <w:tcMar>
              <w:left w:w="58" w:type="dxa"/>
              <w:right w:w="58" w:type="dxa"/>
            </w:tcMar>
          </w:tcPr>
          <w:p w:rsidR="002E3AE7" w:rsidRPr="00820927" w:rsidRDefault="002E3AE7" w:rsidP="003E0A02">
            <w:pPr>
              <w:rPr>
                <w:sz w:val="16"/>
                <w:szCs w:val="16"/>
              </w:rPr>
            </w:pPr>
            <w:r w:rsidRPr="00820927">
              <w:rPr>
                <w:sz w:val="16"/>
                <w:szCs w:val="16"/>
              </w:rPr>
              <w:t>Definición y fortalecimiento de la gobernanza en materia de aseguramiento de la información</w:t>
            </w:r>
          </w:p>
        </w:tc>
        <w:tc>
          <w:tcPr>
            <w:tcW w:w="1378" w:type="pct"/>
            <w:shd w:val="clear" w:color="auto" w:fill="auto"/>
            <w:tcMar>
              <w:left w:w="58" w:type="dxa"/>
              <w:right w:w="58" w:type="dxa"/>
            </w:tcMar>
          </w:tcPr>
          <w:p w:rsidR="002E3AE7" w:rsidRPr="00820927" w:rsidRDefault="002E3AE7" w:rsidP="003E0A02">
            <w:pPr>
              <w:rPr>
                <w:sz w:val="16"/>
                <w:szCs w:val="16"/>
              </w:rPr>
            </w:pPr>
            <w:r w:rsidRPr="00820927">
              <w:rPr>
                <w:sz w:val="16"/>
                <w:szCs w:val="16"/>
              </w:rPr>
              <w:t>Gobernanza limitada del aseguramiento de la información. Capacidad limitada para ejecutar la estrategia en materia de aseguramiento de la información.</w:t>
            </w:r>
          </w:p>
        </w:tc>
        <w:tc>
          <w:tcPr>
            <w:tcW w:w="723" w:type="pct"/>
            <w:shd w:val="clear" w:color="auto" w:fill="auto"/>
            <w:tcMar>
              <w:top w:w="110" w:type="dxa"/>
              <w:left w:w="58" w:type="dxa"/>
              <w:right w:w="58" w:type="dxa"/>
            </w:tcMar>
          </w:tcPr>
          <w:p w:rsidR="002E3AE7" w:rsidRPr="00820927" w:rsidRDefault="002E3AE7" w:rsidP="003E0A02">
            <w:pPr>
              <w:spacing w:after="240"/>
              <w:rPr>
                <w:sz w:val="16"/>
                <w:szCs w:val="16"/>
              </w:rPr>
            </w:pPr>
            <w:r w:rsidRPr="00820927">
              <w:rPr>
                <w:sz w:val="16"/>
                <w:szCs w:val="16"/>
              </w:rPr>
              <w:t xml:space="preserve">Se aprueba la promulgación del marco de gobernanza del aseguramiento de la información </w:t>
            </w:r>
          </w:p>
        </w:tc>
        <w:tc>
          <w:tcPr>
            <w:tcW w:w="1325" w:type="pct"/>
            <w:shd w:val="clear" w:color="auto" w:fill="FFFFFF"/>
            <w:tcMar>
              <w:top w:w="110" w:type="dxa"/>
              <w:left w:w="58" w:type="dxa"/>
              <w:right w:w="58" w:type="dxa"/>
            </w:tcMar>
          </w:tcPr>
          <w:p w:rsidR="002E3AE7" w:rsidRPr="00820927" w:rsidRDefault="002E3AE7" w:rsidP="00076D24">
            <w:pPr>
              <w:rPr>
                <w:sz w:val="16"/>
                <w:szCs w:val="16"/>
              </w:rPr>
            </w:pPr>
            <w:r w:rsidRPr="00820927">
              <w:rPr>
                <w:sz w:val="16"/>
                <w:szCs w:val="16"/>
              </w:rPr>
              <w:t>En enero de 2016 se publicó la orden de servicio (OI/04/2016) en la que se detallan los términos de referencia del nuevo marco de gobernanza en materia de seguridad y ase</w:t>
            </w:r>
            <w:r w:rsidR="005355C5">
              <w:rPr>
                <w:sz w:val="16"/>
                <w:szCs w:val="16"/>
              </w:rPr>
              <w:t>guramiento de la información (S</w:t>
            </w:r>
            <w:r w:rsidRPr="00820927">
              <w:rPr>
                <w:sz w:val="16"/>
                <w:szCs w:val="16"/>
              </w:rPr>
              <w:t>A</w:t>
            </w:r>
            <w:r w:rsidR="005355C5">
              <w:rPr>
                <w:sz w:val="16"/>
                <w:szCs w:val="16"/>
              </w:rPr>
              <w:t>I</w:t>
            </w:r>
            <w:r w:rsidRPr="00820927">
              <w:rPr>
                <w:sz w:val="16"/>
                <w:szCs w:val="16"/>
              </w:rPr>
              <w:t>).  En el curso de 2016, la Junta directiva de la SA</w:t>
            </w:r>
            <w:r w:rsidR="00076D24">
              <w:rPr>
                <w:sz w:val="16"/>
                <w:szCs w:val="16"/>
              </w:rPr>
              <w:t>I</w:t>
            </w:r>
            <w:r w:rsidRPr="00820927">
              <w:rPr>
                <w:sz w:val="16"/>
                <w:szCs w:val="16"/>
              </w:rPr>
              <w:t xml:space="preserve"> se reunió una vez, el Comité directivo de la SA</w:t>
            </w:r>
            <w:r w:rsidR="005355C5">
              <w:rPr>
                <w:sz w:val="16"/>
                <w:szCs w:val="16"/>
              </w:rPr>
              <w:t>I</w:t>
            </w:r>
            <w:r w:rsidRPr="00820927">
              <w:rPr>
                <w:sz w:val="16"/>
                <w:szCs w:val="16"/>
              </w:rPr>
              <w:t xml:space="preserve"> se reunió tres veces y los contactos en la seguridad de las actividades institucionales se reunieron dos veces para debatir, aprobar y orientar varios proyectos SA</w:t>
            </w:r>
            <w:r w:rsidR="005355C5">
              <w:rPr>
                <w:sz w:val="16"/>
                <w:szCs w:val="16"/>
              </w:rPr>
              <w:t>I</w:t>
            </w:r>
            <w:r w:rsidRPr="00820927">
              <w:rPr>
                <w:sz w:val="16"/>
                <w:szCs w:val="16"/>
              </w:rPr>
              <w:t>.</w:t>
            </w:r>
          </w:p>
        </w:tc>
        <w:tc>
          <w:tcPr>
            <w:tcW w:w="499" w:type="pct"/>
            <w:shd w:val="clear" w:color="auto" w:fill="auto"/>
            <w:tcMar>
              <w:top w:w="110" w:type="dxa"/>
              <w:left w:w="58" w:type="dxa"/>
              <w:right w:w="58" w:type="dxa"/>
            </w:tcMar>
          </w:tcPr>
          <w:p w:rsidR="002E3AE7" w:rsidRPr="00820927" w:rsidRDefault="002E3AE7" w:rsidP="003E0A02">
            <w:pPr>
              <w:keepNext/>
              <w:keepLines/>
              <w:jc w:val="center"/>
              <w:rPr>
                <w:b/>
                <w:sz w:val="16"/>
                <w:szCs w:val="16"/>
              </w:rPr>
            </w:pPr>
            <w:r w:rsidRPr="00820927">
              <w:rPr>
                <w:b/>
                <w:color w:val="00B050"/>
                <w:sz w:val="16"/>
                <w:szCs w:val="16"/>
              </w:rPr>
              <w:t>Avanza</w:t>
            </w:r>
            <w:r w:rsidRPr="00820927" w:rsidDel="0046699F">
              <w:rPr>
                <w:b/>
                <w:sz w:val="16"/>
                <w:szCs w:val="16"/>
              </w:rPr>
              <w:t xml:space="preserve"> </w:t>
            </w:r>
          </w:p>
        </w:tc>
      </w:tr>
      <w:tr w:rsidR="002E3AE7" w:rsidRPr="00820927" w:rsidTr="003E0A02">
        <w:trPr>
          <w:trHeight w:val="2011"/>
        </w:trPr>
        <w:tc>
          <w:tcPr>
            <w:tcW w:w="1075" w:type="pct"/>
            <w:shd w:val="clear" w:color="auto" w:fill="auto"/>
            <w:tcMar>
              <w:left w:w="58" w:type="dxa"/>
              <w:right w:w="58" w:type="dxa"/>
            </w:tcMar>
          </w:tcPr>
          <w:p w:rsidR="002E3AE7" w:rsidRPr="00820927" w:rsidRDefault="002E3AE7" w:rsidP="003E0A02">
            <w:pPr>
              <w:rPr>
                <w:sz w:val="16"/>
                <w:szCs w:val="16"/>
              </w:rPr>
            </w:pPr>
            <w:r w:rsidRPr="00820927">
              <w:rPr>
                <w:sz w:val="16"/>
                <w:szCs w:val="16"/>
              </w:rPr>
              <w:t>N.º de miembros del personal consciente de sus responsabilidades con respecto a la seguridad de la información, las políticas de seguridad y las prácticas más extendidas</w:t>
            </w:r>
          </w:p>
        </w:tc>
        <w:tc>
          <w:tcPr>
            <w:tcW w:w="1378" w:type="pct"/>
            <w:shd w:val="clear" w:color="auto" w:fill="auto"/>
            <w:tcMar>
              <w:left w:w="58" w:type="dxa"/>
              <w:right w:w="58" w:type="dxa"/>
            </w:tcMar>
          </w:tcPr>
          <w:p w:rsidR="002E3AE7" w:rsidRPr="006573F1" w:rsidRDefault="002E3AE7" w:rsidP="003E0A02">
            <w:pPr>
              <w:rPr>
                <w:i/>
                <w:color w:val="002060"/>
                <w:sz w:val="16"/>
                <w:szCs w:val="16"/>
              </w:rPr>
            </w:pPr>
            <w:r w:rsidRPr="006573F1">
              <w:rPr>
                <w:i/>
                <w:color w:val="002060"/>
                <w:sz w:val="16"/>
                <w:szCs w:val="16"/>
              </w:rPr>
              <w:t xml:space="preserve">Referencia actualizada a fines de 2015:  </w:t>
            </w:r>
          </w:p>
          <w:p w:rsidR="002E3AE7" w:rsidRPr="006573F1" w:rsidRDefault="002E3AE7" w:rsidP="003E0A02">
            <w:pPr>
              <w:rPr>
                <w:color w:val="002060"/>
                <w:sz w:val="16"/>
                <w:szCs w:val="16"/>
              </w:rPr>
            </w:pPr>
            <w:r w:rsidRPr="006573F1">
              <w:rPr>
                <w:color w:val="002060"/>
                <w:sz w:val="16"/>
                <w:szCs w:val="16"/>
              </w:rPr>
              <w:t>7% en 2015</w:t>
            </w:r>
          </w:p>
          <w:p w:rsidR="002E3AE7" w:rsidRPr="006573F1" w:rsidRDefault="002E3AE7" w:rsidP="003E0A02">
            <w:pPr>
              <w:rPr>
                <w:color w:val="002060"/>
                <w:sz w:val="16"/>
                <w:szCs w:val="16"/>
              </w:rPr>
            </w:pPr>
            <w:r w:rsidRPr="006573F1">
              <w:rPr>
                <w:color w:val="002060"/>
                <w:sz w:val="16"/>
                <w:szCs w:val="16"/>
              </w:rPr>
              <w:t xml:space="preserve">17% en 2014 </w:t>
            </w:r>
          </w:p>
          <w:p w:rsidR="002E3AE7" w:rsidRPr="00820927" w:rsidRDefault="002E3AE7" w:rsidP="003E0A02">
            <w:pPr>
              <w:rPr>
                <w:sz w:val="16"/>
                <w:szCs w:val="16"/>
              </w:rPr>
            </w:pPr>
          </w:p>
          <w:p w:rsidR="002E3AE7" w:rsidRPr="00820927" w:rsidRDefault="002E3AE7" w:rsidP="003E0A02">
            <w:pPr>
              <w:rPr>
                <w:i/>
                <w:sz w:val="16"/>
                <w:szCs w:val="16"/>
                <w:lang w:bidi="th-TH"/>
              </w:rPr>
            </w:pPr>
            <w:r w:rsidRPr="00820927">
              <w:rPr>
                <w:i/>
                <w:sz w:val="16"/>
                <w:szCs w:val="16"/>
                <w:lang w:bidi="th-TH"/>
              </w:rPr>
              <w:t xml:space="preserve">Referencia original en el presupuesto de 2016/17:  </w:t>
            </w:r>
          </w:p>
          <w:p w:rsidR="002E3AE7" w:rsidRPr="00820927" w:rsidRDefault="002E3AE7" w:rsidP="003E0A02">
            <w:pPr>
              <w:spacing w:after="240"/>
              <w:rPr>
                <w:sz w:val="16"/>
                <w:szCs w:val="16"/>
              </w:rPr>
            </w:pPr>
            <w:r w:rsidRPr="00820927">
              <w:rPr>
                <w:sz w:val="16"/>
                <w:szCs w:val="16"/>
              </w:rPr>
              <w:t>El 12% de los miembros del personal ha sido víctima de campañas de usurpación de la identidad (promedio basado en 2 campañas de simulación realizadas en 2014 y el primer semestre de 2015)</w:t>
            </w:r>
          </w:p>
        </w:tc>
        <w:tc>
          <w:tcPr>
            <w:tcW w:w="723" w:type="pct"/>
            <w:shd w:val="clear" w:color="auto" w:fill="auto"/>
            <w:tcMar>
              <w:top w:w="110" w:type="dxa"/>
              <w:left w:w="58" w:type="dxa"/>
              <w:right w:w="58" w:type="dxa"/>
            </w:tcMar>
          </w:tcPr>
          <w:p w:rsidR="002E3AE7" w:rsidRPr="00820927" w:rsidRDefault="002E3AE7" w:rsidP="004738EC">
            <w:pPr>
              <w:rPr>
                <w:sz w:val="16"/>
                <w:szCs w:val="16"/>
              </w:rPr>
            </w:pPr>
            <w:r w:rsidRPr="00820927">
              <w:rPr>
                <w:sz w:val="16"/>
                <w:szCs w:val="16"/>
              </w:rPr>
              <w:t xml:space="preserve">Menos del 5% de los miembros del personal </w:t>
            </w:r>
            <w:r w:rsidR="004738EC">
              <w:rPr>
                <w:sz w:val="16"/>
                <w:szCs w:val="16"/>
              </w:rPr>
              <w:t>cayó en la trampa de los mensajes electrónicos fraudulentos</w:t>
            </w:r>
            <w:r w:rsidRPr="00820927">
              <w:rPr>
                <w:sz w:val="16"/>
                <w:szCs w:val="16"/>
              </w:rPr>
              <w:t xml:space="preserve"> </w:t>
            </w:r>
          </w:p>
        </w:tc>
        <w:tc>
          <w:tcPr>
            <w:tcW w:w="1325" w:type="pct"/>
            <w:shd w:val="clear" w:color="auto" w:fill="FFFFFF"/>
            <w:tcMar>
              <w:top w:w="110" w:type="dxa"/>
              <w:left w:w="58" w:type="dxa"/>
              <w:right w:w="58" w:type="dxa"/>
            </w:tcMar>
          </w:tcPr>
          <w:p w:rsidR="002E3AE7" w:rsidRPr="00820927" w:rsidRDefault="002E3AE7" w:rsidP="003E0A02">
            <w:pPr>
              <w:rPr>
                <w:sz w:val="16"/>
                <w:szCs w:val="16"/>
              </w:rPr>
            </w:pPr>
            <w:r w:rsidRPr="00820927">
              <w:rPr>
                <w:sz w:val="16"/>
                <w:szCs w:val="16"/>
              </w:rPr>
              <w:t>El 13% de los</w:t>
            </w:r>
            <w:r w:rsidR="004738EC">
              <w:rPr>
                <w:sz w:val="16"/>
                <w:szCs w:val="16"/>
              </w:rPr>
              <w:t xml:space="preserve"> miembros del personal cayó en la trampa de los mensajes electrónicos fraudulentos</w:t>
            </w:r>
            <w:r w:rsidR="004738EC">
              <w:rPr>
                <w:rStyle w:val="FootnoteReference"/>
                <w:sz w:val="16"/>
                <w:szCs w:val="16"/>
              </w:rPr>
              <w:footnoteReference w:id="104"/>
            </w:r>
          </w:p>
          <w:p w:rsidR="002E3AE7" w:rsidRPr="00820927" w:rsidRDefault="002E3AE7" w:rsidP="003E0A02">
            <w:pPr>
              <w:rPr>
                <w:sz w:val="16"/>
                <w:szCs w:val="16"/>
              </w:rPr>
            </w:pPr>
          </w:p>
        </w:tc>
        <w:tc>
          <w:tcPr>
            <w:tcW w:w="499" w:type="pct"/>
            <w:shd w:val="clear" w:color="auto" w:fill="auto"/>
            <w:tcMar>
              <w:top w:w="110" w:type="dxa"/>
              <w:left w:w="58" w:type="dxa"/>
              <w:right w:w="58" w:type="dxa"/>
            </w:tcMar>
          </w:tcPr>
          <w:p w:rsidR="002E3AE7" w:rsidRPr="00820927" w:rsidRDefault="002E3AE7" w:rsidP="003E0A02">
            <w:pPr>
              <w:keepNext/>
              <w:keepLines/>
              <w:jc w:val="center"/>
              <w:rPr>
                <w:sz w:val="16"/>
                <w:szCs w:val="16"/>
              </w:rPr>
            </w:pPr>
            <w:r w:rsidRPr="00820927">
              <w:rPr>
                <w:b/>
                <w:color w:val="FF0000"/>
                <w:sz w:val="16"/>
                <w:szCs w:val="16"/>
              </w:rPr>
              <w:t>No avanza</w:t>
            </w:r>
          </w:p>
        </w:tc>
      </w:tr>
      <w:tr w:rsidR="002E3AE7" w:rsidRPr="00820927" w:rsidTr="003E0A02">
        <w:trPr>
          <w:trHeight w:val="562"/>
        </w:trPr>
        <w:tc>
          <w:tcPr>
            <w:tcW w:w="5000" w:type="pct"/>
            <w:gridSpan w:val="5"/>
            <w:shd w:val="clear" w:color="auto" w:fill="C6D9F1" w:themeFill="text2" w:themeFillTint="33"/>
            <w:tcMar>
              <w:left w:w="58" w:type="dxa"/>
              <w:right w:w="58" w:type="dxa"/>
            </w:tcMar>
            <w:vAlign w:val="center"/>
          </w:tcPr>
          <w:p w:rsidR="002E3AE7" w:rsidRPr="00820927" w:rsidRDefault="002E3AE7" w:rsidP="004738EC">
            <w:pPr>
              <w:keepNext/>
              <w:keepLines/>
              <w:tabs>
                <w:tab w:val="left" w:pos="1452"/>
              </w:tabs>
              <w:ind w:left="1701" w:hanging="1701"/>
              <w:rPr>
                <w:b/>
                <w:bCs/>
                <w:sz w:val="16"/>
                <w:szCs w:val="16"/>
              </w:rPr>
            </w:pPr>
            <w:r w:rsidRPr="00820927">
              <w:rPr>
                <w:b/>
                <w:bCs/>
                <w:sz w:val="16"/>
                <w:szCs w:val="16"/>
              </w:rPr>
              <w:lastRenderedPageBreak/>
              <w:t>Resultado previsto:</w:t>
            </w:r>
            <w:r w:rsidRPr="00820927">
              <w:rPr>
                <w:b/>
                <w:bCs/>
                <w:sz w:val="16"/>
                <w:szCs w:val="16"/>
              </w:rPr>
              <w:tab/>
            </w:r>
            <w:r w:rsidRPr="00820927">
              <w:rPr>
                <w:bCs/>
                <w:sz w:val="16"/>
                <w:szCs w:val="16"/>
              </w:rPr>
              <w:t>IX.4  Una Organización responsable con el medio ambiente y la sociedad en la que se garantiza la seguridad del personal de la OMPI, los delegados, los visitantes, la información y los activos físicos</w:t>
            </w:r>
          </w:p>
        </w:tc>
      </w:tr>
      <w:tr w:rsidR="002E3AE7" w:rsidRPr="00820927" w:rsidTr="003E0A02">
        <w:tc>
          <w:tcPr>
            <w:tcW w:w="1075" w:type="pct"/>
            <w:shd w:val="clear" w:color="auto" w:fill="auto"/>
            <w:tcMar>
              <w:left w:w="58" w:type="dxa"/>
              <w:right w:w="58" w:type="dxa"/>
            </w:tcMar>
            <w:vAlign w:val="center"/>
          </w:tcPr>
          <w:p w:rsidR="002E3AE7" w:rsidRPr="00820927" w:rsidRDefault="002E3AE7" w:rsidP="004738EC">
            <w:pPr>
              <w:keepNext/>
              <w:keepLines/>
              <w:rPr>
                <w:b/>
                <w:bCs/>
                <w:sz w:val="16"/>
                <w:szCs w:val="16"/>
              </w:rPr>
            </w:pPr>
            <w:r w:rsidRPr="00820927">
              <w:rPr>
                <w:b/>
                <w:bCs/>
                <w:sz w:val="16"/>
                <w:szCs w:val="16"/>
              </w:rPr>
              <w:t>Indicadores de rendimiento</w:t>
            </w:r>
          </w:p>
        </w:tc>
        <w:tc>
          <w:tcPr>
            <w:tcW w:w="1378" w:type="pct"/>
            <w:shd w:val="clear" w:color="auto" w:fill="auto"/>
            <w:tcMar>
              <w:left w:w="58" w:type="dxa"/>
              <w:right w:w="58" w:type="dxa"/>
            </w:tcMar>
            <w:vAlign w:val="center"/>
          </w:tcPr>
          <w:p w:rsidR="002E3AE7" w:rsidRPr="00820927" w:rsidRDefault="002E3AE7" w:rsidP="004738EC">
            <w:pPr>
              <w:keepNext/>
              <w:keepLines/>
              <w:rPr>
                <w:b/>
                <w:bCs/>
                <w:sz w:val="16"/>
                <w:szCs w:val="16"/>
              </w:rPr>
            </w:pPr>
            <w:r w:rsidRPr="00820927">
              <w:rPr>
                <w:b/>
                <w:bCs/>
                <w:sz w:val="16"/>
                <w:szCs w:val="16"/>
              </w:rPr>
              <w:t>Referencias de base</w:t>
            </w:r>
          </w:p>
        </w:tc>
        <w:tc>
          <w:tcPr>
            <w:tcW w:w="723" w:type="pct"/>
            <w:shd w:val="clear" w:color="auto" w:fill="auto"/>
            <w:tcMar>
              <w:top w:w="110" w:type="dxa"/>
              <w:left w:w="58" w:type="dxa"/>
              <w:right w:w="58" w:type="dxa"/>
            </w:tcMar>
            <w:vAlign w:val="center"/>
          </w:tcPr>
          <w:p w:rsidR="002E3AE7" w:rsidRPr="00820927" w:rsidRDefault="002E3AE7" w:rsidP="004738EC">
            <w:pPr>
              <w:keepNext/>
              <w:keepLines/>
              <w:tabs>
                <w:tab w:val="left" w:pos="290"/>
              </w:tabs>
              <w:rPr>
                <w:b/>
                <w:bCs/>
                <w:sz w:val="16"/>
                <w:szCs w:val="16"/>
              </w:rPr>
            </w:pPr>
            <w:r w:rsidRPr="00820927">
              <w:rPr>
                <w:b/>
                <w:bCs/>
                <w:sz w:val="16"/>
                <w:szCs w:val="16"/>
              </w:rPr>
              <w:t>Objetivos</w:t>
            </w:r>
          </w:p>
        </w:tc>
        <w:tc>
          <w:tcPr>
            <w:tcW w:w="1325" w:type="pct"/>
            <w:shd w:val="clear" w:color="auto" w:fill="FFFFFF"/>
            <w:tcMar>
              <w:top w:w="110" w:type="dxa"/>
              <w:left w:w="58" w:type="dxa"/>
              <w:right w:w="58" w:type="dxa"/>
            </w:tcMar>
            <w:vAlign w:val="center"/>
          </w:tcPr>
          <w:p w:rsidR="002E3AE7" w:rsidRPr="00820927" w:rsidRDefault="002E3AE7" w:rsidP="004738EC">
            <w:pPr>
              <w:keepNext/>
              <w:keepLines/>
              <w:rPr>
                <w:b/>
                <w:bCs/>
                <w:sz w:val="16"/>
                <w:szCs w:val="16"/>
              </w:rPr>
            </w:pPr>
            <w:r w:rsidRPr="00820927">
              <w:rPr>
                <w:b/>
                <w:bCs/>
                <w:sz w:val="16"/>
                <w:szCs w:val="16"/>
              </w:rPr>
              <w:t>Datos sobre el rendimiento</w:t>
            </w:r>
          </w:p>
        </w:tc>
        <w:tc>
          <w:tcPr>
            <w:tcW w:w="499" w:type="pct"/>
            <w:shd w:val="clear" w:color="auto" w:fill="auto"/>
            <w:tcMar>
              <w:top w:w="110" w:type="dxa"/>
              <w:left w:w="58" w:type="dxa"/>
              <w:right w:w="58" w:type="dxa"/>
            </w:tcMar>
            <w:vAlign w:val="center"/>
          </w:tcPr>
          <w:p w:rsidR="002E3AE7" w:rsidRPr="00820927" w:rsidRDefault="002E3AE7" w:rsidP="004738EC">
            <w:pPr>
              <w:keepNext/>
              <w:keepLines/>
              <w:jc w:val="center"/>
              <w:rPr>
                <w:b/>
                <w:bCs/>
                <w:sz w:val="16"/>
                <w:szCs w:val="16"/>
              </w:rPr>
            </w:pPr>
            <w:r w:rsidRPr="00820927">
              <w:rPr>
                <w:b/>
                <w:bCs/>
                <w:sz w:val="16"/>
                <w:szCs w:val="16"/>
              </w:rPr>
              <w:t>Clave de colores</w:t>
            </w:r>
          </w:p>
        </w:tc>
      </w:tr>
      <w:tr w:rsidR="002E3AE7" w:rsidRPr="00820927" w:rsidTr="003E0A02">
        <w:trPr>
          <w:trHeight w:val="795"/>
        </w:trPr>
        <w:tc>
          <w:tcPr>
            <w:tcW w:w="1075" w:type="pct"/>
            <w:shd w:val="clear" w:color="auto" w:fill="auto"/>
            <w:tcMar>
              <w:left w:w="58" w:type="dxa"/>
              <w:right w:w="58" w:type="dxa"/>
            </w:tcMar>
          </w:tcPr>
          <w:p w:rsidR="002E3AE7" w:rsidRPr="00820927" w:rsidRDefault="002E3AE7" w:rsidP="004738EC">
            <w:pPr>
              <w:keepNext/>
              <w:keepLines/>
              <w:rPr>
                <w:sz w:val="16"/>
                <w:szCs w:val="16"/>
              </w:rPr>
            </w:pPr>
            <w:r w:rsidRPr="00820927">
              <w:rPr>
                <w:sz w:val="16"/>
                <w:szCs w:val="16"/>
              </w:rPr>
              <w:t xml:space="preserve">% de riesgos de la información, incluidos los riesgos con respecto a terceros, presentado y gestionado de manera coherente en el marco de la tolerancia de la OMPI a los riesgos. </w:t>
            </w:r>
          </w:p>
        </w:tc>
        <w:tc>
          <w:tcPr>
            <w:tcW w:w="1378" w:type="pct"/>
            <w:shd w:val="clear" w:color="auto" w:fill="auto"/>
            <w:tcMar>
              <w:left w:w="58" w:type="dxa"/>
              <w:right w:w="58" w:type="dxa"/>
            </w:tcMar>
          </w:tcPr>
          <w:p w:rsidR="002E3AE7" w:rsidRPr="00820927" w:rsidRDefault="002E3AE7" w:rsidP="004738EC">
            <w:pPr>
              <w:keepNext/>
              <w:keepLines/>
              <w:rPr>
                <w:sz w:val="16"/>
                <w:szCs w:val="16"/>
              </w:rPr>
            </w:pPr>
            <w:r w:rsidRPr="00820927">
              <w:rPr>
                <w:sz w:val="16"/>
                <w:szCs w:val="16"/>
              </w:rPr>
              <w:t>Presentación de los riesgos de la información según las circunstancias</w:t>
            </w:r>
            <w:r w:rsidRPr="00820927">
              <w:rPr>
                <w:i/>
                <w:sz w:val="16"/>
                <w:szCs w:val="16"/>
              </w:rPr>
              <w:t xml:space="preserve">.  </w:t>
            </w:r>
            <w:r w:rsidRPr="00820927">
              <w:rPr>
                <w:sz w:val="16"/>
                <w:szCs w:val="16"/>
              </w:rPr>
              <w:t>Riesgos de la información con respecto a terceros no identificados ni gestionados de manera coherente.</w:t>
            </w:r>
          </w:p>
        </w:tc>
        <w:tc>
          <w:tcPr>
            <w:tcW w:w="723" w:type="pct"/>
            <w:shd w:val="clear" w:color="auto" w:fill="auto"/>
            <w:tcMar>
              <w:top w:w="110" w:type="dxa"/>
              <w:left w:w="58" w:type="dxa"/>
              <w:right w:w="58" w:type="dxa"/>
            </w:tcMar>
          </w:tcPr>
          <w:p w:rsidR="002E3AE7" w:rsidRPr="00820927" w:rsidRDefault="002E3AE7" w:rsidP="004738EC">
            <w:pPr>
              <w:keepNext/>
              <w:keepLines/>
              <w:rPr>
                <w:sz w:val="16"/>
                <w:szCs w:val="16"/>
              </w:rPr>
            </w:pPr>
            <w:r w:rsidRPr="00820927">
              <w:rPr>
                <w:sz w:val="16"/>
                <w:szCs w:val="16"/>
              </w:rPr>
              <w:t xml:space="preserve">Presentación trimestral de informes de riesgos de la información institucional ante los órganos de gobernanza interna del aseguramiento de la información </w:t>
            </w:r>
            <w:r w:rsidRPr="00820927">
              <w:rPr>
                <w:sz w:val="16"/>
                <w:szCs w:val="16"/>
              </w:rPr>
              <w:br/>
            </w:r>
          </w:p>
          <w:p w:rsidR="002E3AE7" w:rsidRPr="00820927" w:rsidRDefault="002E3AE7" w:rsidP="004738EC">
            <w:pPr>
              <w:keepNext/>
              <w:keepLines/>
              <w:spacing w:after="240"/>
              <w:rPr>
                <w:sz w:val="16"/>
                <w:szCs w:val="16"/>
              </w:rPr>
            </w:pPr>
            <w:r w:rsidRPr="00820927">
              <w:rPr>
                <w:sz w:val="16"/>
                <w:szCs w:val="16"/>
              </w:rPr>
              <w:t>Gestión activa de los riesgos de la información con respecto a terceros (&lt;10% alto)</w:t>
            </w:r>
          </w:p>
        </w:tc>
        <w:tc>
          <w:tcPr>
            <w:tcW w:w="1325" w:type="pct"/>
            <w:shd w:val="clear" w:color="auto" w:fill="FFFFFF"/>
            <w:tcMar>
              <w:top w:w="110" w:type="dxa"/>
              <w:left w:w="58" w:type="dxa"/>
              <w:right w:w="58" w:type="dxa"/>
            </w:tcMar>
          </w:tcPr>
          <w:p w:rsidR="002E3AE7" w:rsidRPr="00820927" w:rsidRDefault="002E3AE7" w:rsidP="004738EC">
            <w:pPr>
              <w:keepNext/>
              <w:keepLines/>
              <w:rPr>
                <w:sz w:val="16"/>
                <w:szCs w:val="16"/>
              </w:rPr>
            </w:pPr>
            <w:r w:rsidRPr="00820927">
              <w:rPr>
                <w:sz w:val="16"/>
                <w:szCs w:val="16"/>
              </w:rPr>
              <w:t xml:space="preserve">Todos (100%) los riesgos de la información, incluidos los riesgos con respecto a terceros, fueron notificados al Comité directivo </w:t>
            </w:r>
            <w:r w:rsidR="00076D24">
              <w:rPr>
                <w:sz w:val="16"/>
                <w:szCs w:val="16"/>
              </w:rPr>
              <w:t xml:space="preserve">en materia </w:t>
            </w:r>
            <w:r w:rsidRPr="00820927">
              <w:rPr>
                <w:sz w:val="16"/>
                <w:szCs w:val="16"/>
              </w:rPr>
              <w:t>de SA</w:t>
            </w:r>
            <w:r w:rsidR="00076D24">
              <w:rPr>
                <w:sz w:val="16"/>
                <w:szCs w:val="16"/>
              </w:rPr>
              <w:t>I</w:t>
            </w:r>
            <w:r w:rsidRPr="00820927">
              <w:rPr>
                <w:sz w:val="16"/>
                <w:szCs w:val="16"/>
              </w:rPr>
              <w:t>, que se reunió tres veces en 2016</w:t>
            </w:r>
          </w:p>
          <w:p w:rsidR="002E3AE7" w:rsidRPr="00820927" w:rsidRDefault="002E3AE7" w:rsidP="004738EC">
            <w:pPr>
              <w:keepNext/>
              <w:keepLines/>
              <w:rPr>
                <w:sz w:val="16"/>
                <w:szCs w:val="16"/>
              </w:rPr>
            </w:pPr>
          </w:p>
          <w:p w:rsidR="002E3AE7" w:rsidRPr="00820927" w:rsidRDefault="002E3AE7" w:rsidP="004738EC">
            <w:pPr>
              <w:keepNext/>
              <w:keepLines/>
              <w:rPr>
                <w:sz w:val="16"/>
                <w:szCs w:val="16"/>
              </w:rPr>
            </w:pPr>
          </w:p>
          <w:p w:rsidR="002E3AE7" w:rsidRPr="00820927" w:rsidRDefault="002E3AE7" w:rsidP="004738EC">
            <w:pPr>
              <w:keepNext/>
              <w:keepLines/>
              <w:rPr>
                <w:sz w:val="16"/>
                <w:szCs w:val="16"/>
              </w:rPr>
            </w:pPr>
          </w:p>
          <w:p w:rsidR="002E3AE7" w:rsidRPr="00820927" w:rsidRDefault="002E3AE7" w:rsidP="004738EC">
            <w:pPr>
              <w:keepNext/>
              <w:keepLines/>
              <w:rPr>
                <w:sz w:val="16"/>
                <w:szCs w:val="16"/>
              </w:rPr>
            </w:pPr>
          </w:p>
          <w:p w:rsidR="002E3AE7" w:rsidRPr="00820927" w:rsidRDefault="002E3AE7" w:rsidP="004738EC">
            <w:pPr>
              <w:keepNext/>
              <w:keepLines/>
              <w:rPr>
                <w:sz w:val="16"/>
                <w:szCs w:val="16"/>
              </w:rPr>
            </w:pPr>
          </w:p>
          <w:p w:rsidR="002E3AE7" w:rsidRPr="00820927" w:rsidRDefault="002E3AE7" w:rsidP="004738EC">
            <w:pPr>
              <w:keepNext/>
              <w:keepLines/>
              <w:rPr>
                <w:sz w:val="16"/>
                <w:szCs w:val="16"/>
              </w:rPr>
            </w:pPr>
          </w:p>
          <w:p w:rsidR="002E3AE7" w:rsidRPr="00820927" w:rsidRDefault="002E3AE7" w:rsidP="004738EC">
            <w:pPr>
              <w:keepNext/>
              <w:keepLines/>
              <w:rPr>
                <w:sz w:val="16"/>
                <w:szCs w:val="16"/>
              </w:rPr>
            </w:pPr>
          </w:p>
          <w:p w:rsidR="002E3AE7" w:rsidRPr="00820927" w:rsidRDefault="002E3AE7" w:rsidP="004738EC">
            <w:pPr>
              <w:keepNext/>
              <w:keepLines/>
              <w:rPr>
                <w:sz w:val="16"/>
                <w:szCs w:val="16"/>
              </w:rPr>
            </w:pPr>
            <w:r w:rsidRPr="00820927">
              <w:rPr>
                <w:sz w:val="16"/>
                <w:szCs w:val="16"/>
              </w:rPr>
              <w:t>Siguiendo los requisitos de la Política de seguridad con los proveedores de servicios, en 2016 se prestó asesoramiento a tres proveedores externos; no se detectaron riesgos elevados para la información.</w:t>
            </w:r>
          </w:p>
        </w:tc>
        <w:tc>
          <w:tcPr>
            <w:tcW w:w="499" w:type="pct"/>
            <w:shd w:val="clear" w:color="auto" w:fill="auto"/>
            <w:tcMar>
              <w:top w:w="110" w:type="dxa"/>
              <w:left w:w="58" w:type="dxa"/>
              <w:right w:w="58" w:type="dxa"/>
            </w:tcMar>
          </w:tcPr>
          <w:p w:rsidR="002E3AE7" w:rsidRPr="00820927" w:rsidRDefault="002E3AE7" w:rsidP="004738EC">
            <w:pPr>
              <w:keepNext/>
              <w:keepLines/>
              <w:jc w:val="center"/>
              <w:rPr>
                <w:sz w:val="16"/>
                <w:szCs w:val="16"/>
              </w:rPr>
            </w:pPr>
            <w:r w:rsidRPr="00820927">
              <w:rPr>
                <w:b/>
                <w:color w:val="00B050"/>
                <w:sz w:val="16"/>
                <w:szCs w:val="16"/>
              </w:rPr>
              <w:t>Avanza</w:t>
            </w:r>
            <w:r w:rsidRPr="00820927">
              <w:rPr>
                <w:sz w:val="16"/>
                <w:szCs w:val="16"/>
              </w:rPr>
              <w:t xml:space="preserve"> </w:t>
            </w:r>
          </w:p>
          <w:p w:rsidR="002E3AE7" w:rsidRPr="00820927" w:rsidRDefault="002E3AE7" w:rsidP="004738EC">
            <w:pPr>
              <w:keepNext/>
              <w:keepLines/>
              <w:jc w:val="center"/>
              <w:rPr>
                <w:sz w:val="16"/>
                <w:szCs w:val="16"/>
              </w:rPr>
            </w:pPr>
          </w:p>
          <w:p w:rsidR="002E3AE7" w:rsidRPr="00820927" w:rsidRDefault="002E3AE7" w:rsidP="004738EC">
            <w:pPr>
              <w:keepNext/>
              <w:keepLines/>
              <w:jc w:val="center"/>
              <w:rPr>
                <w:sz w:val="16"/>
                <w:szCs w:val="16"/>
              </w:rPr>
            </w:pPr>
          </w:p>
          <w:p w:rsidR="002E3AE7" w:rsidRPr="00820927" w:rsidRDefault="002E3AE7" w:rsidP="004738EC">
            <w:pPr>
              <w:keepNext/>
              <w:keepLines/>
              <w:jc w:val="center"/>
              <w:rPr>
                <w:sz w:val="16"/>
                <w:szCs w:val="16"/>
              </w:rPr>
            </w:pPr>
          </w:p>
          <w:p w:rsidR="002E3AE7" w:rsidRPr="00820927" w:rsidRDefault="002E3AE7" w:rsidP="004738EC">
            <w:pPr>
              <w:keepNext/>
              <w:keepLines/>
              <w:jc w:val="center"/>
              <w:rPr>
                <w:sz w:val="16"/>
                <w:szCs w:val="16"/>
              </w:rPr>
            </w:pPr>
          </w:p>
          <w:p w:rsidR="002E3AE7" w:rsidRPr="00820927" w:rsidRDefault="002E3AE7" w:rsidP="004738EC">
            <w:pPr>
              <w:keepNext/>
              <w:keepLines/>
              <w:jc w:val="center"/>
              <w:rPr>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r w:rsidRPr="00820927">
              <w:rPr>
                <w:b/>
                <w:color w:val="00B050"/>
                <w:sz w:val="16"/>
                <w:szCs w:val="16"/>
              </w:rPr>
              <w:t>Avanza</w:t>
            </w: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jc w:val="center"/>
              <w:rPr>
                <w:b/>
                <w:sz w:val="16"/>
                <w:szCs w:val="16"/>
              </w:rPr>
            </w:pPr>
          </w:p>
          <w:p w:rsidR="002E3AE7" w:rsidRPr="00820927" w:rsidRDefault="002E3AE7" w:rsidP="004738EC">
            <w:pPr>
              <w:keepNext/>
              <w:keepLines/>
              <w:rPr>
                <w:sz w:val="16"/>
                <w:szCs w:val="16"/>
              </w:rPr>
            </w:pPr>
          </w:p>
        </w:tc>
      </w:tr>
      <w:tr w:rsidR="002E3AE7" w:rsidRPr="00820927" w:rsidTr="003E0A02">
        <w:trPr>
          <w:trHeight w:val="301"/>
        </w:trPr>
        <w:tc>
          <w:tcPr>
            <w:tcW w:w="1075" w:type="pct"/>
            <w:shd w:val="clear" w:color="auto" w:fill="auto"/>
            <w:tcMar>
              <w:left w:w="58" w:type="dxa"/>
              <w:right w:w="58" w:type="dxa"/>
            </w:tcMar>
          </w:tcPr>
          <w:p w:rsidR="002E3AE7" w:rsidRPr="00820927" w:rsidRDefault="002E3AE7" w:rsidP="003E0A02">
            <w:pPr>
              <w:ind w:right="176"/>
              <w:rPr>
                <w:sz w:val="16"/>
                <w:szCs w:val="16"/>
              </w:rPr>
            </w:pPr>
            <w:r w:rsidRPr="00820927">
              <w:rPr>
                <w:sz w:val="16"/>
                <w:szCs w:val="16"/>
              </w:rPr>
              <w:t xml:space="preserve">Identificación dinámica y subsanación puntual de las vulnerabilidades en el marco de los niveles de servicio acordados.  </w:t>
            </w:r>
          </w:p>
        </w:tc>
        <w:tc>
          <w:tcPr>
            <w:tcW w:w="1378" w:type="pct"/>
            <w:shd w:val="clear" w:color="auto" w:fill="auto"/>
            <w:tcMar>
              <w:left w:w="58" w:type="dxa"/>
              <w:right w:w="58" w:type="dxa"/>
            </w:tcMar>
          </w:tcPr>
          <w:p w:rsidR="002E3AE7" w:rsidRPr="00820927" w:rsidRDefault="002E3AE7" w:rsidP="003E0A02">
            <w:pPr>
              <w:rPr>
                <w:sz w:val="16"/>
                <w:szCs w:val="16"/>
              </w:rPr>
            </w:pPr>
            <w:r w:rsidRPr="00820927">
              <w:rPr>
                <w:sz w:val="16"/>
                <w:szCs w:val="16"/>
              </w:rPr>
              <w:t xml:space="preserve">Identificación y subsanación de  vulnerabilidades limitadas relativas a la seguridad de la información.  </w:t>
            </w:r>
          </w:p>
        </w:tc>
        <w:tc>
          <w:tcPr>
            <w:tcW w:w="723" w:type="pct"/>
            <w:shd w:val="clear" w:color="auto" w:fill="auto"/>
            <w:tcMar>
              <w:top w:w="110" w:type="dxa"/>
              <w:left w:w="58" w:type="dxa"/>
              <w:right w:w="58" w:type="dxa"/>
            </w:tcMar>
          </w:tcPr>
          <w:p w:rsidR="002E3AE7" w:rsidRPr="00820927" w:rsidRDefault="002E3AE7" w:rsidP="003E0A02">
            <w:pPr>
              <w:keepNext/>
              <w:keepLines/>
              <w:spacing w:after="240"/>
              <w:rPr>
                <w:sz w:val="16"/>
                <w:szCs w:val="16"/>
              </w:rPr>
            </w:pPr>
            <w:r w:rsidRPr="00820927">
              <w:rPr>
                <w:sz w:val="16"/>
                <w:szCs w:val="16"/>
              </w:rPr>
              <w:t xml:space="preserve">Identificación y subsanación de vulnerabilidades en un 90% de los activos de información confidencial </w:t>
            </w:r>
          </w:p>
        </w:tc>
        <w:tc>
          <w:tcPr>
            <w:tcW w:w="1325" w:type="pct"/>
            <w:shd w:val="clear" w:color="auto" w:fill="FFFFFF"/>
            <w:tcMar>
              <w:top w:w="110" w:type="dxa"/>
              <w:left w:w="58" w:type="dxa"/>
              <w:right w:w="58" w:type="dxa"/>
            </w:tcMar>
          </w:tcPr>
          <w:p w:rsidR="002E3AE7" w:rsidRPr="00820927" w:rsidRDefault="002E3AE7" w:rsidP="008C553B">
            <w:pPr>
              <w:keepNext/>
              <w:keepLines/>
              <w:rPr>
                <w:sz w:val="16"/>
                <w:szCs w:val="16"/>
              </w:rPr>
            </w:pPr>
            <w:r w:rsidRPr="00820927">
              <w:rPr>
                <w:sz w:val="16"/>
                <w:szCs w:val="16"/>
              </w:rPr>
              <w:t>En 2016 se realizaron 2 pruebas externas de penetración y tres pruebas internas a nivel de empresa. En las pruebas externas se detectaron cinco vulnerabilidades críticas y elevadas, todas las cuales (100%) fueron subsanadas;  en las pruebas internas se detectaron 14 vulnerabilidades críticas y elevadas en el primer trimestre, habiéndose subsanado a fines de 2016 el 97%, y cuatro vulnerabilidades críticas y elevadas en el cuarto trimestre, de las cuales a fines de 2016 se ha subsanado el 50% y se está subsanando el otro 50%.</w:t>
            </w:r>
          </w:p>
        </w:tc>
        <w:tc>
          <w:tcPr>
            <w:tcW w:w="499" w:type="pct"/>
            <w:shd w:val="clear" w:color="auto" w:fill="auto"/>
            <w:tcMar>
              <w:top w:w="110" w:type="dxa"/>
              <w:left w:w="58" w:type="dxa"/>
              <w:right w:w="58" w:type="dxa"/>
            </w:tcMar>
          </w:tcPr>
          <w:p w:rsidR="002E3AE7" w:rsidRPr="00820927" w:rsidRDefault="002E3AE7" w:rsidP="003E0A02">
            <w:pPr>
              <w:keepNext/>
              <w:keepLines/>
              <w:jc w:val="center"/>
              <w:rPr>
                <w:sz w:val="16"/>
                <w:szCs w:val="16"/>
              </w:rPr>
            </w:pPr>
            <w:r w:rsidRPr="00820927">
              <w:rPr>
                <w:b/>
                <w:color w:val="00B050"/>
                <w:sz w:val="16"/>
                <w:szCs w:val="16"/>
              </w:rPr>
              <w:t>Avanza</w:t>
            </w:r>
            <w:r w:rsidRPr="00820927">
              <w:rPr>
                <w:sz w:val="16"/>
                <w:szCs w:val="16"/>
              </w:rPr>
              <w:t xml:space="preserve"> </w:t>
            </w:r>
          </w:p>
        </w:tc>
      </w:tr>
      <w:tr w:rsidR="002E3AE7" w:rsidRPr="00820927" w:rsidTr="003E0A02">
        <w:trPr>
          <w:trHeight w:val="1213"/>
        </w:trPr>
        <w:tc>
          <w:tcPr>
            <w:tcW w:w="1075" w:type="pct"/>
            <w:shd w:val="clear" w:color="auto" w:fill="auto"/>
            <w:tcMar>
              <w:left w:w="58" w:type="dxa"/>
              <w:right w:w="58" w:type="dxa"/>
            </w:tcMar>
          </w:tcPr>
          <w:p w:rsidR="002E3AE7" w:rsidRPr="00820927" w:rsidRDefault="002E3AE7" w:rsidP="003E0A02">
            <w:pPr>
              <w:ind w:right="176"/>
              <w:rPr>
                <w:sz w:val="16"/>
                <w:szCs w:val="16"/>
              </w:rPr>
            </w:pPr>
          </w:p>
          <w:p w:rsidR="002E3AE7" w:rsidRPr="00820927" w:rsidRDefault="002E3AE7" w:rsidP="003E0A02">
            <w:pPr>
              <w:ind w:right="176"/>
              <w:rPr>
                <w:sz w:val="16"/>
                <w:szCs w:val="16"/>
              </w:rPr>
            </w:pPr>
            <w:r w:rsidRPr="00820927">
              <w:rPr>
                <w:sz w:val="16"/>
                <w:szCs w:val="16"/>
              </w:rPr>
              <w:t>Mayor observancia de las políticas y las normas de aseguramiento de la información</w:t>
            </w:r>
          </w:p>
          <w:p w:rsidR="002E3AE7" w:rsidRPr="00820927" w:rsidRDefault="002E3AE7" w:rsidP="003E0A02">
            <w:pPr>
              <w:ind w:right="176"/>
              <w:rPr>
                <w:sz w:val="16"/>
                <w:szCs w:val="16"/>
              </w:rPr>
            </w:pPr>
          </w:p>
        </w:tc>
        <w:tc>
          <w:tcPr>
            <w:tcW w:w="1378" w:type="pct"/>
            <w:shd w:val="clear" w:color="auto" w:fill="auto"/>
            <w:tcMar>
              <w:left w:w="58" w:type="dxa"/>
              <w:right w:w="58" w:type="dxa"/>
            </w:tcMar>
          </w:tcPr>
          <w:p w:rsidR="002E3AE7" w:rsidRPr="00820927" w:rsidRDefault="002E3AE7" w:rsidP="003E0A02">
            <w:pPr>
              <w:rPr>
                <w:i/>
                <w:sz w:val="16"/>
                <w:szCs w:val="16"/>
              </w:rPr>
            </w:pPr>
          </w:p>
          <w:p w:rsidR="002E3AE7" w:rsidRPr="006573F1" w:rsidRDefault="002E3AE7" w:rsidP="003E0A02">
            <w:pPr>
              <w:rPr>
                <w:i/>
                <w:color w:val="002060"/>
                <w:sz w:val="16"/>
                <w:szCs w:val="16"/>
              </w:rPr>
            </w:pPr>
            <w:r w:rsidRPr="006573F1">
              <w:rPr>
                <w:i/>
                <w:color w:val="002060"/>
                <w:sz w:val="16"/>
                <w:szCs w:val="16"/>
              </w:rPr>
              <w:t xml:space="preserve">Referencia actualizada a fines de 2015:  </w:t>
            </w:r>
          </w:p>
          <w:p w:rsidR="002E3AE7" w:rsidRPr="006573F1" w:rsidRDefault="002E3AE7" w:rsidP="003E0A02">
            <w:pPr>
              <w:rPr>
                <w:color w:val="002060"/>
                <w:sz w:val="16"/>
                <w:szCs w:val="16"/>
              </w:rPr>
            </w:pPr>
            <w:r w:rsidRPr="006573F1">
              <w:rPr>
                <w:color w:val="002060"/>
                <w:sz w:val="16"/>
                <w:szCs w:val="16"/>
              </w:rPr>
              <w:t xml:space="preserve">La transición del PCT a la certificación ISO 27001:2013 se llevó a cabo satisfactoriamente.  </w:t>
            </w:r>
          </w:p>
          <w:p w:rsidR="002E3AE7" w:rsidRPr="006573F1" w:rsidRDefault="002E3AE7" w:rsidP="003E0A02">
            <w:pPr>
              <w:rPr>
                <w:color w:val="002060"/>
                <w:sz w:val="16"/>
                <w:szCs w:val="16"/>
              </w:rPr>
            </w:pPr>
            <w:r w:rsidRPr="006573F1">
              <w:rPr>
                <w:color w:val="002060"/>
                <w:sz w:val="16"/>
                <w:szCs w:val="16"/>
              </w:rPr>
              <w:t xml:space="preserve">La certificación fue renovada en octubre de 2015, y se amplió su alcance para dar cabida a los Sistemas de Madrid y de La Haya en octubre de 2015.  </w:t>
            </w:r>
          </w:p>
          <w:p w:rsidR="002E3AE7" w:rsidRPr="00820927" w:rsidRDefault="002E3AE7" w:rsidP="003E0A02">
            <w:pPr>
              <w:rPr>
                <w:sz w:val="16"/>
                <w:szCs w:val="16"/>
              </w:rPr>
            </w:pPr>
          </w:p>
          <w:p w:rsidR="002E3AE7" w:rsidRPr="00820927" w:rsidRDefault="002E3AE7" w:rsidP="003E0A02">
            <w:pPr>
              <w:rPr>
                <w:i/>
                <w:sz w:val="16"/>
                <w:szCs w:val="16"/>
                <w:lang w:bidi="th-TH"/>
              </w:rPr>
            </w:pPr>
            <w:r w:rsidRPr="00820927">
              <w:rPr>
                <w:i/>
                <w:sz w:val="16"/>
                <w:szCs w:val="16"/>
                <w:lang w:bidi="th-TH"/>
              </w:rPr>
              <w:t xml:space="preserve">Referencia original en el presupuesto de 2016/17:  </w:t>
            </w:r>
          </w:p>
          <w:p w:rsidR="002E3AE7" w:rsidRPr="00820927" w:rsidRDefault="002E3AE7" w:rsidP="003E0A02">
            <w:pPr>
              <w:spacing w:after="240"/>
              <w:rPr>
                <w:sz w:val="16"/>
                <w:szCs w:val="16"/>
              </w:rPr>
            </w:pPr>
            <w:r w:rsidRPr="00820927">
              <w:rPr>
                <w:sz w:val="16"/>
                <w:szCs w:val="16"/>
              </w:rPr>
              <w:t>El cumplimiento y obtención del certificado de las normas ISO 27001 se limita a los procedimientos del PCT</w:t>
            </w:r>
          </w:p>
        </w:tc>
        <w:tc>
          <w:tcPr>
            <w:tcW w:w="723" w:type="pct"/>
            <w:shd w:val="clear" w:color="auto" w:fill="auto"/>
            <w:tcMar>
              <w:top w:w="110" w:type="dxa"/>
              <w:left w:w="58" w:type="dxa"/>
              <w:right w:w="58" w:type="dxa"/>
            </w:tcMar>
          </w:tcPr>
          <w:p w:rsidR="002E3AE7" w:rsidRPr="00820927" w:rsidRDefault="002E3AE7" w:rsidP="003E0A02">
            <w:pPr>
              <w:keepNext/>
              <w:keepLines/>
              <w:rPr>
                <w:sz w:val="16"/>
                <w:szCs w:val="16"/>
              </w:rPr>
            </w:pPr>
          </w:p>
          <w:p w:rsidR="002E3AE7" w:rsidRPr="00820927" w:rsidRDefault="002E3AE7" w:rsidP="003E0A02">
            <w:pPr>
              <w:keepNext/>
              <w:keepLines/>
              <w:rPr>
                <w:sz w:val="16"/>
                <w:szCs w:val="16"/>
              </w:rPr>
            </w:pPr>
            <w:r w:rsidRPr="00820927">
              <w:rPr>
                <w:sz w:val="16"/>
                <w:szCs w:val="16"/>
              </w:rPr>
              <w:t>El cumplimiento y la obtención del certificado de las normas ISO 27001 se hacen extensivos a los procedimientos del Sistema de Madrid, La Haya y los RR.HH.</w:t>
            </w:r>
          </w:p>
        </w:tc>
        <w:tc>
          <w:tcPr>
            <w:tcW w:w="1325" w:type="pct"/>
            <w:shd w:val="clear" w:color="auto" w:fill="FFFFFF"/>
            <w:tcMar>
              <w:top w:w="110" w:type="dxa"/>
              <w:left w:w="58" w:type="dxa"/>
              <w:right w:w="58" w:type="dxa"/>
            </w:tcMar>
          </w:tcPr>
          <w:p w:rsidR="002E3AE7" w:rsidRPr="00820927" w:rsidRDefault="002E3AE7" w:rsidP="003E0A02">
            <w:pPr>
              <w:keepNext/>
              <w:keepLines/>
              <w:rPr>
                <w:sz w:val="16"/>
                <w:szCs w:val="16"/>
              </w:rPr>
            </w:pPr>
          </w:p>
          <w:p w:rsidR="002E3AE7" w:rsidRPr="00820927" w:rsidRDefault="002E3AE7" w:rsidP="003E0A02">
            <w:pPr>
              <w:keepNext/>
              <w:keepLines/>
              <w:rPr>
                <w:sz w:val="16"/>
                <w:szCs w:val="16"/>
              </w:rPr>
            </w:pPr>
            <w:r w:rsidRPr="00820927">
              <w:rPr>
                <w:sz w:val="16"/>
                <w:szCs w:val="16"/>
              </w:rPr>
              <w:t xml:space="preserve">En 2016 se obtuvo la certificación ISO 27001 para los procedimientos del PCT, de los Sistemas de La Haya y Madrid y el Centro de Arbitraje y Mediación  </w:t>
            </w:r>
          </w:p>
        </w:tc>
        <w:tc>
          <w:tcPr>
            <w:tcW w:w="499" w:type="pct"/>
            <w:shd w:val="clear" w:color="auto" w:fill="auto"/>
            <w:tcMar>
              <w:top w:w="110" w:type="dxa"/>
              <w:left w:w="58" w:type="dxa"/>
              <w:right w:w="58" w:type="dxa"/>
            </w:tcMar>
          </w:tcPr>
          <w:p w:rsidR="002E3AE7" w:rsidRPr="00820927" w:rsidRDefault="002E3AE7" w:rsidP="003E0A02">
            <w:pPr>
              <w:keepNext/>
              <w:keepLines/>
              <w:jc w:val="center"/>
              <w:rPr>
                <w:b/>
                <w:sz w:val="16"/>
                <w:szCs w:val="16"/>
              </w:rPr>
            </w:pPr>
          </w:p>
          <w:p w:rsidR="002E3AE7" w:rsidRPr="00820927" w:rsidRDefault="002E3AE7" w:rsidP="003E0A02">
            <w:pPr>
              <w:keepNext/>
              <w:keepLines/>
              <w:jc w:val="center"/>
              <w:rPr>
                <w:b/>
                <w:sz w:val="16"/>
                <w:szCs w:val="16"/>
              </w:rPr>
            </w:pPr>
            <w:r w:rsidRPr="00820927">
              <w:rPr>
                <w:b/>
                <w:color w:val="00B050"/>
                <w:sz w:val="16"/>
                <w:szCs w:val="16"/>
              </w:rPr>
              <w:t>Avanza</w:t>
            </w:r>
          </w:p>
          <w:p w:rsidR="002E3AE7" w:rsidRPr="00820927" w:rsidRDefault="002E3AE7" w:rsidP="003E0A02">
            <w:pPr>
              <w:keepNext/>
              <w:keepLines/>
              <w:jc w:val="center"/>
              <w:rPr>
                <w:sz w:val="16"/>
                <w:szCs w:val="16"/>
              </w:rPr>
            </w:pPr>
          </w:p>
        </w:tc>
      </w:tr>
      <w:tr w:rsidR="002E3AE7" w:rsidRPr="00820927" w:rsidTr="003E0A02">
        <w:trPr>
          <w:trHeight w:val="1092"/>
        </w:trPr>
        <w:tc>
          <w:tcPr>
            <w:tcW w:w="1075" w:type="pct"/>
            <w:shd w:val="clear" w:color="auto" w:fill="auto"/>
            <w:tcMar>
              <w:left w:w="58" w:type="dxa"/>
              <w:right w:w="58" w:type="dxa"/>
            </w:tcMar>
          </w:tcPr>
          <w:p w:rsidR="002E3AE7" w:rsidRPr="00820927" w:rsidRDefault="002E3AE7" w:rsidP="003E0A02">
            <w:pPr>
              <w:ind w:right="176"/>
              <w:rPr>
                <w:sz w:val="16"/>
                <w:szCs w:val="16"/>
              </w:rPr>
            </w:pPr>
            <w:r w:rsidRPr="00820927">
              <w:rPr>
                <w:sz w:val="16"/>
                <w:szCs w:val="16"/>
              </w:rPr>
              <w:t>Amplia adopción de la política de clasificación y gestión de la información para asegurar la confidencialidad de la información</w:t>
            </w:r>
          </w:p>
        </w:tc>
        <w:tc>
          <w:tcPr>
            <w:tcW w:w="1378" w:type="pct"/>
            <w:shd w:val="clear" w:color="auto" w:fill="auto"/>
            <w:tcMar>
              <w:left w:w="58" w:type="dxa"/>
              <w:right w:w="58" w:type="dxa"/>
            </w:tcMar>
          </w:tcPr>
          <w:p w:rsidR="002E3AE7" w:rsidRPr="00820927" w:rsidRDefault="002E3AE7" w:rsidP="003E0A02">
            <w:pPr>
              <w:rPr>
                <w:sz w:val="16"/>
                <w:szCs w:val="16"/>
              </w:rPr>
            </w:pPr>
            <w:r w:rsidRPr="00820927">
              <w:rPr>
                <w:sz w:val="16"/>
                <w:szCs w:val="16"/>
              </w:rPr>
              <w:t>Adopción limitada de la política de gestión y clasificación de la información</w:t>
            </w:r>
          </w:p>
        </w:tc>
        <w:tc>
          <w:tcPr>
            <w:tcW w:w="723" w:type="pct"/>
            <w:shd w:val="clear" w:color="auto" w:fill="auto"/>
            <w:tcMar>
              <w:top w:w="110" w:type="dxa"/>
              <w:left w:w="58" w:type="dxa"/>
              <w:right w:w="58" w:type="dxa"/>
            </w:tcMar>
          </w:tcPr>
          <w:p w:rsidR="002E3AE7" w:rsidRPr="00820927" w:rsidRDefault="002E3AE7" w:rsidP="003E0A02">
            <w:pPr>
              <w:keepNext/>
              <w:keepLines/>
              <w:spacing w:after="240"/>
              <w:rPr>
                <w:sz w:val="16"/>
                <w:szCs w:val="16"/>
              </w:rPr>
            </w:pPr>
            <w:r w:rsidRPr="00820927">
              <w:rPr>
                <w:sz w:val="16"/>
                <w:szCs w:val="16"/>
              </w:rPr>
              <w:t>Aumenta en un 40% el nivel de adopción de la política de gestión y clasificación de la información</w:t>
            </w:r>
          </w:p>
        </w:tc>
        <w:tc>
          <w:tcPr>
            <w:tcW w:w="1325" w:type="pct"/>
            <w:shd w:val="clear" w:color="auto" w:fill="FFFFFF"/>
            <w:tcMar>
              <w:top w:w="110" w:type="dxa"/>
              <w:left w:w="58" w:type="dxa"/>
              <w:right w:w="58" w:type="dxa"/>
            </w:tcMar>
          </w:tcPr>
          <w:p w:rsidR="002E3AE7" w:rsidRPr="00820927" w:rsidRDefault="002E3AE7" w:rsidP="003E0A02">
            <w:pPr>
              <w:keepNext/>
              <w:keepLines/>
              <w:rPr>
                <w:sz w:val="16"/>
                <w:szCs w:val="16"/>
              </w:rPr>
            </w:pPr>
            <w:r w:rsidRPr="00820927">
              <w:rPr>
                <w:sz w:val="16"/>
                <w:szCs w:val="16"/>
              </w:rPr>
              <w:t xml:space="preserve">A fines de 2016 las partes interesadas estaban examinando un proyecto de política de gestión y clasificación de la información </w:t>
            </w:r>
          </w:p>
        </w:tc>
        <w:tc>
          <w:tcPr>
            <w:tcW w:w="499" w:type="pct"/>
            <w:shd w:val="clear" w:color="auto" w:fill="auto"/>
            <w:tcMar>
              <w:top w:w="110" w:type="dxa"/>
              <w:left w:w="58" w:type="dxa"/>
              <w:right w:w="58" w:type="dxa"/>
            </w:tcMar>
          </w:tcPr>
          <w:p w:rsidR="002E3AE7" w:rsidRPr="00820927" w:rsidRDefault="002E3AE7" w:rsidP="003E0A02">
            <w:pPr>
              <w:keepNext/>
              <w:keepLines/>
              <w:jc w:val="center"/>
              <w:rPr>
                <w:sz w:val="16"/>
                <w:szCs w:val="16"/>
              </w:rPr>
            </w:pPr>
            <w:r w:rsidRPr="00820927">
              <w:rPr>
                <w:b/>
                <w:color w:val="00B050"/>
                <w:sz w:val="16"/>
                <w:szCs w:val="16"/>
              </w:rPr>
              <w:t>Avanza</w:t>
            </w:r>
            <w:r w:rsidRPr="00820927" w:rsidDel="0035696D">
              <w:rPr>
                <w:b/>
                <w:sz w:val="16"/>
                <w:szCs w:val="16"/>
              </w:rPr>
              <w:t xml:space="preserve"> </w:t>
            </w:r>
          </w:p>
        </w:tc>
      </w:tr>
      <w:tr w:rsidR="002E3AE7" w:rsidRPr="00820927" w:rsidTr="008C553B">
        <w:trPr>
          <w:trHeight w:val="287"/>
        </w:trPr>
        <w:tc>
          <w:tcPr>
            <w:tcW w:w="1075" w:type="pct"/>
            <w:shd w:val="clear" w:color="auto" w:fill="auto"/>
            <w:tcMar>
              <w:left w:w="58" w:type="dxa"/>
              <w:right w:w="58" w:type="dxa"/>
            </w:tcMar>
          </w:tcPr>
          <w:p w:rsidR="002E3AE7" w:rsidRPr="00820927" w:rsidRDefault="002E3AE7" w:rsidP="004738EC">
            <w:pPr>
              <w:keepNext/>
              <w:keepLines/>
              <w:ind w:right="176"/>
              <w:rPr>
                <w:sz w:val="16"/>
                <w:szCs w:val="16"/>
              </w:rPr>
            </w:pPr>
            <w:r w:rsidRPr="00820927">
              <w:rPr>
                <w:sz w:val="16"/>
                <w:szCs w:val="16"/>
              </w:rPr>
              <w:lastRenderedPageBreak/>
              <w:t>Menor duplicación de las capacidades técnicas de seguridad de la información mediante la aplicación de modelos reutilizables de arquitectura de la seguridad</w:t>
            </w:r>
          </w:p>
        </w:tc>
        <w:tc>
          <w:tcPr>
            <w:tcW w:w="1378" w:type="pct"/>
            <w:shd w:val="clear" w:color="auto" w:fill="auto"/>
            <w:tcMar>
              <w:left w:w="58" w:type="dxa"/>
              <w:right w:w="58" w:type="dxa"/>
            </w:tcMar>
          </w:tcPr>
          <w:p w:rsidR="002E3AE7" w:rsidRPr="00820927" w:rsidRDefault="002E3AE7" w:rsidP="004738EC">
            <w:pPr>
              <w:keepNext/>
              <w:keepLines/>
              <w:rPr>
                <w:sz w:val="16"/>
                <w:szCs w:val="16"/>
              </w:rPr>
            </w:pPr>
            <w:r w:rsidRPr="00820927">
              <w:rPr>
                <w:sz w:val="16"/>
                <w:szCs w:val="16"/>
              </w:rPr>
              <w:t>Aplicación desigual y limitada de las capacidades de seguridad, lo que reduce la flexibilidad y las posibilidades de reutilizar las capacidades</w:t>
            </w:r>
          </w:p>
        </w:tc>
        <w:tc>
          <w:tcPr>
            <w:tcW w:w="723" w:type="pct"/>
            <w:shd w:val="clear" w:color="auto" w:fill="auto"/>
            <w:tcMar>
              <w:top w:w="110" w:type="dxa"/>
              <w:left w:w="58" w:type="dxa"/>
              <w:right w:w="58" w:type="dxa"/>
            </w:tcMar>
          </w:tcPr>
          <w:p w:rsidR="002E3AE7" w:rsidRPr="00820927" w:rsidRDefault="002E3AE7" w:rsidP="004738EC">
            <w:pPr>
              <w:keepNext/>
              <w:keepLines/>
              <w:rPr>
                <w:sz w:val="16"/>
                <w:szCs w:val="16"/>
              </w:rPr>
            </w:pPr>
            <w:r w:rsidRPr="00820927">
              <w:rPr>
                <w:sz w:val="16"/>
                <w:szCs w:val="16"/>
              </w:rPr>
              <w:t>Se implanta una nueva arquitectura de referencia de la seguridad para aumentar en un 30% la flexibilidad y la reutilización de las capacidades de seguridad</w:t>
            </w:r>
          </w:p>
        </w:tc>
        <w:tc>
          <w:tcPr>
            <w:tcW w:w="1325" w:type="pct"/>
            <w:shd w:val="clear" w:color="auto" w:fill="FFFFFF"/>
            <w:tcMar>
              <w:top w:w="110" w:type="dxa"/>
              <w:left w:w="58" w:type="dxa"/>
              <w:right w:w="58" w:type="dxa"/>
            </w:tcMar>
          </w:tcPr>
          <w:p w:rsidR="002E3AE7" w:rsidRPr="00820927" w:rsidRDefault="002E3AE7" w:rsidP="004738EC">
            <w:pPr>
              <w:keepNext/>
              <w:keepLines/>
              <w:rPr>
                <w:sz w:val="16"/>
                <w:szCs w:val="16"/>
              </w:rPr>
            </w:pPr>
            <w:r w:rsidRPr="00820927">
              <w:rPr>
                <w:sz w:val="16"/>
                <w:szCs w:val="16"/>
              </w:rPr>
              <w:t xml:space="preserve">Se elaboraron arquitecturas de referencia de la seguridad para la solución de arquitectura global (GOA) para las Oficinas de la OMPI en el exterior y para la gestión de la identidad y del acceso y el cifrado.  Estas arquitecturas de referencia se estaban usando como guía para el diseño de nuevas aplicaciones y sistemas.  </w:t>
            </w:r>
          </w:p>
        </w:tc>
        <w:tc>
          <w:tcPr>
            <w:tcW w:w="499" w:type="pct"/>
            <w:shd w:val="clear" w:color="auto" w:fill="auto"/>
            <w:tcMar>
              <w:top w:w="110" w:type="dxa"/>
              <w:left w:w="58" w:type="dxa"/>
              <w:right w:w="58" w:type="dxa"/>
            </w:tcMar>
          </w:tcPr>
          <w:p w:rsidR="002E3AE7" w:rsidRPr="00820927" w:rsidRDefault="002E3AE7" w:rsidP="004738EC">
            <w:pPr>
              <w:keepNext/>
              <w:keepLines/>
              <w:jc w:val="center"/>
              <w:rPr>
                <w:b/>
                <w:sz w:val="16"/>
                <w:szCs w:val="16"/>
              </w:rPr>
            </w:pPr>
            <w:r w:rsidRPr="00820927">
              <w:rPr>
                <w:b/>
                <w:color w:val="00B050"/>
                <w:sz w:val="16"/>
                <w:szCs w:val="16"/>
              </w:rPr>
              <w:t>Avanza</w:t>
            </w:r>
          </w:p>
          <w:p w:rsidR="002E3AE7" w:rsidRPr="00820927" w:rsidRDefault="002E3AE7" w:rsidP="004738EC">
            <w:pPr>
              <w:keepNext/>
              <w:keepLines/>
              <w:jc w:val="center"/>
              <w:rPr>
                <w:sz w:val="16"/>
                <w:szCs w:val="16"/>
              </w:rPr>
            </w:pPr>
          </w:p>
        </w:tc>
      </w:tr>
      <w:tr w:rsidR="002E3AE7" w:rsidRPr="00820927" w:rsidTr="003E0A02">
        <w:trPr>
          <w:trHeight w:val="610"/>
        </w:trPr>
        <w:tc>
          <w:tcPr>
            <w:tcW w:w="1075" w:type="pct"/>
            <w:shd w:val="clear" w:color="auto" w:fill="auto"/>
            <w:tcMar>
              <w:left w:w="58" w:type="dxa"/>
              <w:right w:w="58" w:type="dxa"/>
            </w:tcMar>
          </w:tcPr>
          <w:p w:rsidR="002E3AE7" w:rsidRPr="00820927" w:rsidRDefault="002E3AE7" w:rsidP="003E0A02">
            <w:pPr>
              <w:rPr>
                <w:sz w:val="16"/>
                <w:szCs w:val="16"/>
              </w:rPr>
            </w:pPr>
            <w:r w:rsidRPr="00820927">
              <w:rPr>
                <w:sz w:val="16"/>
                <w:szCs w:val="16"/>
              </w:rPr>
              <w:t>Mayor capacidad para detectar amenazas contra la seguridad de la información y dar respuesta a las mismas con mucha mayor rapidez, garantizando una mínima perturbación de las operaciones</w:t>
            </w:r>
          </w:p>
        </w:tc>
        <w:tc>
          <w:tcPr>
            <w:tcW w:w="1378" w:type="pct"/>
            <w:shd w:val="clear" w:color="auto" w:fill="auto"/>
            <w:tcMar>
              <w:left w:w="58" w:type="dxa"/>
              <w:right w:w="58" w:type="dxa"/>
            </w:tcMar>
          </w:tcPr>
          <w:p w:rsidR="002E3AE7" w:rsidRPr="006573F1" w:rsidRDefault="002E3AE7" w:rsidP="003E0A02">
            <w:pPr>
              <w:rPr>
                <w:i/>
                <w:color w:val="002060"/>
                <w:sz w:val="16"/>
                <w:szCs w:val="16"/>
              </w:rPr>
            </w:pPr>
            <w:r w:rsidRPr="006573F1">
              <w:rPr>
                <w:i/>
                <w:color w:val="002060"/>
                <w:sz w:val="16"/>
                <w:szCs w:val="16"/>
              </w:rPr>
              <w:t xml:space="preserve">Referencia actualizada a fines de 2015:  </w:t>
            </w:r>
          </w:p>
          <w:p w:rsidR="002E3AE7" w:rsidRPr="006573F1" w:rsidRDefault="002E3AE7" w:rsidP="003E0A02">
            <w:pPr>
              <w:rPr>
                <w:color w:val="002060"/>
                <w:sz w:val="16"/>
                <w:szCs w:val="16"/>
              </w:rPr>
            </w:pPr>
            <w:r w:rsidRPr="006573F1">
              <w:rPr>
                <w:color w:val="002060"/>
                <w:sz w:val="16"/>
                <w:szCs w:val="16"/>
              </w:rPr>
              <w:t xml:space="preserve">Se instaló un sistema de gestión de la información y de los incidentes de seguridad (SEIM) en tanto que medio para correlacionar todos los incidentes de seguridad de otros sistemas y posteriormente generar alarmas, proporcionando mayor visibilidad y permitiendo respuestas más rápidas y capacidades forenses más detalladas  </w:t>
            </w:r>
          </w:p>
          <w:p w:rsidR="002E3AE7" w:rsidRPr="00820927" w:rsidRDefault="002E3AE7" w:rsidP="003E0A02">
            <w:pPr>
              <w:rPr>
                <w:sz w:val="16"/>
                <w:szCs w:val="16"/>
              </w:rPr>
            </w:pPr>
          </w:p>
          <w:p w:rsidR="002E3AE7" w:rsidRPr="00820927" w:rsidRDefault="002E3AE7" w:rsidP="003E0A02">
            <w:pPr>
              <w:rPr>
                <w:i/>
                <w:sz w:val="16"/>
                <w:szCs w:val="16"/>
                <w:lang w:bidi="th-TH"/>
              </w:rPr>
            </w:pPr>
            <w:r w:rsidRPr="00820927">
              <w:rPr>
                <w:i/>
                <w:sz w:val="16"/>
                <w:szCs w:val="16"/>
                <w:lang w:bidi="th-TH"/>
              </w:rPr>
              <w:t xml:space="preserve">Referencia original en el presupuesto de 2016/17:  </w:t>
            </w:r>
          </w:p>
          <w:p w:rsidR="002E3AE7" w:rsidRPr="00820927" w:rsidRDefault="002E3AE7" w:rsidP="003E0A02">
            <w:pPr>
              <w:spacing w:after="240"/>
              <w:rPr>
                <w:sz w:val="16"/>
                <w:szCs w:val="16"/>
              </w:rPr>
            </w:pPr>
            <w:r w:rsidRPr="00820927">
              <w:rPr>
                <w:sz w:val="16"/>
                <w:szCs w:val="16"/>
              </w:rPr>
              <w:t>Existencia de un mínimo de operaciones básicas de seguridad, estudios de amenazas por Internet y capacidad de respuesta a los incidentes</w:t>
            </w:r>
          </w:p>
        </w:tc>
        <w:tc>
          <w:tcPr>
            <w:tcW w:w="723" w:type="pct"/>
            <w:shd w:val="clear" w:color="auto" w:fill="auto"/>
            <w:tcMar>
              <w:top w:w="110" w:type="dxa"/>
              <w:left w:w="58" w:type="dxa"/>
              <w:right w:w="58" w:type="dxa"/>
            </w:tcMar>
          </w:tcPr>
          <w:p w:rsidR="002E3AE7" w:rsidRPr="00820927" w:rsidRDefault="002E3AE7" w:rsidP="003E0A02">
            <w:pPr>
              <w:rPr>
                <w:sz w:val="16"/>
                <w:szCs w:val="16"/>
              </w:rPr>
            </w:pPr>
            <w:r w:rsidRPr="00820927">
              <w:rPr>
                <w:sz w:val="16"/>
                <w:szCs w:val="16"/>
              </w:rPr>
              <w:t>Creación de un Centro de Operaciones para la Ciberseguridad mediante el cual se incrementa en un 30% la capacidad de supervisar, detectar y dar respuesta a los incidentes de seguridad de la información</w:t>
            </w:r>
          </w:p>
        </w:tc>
        <w:tc>
          <w:tcPr>
            <w:tcW w:w="1325" w:type="pct"/>
            <w:shd w:val="clear" w:color="auto" w:fill="FFFFFF"/>
            <w:tcMar>
              <w:top w:w="110" w:type="dxa"/>
              <w:left w:w="58" w:type="dxa"/>
              <w:right w:w="58" w:type="dxa"/>
            </w:tcMar>
          </w:tcPr>
          <w:p w:rsidR="002E3AE7" w:rsidRPr="00820927" w:rsidRDefault="002E3AE7" w:rsidP="003E0A02">
            <w:pPr>
              <w:keepNext/>
              <w:keepLines/>
              <w:rPr>
                <w:sz w:val="16"/>
                <w:szCs w:val="16"/>
              </w:rPr>
            </w:pPr>
            <w:r w:rsidRPr="00820927">
              <w:rPr>
                <w:sz w:val="16"/>
                <w:szCs w:val="16"/>
              </w:rPr>
              <w:t>En 2016 se evaluaron las capacidades actuales y se inició el desarrollo de la estrategia/hoja de ruta para el Centro de Operaciones para la Ciberseguridad (CSOC) y la Gestión de la Vulnerabilidad, la cual informará el modelo de obtención de fuentes para el futuro CSOC de la OMPI, que se ha de llevar a la práctica en 2017.  Entretanto, se ha mejorado la capacidad de seguimiento, análisis y respuesta a incidentes de seguridad de la información mediante la ejecución de controles de seguridad de terminales en las terminales de trabajo y en los servidores.</w:t>
            </w:r>
          </w:p>
        </w:tc>
        <w:tc>
          <w:tcPr>
            <w:tcW w:w="499" w:type="pct"/>
            <w:shd w:val="clear" w:color="auto" w:fill="auto"/>
            <w:tcMar>
              <w:top w:w="110" w:type="dxa"/>
              <w:left w:w="58" w:type="dxa"/>
              <w:right w:w="58" w:type="dxa"/>
            </w:tcMar>
          </w:tcPr>
          <w:p w:rsidR="002E3AE7" w:rsidRPr="00820927" w:rsidRDefault="002E3AE7" w:rsidP="003E0A02">
            <w:pPr>
              <w:keepNext/>
              <w:keepLines/>
              <w:jc w:val="center"/>
              <w:rPr>
                <w:b/>
                <w:sz w:val="16"/>
                <w:szCs w:val="16"/>
              </w:rPr>
            </w:pPr>
            <w:r w:rsidRPr="00820927">
              <w:rPr>
                <w:b/>
                <w:color w:val="00B050"/>
                <w:sz w:val="16"/>
                <w:szCs w:val="16"/>
              </w:rPr>
              <w:t>Avanza</w:t>
            </w:r>
          </w:p>
          <w:p w:rsidR="002E3AE7" w:rsidRPr="00820927" w:rsidRDefault="002E3AE7" w:rsidP="003E0A02">
            <w:pPr>
              <w:keepNext/>
              <w:keepLines/>
              <w:jc w:val="center"/>
              <w:rPr>
                <w:sz w:val="16"/>
                <w:szCs w:val="16"/>
              </w:rPr>
            </w:pPr>
          </w:p>
        </w:tc>
      </w:tr>
      <w:tr w:rsidR="002E3AE7" w:rsidRPr="00820927" w:rsidTr="003E0A02">
        <w:trPr>
          <w:trHeight w:val="1213"/>
        </w:trPr>
        <w:tc>
          <w:tcPr>
            <w:tcW w:w="1075" w:type="pct"/>
            <w:shd w:val="clear" w:color="auto" w:fill="auto"/>
            <w:tcMar>
              <w:left w:w="58" w:type="dxa"/>
              <w:right w:w="58" w:type="dxa"/>
            </w:tcMar>
          </w:tcPr>
          <w:p w:rsidR="002E3AE7" w:rsidRPr="00820927" w:rsidRDefault="002E3AE7" w:rsidP="003E0A02">
            <w:pPr>
              <w:rPr>
                <w:sz w:val="16"/>
                <w:szCs w:val="16"/>
              </w:rPr>
            </w:pPr>
            <w:r w:rsidRPr="00820927">
              <w:rPr>
                <w:sz w:val="16"/>
                <w:szCs w:val="16"/>
              </w:rPr>
              <w:t>% de miembros del personal de la OMPI, delegados y visitantes que comunican lesiones o incidentes relacionados con el trabajo</w:t>
            </w:r>
          </w:p>
        </w:tc>
        <w:tc>
          <w:tcPr>
            <w:tcW w:w="1378" w:type="pct"/>
            <w:shd w:val="clear" w:color="auto" w:fill="auto"/>
            <w:tcMar>
              <w:left w:w="58" w:type="dxa"/>
              <w:right w:w="58" w:type="dxa"/>
            </w:tcMar>
          </w:tcPr>
          <w:p w:rsidR="002E3AE7" w:rsidRPr="006573F1" w:rsidRDefault="002E3AE7" w:rsidP="003E0A02">
            <w:pPr>
              <w:rPr>
                <w:i/>
                <w:color w:val="002060"/>
                <w:sz w:val="16"/>
                <w:szCs w:val="16"/>
              </w:rPr>
            </w:pPr>
            <w:r w:rsidRPr="006573F1">
              <w:rPr>
                <w:i/>
                <w:color w:val="002060"/>
                <w:sz w:val="16"/>
                <w:szCs w:val="16"/>
              </w:rPr>
              <w:t xml:space="preserve">Referencia actualizada a fines de 2015:  </w:t>
            </w:r>
          </w:p>
          <w:p w:rsidR="002E3AE7" w:rsidRPr="006573F1" w:rsidRDefault="002E3AE7" w:rsidP="003E0A02">
            <w:pPr>
              <w:keepNext/>
              <w:keepLines/>
              <w:rPr>
                <w:color w:val="002060"/>
                <w:sz w:val="16"/>
                <w:szCs w:val="16"/>
              </w:rPr>
            </w:pPr>
            <w:r w:rsidRPr="006573F1">
              <w:rPr>
                <w:color w:val="002060"/>
                <w:sz w:val="16"/>
                <w:szCs w:val="16"/>
              </w:rPr>
              <w:t xml:space="preserve">El porcentaje total de incidentes relacionados con la seguridad registrados en 2014/15 que provocaron lesiones fue del 1,1%:  </w:t>
            </w:r>
          </w:p>
          <w:p w:rsidR="002E3AE7" w:rsidRPr="006573F1" w:rsidRDefault="002E3AE7" w:rsidP="002E3AE7">
            <w:pPr>
              <w:pStyle w:val="ListParagraph"/>
              <w:keepNext/>
              <w:keepLines/>
              <w:numPr>
                <w:ilvl w:val="0"/>
                <w:numId w:val="102"/>
              </w:numPr>
              <w:ind w:left="122" w:hanging="122"/>
              <w:rPr>
                <w:rFonts w:cs="Arial"/>
                <w:color w:val="002060"/>
                <w:sz w:val="16"/>
                <w:szCs w:val="16"/>
                <w:lang w:val="es-ES"/>
              </w:rPr>
            </w:pPr>
            <w:r w:rsidRPr="006573F1">
              <w:rPr>
                <w:rFonts w:cs="Arial"/>
                <w:color w:val="002060"/>
                <w:sz w:val="16"/>
                <w:szCs w:val="16"/>
                <w:lang w:val="es-ES"/>
              </w:rPr>
              <w:t xml:space="preserve"> 2 incidentes relacionados con la seguridad (2014) </w:t>
            </w:r>
          </w:p>
          <w:p w:rsidR="002E3AE7" w:rsidRPr="006573F1" w:rsidRDefault="002E3AE7" w:rsidP="002E3AE7">
            <w:pPr>
              <w:pStyle w:val="ListParagraph"/>
              <w:keepNext/>
              <w:keepLines/>
              <w:numPr>
                <w:ilvl w:val="0"/>
                <w:numId w:val="102"/>
              </w:numPr>
              <w:ind w:left="122" w:hanging="122"/>
              <w:rPr>
                <w:rFonts w:cs="Arial"/>
                <w:color w:val="002060"/>
                <w:sz w:val="16"/>
                <w:szCs w:val="16"/>
                <w:lang w:val="es-ES"/>
              </w:rPr>
            </w:pPr>
            <w:r w:rsidRPr="006573F1">
              <w:rPr>
                <w:rFonts w:cs="Arial"/>
                <w:color w:val="002060"/>
                <w:sz w:val="16"/>
                <w:szCs w:val="16"/>
                <w:lang w:val="es-ES"/>
              </w:rPr>
              <w:t xml:space="preserve"> 5 incidentes relacionados con la seguridad (2015)</w:t>
            </w:r>
          </w:p>
          <w:p w:rsidR="002E3AE7" w:rsidRPr="00820927" w:rsidRDefault="002E3AE7" w:rsidP="003E0A02">
            <w:pPr>
              <w:rPr>
                <w:sz w:val="16"/>
                <w:szCs w:val="16"/>
              </w:rPr>
            </w:pPr>
          </w:p>
          <w:p w:rsidR="002E3AE7" w:rsidRPr="00820927" w:rsidRDefault="002E3AE7" w:rsidP="003E0A02">
            <w:pPr>
              <w:rPr>
                <w:i/>
                <w:sz w:val="16"/>
                <w:szCs w:val="16"/>
                <w:lang w:bidi="th-TH"/>
              </w:rPr>
            </w:pPr>
            <w:r w:rsidRPr="00820927">
              <w:rPr>
                <w:i/>
                <w:sz w:val="16"/>
                <w:szCs w:val="16"/>
                <w:lang w:bidi="th-TH"/>
              </w:rPr>
              <w:t xml:space="preserve">Referencia original en el presupuesto de 2016/17:  </w:t>
            </w:r>
          </w:p>
          <w:p w:rsidR="002E3AE7" w:rsidRPr="00820927" w:rsidRDefault="002E3AE7" w:rsidP="003E0A02">
            <w:pPr>
              <w:rPr>
                <w:sz w:val="16"/>
                <w:szCs w:val="16"/>
              </w:rPr>
            </w:pPr>
            <w:r w:rsidRPr="00820927">
              <w:rPr>
                <w:sz w:val="16"/>
                <w:szCs w:val="16"/>
              </w:rPr>
              <w:t>El 2% o un porcentaje menor del total de sectores interesados/clientes notifica lesiones o incidentes relacionados con trabajo.</w:t>
            </w:r>
          </w:p>
        </w:tc>
        <w:tc>
          <w:tcPr>
            <w:tcW w:w="723" w:type="pct"/>
            <w:shd w:val="clear" w:color="auto" w:fill="auto"/>
            <w:tcMar>
              <w:top w:w="110" w:type="dxa"/>
              <w:left w:w="58" w:type="dxa"/>
              <w:right w:w="58" w:type="dxa"/>
            </w:tcMar>
          </w:tcPr>
          <w:p w:rsidR="002E3AE7" w:rsidRPr="00820927" w:rsidRDefault="002E3AE7" w:rsidP="003E0A02">
            <w:pPr>
              <w:rPr>
                <w:sz w:val="16"/>
                <w:szCs w:val="16"/>
              </w:rPr>
            </w:pPr>
            <w:r w:rsidRPr="00820927">
              <w:rPr>
                <w:sz w:val="16"/>
                <w:szCs w:val="16"/>
              </w:rPr>
              <w:t>2% o menos</w:t>
            </w:r>
          </w:p>
        </w:tc>
        <w:tc>
          <w:tcPr>
            <w:tcW w:w="1325" w:type="pct"/>
            <w:shd w:val="clear" w:color="auto" w:fill="FFFFFF"/>
            <w:tcMar>
              <w:top w:w="110" w:type="dxa"/>
              <w:left w:w="58" w:type="dxa"/>
              <w:right w:w="58" w:type="dxa"/>
            </w:tcMar>
          </w:tcPr>
          <w:p w:rsidR="002E3AE7" w:rsidRPr="00820927" w:rsidRDefault="002E3AE7" w:rsidP="003E0A02">
            <w:pPr>
              <w:rPr>
                <w:sz w:val="16"/>
                <w:szCs w:val="16"/>
                <w:lang w:bidi="th-TH"/>
              </w:rPr>
            </w:pPr>
            <w:r w:rsidRPr="00820927">
              <w:rPr>
                <w:sz w:val="16"/>
                <w:szCs w:val="16"/>
                <w:lang w:bidi="th-TH"/>
              </w:rPr>
              <w:t xml:space="preserve">Se recibió un total de 523 solicitudes de asistencia relativa a seguridad, de las cuales cuatro (0,8%) fueron incidentes relacionados con lesiones y 32 (6%), incidentes de tipo médico </w:t>
            </w:r>
          </w:p>
          <w:p w:rsidR="002E3AE7" w:rsidRPr="00820927" w:rsidRDefault="002E3AE7" w:rsidP="003E0A02">
            <w:pPr>
              <w:rPr>
                <w:sz w:val="16"/>
                <w:szCs w:val="16"/>
                <w:lang w:bidi="th-TH"/>
              </w:rPr>
            </w:pPr>
          </w:p>
          <w:p w:rsidR="002E3AE7" w:rsidRPr="00820927" w:rsidRDefault="002E3AE7" w:rsidP="003E0A02">
            <w:pPr>
              <w:keepNext/>
              <w:keepLines/>
              <w:rPr>
                <w:sz w:val="16"/>
                <w:szCs w:val="16"/>
              </w:rPr>
            </w:pPr>
          </w:p>
        </w:tc>
        <w:tc>
          <w:tcPr>
            <w:tcW w:w="499" w:type="pct"/>
            <w:shd w:val="clear" w:color="auto" w:fill="auto"/>
            <w:tcMar>
              <w:top w:w="110" w:type="dxa"/>
              <w:left w:w="58" w:type="dxa"/>
              <w:right w:w="58" w:type="dxa"/>
            </w:tcMar>
          </w:tcPr>
          <w:p w:rsidR="002E3AE7" w:rsidRPr="00820927" w:rsidRDefault="002E3AE7" w:rsidP="003E0A02">
            <w:pPr>
              <w:keepNext/>
              <w:keepLines/>
              <w:jc w:val="center"/>
              <w:rPr>
                <w:b/>
                <w:sz w:val="16"/>
                <w:szCs w:val="16"/>
              </w:rPr>
            </w:pPr>
            <w:r w:rsidRPr="00820927">
              <w:rPr>
                <w:b/>
                <w:color w:val="00B050"/>
                <w:sz w:val="16"/>
                <w:szCs w:val="16"/>
              </w:rPr>
              <w:t>Avanza</w:t>
            </w:r>
          </w:p>
          <w:p w:rsidR="002E3AE7" w:rsidRPr="00820927" w:rsidRDefault="002E3AE7" w:rsidP="003E0A02">
            <w:pPr>
              <w:keepNext/>
              <w:keepLines/>
              <w:rPr>
                <w:b/>
                <w:sz w:val="16"/>
                <w:szCs w:val="16"/>
              </w:rPr>
            </w:pPr>
          </w:p>
          <w:p w:rsidR="002E3AE7" w:rsidRPr="00820927" w:rsidRDefault="002E3AE7" w:rsidP="003E0A02">
            <w:pPr>
              <w:keepNext/>
              <w:keepLines/>
              <w:jc w:val="center"/>
              <w:rPr>
                <w:sz w:val="16"/>
                <w:szCs w:val="16"/>
              </w:rPr>
            </w:pPr>
          </w:p>
        </w:tc>
      </w:tr>
      <w:tr w:rsidR="002E3AE7" w:rsidRPr="00820927" w:rsidTr="003E0A02">
        <w:trPr>
          <w:trHeight w:val="1213"/>
        </w:trPr>
        <w:tc>
          <w:tcPr>
            <w:tcW w:w="1075" w:type="pct"/>
            <w:shd w:val="clear" w:color="auto" w:fill="auto"/>
            <w:tcMar>
              <w:left w:w="58" w:type="dxa"/>
              <w:right w:w="58" w:type="dxa"/>
            </w:tcMar>
          </w:tcPr>
          <w:p w:rsidR="002E3AE7" w:rsidRPr="00820927" w:rsidRDefault="002E3AE7" w:rsidP="003E0A02">
            <w:pPr>
              <w:rPr>
                <w:sz w:val="16"/>
                <w:szCs w:val="16"/>
              </w:rPr>
            </w:pPr>
            <w:r w:rsidRPr="00820927">
              <w:rPr>
                <w:sz w:val="16"/>
                <w:szCs w:val="16"/>
              </w:rPr>
              <w:t>% de conferencias y eventos que reciben apoyo de seguridad en Ginebra y en otros lugares</w:t>
            </w:r>
            <w:r w:rsidRPr="00820927">
              <w:rPr>
                <w:rStyle w:val="FootnoteReference"/>
              </w:rPr>
              <w:footnoteReference w:id="105"/>
            </w:r>
            <w:r w:rsidRPr="00820927">
              <w:rPr>
                <w:sz w:val="16"/>
                <w:szCs w:val="16"/>
              </w:rPr>
              <w:t xml:space="preserve"> </w:t>
            </w:r>
          </w:p>
        </w:tc>
        <w:tc>
          <w:tcPr>
            <w:tcW w:w="1378" w:type="pct"/>
            <w:shd w:val="clear" w:color="auto" w:fill="auto"/>
            <w:tcMar>
              <w:left w:w="58" w:type="dxa"/>
              <w:right w:w="58" w:type="dxa"/>
            </w:tcMar>
          </w:tcPr>
          <w:p w:rsidR="002E3AE7" w:rsidRPr="006573F1" w:rsidRDefault="002E3AE7" w:rsidP="003E0A02">
            <w:pPr>
              <w:rPr>
                <w:i/>
                <w:color w:val="002060"/>
                <w:sz w:val="16"/>
                <w:szCs w:val="16"/>
              </w:rPr>
            </w:pPr>
            <w:r w:rsidRPr="006573F1">
              <w:rPr>
                <w:i/>
                <w:color w:val="002060"/>
                <w:sz w:val="16"/>
                <w:szCs w:val="16"/>
              </w:rPr>
              <w:t xml:space="preserve">Referencia actualizada a fines de 2015:  </w:t>
            </w:r>
          </w:p>
          <w:p w:rsidR="002E3AE7" w:rsidRPr="006573F1" w:rsidRDefault="002E3AE7" w:rsidP="003E0A02">
            <w:pPr>
              <w:rPr>
                <w:color w:val="002060"/>
                <w:sz w:val="16"/>
                <w:szCs w:val="16"/>
                <w:lang w:bidi="th-TH"/>
              </w:rPr>
            </w:pPr>
            <w:r w:rsidRPr="006573F1">
              <w:rPr>
                <w:color w:val="002060"/>
                <w:sz w:val="16"/>
                <w:szCs w:val="16"/>
                <w:lang w:bidi="th-TH"/>
              </w:rPr>
              <w:t>El 90% o más</w:t>
            </w:r>
          </w:p>
          <w:p w:rsidR="002E3AE7" w:rsidRPr="00820927" w:rsidRDefault="002E3AE7" w:rsidP="003E0A02">
            <w:pPr>
              <w:rPr>
                <w:i/>
                <w:sz w:val="16"/>
                <w:szCs w:val="16"/>
                <w:lang w:bidi="th-TH"/>
              </w:rPr>
            </w:pPr>
          </w:p>
          <w:p w:rsidR="002E3AE7" w:rsidRPr="00820927" w:rsidRDefault="002E3AE7" w:rsidP="003E0A02">
            <w:pPr>
              <w:rPr>
                <w:i/>
                <w:sz w:val="16"/>
                <w:szCs w:val="16"/>
                <w:lang w:bidi="th-TH"/>
              </w:rPr>
            </w:pPr>
            <w:r w:rsidRPr="00820927">
              <w:rPr>
                <w:i/>
                <w:sz w:val="16"/>
                <w:szCs w:val="16"/>
                <w:lang w:bidi="th-TH"/>
              </w:rPr>
              <w:t xml:space="preserve">Referencia original en el presupuesto de 2016/17:  </w:t>
            </w:r>
          </w:p>
          <w:p w:rsidR="002E3AE7" w:rsidRPr="00820927" w:rsidRDefault="002E3AE7" w:rsidP="003E0A02">
            <w:pPr>
              <w:spacing w:after="240"/>
              <w:rPr>
                <w:sz w:val="16"/>
                <w:szCs w:val="16"/>
              </w:rPr>
            </w:pPr>
            <w:r w:rsidRPr="00820927">
              <w:rPr>
                <w:sz w:val="16"/>
                <w:szCs w:val="16"/>
              </w:rPr>
              <w:t>Se atiende puntualmente el 90% o más del total de las peticiones de asistencia en materia de seguridad y vigilancia emanantes de los sectores interesados / clientes para conferencias o actos celebrados dentro o fuera de Ginebra.</w:t>
            </w:r>
          </w:p>
        </w:tc>
        <w:tc>
          <w:tcPr>
            <w:tcW w:w="723" w:type="pct"/>
            <w:shd w:val="clear" w:color="auto" w:fill="auto"/>
            <w:tcMar>
              <w:top w:w="110" w:type="dxa"/>
              <w:left w:w="58" w:type="dxa"/>
              <w:right w:w="58" w:type="dxa"/>
            </w:tcMar>
          </w:tcPr>
          <w:p w:rsidR="002E3AE7" w:rsidRPr="00820927" w:rsidRDefault="002E3AE7" w:rsidP="003E0A02">
            <w:pPr>
              <w:rPr>
                <w:sz w:val="16"/>
                <w:szCs w:val="16"/>
              </w:rPr>
            </w:pPr>
            <w:r w:rsidRPr="00820927">
              <w:rPr>
                <w:sz w:val="16"/>
                <w:szCs w:val="16"/>
                <w:lang w:bidi="th-TH"/>
              </w:rPr>
              <w:t>El 90% o más</w:t>
            </w:r>
          </w:p>
        </w:tc>
        <w:tc>
          <w:tcPr>
            <w:tcW w:w="1325" w:type="pct"/>
            <w:shd w:val="clear" w:color="auto" w:fill="FFFFFF"/>
            <w:tcMar>
              <w:top w:w="110" w:type="dxa"/>
              <w:left w:w="58" w:type="dxa"/>
              <w:right w:w="58" w:type="dxa"/>
            </w:tcMar>
          </w:tcPr>
          <w:p w:rsidR="002E3AE7" w:rsidRPr="00820927" w:rsidRDefault="002E3AE7" w:rsidP="003E0A02">
            <w:pPr>
              <w:keepNext/>
              <w:keepLines/>
              <w:rPr>
                <w:sz w:val="16"/>
                <w:szCs w:val="16"/>
              </w:rPr>
            </w:pPr>
            <w:r w:rsidRPr="00820927">
              <w:rPr>
                <w:sz w:val="16"/>
                <w:szCs w:val="16"/>
                <w:lang w:bidi="th-TH"/>
              </w:rPr>
              <w:t>Se brindó apoyo a 115 reuniones y conferencias y 97 eventos, que representan el 100% de las solicitudes objeto de apoyo</w:t>
            </w:r>
          </w:p>
        </w:tc>
        <w:tc>
          <w:tcPr>
            <w:tcW w:w="499" w:type="pct"/>
            <w:shd w:val="clear" w:color="auto" w:fill="auto"/>
            <w:tcMar>
              <w:top w:w="110" w:type="dxa"/>
              <w:left w:w="58" w:type="dxa"/>
              <w:right w:w="58" w:type="dxa"/>
            </w:tcMar>
          </w:tcPr>
          <w:p w:rsidR="002E3AE7" w:rsidRPr="00820927" w:rsidRDefault="002E3AE7" w:rsidP="003E0A02">
            <w:pPr>
              <w:keepNext/>
              <w:keepLines/>
              <w:jc w:val="center"/>
              <w:rPr>
                <w:b/>
                <w:sz w:val="16"/>
                <w:szCs w:val="16"/>
              </w:rPr>
            </w:pPr>
            <w:r w:rsidRPr="00820927">
              <w:rPr>
                <w:b/>
                <w:color w:val="00B050"/>
                <w:sz w:val="16"/>
                <w:szCs w:val="16"/>
              </w:rPr>
              <w:t>Avanza</w:t>
            </w:r>
          </w:p>
          <w:p w:rsidR="002E3AE7" w:rsidRPr="00820927" w:rsidRDefault="002E3AE7" w:rsidP="003E0A02">
            <w:pPr>
              <w:keepNext/>
              <w:keepLines/>
              <w:jc w:val="center"/>
              <w:rPr>
                <w:sz w:val="16"/>
                <w:szCs w:val="16"/>
              </w:rPr>
            </w:pPr>
          </w:p>
        </w:tc>
      </w:tr>
    </w:tbl>
    <w:p w:rsidR="002E3AE7" w:rsidRPr="00820927" w:rsidRDefault="002E3AE7" w:rsidP="003E0A02">
      <w:pPr>
        <w:rPr>
          <w:sz w:val="2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179"/>
      </w:tblGrid>
      <w:tr w:rsidR="002E3AE7" w:rsidRPr="00820927" w:rsidTr="003E0A02">
        <w:trPr>
          <w:trHeight w:val="423"/>
        </w:trPr>
        <w:tc>
          <w:tcPr>
            <w:tcW w:w="9179" w:type="dxa"/>
            <w:shd w:val="clear" w:color="auto" w:fill="C6D9F1" w:themeFill="text2" w:themeFillTint="33"/>
            <w:vAlign w:val="center"/>
          </w:tcPr>
          <w:p w:rsidR="002E3AE7" w:rsidRPr="00820927" w:rsidRDefault="002E3AE7" w:rsidP="000313D8">
            <w:pPr>
              <w:keepNext/>
              <w:keepLines/>
              <w:jc w:val="center"/>
              <w:rPr>
                <w:b/>
                <w:sz w:val="20"/>
              </w:rPr>
            </w:pPr>
            <w:r w:rsidRPr="00820927">
              <w:rPr>
                <w:b/>
                <w:sz w:val="20"/>
              </w:rPr>
              <w:lastRenderedPageBreak/>
              <w:t>Utilización de los recursos del programa 28</w:t>
            </w:r>
          </w:p>
        </w:tc>
      </w:tr>
    </w:tbl>
    <w:p w:rsidR="002E3AE7" w:rsidRPr="00820927" w:rsidRDefault="002E3AE7" w:rsidP="000313D8">
      <w:pPr>
        <w:keepNext/>
        <w:rPr>
          <w:sz w:val="20"/>
        </w:rPr>
      </w:pPr>
    </w:p>
    <w:p w:rsidR="002E3AE7" w:rsidRPr="00820927" w:rsidRDefault="002E3AE7" w:rsidP="000313D8">
      <w:pPr>
        <w:pStyle w:val="NormalWeb"/>
        <w:keepNext/>
        <w:keepLines/>
        <w:spacing w:before="0" w:beforeAutospacing="0" w:after="0" w:afterAutospacing="0"/>
        <w:jc w:val="center"/>
        <w:rPr>
          <w:lang w:val="es-ES"/>
        </w:rPr>
      </w:pPr>
      <w:r w:rsidRPr="00820927">
        <w:rPr>
          <w:lang w:val="es-ES"/>
        </w:rPr>
        <w:t>Presupuesto y gastos reales (por resultado)</w:t>
      </w:r>
    </w:p>
    <w:p w:rsidR="002E3AE7" w:rsidRPr="00820927" w:rsidRDefault="002E3AE7" w:rsidP="000313D8">
      <w:pPr>
        <w:pStyle w:val="NormalWeb"/>
        <w:keepNext/>
        <w:keepLines/>
        <w:spacing w:before="0" w:beforeAutospacing="0" w:after="0" w:afterAutospacing="0"/>
        <w:jc w:val="center"/>
        <w:rPr>
          <w:i/>
          <w:iCs/>
          <w:sz w:val="16"/>
          <w:szCs w:val="16"/>
          <w:lang w:val="es-ES"/>
        </w:rPr>
      </w:pPr>
      <w:r w:rsidRPr="00820927">
        <w:rPr>
          <w:i/>
          <w:iCs/>
          <w:sz w:val="16"/>
          <w:szCs w:val="16"/>
          <w:lang w:val="es-ES"/>
        </w:rPr>
        <w:t>(en miles de francos suizos)</w:t>
      </w:r>
    </w:p>
    <w:p w:rsidR="002E3AE7" w:rsidRPr="00820927" w:rsidRDefault="002E3AE7" w:rsidP="000313D8">
      <w:pPr>
        <w:keepNext/>
        <w:rPr>
          <w:sz w:val="20"/>
        </w:rPr>
      </w:pPr>
    </w:p>
    <w:tbl>
      <w:tblPr>
        <w:tblW w:w="8222" w:type="dxa"/>
        <w:jc w:val="center"/>
        <w:tblLayout w:type="fixed"/>
        <w:tblLook w:val="04A0" w:firstRow="1" w:lastRow="0" w:firstColumn="1" w:lastColumn="0" w:noHBand="0" w:noVBand="1"/>
      </w:tblPr>
      <w:tblGrid>
        <w:gridCol w:w="569"/>
        <w:gridCol w:w="3969"/>
        <w:gridCol w:w="1356"/>
        <w:gridCol w:w="1337"/>
        <w:gridCol w:w="991"/>
      </w:tblGrid>
      <w:tr w:rsidR="002E3AE7" w:rsidRPr="00820927" w:rsidTr="003E0A02">
        <w:trPr>
          <w:trHeight w:val="825"/>
          <w:jc w:val="center"/>
        </w:trPr>
        <w:tc>
          <w:tcPr>
            <w:tcW w:w="4538" w:type="dxa"/>
            <w:gridSpan w:val="2"/>
            <w:tcBorders>
              <w:top w:val="nil"/>
              <w:left w:val="nil"/>
              <w:bottom w:val="nil"/>
              <w:right w:val="nil"/>
            </w:tcBorders>
            <w:shd w:val="clear" w:color="000000" w:fill="C5D9F1"/>
            <w:noWrap/>
            <w:vAlign w:val="center"/>
            <w:hideMark/>
          </w:tcPr>
          <w:p w:rsidR="002E3AE7" w:rsidRPr="00820927" w:rsidRDefault="002E3AE7" w:rsidP="000313D8">
            <w:pPr>
              <w:keepNext/>
              <w:jc w:val="center"/>
              <w:rPr>
                <w:b/>
                <w:bCs/>
                <w:sz w:val="16"/>
                <w:szCs w:val="16"/>
              </w:rPr>
            </w:pPr>
            <w:r w:rsidRPr="00820927">
              <w:rPr>
                <w:b/>
                <w:bCs/>
                <w:sz w:val="16"/>
                <w:szCs w:val="16"/>
              </w:rPr>
              <w:t xml:space="preserve">Número del resultado previsto y descripción </w:t>
            </w:r>
          </w:p>
        </w:tc>
        <w:tc>
          <w:tcPr>
            <w:tcW w:w="1356" w:type="dxa"/>
            <w:tcBorders>
              <w:top w:val="nil"/>
              <w:left w:val="nil"/>
              <w:bottom w:val="nil"/>
              <w:right w:val="nil"/>
            </w:tcBorders>
            <w:shd w:val="clear" w:color="000000" w:fill="C5D9F1"/>
            <w:vAlign w:val="center"/>
            <w:hideMark/>
          </w:tcPr>
          <w:p w:rsidR="002E3AE7" w:rsidRPr="00820927" w:rsidRDefault="002E3AE7" w:rsidP="000313D8">
            <w:pPr>
              <w:keepNext/>
              <w:jc w:val="center"/>
              <w:rPr>
                <w:b/>
                <w:bCs/>
                <w:sz w:val="16"/>
                <w:szCs w:val="16"/>
              </w:rPr>
            </w:pPr>
            <w:r w:rsidRPr="00820927">
              <w:rPr>
                <w:b/>
                <w:bCs/>
                <w:sz w:val="16"/>
                <w:szCs w:val="16"/>
              </w:rPr>
              <w:t xml:space="preserve"> Presupuesto aprobado de 2016/17 </w:t>
            </w:r>
          </w:p>
        </w:tc>
        <w:tc>
          <w:tcPr>
            <w:tcW w:w="1337" w:type="dxa"/>
            <w:tcBorders>
              <w:top w:val="nil"/>
              <w:left w:val="nil"/>
              <w:bottom w:val="nil"/>
              <w:right w:val="nil"/>
            </w:tcBorders>
            <w:shd w:val="clear" w:color="000000" w:fill="C5D9F1"/>
            <w:vAlign w:val="center"/>
            <w:hideMark/>
          </w:tcPr>
          <w:p w:rsidR="002E3AE7" w:rsidRPr="00820927" w:rsidRDefault="002E3AE7" w:rsidP="000313D8">
            <w:pPr>
              <w:keepNext/>
              <w:jc w:val="center"/>
              <w:rPr>
                <w:b/>
                <w:bCs/>
                <w:sz w:val="16"/>
                <w:szCs w:val="16"/>
              </w:rPr>
            </w:pPr>
            <w:r w:rsidRPr="00820927">
              <w:rPr>
                <w:b/>
                <w:bCs/>
                <w:sz w:val="16"/>
                <w:szCs w:val="16"/>
              </w:rPr>
              <w:t xml:space="preserve"> Presupuesto de 2016/17 tras las transferencias </w:t>
            </w:r>
          </w:p>
        </w:tc>
        <w:tc>
          <w:tcPr>
            <w:tcW w:w="991" w:type="dxa"/>
            <w:tcBorders>
              <w:top w:val="nil"/>
              <w:left w:val="nil"/>
              <w:bottom w:val="nil"/>
              <w:right w:val="nil"/>
            </w:tcBorders>
            <w:shd w:val="clear" w:color="000000" w:fill="C5D9F1"/>
            <w:vAlign w:val="center"/>
            <w:hideMark/>
          </w:tcPr>
          <w:p w:rsidR="002E3AE7" w:rsidRPr="00820927" w:rsidRDefault="002E3AE7" w:rsidP="000313D8">
            <w:pPr>
              <w:keepNext/>
              <w:jc w:val="center"/>
              <w:rPr>
                <w:b/>
                <w:bCs/>
                <w:sz w:val="16"/>
                <w:szCs w:val="16"/>
              </w:rPr>
            </w:pPr>
            <w:r w:rsidRPr="00820927">
              <w:rPr>
                <w:b/>
                <w:bCs/>
                <w:sz w:val="16"/>
                <w:szCs w:val="16"/>
              </w:rPr>
              <w:t xml:space="preserve"> Gastos en 2016* </w:t>
            </w:r>
          </w:p>
        </w:tc>
      </w:tr>
      <w:tr w:rsidR="002E3AE7" w:rsidRPr="00820927" w:rsidTr="003E0A02">
        <w:trPr>
          <w:trHeight w:val="711"/>
          <w:jc w:val="center"/>
        </w:trPr>
        <w:tc>
          <w:tcPr>
            <w:tcW w:w="569" w:type="dxa"/>
            <w:tcBorders>
              <w:top w:val="nil"/>
              <w:left w:val="nil"/>
              <w:bottom w:val="nil"/>
              <w:right w:val="nil"/>
            </w:tcBorders>
            <w:shd w:val="clear" w:color="000000" w:fill="FFFFFF"/>
            <w:noWrap/>
            <w:vAlign w:val="center"/>
            <w:hideMark/>
          </w:tcPr>
          <w:p w:rsidR="002E3AE7" w:rsidRPr="00820927" w:rsidRDefault="002E3AE7" w:rsidP="000313D8">
            <w:pPr>
              <w:keepNext/>
              <w:rPr>
                <w:sz w:val="16"/>
                <w:szCs w:val="16"/>
              </w:rPr>
            </w:pPr>
            <w:r w:rsidRPr="00820927">
              <w:rPr>
                <w:sz w:val="16"/>
                <w:szCs w:val="16"/>
              </w:rPr>
              <w:t>IX.1</w:t>
            </w:r>
          </w:p>
        </w:tc>
        <w:tc>
          <w:tcPr>
            <w:tcW w:w="3969" w:type="dxa"/>
            <w:tcBorders>
              <w:top w:val="nil"/>
              <w:left w:val="nil"/>
              <w:bottom w:val="nil"/>
              <w:right w:val="nil"/>
            </w:tcBorders>
            <w:shd w:val="clear" w:color="auto" w:fill="auto"/>
            <w:vAlign w:val="center"/>
            <w:hideMark/>
          </w:tcPr>
          <w:p w:rsidR="002E3AE7" w:rsidRPr="00820927" w:rsidRDefault="002E3AE7" w:rsidP="000313D8">
            <w:pPr>
              <w:keepNext/>
              <w:rPr>
                <w:sz w:val="16"/>
                <w:szCs w:val="16"/>
              </w:rPr>
            </w:pPr>
            <w:r w:rsidRPr="00820927">
              <w:rPr>
                <w:sz w:val="16"/>
                <w:szCs w:val="16"/>
              </w:rPr>
              <w:t>Servicios de apoyo eficaces, eficientes, de calidad y orientados al cliente, tanto a los usuarios internos como a las partes interesadas externas</w:t>
            </w:r>
          </w:p>
        </w:tc>
        <w:tc>
          <w:tcPr>
            <w:tcW w:w="1356" w:type="dxa"/>
            <w:tcBorders>
              <w:top w:val="nil"/>
              <w:left w:val="nil"/>
              <w:bottom w:val="nil"/>
              <w:right w:val="nil"/>
            </w:tcBorders>
            <w:shd w:val="clear" w:color="auto" w:fill="auto"/>
            <w:noWrap/>
            <w:vAlign w:val="center"/>
            <w:hideMark/>
          </w:tcPr>
          <w:p w:rsidR="002E3AE7" w:rsidRPr="00820927" w:rsidRDefault="002E3AE7" w:rsidP="000313D8">
            <w:pPr>
              <w:keepNext/>
              <w:jc w:val="center"/>
              <w:rPr>
                <w:sz w:val="16"/>
                <w:szCs w:val="16"/>
              </w:rPr>
            </w:pPr>
            <w:r w:rsidRPr="00820927">
              <w:rPr>
                <w:sz w:val="16"/>
                <w:szCs w:val="16"/>
              </w:rPr>
              <w:t>1.189</w:t>
            </w:r>
          </w:p>
        </w:tc>
        <w:tc>
          <w:tcPr>
            <w:tcW w:w="1337" w:type="dxa"/>
            <w:tcBorders>
              <w:top w:val="nil"/>
              <w:left w:val="nil"/>
              <w:bottom w:val="nil"/>
              <w:right w:val="nil"/>
            </w:tcBorders>
            <w:shd w:val="clear" w:color="auto" w:fill="auto"/>
            <w:noWrap/>
            <w:vAlign w:val="center"/>
            <w:hideMark/>
          </w:tcPr>
          <w:p w:rsidR="002E3AE7" w:rsidRPr="00820927" w:rsidRDefault="002E3AE7" w:rsidP="000313D8">
            <w:pPr>
              <w:keepNext/>
              <w:jc w:val="center"/>
              <w:rPr>
                <w:sz w:val="16"/>
                <w:szCs w:val="16"/>
              </w:rPr>
            </w:pPr>
            <w:r w:rsidRPr="00820927">
              <w:rPr>
                <w:sz w:val="16"/>
                <w:szCs w:val="16"/>
              </w:rPr>
              <w:t>2.733</w:t>
            </w:r>
          </w:p>
        </w:tc>
        <w:tc>
          <w:tcPr>
            <w:tcW w:w="991" w:type="dxa"/>
            <w:tcBorders>
              <w:top w:val="nil"/>
              <w:left w:val="nil"/>
              <w:bottom w:val="nil"/>
              <w:right w:val="nil"/>
            </w:tcBorders>
            <w:shd w:val="clear" w:color="auto" w:fill="auto"/>
            <w:noWrap/>
            <w:vAlign w:val="center"/>
            <w:hideMark/>
          </w:tcPr>
          <w:p w:rsidR="002E3AE7" w:rsidRPr="00820927" w:rsidRDefault="002E3AE7" w:rsidP="000313D8">
            <w:pPr>
              <w:keepNext/>
              <w:jc w:val="center"/>
              <w:rPr>
                <w:sz w:val="16"/>
                <w:szCs w:val="16"/>
              </w:rPr>
            </w:pPr>
            <w:r w:rsidRPr="00820927">
              <w:rPr>
                <w:sz w:val="16"/>
                <w:szCs w:val="16"/>
              </w:rPr>
              <w:t>1.161</w:t>
            </w:r>
          </w:p>
        </w:tc>
      </w:tr>
      <w:tr w:rsidR="002E3AE7" w:rsidRPr="00820927" w:rsidTr="003E0A02">
        <w:trPr>
          <w:trHeight w:val="900"/>
          <w:jc w:val="center"/>
        </w:trPr>
        <w:tc>
          <w:tcPr>
            <w:tcW w:w="569" w:type="dxa"/>
            <w:tcBorders>
              <w:top w:val="nil"/>
              <w:left w:val="nil"/>
              <w:bottom w:val="nil"/>
              <w:right w:val="nil"/>
            </w:tcBorders>
            <w:shd w:val="clear" w:color="auto" w:fill="auto"/>
            <w:noWrap/>
            <w:vAlign w:val="center"/>
            <w:hideMark/>
          </w:tcPr>
          <w:p w:rsidR="002E3AE7" w:rsidRPr="00820927" w:rsidRDefault="002E3AE7" w:rsidP="003E0A02">
            <w:pPr>
              <w:rPr>
                <w:sz w:val="16"/>
                <w:szCs w:val="16"/>
              </w:rPr>
            </w:pPr>
            <w:r w:rsidRPr="00820927">
              <w:rPr>
                <w:sz w:val="16"/>
                <w:szCs w:val="16"/>
              </w:rPr>
              <w:t>IX.4</w:t>
            </w:r>
          </w:p>
        </w:tc>
        <w:tc>
          <w:tcPr>
            <w:tcW w:w="3969" w:type="dxa"/>
            <w:tcBorders>
              <w:top w:val="nil"/>
              <w:left w:val="nil"/>
              <w:bottom w:val="nil"/>
              <w:right w:val="nil"/>
            </w:tcBorders>
            <w:shd w:val="clear" w:color="auto" w:fill="auto"/>
            <w:vAlign w:val="center"/>
            <w:hideMark/>
          </w:tcPr>
          <w:p w:rsidR="002E3AE7" w:rsidRPr="00820927" w:rsidRDefault="002E3AE7" w:rsidP="003E0A02">
            <w:pPr>
              <w:rPr>
                <w:sz w:val="16"/>
                <w:szCs w:val="16"/>
              </w:rPr>
            </w:pPr>
            <w:r w:rsidRPr="00820927">
              <w:rPr>
                <w:sz w:val="16"/>
                <w:szCs w:val="16"/>
              </w:rPr>
              <w:t>Una Organización responsable con el medio ambiente y la sociedad en la que se garantiza la seguridad del personal de la OMPI, los delegados, los visitantes, la información y los activos físicos</w:t>
            </w:r>
          </w:p>
        </w:tc>
        <w:tc>
          <w:tcPr>
            <w:tcW w:w="1356" w:type="dxa"/>
            <w:tcBorders>
              <w:top w:val="nil"/>
              <w:left w:val="nil"/>
              <w:bottom w:val="nil"/>
              <w:right w:val="nil"/>
            </w:tcBorders>
            <w:shd w:val="clear" w:color="auto" w:fill="auto"/>
            <w:noWrap/>
            <w:vAlign w:val="center"/>
            <w:hideMark/>
          </w:tcPr>
          <w:p w:rsidR="002E3AE7" w:rsidRPr="00820927" w:rsidRDefault="002E3AE7" w:rsidP="003E0A02">
            <w:pPr>
              <w:jc w:val="center"/>
              <w:rPr>
                <w:sz w:val="16"/>
                <w:szCs w:val="16"/>
              </w:rPr>
            </w:pPr>
            <w:r w:rsidRPr="00820927">
              <w:rPr>
                <w:sz w:val="16"/>
                <w:szCs w:val="16"/>
              </w:rPr>
              <w:t>16.544</w:t>
            </w:r>
          </w:p>
        </w:tc>
        <w:tc>
          <w:tcPr>
            <w:tcW w:w="1337" w:type="dxa"/>
            <w:tcBorders>
              <w:top w:val="nil"/>
              <w:left w:val="nil"/>
              <w:bottom w:val="nil"/>
              <w:right w:val="nil"/>
            </w:tcBorders>
            <w:shd w:val="clear" w:color="auto" w:fill="auto"/>
            <w:noWrap/>
            <w:vAlign w:val="center"/>
            <w:hideMark/>
          </w:tcPr>
          <w:p w:rsidR="002E3AE7" w:rsidRPr="00820927" w:rsidRDefault="002E3AE7" w:rsidP="003E0A02">
            <w:pPr>
              <w:jc w:val="center"/>
              <w:rPr>
                <w:sz w:val="16"/>
                <w:szCs w:val="16"/>
              </w:rPr>
            </w:pPr>
            <w:r w:rsidRPr="00820927">
              <w:rPr>
                <w:sz w:val="16"/>
                <w:szCs w:val="16"/>
              </w:rPr>
              <w:t>16.644</w:t>
            </w:r>
          </w:p>
        </w:tc>
        <w:tc>
          <w:tcPr>
            <w:tcW w:w="991" w:type="dxa"/>
            <w:tcBorders>
              <w:top w:val="nil"/>
              <w:left w:val="nil"/>
              <w:bottom w:val="nil"/>
              <w:right w:val="nil"/>
            </w:tcBorders>
            <w:shd w:val="clear" w:color="auto" w:fill="auto"/>
            <w:noWrap/>
            <w:vAlign w:val="center"/>
            <w:hideMark/>
          </w:tcPr>
          <w:p w:rsidR="002E3AE7" w:rsidRPr="00820927" w:rsidRDefault="002E3AE7" w:rsidP="003E0A02">
            <w:pPr>
              <w:jc w:val="center"/>
              <w:rPr>
                <w:sz w:val="16"/>
                <w:szCs w:val="16"/>
              </w:rPr>
            </w:pPr>
            <w:r w:rsidRPr="00820927">
              <w:rPr>
                <w:sz w:val="16"/>
                <w:szCs w:val="16"/>
              </w:rPr>
              <w:t>6.805</w:t>
            </w:r>
          </w:p>
        </w:tc>
      </w:tr>
      <w:tr w:rsidR="002E3AE7" w:rsidRPr="00820927" w:rsidTr="003E0A02">
        <w:trPr>
          <w:trHeight w:val="225"/>
          <w:jc w:val="center"/>
        </w:trPr>
        <w:tc>
          <w:tcPr>
            <w:tcW w:w="569" w:type="dxa"/>
            <w:tcBorders>
              <w:top w:val="nil"/>
              <w:left w:val="nil"/>
              <w:bottom w:val="nil"/>
              <w:right w:val="nil"/>
            </w:tcBorders>
            <w:shd w:val="clear" w:color="000000" w:fill="C5D9F1"/>
            <w:noWrap/>
            <w:vAlign w:val="bottom"/>
            <w:hideMark/>
          </w:tcPr>
          <w:p w:rsidR="002E3AE7" w:rsidRPr="00820927" w:rsidRDefault="002E3AE7" w:rsidP="003E0A02">
            <w:pPr>
              <w:rPr>
                <w:sz w:val="16"/>
                <w:szCs w:val="16"/>
              </w:rPr>
            </w:pPr>
            <w:r w:rsidRPr="00820927">
              <w:rPr>
                <w:sz w:val="16"/>
                <w:szCs w:val="16"/>
              </w:rPr>
              <w:t> </w:t>
            </w:r>
          </w:p>
        </w:tc>
        <w:tc>
          <w:tcPr>
            <w:tcW w:w="3969" w:type="dxa"/>
            <w:tcBorders>
              <w:top w:val="nil"/>
              <w:left w:val="nil"/>
              <w:bottom w:val="nil"/>
              <w:right w:val="nil"/>
            </w:tcBorders>
            <w:shd w:val="clear" w:color="000000" w:fill="C5D9F1"/>
            <w:noWrap/>
            <w:vAlign w:val="bottom"/>
            <w:hideMark/>
          </w:tcPr>
          <w:p w:rsidR="002E3AE7" w:rsidRPr="00820927" w:rsidRDefault="002E3AE7" w:rsidP="003E0A02">
            <w:pPr>
              <w:jc w:val="right"/>
              <w:rPr>
                <w:b/>
                <w:bCs/>
                <w:sz w:val="16"/>
                <w:szCs w:val="16"/>
              </w:rPr>
            </w:pPr>
            <w:r w:rsidRPr="00820927">
              <w:rPr>
                <w:b/>
                <w:bCs/>
                <w:sz w:val="16"/>
                <w:szCs w:val="16"/>
              </w:rPr>
              <w:t>Total</w:t>
            </w:r>
          </w:p>
        </w:tc>
        <w:tc>
          <w:tcPr>
            <w:tcW w:w="1356" w:type="dxa"/>
            <w:tcBorders>
              <w:top w:val="nil"/>
              <w:left w:val="nil"/>
              <w:bottom w:val="nil"/>
              <w:right w:val="nil"/>
            </w:tcBorders>
            <w:shd w:val="clear" w:color="000000" w:fill="C5D9F1"/>
            <w:noWrap/>
            <w:vAlign w:val="center"/>
            <w:hideMark/>
          </w:tcPr>
          <w:p w:rsidR="002E3AE7" w:rsidRPr="00820927" w:rsidRDefault="002E3AE7" w:rsidP="003E0A02">
            <w:pPr>
              <w:jc w:val="center"/>
              <w:rPr>
                <w:sz w:val="16"/>
                <w:szCs w:val="16"/>
              </w:rPr>
            </w:pPr>
            <w:r w:rsidRPr="00820927">
              <w:rPr>
                <w:sz w:val="16"/>
                <w:szCs w:val="16"/>
              </w:rPr>
              <w:t>17.733</w:t>
            </w:r>
          </w:p>
        </w:tc>
        <w:tc>
          <w:tcPr>
            <w:tcW w:w="1337" w:type="dxa"/>
            <w:tcBorders>
              <w:top w:val="nil"/>
              <w:left w:val="nil"/>
              <w:bottom w:val="nil"/>
              <w:right w:val="nil"/>
            </w:tcBorders>
            <w:shd w:val="clear" w:color="000000" w:fill="C5D9F1"/>
            <w:noWrap/>
            <w:vAlign w:val="center"/>
            <w:hideMark/>
          </w:tcPr>
          <w:p w:rsidR="002E3AE7" w:rsidRPr="00820927" w:rsidRDefault="002E3AE7" w:rsidP="003E0A02">
            <w:pPr>
              <w:jc w:val="center"/>
              <w:rPr>
                <w:sz w:val="16"/>
                <w:szCs w:val="16"/>
              </w:rPr>
            </w:pPr>
            <w:r w:rsidRPr="00820927">
              <w:rPr>
                <w:sz w:val="16"/>
                <w:szCs w:val="16"/>
              </w:rPr>
              <w:t>19.377</w:t>
            </w:r>
          </w:p>
        </w:tc>
        <w:tc>
          <w:tcPr>
            <w:tcW w:w="991" w:type="dxa"/>
            <w:tcBorders>
              <w:top w:val="nil"/>
              <w:left w:val="nil"/>
              <w:bottom w:val="nil"/>
              <w:right w:val="nil"/>
            </w:tcBorders>
            <w:shd w:val="clear" w:color="000000" w:fill="C5D9F1"/>
            <w:noWrap/>
            <w:vAlign w:val="center"/>
            <w:hideMark/>
          </w:tcPr>
          <w:p w:rsidR="002E3AE7" w:rsidRPr="00820927" w:rsidRDefault="002E3AE7" w:rsidP="003E0A02">
            <w:pPr>
              <w:jc w:val="center"/>
              <w:rPr>
                <w:sz w:val="16"/>
                <w:szCs w:val="16"/>
              </w:rPr>
            </w:pPr>
            <w:r w:rsidRPr="00820927">
              <w:rPr>
                <w:sz w:val="16"/>
                <w:szCs w:val="16"/>
              </w:rPr>
              <w:t>7.967</w:t>
            </w:r>
          </w:p>
        </w:tc>
      </w:tr>
      <w:tr w:rsidR="002E3AE7" w:rsidRPr="00820927" w:rsidTr="003E0A02">
        <w:trPr>
          <w:trHeight w:val="330"/>
          <w:jc w:val="center"/>
        </w:trPr>
        <w:tc>
          <w:tcPr>
            <w:tcW w:w="7231" w:type="dxa"/>
            <w:gridSpan w:val="4"/>
            <w:tcBorders>
              <w:top w:val="nil"/>
              <w:left w:val="nil"/>
              <w:bottom w:val="nil"/>
              <w:right w:val="nil"/>
            </w:tcBorders>
            <w:shd w:val="clear" w:color="auto" w:fill="auto"/>
            <w:noWrap/>
            <w:vAlign w:val="center"/>
            <w:hideMark/>
          </w:tcPr>
          <w:p w:rsidR="002E3AE7" w:rsidRPr="00820927" w:rsidRDefault="002E3AE7" w:rsidP="003E0A02">
            <w:pPr>
              <w:rPr>
                <w:i/>
                <w:iCs/>
                <w:sz w:val="16"/>
                <w:szCs w:val="16"/>
              </w:rPr>
            </w:pPr>
            <w:r w:rsidRPr="00820927">
              <w:rPr>
                <w:i/>
                <w:iCs/>
                <w:sz w:val="16"/>
                <w:szCs w:val="16"/>
              </w:rPr>
              <w:t>*Las cifras de gastos en 2016 son preliminares, a reserva de verificación por el Auditor Externo.</w:t>
            </w:r>
          </w:p>
        </w:tc>
        <w:tc>
          <w:tcPr>
            <w:tcW w:w="991" w:type="dxa"/>
            <w:tcBorders>
              <w:top w:val="nil"/>
              <w:left w:val="nil"/>
              <w:bottom w:val="nil"/>
              <w:right w:val="nil"/>
            </w:tcBorders>
            <w:shd w:val="clear" w:color="auto" w:fill="auto"/>
            <w:noWrap/>
            <w:vAlign w:val="center"/>
            <w:hideMark/>
          </w:tcPr>
          <w:p w:rsidR="002E3AE7" w:rsidRPr="00820927" w:rsidRDefault="002E3AE7" w:rsidP="003E0A02">
            <w:pPr>
              <w:rPr>
                <w:sz w:val="16"/>
                <w:szCs w:val="16"/>
              </w:rPr>
            </w:pPr>
          </w:p>
        </w:tc>
      </w:tr>
    </w:tbl>
    <w:p w:rsidR="002E3AE7" w:rsidRPr="00820927" w:rsidRDefault="002E3AE7">
      <w:pPr>
        <w:ind w:right="173"/>
        <w:rPr>
          <w:sz w:val="20"/>
        </w:rPr>
      </w:pPr>
    </w:p>
    <w:p w:rsidR="002E3AE7" w:rsidRPr="00820927" w:rsidRDefault="002E3AE7" w:rsidP="003E0A02">
      <w:pPr>
        <w:pStyle w:val="NormalWeb"/>
        <w:keepNext/>
        <w:keepLines/>
        <w:spacing w:before="0" w:beforeAutospacing="0" w:after="0" w:afterAutospacing="0"/>
        <w:jc w:val="center"/>
        <w:rPr>
          <w:lang w:val="es-ES"/>
        </w:rPr>
      </w:pPr>
      <w:r w:rsidRPr="00820927">
        <w:rPr>
          <w:lang w:val="es-ES"/>
        </w:rPr>
        <w:t xml:space="preserve">Presupuesto y gastos reales (de personal y no relativos a personal) </w:t>
      </w:r>
    </w:p>
    <w:p w:rsidR="002E3AE7" w:rsidRPr="00820927" w:rsidRDefault="002E3AE7" w:rsidP="003E0A02">
      <w:pPr>
        <w:pStyle w:val="NormalWeb"/>
        <w:keepNext/>
        <w:keepLines/>
        <w:spacing w:before="0" w:beforeAutospacing="0" w:after="0" w:afterAutospacing="0"/>
        <w:jc w:val="center"/>
        <w:rPr>
          <w:i/>
          <w:iCs/>
          <w:sz w:val="16"/>
          <w:szCs w:val="16"/>
          <w:lang w:val="es-ES"/>
        </w:rPr>
      </w:pPr>
      <w:r w:rsidRPr="00820927">
        <w:rPr>
          <w:i/>
          <w:iCs/>
          <w:sz w:val="16"/>
          <w:szCs w:val="16"/>
          <w:lang w:val="es-ES"/>
        </w:rPr>
        <w:t>(en miles de francos suizos)</w:t>
      </w:r>
    </w:p>
    <w:p w:rsidR="002E3AE7" w:rsidRPr="00820927" w:rsidRDefault="002E3AE7" w:rsidP="003E0A02">
      <w:pPr>
        <w:rPr>
          <w:sz w:val="20"/>
        </w:rPr>
      </w:pPr>
    </w:p>
    <w:tbl>
      <w:tblPr>
        <w:tblW w:w="8222" w:type="dxa"/>
        <w:jc w:val="center"/>
        <w:tblLook w:val="04A0" w:firstRow="1" w:lastRow="0" w:firstColumn="1" w:lastColumn="0" w:noHBand="0" w:noVBand="1"/>
      </w:tblPr>
      <w:tblGrid>
        <w:gridCol w:w="2470"/>
        <w:gridCol w:w="1438"/>
        <w:gridCol w:w="1438"/>
        <w:gridCol w:w="1438"/>
        <w:gridCol w:w="1438"/>
      </w:tblGrid>
      <w:tr w:rsidR="002E3AE7" w:rsidRPr="00820927" w:rsidTr="003E0A02">
        <w:trPr>
          <w:trHeight w:val="720"/>
          <w:jc w:val="center"/>
        </w:trPr>
        <w:tc>
          <w:tcPr>
            <w:tcW w:w="2440" w:type="dxa"/>
            <w:tcBorders>
              <w:top w:val="nil"/>
              <w:left w:val="nil"/>
              <w:bottom w:val="nil"/>
              <w:right w:val="nil"/>
            </w:tcBorders>
            <w:shd w:val="clear" w:color="000000" w:fill="C5D9F1"/>
            <w:noWrap/>
            <w:vAlign w:val="center"/>
            <w:hideMark/>
          </w:tcPr>
          <w:p w:rsidR="002E3AE7" w:rsidRPr="00820927" w:rsidRDefault="002E3AE7" w:rsidP="003E0A02">
            <w:pPr>
              <w:rPr>
                <w:sz w:val="16"/>
                <w:szCs w:val="16"/>
              </w:rPr>
            </w:pPr>
            <w:r w:rsidRPr="00820927">
              <w:rPr>
                <w:sz w:val="16"/>
                <w:szCs w:val="16"/>
              </w:rPr>
              <w:t> </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Presupuesto aprobado de 2016/17</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Presupuesto de 2016/17 tras las transferencias</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Gastos en 2016*</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Índice de utilización (%)</w:t>
            </w:r>
          </w:p>
        </w:tc>
      </w:tr>
      <w:tr w:rsidR="002E3AE7" w:rsidRPr="00820927"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820927" w:rsidRDefault="002E3AE7" w:rsidP="003E0A02">
            <w:pPr>
              <w:rPr>
                <w:sz w:val="16"/>
                <w:szCs w:val="16"/>
              </w:rPr>
            </w:pPr>
            <w:r w:rsidRPr="00820927">
              <w:rPr>
                <w:sz w:val="16"/>
                <w:szCs w:val="16"/>
              </w:rPr>
              <w:t xml:space="preserve"> Recursos de personal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 xml:space="preserve">4.311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 xml:space="preserve">4.806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 xml:space="preserve">2.189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46%</w:t>
            </w:r>
          </w:p>
        </w:tc>
      </w:tr>
      <w:tr w:rsidR="002E3AE7" w:rsidRPr="00820927" w:rsidTr="003E0A02">
        <w:trPr>
          <w:trHeight w:val="315"/>
          <w:jc w:val="center"/>
        </w:trPr>
        <w:tc>
          <w:tcPr>
            <w:tcW w:w="2440" w:type="dxa"/>
            <w:tcBorders>
              <w:top w:val="nil"/>
              <w:left w:val="nil"/>
              <w:bottom w:val="nil"/>
              <w:right w:val="nil"/>
            </w:tcBorders>
            <w:shd w:val="clear" w:color="auto" w:fill="auto"/>
            <w:noWrap/>
            <w:vAlign w:val="center"/>
            <w:hideMark/>
          </w:tcPr>
          <w:p w:rsidR="002E3AE7" w:rsidRPr="00820927" w:rsidRDefault="002E3AE7" w:rsidP="003E0A02">
            <w:pPr>
              <w:rPr>
                <w:sz w:val="16"/>
                <w:szCs w:val="16"/>
              </w:rPr>
            </w:pPr>
            <w:r w:rsidRPr="00820927">
              <w:rPr>
                <w:sz w:val="16"/>
                <w:szCs w:val="16"/>
              </w:rPr>
              <w:t xml:space="preserve"> Recursos no relativos a personal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 xml:space="preserve">13.422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 xml:space="preserve">14.571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 xml:space="preserve">5.778 </w:t>
            </w:r>
          </w:p>
        </w:tc>
        <w:tc>
          <w:tcPr>
            <w:tcW w:w="1420" w:type="dxa"/>
            <w:tcBorders>
              <w:top w:val="nil"/>
              <w:left w:val="nil"/>
              <w:bottom w:val="nil"/>
              <w:right w:val="nil"/>
            </w:tcBorders>
            <w:shd w:val="clear" w:color="auto" w:fill="auto"/>
            <w:vAlign w:val="center"/>
            <w:hideMark/>
          </w:tcPr>
          <w:p w:rsidR="002E3AE7" w:rsidRPr="00820927" w:rsidRDefault="002E3AE7" w:rsidP="003E0A02">
            <w:pPr>
              <w:jc w:val="center"/>
              <w:rPr>
                <w:sz w:val="16"/>
                <w:szCs w:val="16"/>
              </w:rPr>
            </w:pPr>
            <w:r w:rsidRPr="00820927">
              <w:rPr>
                <w:sz w:val="16"/>
                <w:szCs w:val="16"/>
              </w:rPr>
              <w:t>40%</w:t>
            </w:r>
          </w:p>
        </w:tc>
      </w:tr>
      <w:tr w:rsidR="002E3AE7" w:rsidRPr="00820927" w:rsidTr="003E0A02">
        <w:trPr>
          <w:trHeight w:val="225"/>
          <w:jc w:val="center"/>
        </w:trPr>
        <w:tc>
          <w:tcPr>
            <w:tcW w:w="2440" w:type="dxa"/>
            <w:tcBorders>
              <w:top w:val="nil"/>
              <w:left w:val="nil"/>
              <w:bottom w:val="nil"/>
              <w:right w:val="nil"/>
            </w:tcBorders>
            <w:shd w:val="clear" w:color="000000" w:fill="C5D9F1"/>
            <w:noWrap/>
            <w:vAlign w:val="center"/>
            <w:hideMark/>
          </w:tcPr>
          <w:p w:rsidR="002E3AE7" w:rsidRPr="00820927" w:rsidRDefault="002E3AE7" w:rsidP="003E0A02">
            <w:pPr>
              <w:jc w:val="right"/>
              <w:rPr>
                <w:b/>
                <w:bCs/>
                <w:sz w:val="16"/>
                <w:szCs w:val="16"/>
              </w:rPr>
            </w:pPr>
            <w:r w:rsidRPr="00820927">
              <w:rPr>
                <w:b/>
                <w:bCs/>
                <w:sz w:val="16"/>
                <w:szCs w:val="16"/>
              </w:rPr>
              <w:t xml:space="preserve"> Total </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 xml:space="preserve">17.733 </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 xml:space="preserve">19.377 </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 xml:space="preserve">7.967 </w:t>
            </w:r>
          </w:p>
        </w:tc>
        <w:tc>
          <w:tcPr>
            <w:tcW w:w="1420" w:type="dxa"/>
            <w:tcBorders>
              <w:top w:val="nil"/>
              <w:left w:val="nil"/>
              <w:bottom w:val="nil"/>
              <w:right w:val="nil"/>
            </w:tcBorders>
            <w:shd w:val="clear" w:color="000000" w:fill="C5D9F1"/>
            <w:vAlign w:val="center"/>
            <w:hideMark/>
          </w:tcPr>
          <w:p w:rsidR="002E3AE7" w:rsidRPr="00820927" w:rsidRDefault="002E3AE7" w:rsidP="003E0A02">
            <w:pPr>
              <w:jc w:val="center"/>
              <w:rPr>
                <w:b/>
                <w:bCs/>
                <w:sz w:val="16"/>
                <w:szCs w:val="16"/>
              </w:rPr>
            </w:pPr>
            <w:r w:rsidRPr="00820927">
              <w:rPr>
                <w:b/>
                <w:bCs/>
                <w:sz w:val="16"/>
                <w:szCs w:val="16"/>
              </w:rPr>
              <w:t>41%</w:t>
            </w:r>
          </w:p>
        </w:tc>
      </w:tr>
      <w:tr w:rsidR="002E3AE7" w:rsidRPr="00820927" w:rsidTr="003E0A02">
        <w:trPr>
          <w:trHeight w:val="300"/>
          <w:jc w:val="center"/>
        </w:trPr>
        <w:tc>
          <w:tcPr>
            <w:tcW w:w="8120" w:type="dxa"/>
            <w:gridSpan w:val="5"/>
            <w:tcBorders>
              <w:top w:val="nil"/>
              <w:left w:val="nil"/>
              <w:bottom w:val="nil"/>
              <w:right w:val="nil"/>
            </w:tcBorders>
            <w:shd w:val="clear" w:color="auto" w:fill="auto"/>
            <w:noWrap/>
            <w:vAlign w:val="center"/>
            <w:hideMark/>
          </w:tcPr>
          <w:p w:rsidR="002E3AE7" w:rsidRPr="00820927" w:rsidRDefault="002E3AE7" w:rsidP="003E0A02">
            <w:pPr>
              <w:rPr>
                <w:i/>
                <w:iCs/>
                <w:sz w:val="16"/>
                <w:szCs w:val="16"/>
              </w:rPr>
            </w:pPr>
            <w:r w:rsidRPr="00820927">
              <w:rPr>
                <w:i/>
                <w:iCs/>
                <w:sz w:val="16"/>
                <w:szCs w:val="16"/>
              </w:rPr>
              <w:t xml:space="preserve"> *Las cifras de gastos en 2016 son preliminares, a reserva de verificación por el Auditor Externo.</w:t>
            </w:r>
          </w:p>
        </w:tc>
      </w:tr>
    </w:tbl>
    <w:p w:rsidR="002E3AE7" w:rsidRPr="00661AD2" w:rsidRDefault="002E3AE7" w:rsidP="003E0A02">
      <w:pPr>
        <w:rPr>
          <w:sz w:val="20"/>
        </w:rPr>
      </w:pPr>
    </w:p>
    <w:p w:rsidR="002E3AE7" w:rsidRPr="00820927" w:rsidRDefault="002E3AE7" w:rsidP="003E0A02">
      <w:pPr>
        <w:keepNext/>
        <w:keepLines/>
        <w:ind w:left="567" w:right="282"/>
        <w:rPr>
          <w:i/>
          <w:sz w:val="16"/>
          <w:szCs w:val="16"/>
        </w:rPr>
      </w:pPr>
      <w:r w:rsidRPr="00820927">
        <w:rPr>
          <w:i/>
          <w:sz w:val="16"/>
          <w:szCs w:val="16"/>
        </w:rPr>
        <w:t>NOTA:  El presupuesto de 2016/17 tras las transferencias refleja las transferencias efectuadas al 8 de marzo de 2017 para hacer frente a las necesidades durante el bienio 2016/17, según lo previsto en el artículo 5.5 del Reglamento Financiero.</w:t>
      </w:r>
    </w:p>
    <w:p w:rsidR="002E3AE7" w:rsidRPr="00820927" w:rsidRDefault="002E3AE7" w:rsidP="003E0A02">
      <w:pPr>
        <w:rPr>
          <w:sz w:val="20"/>
        </w:rPr>
      </w:pPr>
    </w:p>
    <w:p w:rsidR="002E3AE7" w:rsidRPr="00820927" w:rsidRDefault="002E3AE7" w:rsidP="003E0A02">
      <w:pPr>
        <w:jc w:val="both"/>
        <w:rPr>
          <w:sz w:val="20"/>
          <w:u w:val="single"/>
        </w:rPr>
      </w:pPr>
      <w:r w:rsidRPr="00820927">
        <w:rPr>
          <w:sz w:val="20"/>
        </w:rPr>
        <w:t>A.</w:t>
      </w:r>
      <w:r w:rsidRPr="00820927">
        <w:rPr>
          <w:sz w:val="20"/>
        </w:rPr>
        <w:tab/>
      </w:r>
      <w:r w:rsidRPr="00820927">
        <w:rPr>
          <w:sz w:val="20"/>
          <w:u w:val="single"/>
        </w:rPr>
        <w:t>Presupuesto de 2016/17 tras las transferencias</w:t>
      </w:r>
    </w:p>
    <w:p w:rsidR="002E3AE7" w:rsidRPr="00820927" w:rsidRDefault="002E3AE7" w:rsidP="003E0A02">
      <w:pPr>
        <w:jc w:val="both"/>
        <w:rPr>
          <w:sz w:val="20"/>
        </w:rPr>
      </w:pPr>
    </w:p>
    <w:p w:rsidR="002E3AE7" w:rsidRPr="00820927" w:rsidRDefault="002E3AE7" w:rsidP="002E3AE7">
      <w:pPr>
        <w:pStyle w:val="ListParagraph"/>
        <w:numPr>
          <w:ilvl w:val="0"/>
          <w:numId w:val="103"/>
        </w:numPr>
        <w:ind w:left="0" w:firstLine="0"/>
        <w:jc w:val="both"/>
        <w:rPr>
          <w:rFonts w:cs="Arial"/>
          <w:lang w:val="es-ES"/>
        </w:rPr>
      </w:pPr>
      <w:r w:rsidRPr="00820927">
        <w:rPr>
          <w:rFonts w:cs="Arial"/>
          <w:lang w:val="es-ES"/>
        </w:rPr>
        <w:t>El aumento neto en el presupuesto de 2016/17 tras las transferencias (recursos de personal) reflejó:  i) la transferencia al programa de dos puestos temporales para prestar apoyo a la gestión del programa de seguridad de la información a la hora de aplicar la estrategia de aseguramiento de la información;  y ii) la reclasificación de un puesto.  Ello se compensó ligeramente mediante el traslado de recursos a los no relativos a personal para reforzar la función de arquitecto de la seguridad de la información y prestar apoyo a la ejecución del proyecto de gestión de riesgos de seguridad y a su incorporación en todos los aspectos de las actividades.</w:t>
      </w:r>
    </w:p>
    <w:p w:rsidR="002E3AE7" w:rsidRPr="00820927" w:rsidRDefault="002E3AE7" w:rsidP="003E0A02">
      <w:pPr>
        <w:pStyle w:val="ListParagraph"/>
        <w:ind w:left="0"/>
        <w:jc w:val="both"/>
        <w:rPr>
          <w:rFonts w:cs="Arial"/>
          <w:lang w:val="es-ES"/>
        </w:rPr>
      </w:pPr>
    </w:p>
    <w:p w:rsidR="002E3AE7" w:rsidRPr="00820927" w:rsidRDefault="002E3AE7" w:rsidP="002E3AE7">
      <w:pPr>
        <w:pStyle w:val="ListParagraph"/>
        <w:numPr>
          <w:ilvl w:val="0"/>
          <w:numId w:val="103"/>
        </w:numPr>
        <w:ind w:left="0" w:firstLine="0"/>
        <w:jc w:val="both"/>
        <w:rPr>
          <w:rFonts w:cs="Arial"/>
          <w:lang w:val="es-ES"/>
        </w:rPr>
      </w:pPr>
      <w:r w:rsidRPr="00820927">
        <w:rPr>
          <w:rFonts w:cs="Arial"/>
          <w:lang w:val="es-ES"/>
        </w:rPr>
        <w:t>El aumento neto en el presupuesto de 2016/17 tras las transferencias (recursos no relativos a personal) reflejó la transferencia de nuevos recursos al programa en apoyo de:  i) la ejecución del proyecto de gestión de riesgos de seguridad y a su incorporación en todos los aspectos de las actividades, incluida la presencia de guardias armados;  ii) la instalación de un sistema de supervisión y de vigilancia por circuito cerrado de televisión (CCTV) a fin de equipar las instalaciones del CAM a los efectos de la continuidad de las actividades;  y iii) el aumento de las necesidades de guardias de seguridad en relación con la organización de eventos.  Lo anterior se compensó en parte con la redistribución de los gastos infrautilizados en 2016 relativos a la seguridad de la información a fin de atender otras prioridades organizativas en 2017.</w:t>
      </w:r>
    </w:p>
    <w:p w:rsidR="002E3AE7" w:rsidRPr="00820927" w:rsidRDefault="002E3AE7" w:rsidP="003E0A02">
      <w:pPr>
        <w:jc w:val="both"/>
        <w:rPr>
          <w:sz w:val="20"/>
        </w:rPr>
      </w:pPr>
    </w:p>
    <w:p w:rsidR="002E3AE7" w:rsidRPr="00820927" w:rsidRDefault="002E3AE7" w:rsidP="003E0A02">
      <w:pPr>
        <w:keepNext/>
        <w:jc w:val="both"/>
        <w:rPr>
          <w:sz w:val="20"/>
          <w:u w:val="single"/>
        </w:rPr>
      </w:pPr>
      <w:r w:rsidRPr="00820927">
        <w:rPr>
          <w:sz w:val="20"/>
        </w:rPr>
        <w:t>B.</w:t>
      </w:r>
      <w:r w:rsidRPr="00820927">
        <w:rPr>
          <w:sz w:val="20"/>
        </w:rPr>
        <w:tab/>
      </w:r>
      <w:r w:rsidRPr="00820927">
        <w:rPr>
          <w:sz w:val="20"/>
          <w:u w:val="single"/>
        </w:rPr>
        <w:t>Utilización del presupuesto en 2016/17</w:t>
      </w:r>
    </w:p>
    <w:p w:rsidR="002E3AE7" w:rsidRPr="00820927" w:rsidRDefault="002E3AE7" w:rsidP="003E0A02">
      <w:pPr>
        <w:keepNext/>
        <w:jc w:val="both"/>
        <w:rPr>
          <w:sz w:val="20"/>
        </w:rPr>
      </w:pPr>
    </w:p>
    <w:p w:rsidR="002E3AE7" w:rsidRPr="00820927" w:rsidRDefault="002E3AE7" w:rsidP="002E3AE7">
      <w:pPr>
        <w:pStyle w:val="ListParagraph"/>
        <w:keepNext/>
        <w:numPr>
          <w:ilvl w:val="0"/>
          <w:numId w:val="103"/>
        </w:numPr>
        <w:ind w:left="0" w:firstLine="0"/>
        <w:jc w:val="both"/>
        <w:rPr>
          <w:rFonts w:cs="Arial"/>
          <w:lang w:val="es-ES"/>
        </w:rPr>
      </w:pPr>
      <w:r w:rsidRPr="00820927">
        <w:rPr>
          <w:rFonts w:cs="Arial"/>
          <w:lang w:val="es-ES"/>
        </w:rPr>
        <w:t>La utilización del presupuesto fue inferior a la prevista debido principalmente a demoras en la contratación y a las consiguientes demoras en la ejecución del proyecto.</w:t>
      </w:r>
    </w:p>
    <w:p w:rsidR="00661AD2" w:rsidRDefault="00661AD2">
      <w:pPr>
        <w:rPr>
          <w:b/>
          <w:sz w:val="20"/>
        </w:rPr>
      </w:pPr>
      <w:r>
        <w:rPr>
          <w:b/>
          <w:sz w:val="20"/>
        </w:rPr>
        <w:br w:type="page"/>
      </w:r>
    </w:p>
    <w:p w:rsidR="001B5C61" w:rsidRPr="00CA1E19" w:rsidRDefault="001B5C61" w:rsidP="001B5C61">
      <w:pPr>
        <w:pStyle w:val="Heading1"/>
        <w:keepNext w:val="0"/>
        <w:spacing w:before="0" w:after="0"/>
        <w:ind w:left="567" w:hanging="567"/>
      </w:pPr>
      <w:bookmarkStart w:id="82" w:name="_Toc482711281"/>
      <w:r>
        <w:rPr>
          <w:caps w:val="0"/>
        </w:rPr>
        <w:lastRenderedPageBreak/>
        <w:t>V</w:t>
      </w:r>
      <w:r w:rsidRPr="00CA1E19">
        <w:rPr>
          <w:caps w:val="0"/>
        </w:rPr>
        <w:t>.</w:t>
      </w:r>
      <w:r w:rsidRPr="00CA1E19">
        <w:rPr>
          <w:caps w:val="0"/>
        </w:rPr>
        <w:tab/>
      </w:r>
      <w:r>
        <w:rPr>
          <w:caps w:val="0"/>
        </w:rPr>
        <w:t>APÉNDICES</w:t>
      </w:r>
      <w:bookmarkEnd w:id="82"/>
    </w:p>
    <w:p w:rsidR="00762D7C" w:rsidRDefault="00762D7C" w:rsidP="007D1BBF">
      <w:pPr>
        <w:pStyle w:val="Endofdocument-Annex"/>
        <w:ind w:left="0"/>
        <w:rPr>
          <w:b/>
          <w:sz w:val="20"/>
          <w:lang w:val="es-ES"/>
        </w:rPr>
      </w:pPr>
    </w:p>
    <w:p w:rsidR="009327D7" w:rsidRPr="00025F66" w:rsidRDefault="009327D7" w:rsidP="009327D7">
      <w:pPr>
        <w:pStyle w:val="Heading2"/>
        <w:tabs>
          <w:tab w:val="left" w:pos="2268"/>
        </w:tabs>
        <w:spacing w:before="0" w:after="0"/>
        <w:rPr>
          <w:b/>
          <w:bCs w:val="0"/>
        </w:rPr>
      </w:pPr>
      <w:bookmarkStart w:id="83" w:name="_Toc482711282"/>
      <w:r w:rsidRPr="00025F66">
        <w:rPr>
          <w:b/>
          <w:bCs w:val="0"/>
          <w:lang w:val="es-ES_tradnl"/>
        </w:rPr>
        <w:t>APÉNDICE I</w:t>
      </w:r>
      <w:r w:rsidRPr="00025F66">
        <w:rPr>
          <w:b/>
          <w:bCs w:val="0"/>
          <w:lang w:val="es-ES_tradnl"/>
        </w:rPr>
        <w:br/>
        <w:t>DESGLOSE DE LA EVALUACIÓN DEL RENDIMIENTO DE CADA PROGRAMA</w:t>
      </w:r>
      <w:bookmarkEnd w:id="83"/>
    </w:p>
    <w:p w:rsidR="009327D7" w:rsidRPr="009327D7" w:rsidRDefault="009327D7" w:rsidP="009327D7">
      <w:pPr>
        <w:rPr>
          <w:b/>
          <w:sz w:val="20"/>
        </w:rPr>
      </w:pPr>
    </w:p>
    <w:p w:rsidR="009327D7" w:rsidRPr="009327D7" w:rsidRDefault="009327D7" w:rsidP="009327D7">
      <w:pPr>
        <w:jc w:val="both"/>
        <w:rPr>
          <w:sz w:val="20"/>
        </w:rPr>
      </w:pPr>
      <w:r w:rsidRPr="009327D7">
        <w:rPr>
          <w:sz w:val="20"/>
        </w:rPr>
        <w:t xml:space="preserve">El informe sobre el rendimiento de los programas (documento PPR) en 2016 presenta un nuevo formato para lograr una mejor distinción entre el informe del primer año del bienio (que es un informe sobre los avances logrados), y el del segundo año (que es un informe sobre los logros alcanzados). </w:t>
      </w:r>
    </w:p>
    <w:p w:rsidR="009327D7" w:rsidRPr="009327D7" w:rsidRDefault="009327D7" w:rsidP="009327D7">
      <w:pPr>
        <w:jc w:val="both"/>
        <w:rPr>
          <w:sz w:val="20"/>
        </w:rPr>
      </w:pPr>
    </w:p>
    <w:p w:rsidR="009327D7" w:rsidRPr="009327D7" w:rsidRDefault="009327D7" w:rsidP="009327D7">
      <w:pPr>
        <w:jc w:val="both"/>
        <w:rPr>
          <w:sz w:val="20"/>
        </w:rPr>
      </w:pPr>
      <w:r w:rsidRPr="009327D7">
        <w:rPr>
          <w:sz w:val="20"/>
          <w:lang w:val="es-ES_tradnl"/>
        </w:rPr>
        <w:t>La evaluación del rendimiento de cada uno de los programas que se incluyen en el documento PPR de 2016 comprende las siguientes secciones:</w:t>
      </w:r>
    </w:p>
    <w:p w:rsidR="009327D7" w:rsidRPr="009327D7" w:rsidRDefault="009327D7" w:rsidP="009327D7">
      <w:pPr>
        <w:jc w:val="both"/>
        <w:rPr>
          <w:i/>
          <w:iCs/>
          <w:sz w:val="20"/>
        </w:rPr>
      </w:pPr>
    </w:p>
    <w:p w:rsidR="009327D7" w:rsidRPr="009327D7" w:rsidRDefault="009327D7" w:rsidP="009327D7">
      <w:pPr>
        <w:jc w:val="both"/>
        <w:rPr>
          <w:i/>
          <w:iCs/>
          <w:sz w:val="20"/>
        </w:rPr>
      </w:pPr>
      <w:r w:rsidRPr="009327D7">
        <w:rPr>
          <w:i/>
          <w:iCs/>
          <w:sz w:val="20"/>
          <w:lang w:val="es-ES_tradnl"/>
        </w:rPr>
        <w:t>Sección I:  Datos sobre el rendimiento</w:t>
      </w:r>
    </w:p>
    <w:p w:rsidR="009327D7" w:rsidRPr="009327D7" w:rsidRDefault="009327D7" w:rsidP="009327D7">
      <w:pPr>
        <w:jc w:val="both"/>
        <w:rPr>
          <w:sz w:val="20"/>
        </w:rPr>
      </w:pPr>
    </w:p>
    <w:p w:rsidR="009327D7" w:rsidRPr="009327D7" w:rsidRDefault="009327D7" w:rsidP="009327D7">
      <w:pPr>
        <w:jc w:val="both"/>
        <w:rPr>
          <w:sz w:val="20"/>
        </w:rPr>
      </w:pPr>
      <w:r w:rsidRPr="009327D7">
        <w:rPr>
          <w:sz w:val="20"/>
        </w:rPr>
        <w:t>En el cuadro de esta sección figuran los resultados previstos, a cuyo logro el programa en cuestión contribuye, y los indicadores de rendimiento, que miden lo que aporta el programa en cuestión al logro de los resultados aprobados por los Estados miembros en el presupuesto por programas de 2016/17.  Para facilitar la presentación de datos en relación con el rendimiento en el bienio 2016/17, ahora se permite que los programas actualicen los objetivos cuando ya a fines de 2015 se ha logrado su consecución.</w:t>
      </w:r>
      <w:r w:rsidRPr="009327D7">
        <w:rPr>
          <w:rStyle w:val="FootnoteReference"/>
          <w:sz w:val="20"/>
        </w:rPr>
        <w:footnoteReference w:id="106"/>
      </w:r>
      <w:r w:rsidRPr="009327D7">
        <w:rPr>
          <w:sz w:val="20"/>
        </w:rPr>
        <w:t xml:space="preserve"> </w:t>
      </w:r>
    </w:p>
    <w:p w:rsidR="009327D7" w:rsidRPr="009327D7" w:rsidRDefault="009327D7" w:rsidP="009327D7">
      <w:pPr>
        <w:jc w:val="both"/>
        <w:rPr>
          <w:sz w:val="20"/>
        </w:rPr>
      </w:pPr>
    </w:p>
    <w:p w:rsidR="009327D7" w:rsidRPr="009327D7" w:rsidRDefault="009327D7" w:rsidP="009327D7">
      <w:pPr>
        <w:jc w:val="both"/>
        <w:rPr>
          <w:sz w:val="20"/>
        </w:rPr>
      </w:pPr>
      <w:r w:rsidRPr="009327D7">
        <w:rPr>
          <w:sz w:val="20"/>
        </w:rPr>
        <w:t>Además de los resultados previstos y los indicadores de rendimiento, en los cuadros de datos sobre el rendimiento también se relaciona lo siguiente:</w:t>
      </w:r>
    </w:p>
    <w:p w:rsidR="009327D7" w:rsidRPr="009327D7" w:rsidRDefault="009327D7" w:rsidP="009327D7">
      <w:pPr>
        <w:pStyle w:val="ListParagraph"/>
        <w:numPr>
          <w:ilvl w:val="0"/>
          <w:numId w:val="104"/>
        </w:numPr>
        <w:jc w:val="both"/>
        <w:rPr>
          <w:lang w:val="es-ES"/>
        </w:rPr>
      </w:pPr>
      <w:r w:rsidRPr="009327D7">
        <w:rPr>
          <w:i/>
          <w:lang w:val="es-ES"/>
        </w:rPr>
        <w:t>Referencia original en el presupuesto de 2016/17</w:t>
      </w:r>
      <w:r w:rsidRPr="009327D7">
        <w:rPr>
          <w:lang w:val="es-ES"/>
        </w:rPr>
        <w:t>:  se trata de las referencias de base incluidas originalmente en el presupuesto aprobado de 2016/17;</w:t>
      </w:r>
    </w:p>
    <w:p w:rsidR="009327D7" w:rsidRPr="009327D7" w:rsidRDefault="009327D7" w:rsidP="009327D7">
      <w:pPr>
        <w:pStyle w:val="ListParagraph"/>
        <w:numPr>
          <w:ilvl w:val="0"/>
          <w:numId w:val="104"/>
        </w:numPr>
        <w:jc w:val="both"/>
        <w:rPr>
          <w:lang w:val="es-ES"/>
        </w:rPr>
      </w:pPr>
      <w:r w:rsidRPr="009327D7">
        <w:rPr>
          <w:i/>
          <w:lang w:val="es-ES"/>
        </w:rPr>
        <w:t>Referencia actualizada</w:t>
      </w:r>
      <w:r w:rsidRPr="009327D7">
        <w:rPr>
          <w:rStyle w:val="FootnoteReference"/>
          <w:i/>
        </w:rPr>
        <w:footnoteReference w:id="107"/>
      </w:r>
      <w:r w:rsidRPr="009327D7">
        <w:rPr>
          <w:lang w:val="es-ES"/>
        </w:rPr>
        <w:t>:  se trata de las referencias que han sido actualizadas cuando ha sido necesario, y reflejan la situación a fines de 2015;</w:t>
      </w:r>
    </w:p>
    <w:p w:rsidR="009327D7" w:rsidRPr="009327D7" w:rsidRDefault="009327D7" w:rsidP="009327D7">
      <w:pPr>
        <w:pStyle w:val="ListParagraph"/>
        <w:numPr>
          <w:ilvl w:val="0"/>
          <w:numId w:val="104"/>
        </w:numPr>
        <w:jc w:val="both"/>
        <w:rPr>
          <w:lang w:val="es-ES"/>
        </w:rPr>
      </w:pPr>
      <w:r w:rsidRPr="009327D7">
        <w:rPr>
          <w:i/>
          <w:lang w:val="es-ES"/>
        </w:rPr>
        <w:t>Objetivo original en el presupuesto de 2016/17</w:t>
      </w:r>
      <w:r w:rsidRPr="009327D7">
        <w:rPr>
          <w:lang w:val="es-ES"/>
        </w:rPr>
        <w:t xml:space="preserve">:  se trata de los objetivos definidos originalmente en el presupuesto por programas de 2016/17;  </w:t>
      </w:r>
    </w:p>
    <w:p w:rsidR="009327D7" w:rsidRPr="009327D7" w:rsidRDefault="009327D7" w:rsidP="009327D7">
      <w:pPr>
        <w:pStyle w:val="ListParagraph"/>
        <w:numPr>
          <w:ilvl w:val="0"/>
          <w:numId w:val="104"/>
        </w:numPr>
        <w:jc w:val="both"/>
        <w:rPr>
          <w:lang w:val="es-ES"/>
        </w:rPr>
      </w:pPr>
      <w:r w:rsidRPr="009327D7">
        <w:rPr>
          <w:i/>
          <w:lang w:val="es-ES"/>
        </w:rPr>
        <w:t>Objetivo definido/actualizado</w:t>
      </w:r>
      <w:r w:rsidRPr="009327D7">
        <w:rPr>
          <w:rStyle w:val="FootnoteReference"/>
          <w:i/>
        </w:rPr>
        <w:footnoteReference w:id="108"/>
      </w:r>
      <w:r w:rsidRPr="009327D7">
        <w:rPr>
          <w:lang w:val="es-ES"/>
        </w:rPr>
        <w:t>:  se trata de i) el objetivo que fue aprobado con la mención “Por determinar” en el presupuesto de 2016/17 para cuya definición se tuvieron en cuenta los datos disponibles a fines de 2015</w:t>
      </w:r>
      <w:r w:rsidRPr="009327D7">
        <w:rPr>
          <w:rStyle w:val="FootnoteReference"/>
        </w:rPr>
        <w:footnoteReference w:id="109"/>
      </w:r>
      <w:r w:rsidRPr="009327D7">
        <w:rPr>
          <w:lang w:val="es-ES"/>
        </w:rPr>
        <w:t>;  o ii) de la actualización del objetivo original cuando se ha logrado su consecución ya a fines de 2015;</w:t>
      </w:r>
    </w:p>
    <w:p w:rsidR="009327D7" w:rsidRPr="009327D7" w:rsidRDefault="009327D7" w:rsidP="009327D7">
      <w:pPr>
        <w:pStyle w:val="ListParagraph"/>
        <w:numPr>
          <w:ilvl w:val="0"/>
          <w:numId w:val="104"/>
        </w:numPr>
        <w:jc w:val="both"/>
        <w:rPr>
          <w:lang w:val="es-ES"/>
        </w:rPr>
      </w:pPr>
      <w:r w:rsidRPr="009327D7">
        <w:rPr>
          <w:i/>
          <w:lang w:val="es-ES"/>
        </w:rPr>
        <w:t>Datos sobre el rendimiento</w:t>
      </w:r>
      <w:r w:rsidRPr="009327D7">
        <w:rPr>
          <w:lang w:val="es-ES"/>
        </w:rPr>
        <w:t xml:space="preserve">:  es la información sobre lo logrado en 2016 con respecto a cada indicador.  </w:t>
      </w:r>
      <w:r w:rsidRPr="009327D7">
        <w:rPr>
          <w:lang w:val="es-ES_tradnl"/>
        </w:rPr>
        <w:t>Por regla general, cuando los datos relativos al rendimiento se midan en variación porcentual (aumento o disminución), y a menos que se indique lo contrario, dicha variación porcentual resultará de una comparación con el año anterior, es decir, que una variación porcentual en 2016 resulta de la comparación con 2015;  y</w:t>
      </w:r>
      <w:r w:rsidRPr="009327D7">
        <w:rPr>
          <w:lang w:val="es-ES"/>
        </w:rPr>
        <w:t xml:space="preserve"> </w:t>
      </w:r>
    </w:p>
    <w:p w:rsidR="009327D7" w:rsidRPr="009327D7" w:rsidRDefault="009327D7" w:rsidP="009327D7">
      <w:pPr>
        <w:pStyle w:val="ListParagraph"/>
        <w:numPr>
          <w:ilvl w:val="0"/>
          <w:numId w:val="104"/>
        </w:numPr>
        <w:jc w:val="both"/>
        <w:rPr>
          <w:lang w:val="es-ES"/>
        </w:rPr>
      </w:pPr>
      <w:r w:rsidRPr="009327D7">
        <w:rPr>
          <w:i/>
          <w:lang w:val="es-ES"/>
        </w:rPr>
        <w:t>Clave de colores</w:t>
      </w:r>
      <w:r w:rsidRPr="009327D7">
        <w:rPr>
          <w:lang w:val="es-ES"/>
        </w:rPr>
        <w:t>:  calificación del rendimiento mediante colores.</w:t>
      </w:r>
    </w:p>
    <w:p w:rsidR="009327D7" w:rsidRPr="009327D7" w:rsidRDefault="009327D7" w:rsidP="009327D7">
      <w:pPr>
        <w:jc w:val="both"/>
        <w:rPr>
          <w:sz w:val="20"/>
        </w:rPr>
      </w:pPr>
    </w:p>
    <w:p w:rsidR="009327D7" w:rsidRPr="009327D7" w:rsidRDefault="009327D7" w:rsidP="009327D7">
      <w:pPr>
        <w:jc w:val="both"/>
        <w:rPr>
          <w:i/>
          <w:iCs/>
          <w:sz w:val="20"/>
        </w:rPr>
      </w:pPr>
      <w:r w:rsidRPr="009327D7">
        <w:rPr>
          <w:i/>
          <w:iCs/>
          <w:sz w:val="20"/>
          <w:lang w:val="es-ES_tradnl"/>
        </w:rPr>
        <w:t>Sección II:  Utilización de los recursos en 2016</w:t>
      </w:r>
    </w:p>
    <w:p w:rsidR="009327D7" w:rsidRPr="009327D7" w:rsidRDefault="009327D7" w:rsidP="009327D7">
      <w:pPr>
        <w:jc w:val="both"/>
        <w:rPr>
          <w:color w:val="808080"/>
          <w:sz w:val="20"/>
        </w:rPr>
      </w:pPr>
    </w:p>
    <w:p w:rsidR="009327D7" w:rsidRPr="009327D7" w:rsidRDefault="009327D7" w:rsidP="009327D7">
      <w:pPr>
        <w:tabs>
          <w:tab w:val="left" w:pos="851"/>
        </w:tabs>
        <w:jc w:val="both"/>
        <w:rPr>
          <w:sz w:val="20"/>
        </w:rPr>
      </w:pPr>
      <w:r w:rsidRPr="009327D7">
        <w:rPr>
          <w:sz w:val="20"/>
        </w:rPr>
        <w:t>En esta sección se ofrece información relativa al presupuesto aprobado de 2016/17, al presupuesto de 2016/17 tras las transferencias, así como al gasto real y la utilización de los fondos en 2016.  La información que se presenta en esta sección está repartida en dos cuadros:</w:t>
      </w:r>
    </w:p>
    <w:p w:rsidR="009327D7" w:rsidRPr="009327D7" w:rsidRDefault="009327D7" w:rsidP="009327D7">
      <w:pPr>
        <w:tabs>
          <w:tab w:val="left" w:pos="851"/>
        </w:tabs>
        <w:jc w:val="both"/>
        <w:rPr>
          <w:sz w:val="20"/>
        </w:rPr>
      </w:pPr>
    </w:p>
    <w:p w:rsidR="009327D7" w:rsidRPr="009327D7" w:rsidRDefault="009327D7" w:rsidP="009327D7">
      <w:pPr>
        <w:pStyle w:val="ListParagraph"/>
        <w:numPr>
          <w:ilvl w:val="0"/>
          <w:numId w:val="105"/>
        </w:numPr>
        <w:jc w:val="both"/>
        <w:rPr>
          <w:rFonts w:cs="Arial"/>
          <w:lang w:val="es-ES" w:eastAsia="ko-KR"/>
        </w:rPr>
      </w:pPr>
      <w:r w:rsidRPr="009327D7">
        <w:rPr>
          <w:lang w:val="es-ES"/>
        </w:rPr>
        <w:t xml:space="preserve">En el titulado </w:t>
      </w:r>
      <w:r w:rsidRPr="009327D7">
        <w:rPr>
          <w:i/>
          <w:lang w:val="es-ES"/>
        </w:rPr>
        <w:t xml:space="preserve">Presupuesto y gastos reales (por resultado) </w:t>
      </w:r>
      <w:r w:rsidRPr="009327D7">
        <w:rPr>
          <w:lang w:val="es-ES"/>
        </w:rPr>
        <w:t>se ofrece información desglosada por resultado en relación con el presupuesto aprobado de 2016/17, el presupuesto de 2016/17 tras las transferencias, y el gasto real en 2016;  y</w:t>
      </w:r>
    </w:p>
    <w:p w:rsidR="009327D7" w:rsidRPr="009327D7" w:rsidRDefault="009327D7" w:rsidP="009327D7">
      <w:pPr>
        <w:pStyle w:val="ListParagraph"/>
        <w:numPr>
          <w:ilvl w:val="0"/>
          <w:numId w:val="105"/>
        </w:numPr>
        <w:jc w:val="both"/>
        <w:rPr>
          <w:rFonts w:cs="Arial"/>
          <w:lang w:val="es-ES" w:eastAsia="ko-KR"/>
        </w:rPr>
      </w:pPr>
      <w:r w:rsidRPr="009327D7">
        <w:rPr>
          <w:lang w:val="es-ES"/>
        </w:rPr>
        <w:t xml:space="preserve">En el titulado </w:t>
      </w:r>
      <w:r w:rsidRPr="009327D7">
        <w:rPr>
          <w:i/>
          <w:lang w:val="es-ES"/>
        </w:rPr>
        <w:t xml:space="preserve">Presupuesto y gastos reales (recursos de personal y no relativos a personal) </w:t>
      </w:r>
      <w:r w:rsidRPr="009327D7">
        <w:rPr>
          <w:lang w:val="es-ES"/>
        </w:rPr>
        <w:t xml:space="preserve">se ofrece información sobre los recursos de personal y los no relativos a personal en relación con el presupuesto aprobado de 2016/17, el presupuesto de 2016/17 tras las transferencias, el gasto real en 2016 y el índice de utilización de los fondos.  </w:t>
      </w:r>
    </w:p>
    <w:p w:rsidR="009327D7" w:rsidRPr="009327D7" w:rsidRDefault="009327D7" w:rsidP="009327D7">
      <w:pPr>
        <w:autoSpaceDE w:val="0"/>
        <w:autoSpaceDN w:val="0"/>
        <w:adjustRightInd w:val="0"/>
        <w:jc w:val="both"/>
        <w:rPr>
          <w:sz w:val="20"/>
        </w:rPr>
      </w:pPr>
    </w:p>
    <w:p w:rsidR="009327D7" w:rsidRPr="009327D7" w:rsidRDefault="009327D7" w:rsidP="009327D7">
      <w:pPr>
        <w:autoSpaceDE w:val="0"/>
        <w:autoSpaceDN w:val="0"/>
        <w:adjustRightInd w:val="0"/>
        <w:jc w:val="both"/>
        <w:rPr>
          <w:sz w:val="20"/>
        </w:rPr>
      </w:pPr>
      <w:r w:rsidRPr="009327D7">
        <w:rPr>
          <w:sz w:val="20"/>
        </w:rPr>
        <w:t>Se incluyen explicaciones de las diferencias entre el presupuesto aprobado y el presupuesto final tras las transferencias, así como de la utilización del presupuesto, teniendo en cuenta tanto una perspectiva de resultados como una perspectiva del tipo de gastos (de personal y no relativos a personal).</w:t>
      </w:r>
    </w:p>
    <w:p w:rsidR="009327D7" w:rsidRPr="009327D7" w:rsidRDefault="009327D7" w:rsidP="009327D7">
      <w:pPr>
        <w:autoSpaceDE w:val="0"/>
        <w:autoSpaceDN w:val="0"/>
        <w:adjustRightInd w:val="0"/>
        <w:jc w:val="both"/>
        <w:rPr>
          <w:sz w:val="20"/>
        </w:rPr>
      </w:pPr>
    </w:p>
    <w:p w:rsidR="009327D7" w:rsidRPr="009327D7" w:rsidRDefault="009327D7" w:rsidP="009327D7">
      <w:pPr>
        <w:autoSpaceDE w:val="0"/>
        <w:autoSpaceDN w:val="0"/>
        <w:adjustRightInd w:val="0"/>
        <w:jc w:val="both"/>
        <w:rPr>
          <w:sz w:val="20"/>
        </w:rPr>
      </w:pPr>
    </w:p>
    <w:p w:rsidR="009327D7" w:rsidRPr="002F663B" w:rsidRDefault="009327D7" w:rsidP="009327D7">
      <w:pPr>
        <w:pStyle w:val="Endofdocument-Annex"/>
        <w:rPr>
          <w:sz w:val="20"/>
          <w:lang w:val="es-ES"/>
        </w:rPr>
      </w:pPr>
      <w:r w:rsidRPr="009327D7">
        <w:rPr>
          <w:sz w:val="20"/>
          <w:lang w:val="es-ES_tradnl"/>
        </w:rPr>
        <w:t>[Sigue el Apéndice II]</w:t>
      </w:r>
    </w:p>
    <w:p w:rsidR="009327D7" w:rsidRPr="009327D7" w:rsidRDefault="009327D7" w:rsidP="009327D7">
      <w:pPr>
        <w:rPr>
          <w:sz w:val="20"/>
        </w:rPr>
      </w:pPr>
    </w:p>
    <w:p w:rsidR="009327D7" w:rsidRDefault="009327D7">
      <w:pPr>
        <w:rPr>
          <w:b/>
          <w:sz w:val="20"/>
        </w:rPr>
      </w:pPr>
      <w:r>
        <w:rPr>
          <w:b/>
          <w:sz w:val="20"/>
        </w:rPr>
        <w:br w:type="page"/>
      </w:r>
    </w:p>
    <w:p w:rsidR="004E456B" w:rsidRPr="00294531" w:rsidRDefault="004E456B" w:rsidP="00027A9C">
      <w:pPr>
        <w:keepNext/>
        <w:tabs>
          <w:tab w:val="left" w:pos="567"/>
          <w:tab w:val="left" w:pos="1985"/>
          <w:tab w:val="right" w:pos="9072"/>
        </w:tabs>
        <w:outlineLvl w:val="1"/>
        <w:rPr>
          <w:b/>
          <w:bCs/>
          <w:iCs/>
          <w:noProof/>
        </w:rPr>
      </w:pPr>
      <w:bookmarkStart w:id="84" w:name="_Toc482711283"/>
      <w:r w:rsidRPr="00294531">
        <w:rPr>
          <w:rFonts w:eastAsia="Arial"/>
          <w:b/>
          <w:bCs/>
          <w:iCs/>
          <w:noProof/>
          <w:szCs w:val="22"/>
          <w:bdr w:val="nil"/>
        </w:rPr>
        <w:lastRenderedPageBreak/>
        <w:t>APÉNDICE II</w:t>
      </w:r>
      <w:r w:rsidRPr="00294531">
        <w:rPr>
          <w:rFonts w:eastAsia="Arial"/>
          <w:b/>
          <w:bCs/>
          <w:iCs/>
          <w:noProof/>
          <w:szCs w:val="22"/>
          <w:bdr w:val="nil"/>
        </w:rPr>
        <w:br/>
        <w:t>ACTIVIDADES REALIZADAS CON CARGO A LOS FONDOS FIDUCIARIOS EN 2016</w:t>
      </w:r>
      <w:bookmarkEnd w:id="84"/>
    </w:p>
    <w:p w:rsidR="004E456B" w:rsidRPr="00294531" w:rsidRDefault="004E456B" w:rsidP="00027A9C">
      <w:pPr>
        <w:rPr>
          <w:noProof/>
          <w:sz w:val="20"/>
        </w:rPr>
      </w:pPr>
    </w:p>
    <w:p w:rsidR="004E456B" w:rsidRPr="00294531" w:rsidRDefault="004E456B" w:rsidP="00027A9C">
      <w:pPr>
        <w:jc w:val="both"/>
        <w:rPr>
          <w:sz w:val="20"/>
        </w:rPr>
      </w:pPr>
      <w:r w:rsidRPr="00294531">
        <w:rPr>
          <w:rFonts w:eastAsia="Arial"/>
          <w:sz w:val="20"/>
          <w:bdr w:val="nil"/>
        </w:rPr>
        <w:t>Como parte de los esfuerzos realizados por la Organización para mejorar la integración de todas sus actividades en un mismo marco de gestión por resultados, indistintamente de las fuentes de procedencia de los fondos, el presente Apéndice proporciona un panorama general sobre las actividades llevadas a cabo con cargo a los fondos fiduciarios de la OMPI.  Al mismo tiempo, este informe responde a la petición realizada por los donantes en relación con la elaboración de un informe más completo sobre todos los fondos fiduciarios, que incluya tanto datos programáticos como financieros.  Con vistas a agilizar la presentación de información, el presente informe sobre fondos fiduciarios forma parte del Informe sobre el rendimiento de los programas, y en él se expone un panorama anual de las actividades realizadas en 2016.  El próximo informe anual sobre los fondos fiduciarios se incluirá en el documento PPR de 2016/17.  En este Apéndice se informa sobre los fondos fiduciarios enumerados en el siguiente cuadro y se excluyen los fondos fiduciarios para funcionarios subalternos del cuadro orgánico.</w:t>
      </w:r>
    </w:p>
    <w:p w:rsidR="004E456B" w:rsidRPr="00294531" w:rsidRDefault="004E456B">
      <w:pPr>
        <w:rPr>
          <w:b/>
          <w:sz w:val="20"/>
        </w:rPr>
      </w:pPr>
    </w:p>
    <w:tbl>
      <w:tblPr>
        <w:tblStyle w:val="TableGrid"/>
        <w:tblW w:w="0" w:type="auto"/>
        <w:tblLook w:val="04A0" w:firstRow="1" w:lastRow="0" w:firstColumn="1" w:lastColumn="0" w:noHBand="0" w:noVBand="1"/>
      </w:tblPr>
      <w:tblGrid>
        <w:gridCol w:w="4643"/>
        <w:gridCol w:w="4644"/>
      </w:tblGrid>
      <w:tr w:rsidR="004E456B" w:rsidRPr="00294531" w:rsidTr="00027A9C">
        <w:trPr>
          <w:trHeight w:val="432"/>
        </w:trPr>
        <w:tc>
          <w:tcPr>
            <w:tcW w:w="4643" w:type="dxa"/>
            <w:shd w:val="clear" w:color="auto" w:fill="C6D9F1" w:themeFill="text2" w:themeFillTint="33"/>
            <w:vAlign w:val="center"/>
          </w:tcPr>
          <w:p w:rsidR="004E456B" w:rsidRPr="00294531" w:rsidRDefault="004E456B" w:rsidP="00027A9C">
            <w:pPr>
              <w:spacing w:line="360" w:lineRule="auto"/>
              <w:jc w:val="center"/>
              <w:rPr>
                <w:b/>
                <w:bCs/>
                <w:sz w:val="18"/>
                <w:szCs w:val="18"/>
              </w:rPr>
            </w:pPr>
            <w:r w:rsidRPr="00294531">
              <w:rPr>
                <w:rFonts w:eastAsia="Arial"/>
                <w:b/>
                <w:bCs/>
                <w:sz w:val="18"/>
                <w:szCs w:val="18"/>
                <w:bdr w:val="nil"/>
              </w:rPr>
              <w:t>FONDO FIDUCIARIO</w:t>
            </w:r>
          </w:p>
        </w:tc>
        <w:tc>
          <w:tcPr>
            <w:tcW w:w="4644" w:type="dxa"/>
            <w:shd w:val="clear" w:color="auto" w:fill="C6D9F1" w:themeFill="text2" w:themeFillTint="33"/>
            <w:vAlign w:val="center"/>
          </w:tcPr>
          <w:p w:rsidR="004E456B" w:rsidRPr="00294531" w:rsidRDefault="004E456B" w:rsidP="00027A9C">
            <w:pPr>
              <w:spacing w:line="360" w:lineRule="auto"/>
              <w:jc w:val="center"/>
              <w:rPr>
                <w:b/>
                <w:bCs/>
                <w:sz w:val="18"/>
                <w:szCs w:val="18"/>
              </w:rPr>
            </w:pPr>
            <w:r w:rsidRPr="00294531">
              <w:rPr>
                <w:rFonts w:eastAsia="Arial"/>
                <w:b/>
                <w:bCs/>
                <w:sz w:val="18"/>
                <w:szCs w:val="18"/>
                <w:bdr w:val="nil"/>
              </w:rPr>
              <w:t>SECTOR DE APLICACIÓN</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Australia I</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Oficina del Director General</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Australia II</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Oficina del Director General</w:t>
            </w:r>
          </w:p>
        </w:tc>
      </w:tr>
      <w:tr w:rsidR="004E456B" w:rsidRPr="00294531" w:rsidTr="00027A9C">
        <w:tc>
          <w:tcPr>
            <w:tcW w:w="4643" w:type="dxa"/>
            <w:vAlign w:val="center"/>
          </w:tcPr>
          <w:p w:rsidR="004E456B" w:rsidRPr="00294531" w:rsidRDefault="004E456B" w:rsidP="00027A9C">
            <w:pPr>
              <w:spacing w:line="360" w:lineRule="auto"/>
              <w:rPr>
                <w:sz w:val="18"/>
                <w:szCs w:val="18"/>
              </w:rPr>
            </w:pPr>
            <w:r w:rsidRPr="00294531">
              <w:rPr>
                <w:rFonts w:eastAsia="Arial"/>
                <w:sz w:val="18"/>
                <w:szCs w:val="18"/>
                <w:bdr w:val="nil"/>
              </w:rPr>
              <w:t>Brasil Sur</w:t>
            </w:r>
          </w:p>
        </w:tc>
        <w:tc>
          <w:tcPr>
            <w:tcW w:w="4644" w:type="dxa"/>
            <w:vAlign w:val="center"/>
          </w:tcPr>
          <w:p w:rsidR="004E456B" w:rsidRPr="00294531" w:rsidRDefault="004E456B" w:rsidP="00027A9C">
            <w:pPr>
              <w:spacing w:line="360" w:lineRule="auto"/>
              <w:rPr>
                <w:sz w:val="18"/>
                <w:szCs w:val="18"/>
              </w:rPr>
            </w:pPr>
            <w:r w:rsidRPr="00294531">
              <w:rPr>
                <w:rFonts w:eastAsia="Arial"/>
                <w:sz w:val="18"/>
                <w:szCs w:val="18"/>
                <w:bdr w:val="nil"/>
              </w:rPr>
              <w:t>Oficina del Director General</w:t>
            </w:r>
          </w:p>
        </w:tc>
      </w:tr>
      <w:tr w:rsidR="004E456B" w:rsidRPr="008466AF" w:rsidTr="00027A9C">
        <w:tc>
          <w:tcPr>
            <w:tcW w:w="4643" w:type="dxa"/>
          </w:tcPr>
          <w:p w:rsidR="004E456B" w:rsidRPr="00294531" w:rsidRDefault="00765259" w:rsidP="00765259">
            <w:pPr>
              <w:spacing w:line="360" w:lineRule="auto"/>
              <w:rPr>
                <w:sz w:val="18"/>
                <w:szCs w:val="18"/>
              </w:rPr>
            </w:pPr>
            <w:r>
              <w:rPr>
                <w:rFonts w:eastAsia="Arial"/>
                <w:sz w:val="18"/>
                <w:szCs w:val="18"/>
                <w:bdr w:val="nil"/>
              </w:rPr>
              <w:t xml:space="preserve">Oficina Estatal de P.I. de </w:t>
            </w:r>
            <w:r w:rsidR="004E456B" w:rsidRPr="00294531">
              <w:rPr>
                <w:rFonts w:eastAsia="Arial"/>
                <w:sz w:val="18"/>
                <w:szCs w:val="18"/>
                <w:bdr w:val="nil"/>
              </w:rPr>
              <w:t xml:space="preserve">China </w:t>
            </w:r>
            <w:r>
              <w:rPr>
                <w:rFonts w:eastAsia="Arial"/>
                <w:sz w:val="18"/>
                <w:szCs w:val="18"/>
                <w:bdr w:val="nil"/>
              </w:rPr>
              <w:t>(</w:t>
            </w:r>
            <w:r w:rsidR="004E456B" w:rsidRPr="00294531">
              <w:rPr>
                <w:rFonts w:eastAsia="Arial"/>
                <w:sz w:val="18"/>
                <w:szCs w:val="18"/>
                <w:bdr w:val="nil"/>
              </w:rPr>
              <w:t>SIPO</w:t>
            </w:r>
            <w:r>
              <w:rPr>
                <w:rFonts w:eastAsia="Arial"/>
                <w:sz w:val="18"/>
                <w:szCs w:val="18"/>
                <w:bdr w:val="nil"/>
              </w:rPr>
              <w:t>)</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Marcas y Diseños</w:t>
            </w:r>
          </w:p>
        </w:tc>
      </w:tr>
      <w:tr w:rsidR="004E456B" w:rsidRPr="008466AF"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 xml:space="preserve">Finlandia – Derecho de autor </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Cultura e Industrias Creativas</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Francia – Propiedad industrial</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 xml:space="preserve">Sector de Desarrollo  </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Programa Iberoamericano de propiedad industrial</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Italia</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8466AF"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Japón – Derecho de autor</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Cultura e Industrias Creativas</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Japón – Propiedad industrial</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Japón – Propiedad industrial / África</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República de Corea – Fomentar el respeto por la P.I.</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Cuestiones Mundiales</w:t>
            </w:r>
          </w:p>
        </w:tc>
      </w:tr>
      <w:tr w:rsidR="004E456B" w:rsidRPr="008466AF"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República de Corea – Derecho de autor</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Cultura e Industrias Creativas</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República de Corea – Educación</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República de Corea – Propiedad industrial</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México</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España</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8466AF"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Fondo de las Naciones Unidas para la Colaboración Internacional - Punto final al hambre de libros de las personas discapacitadas</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Cultura e Industrias Creativas</w:t>
            </w:r>
          </w:p>
        </w:tc>
      </w:tr>
      <w:tr w:rsidR="004E456B" w:rsidRPr="00294531"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Uruguay</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Desarrollo</w:t>
            </w:r>
          </w:p>
        </w:tc>
      </w:tr>
      <w:tr w:rsidR="004E456B" w:rsidRPr="008466AF" w:rsidTr="00027A9C">
        <w:tc>
          <w:tcPr>
            <w:tcW w:w="4643" w:type="dxa"/>
          </w:tcPr>
          <w:p w:rsidR="004E456B" w:rsidRPr="00294531" w:rsidRDefault="004E456B" w:rsidP="00027A9C">
            <w:pPr>
              <w:spacing w:line="360" w:lineRule="auto"/>
              <w:rPr>
                <w:sz w:val="18"/>
                <w:szCs w:val="18"/>
              </w:rPr>
            </w:pPr>
            <w:r w:rsidRPr="00294531">
              <w:rPr>
                <w:rFonts w:eastAsia="Arial"/>
                <w:sz w:val="18"/>
                <w:szCs w:val="18"/>
                <w:bdr w:val="nil"/>
              </w:rPr>
              <w:t>Estados Unidos de América - Industrias creativas</w:t>
            </w:r>
          </w:p>
        </w:tc>
        <w:tc>
          <w:tcPr>
            <w:tcW w:w="4644" w:type="dxa"/>
          </w:tcPr>
          <w:p w:rsidR="004E456B" w:rsidRPr="00294531" w:rsidRDefault="004E456B" w:rsidP="00027A9C">
            <w:pPr>
              <w:spacing w:line="360" w:lineRule="auto"/>
              <w:rPr>
                <w:sz w:val="18"/>
                <w:szCs w:val="18"/>
              </w:rPr>
            </w:pPr>
            <w:r w:rsidRPr="00294531">
              <w:rPr>
                <w:rFonts w:eastAsia="Arial"/>
                <w:sz w:val="18"/>
                <w:szCs w:val="18"/>
                <w:bdr w:val="nil"/>
              </w:rPr>
              <w:t>Sector de Cultura e Industrias Creativas</w:t>
            </w:r>
          </w:p>
        </w:tc>
      </w:tr>
    </w:tbl>
    <w:p w:rsidR="004E456B" w:rsidRPr="00294531" w:rsidRDefault="004E456B">
      <w:pPr>
        <w:rPr>
          <w:b/>
          <w:sz w:val="20"/>
        </w:rPr>
      </w:pPr>
    </w:p>
    <w:p w:rsidR="004E456B" w:rsidRPr="00294531" w:rsidRDefault="004E456B">
      <w:pPr>
        <w:rPr>
          <w:b/>
          <w:sz w:val="20"/>
        </w:rPr>
      </w:pPr>
    </w:p>
    <w:p w:rsidR="004E456B" w:rsidRPr="00294531" w:rsidRDefault="004E456B">
      <w:pPr>
        <w:rPr>
          <w:b/>
          <w:sz w:val="20"/>
        </w:rPr>
      </w:pPr>
      <w:r w:rsidRPr="00294531">
        <w:rPr>
          <w:b/>
          <w:sz w:val="20"/>
        </w:rPr>
        <w:br w:type="page"/>
      </w:r>
    </w:p>
    <w:p w:rsidR="004E456B" w:rsidRPr="00294531" w:rsidRDefault="004E456B" w:rsidP="00027A9C">
      <w:pPr>
        <w:rPr>
          <w:b/>
          <w:sz w:val="20"/>
        </w:rPr>
      </w:pPr>
      <w:r w:rsidRPr="00294531">
        <w:rPr>
          <w:rFonts w:eastAsia="Arial"/>
          <w:b/>
          <w:bCs/>
          <w:sz w:val="20"/>
          <w:bdr w:val="nil"/>
        </w:rPr>
        <w:lastRenderedPageBreak/>
        <w:t>AUSTRALIA I</w:t>
      </w:r>
    </w:p>
    <w:p w:rsidR="004E456B" w:rsidRPr="00294531" w:rsidRDefault="004E456B" w:rsidP="00027A9C">
      <w:pPr>
        <w:rPr>
          <w:b/>
          <w:sz w:val="20"/>
        </w:rPr>
      </w:pPr>
    </w:p>
    <w:tbl>
      <w:tblPr>
        <w:tblW w:w="9214" w:type="dxa"/>
        <w:tblInd w:w="108" w:type="dxa"/>
        <w:tblLayout w:type="fixed"/>
        <w:tblLook w:val="0000" w:firstRow="0" w:lastRow="0" w:firstColumn="0" w:lastColumn="0" w:noHBand="0" w:noVBand="0"/>
      </w:tblPr>
      <w:tblGrid>
        <w:gridCol w:w="1843"/>
        <w:gridCol w:w="1135"/>
        <w:gridCol w:w="1559"/>
        <w:gridCol w:w="4677"/>
      </w:tblGrid>
      <w:tr w:rsidR="004E456B" w:rsidRPr="008466AF" w:rsidTr="00027A9C">
        <w:trPr>
          <w:cantSplit/>
          <w:trHeight w:val="315"/>
        </w:trPr>
        <w:tc>
          <w:tcPr>
            <w:tcW w:w="9214" w:type="dxa"/>
            <w:gridSpan w:val="4"/>
            <w:shd w:val="clear" w:color="auto" w:fill="C6D9F1" w:themeFill="text2" w:themeFillTint="33"/>
          </w:tcPr>
          <w:p w:rsidR="004E456B" w:rsidRPr="00294531" w:rsidRDefault="004E456B" w:rsidP="00027A9C">
            <w:pPr>
              <w:keepNext/>
              <w:keepLines/>
              <w:tabs>
                <w:tab w:val="left" w:pos="1740"/>
              </w:tabs>
              <w:spacing w:before="120" w:after="120"/>
              <w:ind w:left="1740" w:hanging="1740"/>
              <w:rPr>
                <w:rFonts w:cs="Times New Roman"/>
                <w:sz w:val="18"/>
                <w:szCs w:val="18"/>
              </w:rPr>
            </w:pPr>
            <w:r w:rsidRPr="00294531">
              <w:rPr>
                <w:rFonts w:eastAsia="Arial"/>
                <w:b/>
                <w:bCs/>
                <w:sz w:val="16"/>
                <w:szCs w:val="16"/>
                <w:bdr w:val="nil"/>
              </w:rPr>
              <w:t>RESULTADO:</w:t>
            </w:r>
            <w:r w:rsidRPr="00294531">
              <w:rPr>
                <w:rFonts w:eastAsia="Arial"/>
                <w:b/>
                <w:bCs/>
                <w:sz w:val="16"/>
                <w:szCs w:val="16"/>
                <w:bdr w:val="nil"/>
              </w:rPr>
              <w:tab/>
            </w:r>
            <w:r w:rsidRPr="00294531">
              <w:rPr>
                <w:rFonts w:eastAsia="Arial"/>
                <w:sz w:val="16"/>
                <w:szCs w:val="16"/>
                <w:bdr w:val="nil"/>
              </w:rPr>
              <w:t>VII.2  Plataformas y herramientas de P.I. utilizadas para la transferencia de conocimientos y la difusión y adaptación de tecnología de los países desarrollados a los países en desarrollo, en particular, a los menos adelantados, con el fin de atender los desafíos mundiales</w:t>
            </w:r>
          </w:p>
        </w:tc>
      </w:tr>
      <w:tr w:rsidR="004E456B" w:rsidRPr="00294531" w:rsidTr="00027A9C">
        <w:trPr>
          <w:cantSplit/>
          <w:trHeight w:val="487"/>
        </w:trPr>
        <w:tc>
          <w:tcPr>
            <w:tcW w:w="1843" w:type="dxa"/>
            <w:vAlign w:val="center"/>
          </w:tcPr>
          <w:p w:rsidR="004E456B" w:rsidRPr="00294531" w:rsidRDefault="004E456B" w:rsidP="00027A9C">
            <w:pPr>
              <w:keepNext/>
              <w:keepLines/>
              <w:rPr>
                <w:b/>
                <w:bCs/>
                <w:sz w:val="16"/>
                <w:szCs w:val="16"/>
              </w:rPr>
            </w:pPr>
            <w:r w:rsidRPr="00294531">
              <w:rPr>
                <w:rFonts w:eastAsia="Arial"/>
                <w:b/>
                <w:bCs/>
                <w:sz w:val="16"/>
                <w:szCs w:val="16"/>
                <w:bdr w:val="nil"/>
              </w:rPr>
              <w:t>Actividad</w:t>
            </w:r>
          </w:p>
        </w:tc>
        <w:tc>
          <w:tcPr>
            <w:tcW w:w="1135" w:type="dxa"/>
            <w:vAlign w:val="center"/>
          </w:tcPr>
          <w:p w:rsidR="004E456B" w:rsidRPr="00294531" w:rsidRDefault="004E456B" w:rsidP="00027A9C">
            <w:pPr>
              <w:keepNext/>
              <w:keepLines/>
              <w:rPr>
                <w:sz w:val="16"/>
                <w:szCs w:val="16"/>
              </w:rPr>
            </w:pPr>
            <w:r w:rsidRPr="00294531">
              <w:rPr>
                <w:rFonts w:eastAsia="Arial"/>
                <w:b/>
                <w:bCs/>
                <w:sz w:val="16"/>
                <w:szCs w:val="16"/>
                <w:bdr w:val="nil"/>
              </w:rPr>
              <w:t>Fecha</w:t>
            </w:r>
          </w:p>
        </w:tc>
        <w:tc>
          <w:tcPr>
            <w:tcW w:w="1559" w:type="dxa"/>
            <w:vAlign w:val="center"/>
          </w:tcPr>
          <w:p w:rsidR="004E456B" w:rsidRPr="00294531" w:rsidRDefault="004E456B" w:rsidP="00027A9C">
            <w:pPr>
              <w:keepNext/>
              <w:keepLines/>
              <w:rPr>
                <w:sz w:val="16"/>
                <w:szCs w:val="16"/>
              </w:rPr>
            </w:pPr>
            <w:r w:rsidRPr="00294531">
              <w:rPr>
                <w:rFonts w:eastAsia="Arial"/>
                <w:b/>
                <w:bCs/>
                <w:sz w:val="16"/>
                <w:szCs w:val="16"/>
                <w:bdr w:val="nil"/>
              </w:rPr>
              <w:t>País anfitrión / Beneficiarios</w:t>
            </w:r>
          </w:p>
        </w:tc>
        <w:tc>
          <w:tcPr>
            <w:tcW w:w="4677" w:type="dxa"/>
            <w:vAlign w:val="center"/>
          </w:tcPr>
          <w:p w:rsidR="004E456B" w:rsidRPr="00294531" w:rsidRDefault="004E456B" w:rsidP="00027A9C">
            <w:pPr>
              <w:keepNext/>
              <w:keepLines/>
              <w:rPr>
                <w:sz w:val="16"/>
                <w:szCs w:val="16"/>
              </w:rPr>
            </w:pPr>
            <w:r w:rsidRPr="00294531">
              <w:rPr>
                <w:rFonts w:eastAsia="Arial"/>
                <w:b/>
                <w:bCs/>
                <w:sz w:val="16"/>
                <w:szCs w:val="16"/>
                <w:bdr w:val="nil"/>
              </w:rPr>
              <w:t>Propósito(s)/Descripción</w:t>
            </w:r>
          </w:p>
        </w:tc>
      </w:tr>
      <w:tr w:rsidR="004E456B" w:rsidRPr="008466AF" w:rsidTr="00027A9C">
        <w:trPr>
          <w:cantSplit/>
          <w:trHeight w:val="1362"/>
        </w:trPr>
        <w:tc>
          <w:tcPr>
            <w:tcW w:w="1843" w:type="dxa"/>
          </w:tcPr>
          <w:p w:rsidR="004E456B" w:rsidRPr="00294531" w:rsidRDefault="004E456B" w:rsidP="00027A9C">
            <w:pPr>
              <w:spacing w:before="120" w:after="120"/>
              <w:rPr>
                <w:sz w:val="16"/>
                <w:szCs w:val="16"/>
              </w:rPr>
            </w:pPr>
            <w:r w:rsidRPr="00294531">
              <w:rPr>
                <w:rFonts w:eastAsia="Arial"/>
                <w:sz w:val="16"/>
                <w:szCs w:val="16"/>
                <w:bdr w:val="nil"/>
              </w:rPr>
              <w:t>Continuación de los acuerdos de acogida de científicos biomédicos africanos en instituciones de investigación fuera de África</w:t>
            </w:r>
          </w:p>
        </w:tc>
        <w:tc>
          <w:tcPr>
            <w:tcW w:w="1135" w:type="dxa"/>
          </w:tcPr>
          <w:p w:rsidR="004E456B" w:rsidRPr="00294531" w:rsidRDefault="004E456B" w:rsidP="00027A9C">
            <w:pPr>
              <w:spacing w:before="120" w:after="120"/>
              <w:rPr>
                <w:sz w:val="16"/>
                <w:szCs w:val="16"/>
              </w:rPr>
            </w:pPr>
            <w:r w:rsidRPr="00294531">
              <w:rPr>
                <w:rFonts w:eastAsia="Arial"/>
                <w:sz w:val="16"/>
                <w:szCs w:val="16"/>
                <w:bdr w:val="nil"/>
              </w:rPr>
              <w:t>Enero a julio de 2016</w:t>
            </w:r>
          </w:p>
        </w:tc>
        <w:tc>
          <w:tcPr>
            <w:tcW w:w="1559" w:type="dxa"/>
          </w:tcPr>
          <w:p w:rsidR="004E456B" w:rsidRPr="00294531" w:rsidRDefault="004E456B" w:rsidP="00027A9C">
            <w:pPr>
              <w:spacing w:before="120" w:after="120" w:line="276" w:lineRule="auto"/>
              <w:rPr>
                <w:sz w:val="16"/>
                <w:szCs w:val="16"/>
              </w:rPr>
            </w:pPr>
            <w:r w:rsidRPr="00294531">
              <w:rPr>
                <w:rFonts w:eastAsia="Arial"/>
                <w:sz w:val="16"/>
                <w:szCs w:val="16"/>
                <w:bdr w:val="nil"/>
              </w:rPr>
              <w:t>Universidad de California en San Diego, (EE.UU.) / Dr. Christian Agyare y Sra. Kyere-Davies</w:t>
            </w:r>
          </w:p>
        </w:tc>
        <w:tc>
          <w:tcPr>
            <w:tcW w:w="4677" w:type="dxa"/>
          </w:tcPr>
          <w:p w:rsidR="004E456B" w:rsidRPr="00294531" w:rsidRDefault="004E456B" w:rsidP="00027A9C">
            <w:pPr>
              <w:spacing w:before="120" w:after="120"/>
              <w:rPr>
                <w:sz w:val="16"/>
                <w:szCs w:val="16"/>
              </w:rPr>
            </w:pPr>
            <w:r w:rsidRPr="00294531">
              <w:rPr>
                <w:rFonts w:eastAsia="Arial"/>
                <w:sz w:val="16"/>
                <w:szCs w:val="16"/>
                <w:bdr w:val="nil"/>
              </w:rPr>
              <w:t xml:space="preserve">Promover i) el uso eficaz de la P.I. para abordar un problema de salud mundial (enfermedades tropicales desatendidas), que afecta a muchos PMA y ii) la transferencia de conocimientos a los científicos, especialmente de PMA.  Se han puesto a punto programas de investigación específicos para velar por que los participantes mejoren las capacidades de investigación y sean capaces de efectuar una contribución relevante en sus países de procedencia en el ámbito de las enfermedades tropicales desatendidas.  Durante su licencia sabática en la Universidad de California en San Diego, la Sra. Kyere-Davies prosiguió la tarea iniciada en ese mismo laboratorio por su supervisor, el Dr. Christian Agyare, cuando era titular de una beca WIPO Re:Search.  Esto demostró no solo la sostenibilidad de las actividades de fortalecimiento de las capacidades realizadas mediante las becas WIPO Re:Search, sino también su contribución directa al fortalecimiento de los conocimientos institucionales en la institución de origen del titular de la beca. </w:t>
            </w:r>
          </w:p>
        </w:tc>
      </w:tr>
      <w:tr w:rsidR="004E456B" w:rsidRPr="008466AF" w:rsidTr="00027A9C">
        <w:trPr>
          <w:cantSplit/>
          <w:trHeight w:val="1362"/>
        </w:trPr>
        <w:tc>
          <w:tcPr>
            <w:tcW w:w="1843" w:type="dxa"/>
          </w:tcPr>
          <w:p w:rsidR="004E456B" w:rsidRPr="009703BB" w:rsidRDefault="004E456B" w:rsidP="00027A9C">
            <w:pPr>
              <w:spacing w:before="120" w:after="120"/>
              <w:rPr>
                <w:rFonts w:cs="Times New Roman"/>
                <w:color w:val="000000"/>
                <w:sz w:val="16"/>
                <w:szCs w:val="16"/>
              </w:rPr>
            </w:pPr>
            <w:r>
              <w:rPr>
                <w:rFonts w:eastAsia="Arial"/>
                <w:sz w:val="16"/>
                <w:szCs w:val="16"/>
                <w:bdr w:val="nil"/>
              </w:rPr>
              <w:t>Preparación del Informe sobre desafíos globales ‘</w:t>
            </w:r>
            <w:r>
              <w:rPr>
                <w:rFonts w:eastAsia="Arial"/>
                <w:i/>
                <w:iCs/>
                <w:sz w:val="16"/>
                <w:szCs w:val="16"/>
                <w:bdr w:val="nil"/>
              </w:rPr>
              <w:t>Sharing Innovation and Building Capacity to Fight Neglected Tropical Diseases: A Selection of WIPO Re:Search Fellowship Stories’</w:t>
            </w:r>
            <w:r>
              <w:rPr>
                <w:rFonts w:eastAsia="Arial"/>
                <w:sz w:val="16"/>
                <w:szCs w:val="16"/>
                <w:bdr w:val="nil"/>
              </w:rPr>
              <w:t xml:space="preserve"> sobre el intercambio de información y el fortalecimiento de las capacidades para luchar contra las enfermedades tropicales desatendidas, una selección de historias de becas WIPO Re:Search </w:t>
            </w:r>
          </w:p>
        </w:tc>
        <w:tc>
          <w:tcPr>
            <w:tcW w:w="1135" w:type="dxa"/>
          </w:tcPr>
          <w:p w:rsidR="004E456B" w:rsidRPr="00294531" w:rsidRDefault="004E456B" w:rsidP="00027A9C">
            <w:pPr>
              <w:spacing w:before="120" w:after="120"/>
              <w:rPr>
                <w:rFonts w:cs="Times New Roman"/>
                <w:sz w:val="16"/>
                <w:szCs w:val="16"/>
              </w:rPr>
            </w:pPr>
            <w:r w:rsidRPr="00294531">
              <w:rPr>
                <w:rFonts w:eastAsia="Arial"/>
                <w:sz w:val="16"/>
                <w:szCs w:val="16"/>
                <w:bdr w:val="nil"/>
              </w:rPr>
              <w:t>Enero a julio de 2016</w:t>
            </w:r>
          </w:p>
        </w:tc>
        <w:tc>
          <w:tcPr>
            <w:tcW w:w="1559" w:type="dxa"/>
          </w:tcPr>
          <w:p w:rsidR="004E456B" w:rsidRPr="00294531" w:rsidRDefault="004E456B" w:rsidP="00027A9C">
            <w:pPr>
              <w:spacing w:before="120" w:after="120" w:line="276" w:lineRule="auto"/>
              <w:rPr>
                <w:rFonts w:cs="Times New Roman"/>
                <w:sz w:val="16"/>
                <w:szCs w:val="16"/>
              </w:rPr>
            </w:pPr>
            <w:r w:rsidRPr="00294531">
              <w:rPr>
                <w:rFonts w:eastAsia="Arial"/>
                <w:sz w:val="16"/>
                <w:szCs w:val="16"/>
                <w:bdr w:val="nil"/>
              </w:rPr>
              <w:t>Todos</w:t>
            </w:r>
          </w:p>
        </w:tc>
        <w:tc>
          <w:tcPr>
            <w:tcW w:w="4677" w:type="dxa"/>
          </w:tcPr>
          <w:p w:rsidR="004E456B" w:rsidRPr="009703BB" w:rsidRDefault="004E456B" w:rsidP="00027A9C">
            <w:pPr>
              <w:spacing w:before="120" w:after="120"/>
              <w:rPr>
                <w:rFonts w:cs="Times New Roman"/>
                <w:sz w:val="16"/>
                <w:szCs w:val="16"/>
              </w:rPr>
            </w:pPr>
            <w:r>
              <w:rPr>
                <w:rFonts w:eastAsia="Arial"/>
                <w:color w:val="000000"/>
                <w:sz w:val="16"/>
                <w:szCs w:val="16"/>
                <w:bdr w:val="nil"/>
              </w:rPr>
              <w:t>Al</w:t>
            </w:r>
            <w:r w:rsidR="002C37EA">
              <w:rPr>
                <w:rFonts w:eastAsia="Arial"/>
                <w:color w:val="000000"/>
                <w:sz w:val="16"/>
                <w:szCs w:val="16"/>
                <w:bdr w:val="nil"/>
              </w:rPr>
              <w:t xml:space="preserve"> </w:t>
            </w:r>
            <w:r>
              <w:rPr>
                <w:rFonts w:eastAsia="Arial"/>
                <w:sz w:val="16"/>
                <w:szCs w:val="16"/>
                <w:bdr w:val="nil"/>
              </w:rPr>
              <w:t xml:space="preserve">presentar las historias y experiencias de seis científicos que participaron en el programa WIPO Re:Search de becas de investigación y licencias sabáticas con cargo a los fondos fiduciarios de Australia, dicha publicación ha demostrado la importancia que revisten las alianzas en tanto que inversión en el fortalecimiento de las capacidades institucionales y de recursos humanos y en tanto que herramienta estratégica para catalizar las actividades de investigación y desarrollo sostenibles para el tratamiento de las ETD en las regiones donde prevalecen dichas enfermedades.  Esta publicación destaca también lo valioso que ha resultado el compromiso demostrado por un donante (el Gobierno de Australia) para alimentar y respaldar programas que puedan tener un efecto exponencial. </w:t>
            </w:r>
          </w:p>
        </w:tc>
      </w:tr>
    </w:tbl>
    <w:p w:rsidR="004E456B" w:rsidRPr="009703BB" w:rsidRDefault="004E456B" w:rsidP="00027A9C">
      <w:pPr>
        <w:rPr>
          <w:rFonts w:cs="Times New Roman"/>
          <w:sz w:val="20"/>
          <w:szCs w:val="24"/>
        </w:rPr>
      </w:pPr>
    </w:p>
    <w:p w:rsidR="004E456B" w:rsidRPr="00294531" w:rsidRDefault="004E456B" w:rsidP="00027A9C">
      <w:pPr>
        <w:rPr>
          <w:b/>
          <w:bCs/>
          <w:sz w:val="20"/>
        </w:rPr>
      </w:pPr>
      <w:r w:rsidRPr="00294531">
        <w:rPr>
          <w:rFonts w:eastAsia="Arial"/>
          <w:b/>
          <w:bCs/>
          <w:sz w:val="20"/>
          <w:bdr w:val="nil"/>
        </w:rPr>
        <w:t>AUSTRALIA I – Contribuciones del donante y gastos en 2016</w:t>
      </w:r>
    </w:p>
    <w:p w:rsidR="004E456B" w:rsidRPr="00294531" w:rsidRDefault="004E456B" w:rsidP="00027A9C">
      <w:pPr>
        <w:rPr>
          <w:b/>
          <w:bCs/>
          <w:sz w:val="20"/>
        </w:rPr>
      </w:pPr>
    </w:p>
    <w:tbl>
      <w:tblPr>
        <w:tblW w:w="9060" w:type="dxa"/>
        <w:tblLayout w:type="fixed"/>
        <w:tblCellMar>
          <w:left w:w="0" w:type="dxa"/>
          <w:right w:w="0" w:type="dxa"/>
        </w:tblCellMar>
        <w:tblLook w:val="04A0" w:firstRow="1" w:lastRow="0" w:firstColumn="1" w:lastColumn="0" w:noHBand="0" w:noVBand="1"/>
      </w:tblPr>
      <w:tblGrid>
        <w:gridCol w:w="1812"/>
        <w:gridCol w:w="1812"/>
        <w:gridCol w:w="1812"/>
        <w:gridCol w:w="1812"/>
        <w:gridCol w:w="1812"/>
      </w:tblGrid>
      <w:tr w:rsidR="004E456B" w:rsidRPr="008466AF" w:rsidTr="00027A9C">
        <w:trPr>
          <w:trHeight w:val="544"/>
        </w:trPr>
        <w:tc>
          <w:tcPr>
            <w:tcW w:w="1812" w:type="dxa"/>
            <w:tcBorders>
              <w:top w:val="nil"/>
              <w:left w:val="nil"/>
              <w:bottom w:val="nil"/>
              <w:right w:val="nil"/>
            </w:tcBorders>
            <w:shd w:val="clear" w:color="000000" w:fill="C5D9F1"/>
            <w:vAlign w:val="center"/>
            <w:hideMark/>
          </w:tcPr>
          <w:p w:rsidR="004E456B" w:rsidRPr="00294531" w:rsidRDefault="004E456B" w:rsidP="00027A9C">
            <w:pPr>
              <w:jc w:val="center"/>
              <w:rPr>
                <w:b/>
                <w:bCs/>
                <w:sz w:val="16"/>
                <w:szCs w:val="16"/>
              </w:rPr>
            </w:pPr>
            <w:r w:rsidRPr="00294531">
              <w:rPr>
                <w:rFonts w:eastAsia="Arial"/>
                <w:b/>
                <w:bCs/>
                <w:sz w:val="16"/>
                <w:szCs w:val="16"/>
                <w:bdr w:val="nil"/>
              </w:rPr>
              <w:t>Saldo al 31 de diciembre de 2015</w:t>
            </w:r>
          </w:p>
        </w:tc>
        <w:tc>
          <w:tcPr>
            <w:tcW w:w="1812" w:type="dxa"/>
            <w:tcBorders>
              <w:top w:val="nil"/>
              <w:left w:val="nil"/>
              <w:bottom w:val="nil"/>
              <w:right w:val="nil"/>
            </w:tcBorders>
            <w:shd w:val="clear" w:color="000000" w:fill="C5D9F1"/>
            <w:noWrap/>
            <w:vAlign w:val="center"/>
            <w:hideMark/>
          </w:tcPr>
          <w:p w:rsidR="004E456B" w:rsidRPr="00294531" w:rsidRDefault="004E456B" w:rsidP="00027A9C">
            <w:pPr>
              <w:jc w:val="center"/>
              <w:rPr>
                <w:b/>
                <w:bCs/>
                <w:sz w:val="16"/>
                <w:szCs w:val="16"/>
              </w:rPr>
            </w:pPr>
            <w:r w:rsidRPr="00294531">
              <w:rPr>
                <w:rFonts w:eastAsia="Arial"/>
                <w:b/>
                <w:bCs/>
                <w:sz w:val="16"/>
                <w:szCs w:val="16"/>
                <w:bdr w:val="nil"/>
              </w:rPr>
              <w:t>Ingresos en 2016</w:t>
            </w:r>
          </w:p>
        </w:tc>
        <w:tc>
          <w:tcPr>
            <w:tcW w:w="1812" w:type="dxa"/>
            <w:tcBorders>
              <w:top w:val="nil"/>
              <w:left w:val="nil"/>
              <w:bottom w:val="nil"/>
              <w:right w:val="nil"/>
            </w:tcBorders>
            <w:shd w:val="clear" w:color="000000" w:fill="C5D9F1"/>
            <w:noWrap/>
            <w:vAlign w:val="center"/>
            <w:hideMark/>
          </w:tcPr>
          <w:p w:rsidR="004E456B" w:rsidRPr="00294531" w:rsidRDefault="004E456B" w:rsidP="00027A9C">
            <w:pPr>
              <w:jc w:val="center"/>
              <w:rPr>
                <w:b/>
                <w:bCs/>
                <w:sz w:val="16"/>
                <w:szCs w:val="16"/>
              </w:rPr>
            </w:pPr>
            <w:r w:rsidRPr="00294531">
              <w:rPr>
                <w:rFonts w:eastAsia="Arial"/>
                <w:b/>
                <w:bCs/>
                <w:sz w:val="16"/>
                <w:szCs w:val="16"/>
                <w:bdr w:val="nil"/>
              </w:rPr>
              <w:t>Gastos en 2016</w:t>
            </w:r>
          </w:p>
        </w:tc>
        <w:tc>
          <w:tcPr>
            <w:tcW w:w="1812" w:type="dxa"/>
            <w:tcBorders>
              <w:top w:val="nil"/>
              <w:left w:val="nil"/>
              <w:bottom w:val="nil"/>
              <w:right w:val="nil"/>
            </w:tcBorders>
            <w:shd w:val="clear" w:color="000000" w:fill="C5D9F1"/>
            <w:noWrap/>
            <w:vAlign w:val="center"/>
            <w:hideMark/>
          </w:tcPr>
          <w:p w:rsidR="004E456B" w:rsidRPr="00294531" w:rsidRDefault="004E456B" w:rsidP="00027A9C">
            <w:pPr>
              <w:jc w:val="center"/>
              <w:rPr>
                <w:b/>
                <w:bCs/>
                <w:sz w:val="16"/>
                <w:szCs w:val="16"/>
              </w:rPr>
            </w:pPr>
            <w:r w:rsidRPr="00294531">
              <w:rPr>
                <w:rFonts w:eastAsia="Arial"/>
                <w:b/>
                <w:bCs/>
                <w:sz w:val="16"/>
                <w:szCs w:val="16"/>
                <w:bdr w:val="nil"/>
              </w:rPr>
              <w:t>Reembolsos</w:t>
            </w:r>
          </w:p>
        </w:tc>
        <w:tc>
          <w:tcPr>
            <w:tcW w:w="1812" w:type="dxa"/>
            <w:tcBorders>
              <w:top w:val="nil"/>
              <w:left w:val="nil"/>
              <w:bottom w:val="nil"/>
              <w:right w:val="nil"/>
            </w:tcBorders>
            <w:shd w:val="clear" w:color="000000" w:fill="C5D9F1"/>
            <w:vAlign w:val="center"/>
            <w:hideMark/>
          </w:tcPr>
          <w:p w:rsidR="004E456B" w:rsidRPr="00294531" w:rsidRDefault="004E456B" w:rsidP="00027A9C">
            <w:pPr>
              <w:jc w:val="center"/>
              <w:rPr>
                <w:b/>
                <w:bCs/>
                <w:sz w:val="16"/>
                <w:szCs w:val="16"/>
              </w:rPr>
            </w:pPr>
            <w:r w:rsidRPr="00294531">
              <w:rPr>
                <w:rFonts w:eastAsia="Arial"/>
                <w:b/>
                <w:bCs/>
                <w:sz w:val="16"/>
                <w:szCs w:val="16"/>
                <w:bdr w:val="nil"/>
              </w:rPr>
              <w:t>Saldo al 31 de diciembre de 2016</w:t>
            </w:r>
          </w:p>
        </w:tc>
      </w:tr>
      <w:tr w:rsidR="004E456B" w:rsidRPr="00294531" w:rsidTr="00027A9C">
        <w:trPr>
          <w:trHeight w:val="356"/>
        </w:trPr>
        <w:tc>
          <w:tcPr>
            <w:tcW w:w="1812" w:type="dxa"/>
            <w:tcBorders>
              <w:top w:val="nil"/>
              <w:left w:val="nil"/>
              <w:bottom w:val="nil"/>
              <w:right w:val="nil"/>
            </w:tcBorders>
            <w:shd w:val="clear" w:color="auto" w:fill="auto"/>
            <w:noWrap/>
            <w:vAlign w:val="bottom"/>
            <w:hideMark/>
          </w:tcPr>
          <w:p w:rsidR="004E456B" w:rsidRPr="00294531" w:rsidRDefault="004E456B" w:rsidP="00027A9C">
            <w:pPr>
              <w:jc w:val="center"/>
              <w:rPr>
                <w:sz w:val="16"/>
                <w:szCs w:val="16"/>
              </w:rPr>
            </w:pPr>
            <w:r w:rsidRPr="00294531">
              <w:rPr>
                <w:sz w:val="16"/>
                <w:szCs w:val="16"/>
              </w:rPr>
              <w:t>110.219</w:t>
            </w:r>
          </w:p>
        </w:tc>
        <w:tc>
          <w:tcPr>
            <w:tcW w:w="1812" w:type="dxa"/>
            <w:tcBorders>
              <w:top w:val="nil"/>
              <w:left w:val="nil"/>
              <w:bottom w:val="nil"/>
              <w:right w:val="nil"/>
            </w:tcBorders>
            <w:shd w:val="clear" w:color="auto" w:fill="auto"/>
            <w:noWrap/>
            <w:vAlign w:val="bottom"/>
            <w:hideMark/>
          </w:tcPr>
          <w:p w:rsidR="004E456B" w:rsidRPr="00294531" w:rsidRDefault="004E456B" w:rsidP="00027A9C">
            <w:pPr>
              <w:jc w:val="center"/>
              <w:rPr>
                <w:sz w:val="16"/>
                <w:szCs w:val="16"/>
              </w:rPr>
            </w:pPr>
            <w:r w:rsidRPr="00294531">
              <w:rPr>
                <w:sz w:val="16"/>
                <w:szCs w:val="16"/>
              </w:rPr>
              <w:t>40</w:t>
            </w:r>
          </w:p>
        </w:tc>
        <w:tc>
          <w:tcPr>
            <w:tcW w:w="1812" w:type="dxa"/>
            <w:tcBorders>
              <w:top w:val="nil"/>
              <w:left w:val="nil"/>
              <w:bottom w:val="nil"/>
              <w:right w:val="nil"/>
            </w:tcBorders>
            <w:shd w:val="clear" w:color="auto" w:fill="auto"/>
            <w:noWrap/>
            <w:vAlign w:val="bottom"/>
            <w:hideMark/>
          </w:tcPr>
          <w:p w:rsidR="004E456B" w:rsidRPr="00294531" w:rsidRDefault="004E456B" w:rsidP="00027A9C">
            <w:pPr>
              <w:jc w:val="center"/>
              <w:rPr>
                <w:sz w:val="16"/>
                <w:szCs w:val="16"/>
              </w:rPr>
            </w:pPr>
            <w:r w:rsidRPr="00294531">
              <w:rPr>
                <w:sz w:val="16"/>
                <w:szCs w:val="16"/>
              </w:rPr>
              <w:t>10.775</w:t>
            </w:r>
          </w:p>
        </w:tc>
        <w:tc>
          <w:tcPr>
            <w:tcW w:w="1812" w:type="dxa"/>
            <w:tcBorders>
              <w:top w:val="nil"/>
              <w:left w:val="nil"/>
              <w:bottom w:val="nil"/>
              <w:right w:val="nil"/>
            </w:tcBorders>
            <w:shd w:val="clear" w:color="auto" w:fill="auto"/>
            <w:noWrap/>
            <w:vAlign w:val="bottom"/>
            <w:hideMark/>
          </w:tcPr>
          <w:p w:rsidR="004E456B" w:rsidRPr="00294531" w:rsidRDefault="004E456B" w:rsidP="00027A9C">
            <w:pPr>
              <w:jc w:val="center"/>
              <w:rPr>
                <w:sz w:val="16"/>
                <w:szCs w:val="16"/>
              </w:rPr>
            </w:pPr>
            <w:r w:rsidRPr="00294531">
              <w:rPr>
                <w:sz w:val="16"/>
                <w:szCs w:val="16"/>
              </w:rPr>
              <w:t>99.484</w:t>
            </w:r>
          </w:p>
        </w:tc>
        <w:tc>
          <w:tcPr>
            <w:tcW w:w="1812" w:type="dxa"/>
            <w:tcBorders>
              <w:top w:val="nil"/>
              <w:left w:val="nil"/>
              <w:bottom w:val="nil"/>
              <w:right w:val="nil"/>
            </w:tcBorders>
            <w:shd w:val="clear" w:color="auto" w:fill="auto"/>
            <w:noWrap/>
            <w:vAlign w:val="bottom"/>
            <w:hideMark/>
          </w:tcPr>
          <w:p w:rsidR="004E456B" w:rsidRPr="00294531" w:rsidRDefault="004E456B" w:rsidP="00027A9C">
            <w:pPr>
              <w:jc w:val="center"/>
              <w:rPr>
                <w:sz w:val="16"/>
                <w:szCs w:val="16"/>
              </w:rPr>
            </w:pPr>
            <w:r w:rsidRPr="00294531">
              <w:rPr>
                <w:sz w:val="16"/>
                <w:szCs w:val="16"/>
              </w:rPr>
              <w:t>-</w:t>
            </w:r>
          </w:p>
        </w:tc>
      </w:tr>
    </w:tbl>
    <w:p w:rsidR="004E456B" w:rsidRPr="000B20DD" w:rsidRDefault="004E456B" w:rsidP="00027A9C">
      <w:pPr>
        <w:rPr>
          <w:b/>
          <w:bCs/>
          <w:color w:val="000000"/>
          <w:sz w:val="20"/>
        </w:rPr>
      </w:pPr>
    </w:p>
    <w:p w:rsidR="004E456B" w:rsidRPr="000B20DD" w:rsidRDefault="004E456B" w:rsidP="00027A9C">
      <w:pPr>
        <w:rPr>
          <w:b/>
          <w:bCs/>
          <w:color w:val="000000"/>
          <w:sz w:val="20"/>
        </w:rPr>
      </w:pPr>
    </w:p>
    <w:p w:rsidR="004E456B" w:rsidRPr="00294531" w:rsidRDefault="004E456B" w:rsidP="00027A9C">
      <w:pPr>
        <w:keepNext/>
        <w:rPr>
          <w:b/>
          <w:bCs/>
          <w:sz w:val="16"/>
          <w:szCs w:val="16"/>
        </w:rPr>
      </w:pPr>
      <w:r w:rsidRPr="00294531">
        <w:rPr>
          <w:rFonts w:eastAsia="Arial"/>
          <w:b/>
          <w:bCs/>
          <w:sz w:val="20"/>
          <w:bdr w:val="nil"/>
        </w:rPr>
        <w:lastRenderedPageBreak/>
        <w:t>AUSTRALIA II</w:t>
      </w:r>
    </w:p>
    <w:p w:rsidR="004E456B" w:rsidRPr="00294531" w:rsidRDefault="004E456B" w:rsidP="00027A9C">
      <w:pPr>
        <w:keepNext/>
        <w:rPr>
          <w:b/>
          <w:sz w:val="20"/>
        </w:rPr>
      </w:pPr>
    </w:p>
    <w:tbl>
      <w:tblPr>
        <w:tblW w:w="9072" w:type="dxa"/>
        <w:tblInd w:w="108" w:type="dxa"/>
        <w:tblLayout w:type="fixed"/>
        <w:tblLook w:val="0000" w:firstRow="0" w:lastRow="0" w:firstColumn="0" w:lastColumn="0" w:noHBand="0" w:noVBand="0"/>
      </w:tblPr>
      <w:tblGrid>
        <w:gridCol w:w="1843"/>
        <w:gridCol w:w="1277"/>
        <w:gridCol w:w="1418"/>
        <w:gridCol w:w="4534"/>
      </w:tblGrid>
      <w:tr w:rsidR="004E456B" w:rsidRPr="008466AF" w:rsidTr="00027A9C">
        <w:trPr>
          <w:cantSplit/>
        </w:trPr>
        <w:tc>
          <w:tcPr>
            <w:tcW w:w="9072" w:type="dxa"/>
            <w:gridSpan w:val="4"/>
            <w:shd w:val="clear" w:color="auto" w:fill="C6D9F1" w:themeFill="text2" w:themeFillTint="33"/>
            <w:vAlign w:val="center"/>
          </w:tcPr>
          <w:p w:rsidR="004E456B" w:rsidRPr="00294531" w:rsidRDefault="004E456B" w:rsidP="00027A9C">
            <w:pPr>
              <w:keepNext/>
              <w:keepLines/>
              <w:tabs>
                <w:tab w:val="left" w:pos="1740"/>
              </w:tabs>
              <w:spacing w:before="120" w:after="120"/>
              <w:ind w:left="1740" w:hanging="1740"/>
              <w:rPr>
                <w:b/>
                <w:bCs/>
                <w:sz w:val="16"/>
                <w:szCs w:val="16"/>
              </w:rPr>
            </w:pPr>
            <w:r w:rsidRPr="00294531">
              <w:rPr>
                <w:rFonts w:eastAsia="Arial"/>
                <w:b/>
                <w:bCs/>
                <w:sz w:val="16"/>
                <w:szCs w:val="16"/>
                <w:bdr w:val="nil"/>
              </w:rPr>
              <w:t>RESULTADO:</w:t>
            </w:r>
            <w:r w:rsidRPr="00294531">
              <w:rPr>
                <w:rFonts w:eastAsia="Arial"/>
                <w:b/>
                <w:bCs/>
                <w:sz w:val="16"/>
                <w:szCs w:val="16"/>
                <w:bdr w:val="nil"/>
              </w:rPr>
              <w:tab/>
            </w:r>
            <w:r w:rsidRPr="00294531">
              <w:rPr>
                <w:rFonts w:eastAsia="Arial"/>
                <w:sz w:val="16"/>
                <w:szCs w:val="16"/>
                <w:bdr w:val="nil"/>
              </w:rPr>
              <w:t>III.1  Estrategias y planes nacionales de innovación y de P.I. que estén en sintonía con los objetivos nacionales de desarrollo</w:t>
            </w:r>
          </w:p>
        </w:tc>
      </w:tr>
      <w:tr w:rsidR="004E456B" w:rsidRPr="00294531" w:rsidTr="00027A9C">
        <w:trPr>
          <w:cantSplit/>
        </w:trPr>
        <w:tc>
          <w:tcPr>
            <w:tcW w:w="1843" w:type="dxa"/>
            <w:vAlign w:val="center"/>
          </w:tcPr>
          <w:p w:rsidR="004E456B" w:rsidRPr="00294531" w:rsidRDefault="004E456B" w:rsidP="00027A9C">
            <w:pPr>
              <w:keepNext/>
              <w:keepLines/>
              <w:rPr>
                <w:b/>
                <w:bCs/>
                <w:sz w:val="16"/>
                <w:szCs w:val="16"/>
              </w:rPr>
            </w:pPr>
            <w:r w:rsidRPr="00294531">
              <w:rPr>
                <w:rFonts w:eastAsia="Arial"/>
                <w:b/>
                <w:bCs/>
                <w:sz w:val="16"/>
                <w:szCs w:val="16"/>
                <w:bdr w:val="nil"/>
              </w:rPr>
              <w:t>Actividad</w:t>
            </w:r>
          </w:p>
        </w:tc>
        <w:tc>
          <w:tcPr>
            <w:tcW w:w="1277" w:type="dxa"/>
            <w:shd w:val="clear" w:color="auto" w:fill="auto"/>
            <w:tcMar>
              <w:top w:w="110" w:type="dxa"/>
            </w:tcMar>
            <w:vAlign w:val="center"/>
          </w:tcPr>
          <w:p w:rsidR="004E456B" w:rsidRPr="00294531" w:rsidRDefault="004E456B" w:rsidP="00027A9C">
            <w:pPr>
              <w:keepNext/>
              <w:keepLines/>
              <w:rPr>
                <w:sz w:val="16"/>
                <w:szCs w:val="16"/>
              </w:rPr>
            </w:pPr>
            <w:r w:rsidRPr="00294531">
              <w:rPr>
                <w:rFonts w:eastAsia="Arial"/>
                <w:b/>
                <w:bCs/>
                <w:sz w:val="16"/>
                <w:szCs w:val="16"/>
                <w:bdr w:val="nil"/>
              </w:rPr>
              <w:t>Fecha</w:t>
            </w:r>
          </w:p>
        </w:tc>
        <w:tc>
          <w:tcPr>
            <w:tcW w:w="1418" w:type="dxa"/>
            <w:shd w:val="clear" w:color="auto" w:fill="auto"/>
            <w:tcMar>
              <w:top w:w="110" w:type="dxa"/>
            </w:tcMar>
            <w:vAlign w:val="center"/>
          </w:tcPr>
          <w:p w:rsidR="004E456B" w:rsidRPr="00294531" w:rsidRDefault="004E456B" w:rsidP="00027A9C">
            <w:pPr>
              <w:keepNext/>
              <w:keepLines/>
              <w:rPr>
                <w:sz w:val="16"/>
                <w:szCs w:val="16"/>
              </w:rPr>
            </w:pPr>
            <w:r w:rsidRPr="00294531">
              <w:rPr>
                <w:rFonts w:eastAsia="Arial"/>
                <w:b/>
                <w:bCs/>
                <w:sz w:val="16"/>
                <w:szCs w:val="16"/>
                <w:bdr w:val="nil"/>
              </w:rPr>
              <w:t>País anfitrión / Beneficiarios</w:t>
            </w:r>
          </w:p>
        </w:tc>
        <w:tc>
          <w:tcPr>
            <w:tcW w:w="4534" w:type="dxa"/>
            <w:shd w:val="clear" w:color="auto" w:fill="FFFFFF"/>
            <w:tcMar>
              <w:top w:w="110" w:type="dxa"/>
            </w:tcMar>
            <w:vAlign w:val="center"/>
          </w:tcPr>
          <w:p w:rsidR="004E456B" w:rsidRPr="00294531" w:rsidRDefault="004E456B" w:rsidP="00027A9C">
            <w:pPr>
              <w:keepNext/>
              <w:keepLines/>
              <w:rPr>
                <w:sz w:val="16"/>
                <w:szCs w:val="16"/>
              </w:rPr>
            </w:pPr>
            <w:r w:rsidRPr="00294531">
              <w:rPr>
                <w:rFonts w:eastAsia="Arial"/>
                <w:b/>
                <w:bCs/>
                <w:sz w:val="16"/>
                <w:szCs w:val="16"/>
                <w:bdr w:val="nil"/>
              </w:rPr>
              <w:t>Propósito(s)/Descripción</w:t>
            </w:r>
          </w:p>
        </w:tc>
      </w:tr>
      <w:tr w:rsidR="004E456B" w:rsidRPr="008466AF" w:rsidTr="00027A9C">
        <w:trPr>
          <w:cantSplit/>
          <w:trHeight w:val="2318"/>
        </w:trPr>
        <w:tc>
          <w:tcPr>
            <w:tcW w:w="1843" w:type="dxa"/>
          </w:tcPr>
          <w:p w:rsidR="004E456B" w:rsidRPr="00294531" w:rsidRDefault="004E456B" w:rsidP="00027A9C">
            <w:pPr>
              <w:spacing w:before="60"/>
              <w:rPr>
                <w:sz w:val="16"/>
                <w:szCs w:val="16"/>
              </w:rPr>
            </w:pPr>
            <w:r w:rsidRPr="00294531">
              <w:rPr>
                <w:rFonts w:eastAsia="Arial"/>
                <w:sz w:val="16"/>
                <w:szCs w:val="16"/>
                <w:bdr w:val="nil"/>
              </w:rPr>
              <w:t>Reuniones sobre las consultas finales de los grupos de interés nacionales para ultimar la estrategia de P.I. para Kiribati</w:t>
            </w:r>
          </w:p>
        </w:tc>
        <w:tc>
          <w:tcPr>
            <w:tcW w:w="1277" w:type="dxa"/>
          </w:tcPr>
          <w:p w:rsidR="004E456B" w:rsidRPr="00294531" w:rsidRDefault="004E456B" w:rsidP="00027A9C">
            <w:pPr>
              <w:autoSpaceDE w:val="0"/>
              <w:autoSpaceDN w:val="0"/>
              <w:adjustRightInd w:val="0"/>
              <w:spacing w:before="120" w:after="120"/>
              <w:rPr>
                <w:sz w:val="16"/>
                <w:szCs w:val="16"/>
              </w:rPr>
            </w:pPr>
            <w:r w:rsidRPr="00294531">
              <w:rPr>
                <w:rFonts w:eastAsia="Arial"/>
                <w:sz w:val="16"/>
                <w:szCs w:val="16"/>
                <w:bdr w:val="nil"/>
              </w:rPr>
              <w:t>20 a 23 de junio de 2016</w:t>
            </w:r>
          </w:p>
        </w:tc>
        <w:tc>
          <w:tcPr>
            <w:tcW w:w="1418" w:type="dxa"/>
          </w:tcPr>
          <w:p w:rsidR="004E456B" w:rsidRPr="00294531" w:rsidRDefault="004E456B" w:rsidP="00027A9C">
            <w:pPr>
              <w:autoSpaceDE w:val="0"/>
              <w:autoSpaceDN w:val="0"/>
              <w:adjustRightInd w:val="0"/>
              <w:spacing w:before="120" w:after="120"/>
              <w:rPr>
                <w:sz w:val="16"/>
                <w:szCs w:val="16"/>
              </w:rPr>
            </w:pPr>
            <w:r w:rsidRPr="00294531">
              <w:rPr>
                <w:rFonts w:eastAsia="Arial"/>
                <w:sz w:val="16"/>
                <w:szCs w:val="16"/>
                <w:bdr w:val="nil"/>
              </w:rPr>
              <w:t>Kiribati</w:t>
            </w:r>
          </w:p>
        </w:tc>
        <w:tc>
          <w:tcPr>
            <w:tcW w:w="4534" w:type="dxa"/>
          </w:tcPr>
          <w:p w:rsidR="004E456B" w:rsidRPr="00294531" w:rsidRDefault="004E456B" w:rsidP="00027A9C">
            <w:pPr>
              <w:autoSpaceDE w:val="0"/>
              <w:autoSpaceDN w:val="0"/>
              <w:adjustRightInd w:val="0"/>
              <w:spacing w:before="120" w:after="120"/>
              <w:rPr>
                <w:rFonts w:cs="Times New Roman"/>
                <w:sz w:val="16"/>
                <w:szCs w:val="16"/>
              </w:rPr>
            </w:pPr>
            <w:r w:rsidRPr="00294531">
              <w:rPr>
                <w:rFonts w:eastAsia="Arial"/>
                <w:sz w:val="16"/>
                <w:szCs w:val="16"/>
                <w:bdr w:val="nil"/>
              </w:rPr>
              <w:t xml:space="preserve">Validar el proyecto de políticas de P.I. presentado al Gobierno de Kiribati para su examen en las consultas finales con los grupos de interés nacionales, con objeto de realizar los cambios oportunos antes de presentar el documento final de políticas de P.I.  Dichos cambios han sido revisados a su vez por varias divisiones de la OMPI.  </w:t>
            </w:r>
          </w:p>
          <w:p w:rsidR="004E456B" w:rsidRPr="00294531" w:rsidRDefault="004E456B" w:rsidP="00027A9C">
            <w:pPr>
              <w:autoSpaceDE w:val="0"/>
              <w:autoSpaceDN w:val="0"/>
              <w:adjustRightInd w:val="0"/>
              <w:spacing w:before="120" w:after="120"/>
              <w:rPr>
                <w:sz w:val="16"/>
                <w:szCs w:val="16"/>
              </w:rPr>
            </w:pPr>
            <w:r w:rsidRPr="00294531">
              <w:rPr>
                <w:rFonts w:eastAsia="Arial"/>
                <w:sz w:val="16"/>
                <w:szCs w:val="16"/>
                <w:bdr w:val="nil"/>
              </w:rPr>
              <w:t xml:space="preserve">Una vez finalizado el proyecto revisado de la Estrategia nacional de P.I. </w:t>
            </w:r>
            <w:r>
              <w:rPr>
                <w:rFonts w:eastAsia="Arial"/>
                <w:sz w:val="16"/>
                <w:szCs w:val="16"/>
                <w:bdr w:val="nil"/>
              </w:rPr>
              <w:t>tras</w:t>
            </w:r>
            <w:r w:rsidRPr="00294531">
              <w:rPr>
                <w:rFonts w:eastAsia="Arial"/>
                <w:sz w:val="16"/>
                <w:szCs w:val="16"/>
                <w:bdr w:val="nil"/>
              </w:rPr>
              <w:t xml:space="preserve"> otra ronda de consultas internas realizada en la OMPI, el director general de la OMPI remitió dicho proyecto al ministro de Comercio, Industria y Cooperativas de Kiribati para que fuera examinado y se adoptara un plan de acción conexo a nivel nacional el 9 de septiembre de 2016.  Posteriormente, Kiribati preparó una nota para que la examinara su Gabinete a finales de noviembre de 2016.  </w:t>
            </w:r>
          </w:p>
        </w:tc>
      </w:tr>
      <w:tr w:rsidR="004E456B" w:rsidRPr="008466AF" w:rsidTr="00027A9C">
        <w:trPr>
          <w:cantSplit/>
          <w:trHeight w:val="1751"/>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Primera misión de evaluación para la elaboración de una estrategia nacional de P.I. para la República Democrática Popular Lao</w:t>
            </w:r>
          </w:p>
        </w:tc>
        <w:tc>
          <w:tcPr>
            <w:tcW w:w="1277"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26 a 28 de abril de 2016</w:t>
            </w:r>
          </w:p>
        </w:tc>
        <w:tc>
          <w:tcPr>
            <w:tcW w:w="1418"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República Democrática Popular Lao</w:t>
            </w:r>
          </w:p>
        </w:tc>
        <w:tc>
          <w:tcPr>
            <w:tcW w:w="4534" w:type="dxa"/>
          </w:tcPr>
          <w:p w:rsidR="004E456B" w:rsidRPr="009703BB" w:rsidRDefault="004E456B" w:rsidP="00027A9C">
            <w:pPr>
              <w:tabs>
                <w:tab w:val="left" w:pos="737"/>
              </w:tabs>
              <w:rPr>
                <w:color w:val="000000"/>
                <w:sz w:val="16"/>
                <w:szCs w:val="16"/>
              </w:rPr>
            </w:pPr>
            <w:r>
              <w:rPr>
                <w:rFonts w:eastAsia="Arial"/>
                <w:sz w:val="16"/>
                <w:szCs w:val="16"/>
                <w:bdr w:val="nil"/>
              </w:rPr>
              <w:t>i) Aumentar la sensibilización con respecto a la función que tiene una estrategia nacional de P.I. y sus vínculos con otras políticas públicas y dar a conocer la metodología y las herramientas para formular dicha estrategia; ii) impartir formación para los expertos nacionales sobre la metodología y el uso de las herramientas; iii) celebrar reuniones de consulta y realizar visitas de cortesía al director general del Departamento de propiedad intelectual y a los altos funcionarios del Ministerio de Ciencia y Tecnología y otros ministerios pertinentes con el fin de abordar cuestiones relativas a los plazos y los pasos siguientes y afianzar su voluntad política para la consecución de este proceso.</w:t>
            </w:r>
          </w:p>
        </w:tc>
      </w:tr>
      <w:tr w:rsidR="004E456B" w:rsidRPr="008466AF" w:rsidTr="00027A9C">
        <w:trPr>
          <w:cantSplit/>
          <w:trHeight w:val="3159"/>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Investigación documental y encuesta de referencia realizadas por el equipo del proyecto (compuesto por un consultor internacional, dos expertos nacionales y un equipo del Departamento de P.I. del Ministerio de Ciencia y Tecnología) con objeto de desarrollar una Estrategia nacional de P.I. para la República Democrática Popular Lao </w:t>
            </w:r>
          </w:p>
        </w:tc>
        <w:tc>
          <w:tcPr>
            <w:tcW w:w="1277"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Mayo a julio de 2016</w:t>
            </w:r>
          </w:p>
        </w:tc>
        <w:tc>
          <w:tcPr>
            <w:tcW w:w="1418"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República Democrática Popular Lao</w:t>
            </w:r>
          </w:p>
        </w:tc>
        <w:tc>
          <w:tcPr>
            <w:tcW w:w="4534"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i) Examinar los documentos de política existentes con el fin de esbozar una imagen detallada de los objetivos, estrategias y políticas de desarrollo nacionales y determinar la manera de alinear e integrar la estrategia nacional de P.I. en las prioridades de desarrollo nacional del país; ii) ofrecer un panorama claro de la situación actual de la P.I. en el país (mediante una auditoria de P.I. o una encuesta de referencia), sus puntos fuertes y débiles y su potencial, además de evaluar, basándose en los datos recabados, qué es lo que hay que tener en cuenta al formular una estrategia nacional de P.I. </w:t>
            </w:r>
          </w:p>
        </w:tc>
      </w:tr>
      <w:tr w:rsidR="004E456B" w:rsidRPr="008466AF" w:rsidTr="00027A9C">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Reuniones de consulta a nivel nacional para la elaboración de una Estrategia nacional de P.I. </w:t>
            </w:r>
          </w:p>
        </w:tc>
        <w:tc>
          <w:tcPr>
            <w:tcW w:w="1277"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1 a 5 de agosto de 2016</w:t>
            </w:r>
          </w:p>
        </w:tc>
        <w:tc>
          <w:tcPr>
            <w:tcW w:w="1418"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República Democrática Popular Lao</w:t>
            </w:r>
          </w:p>
        </w:tc>
        <w:tc>
          <w:tcPr>
            <w:tcW w:w="4534"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Compartir los resultados y las conclusiones iniciales del proceso de recopilación de datos (investigación documental y encuesta) y participar en los debates con las instituciones nacionales y los grupos de interés pertinentes destinados a validar los resultados de la auditoría y las conclusiones iniciales y recabar información, conocimientos y datos adicionales, según proceda. </w:t>
            </w:r>
          </w:p>
        </w:tc>
      </w:tr>
      <w:tr w:rsidR="004E456B" w:rsidRPr="008466AF" w:rsidTr="00027A9C">
        <w:trPr>
          <w:cantSplit/>
          <w:trHeight w:val="1564"/>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lastRenderedPageBreak/>
              <w:t xml:space="preserve">Elaboración del primer proyecto de estrategia nacional de P.I. </w:t>
            </w:r>
          </w:p>
        </w:tc>
        <w:tc>
          <w:tcPr>
            <w:tcW w:w="1277"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Septiembre a diciembre de 2016</w:t>
            </w:r>
          </w:p>
        </w:tc>
        <w:tc>
          <w:tcPr>
            <w:tcW w:w="1418"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República Democrática Popular Lao</w:t>
            </w:r>
          </w:p>
        </w:tc>
        <w:tc>
          <w:tcPr>
            <w:tcW w:w="4534"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Elaborar el primer borrador de la estrategia nacional y plan de acción de P.I. incorporando sugerencias, opiniones y recomendaciones surgidas en el transcurso de las consultas nacionales e identificar los principales objetivos y prioridades estratégicos en materia de P.I. por sector y a nivel nacional.  Durante el proceso de elaboración de la estrategia, los miembros del equipo de proyecto y la OMPI colaboraron muy estrechamente en la revisión y perfeccionamiento del proyecto de estrategia, así como en la recopilación de documentos e información adicionales. </w:t>
            </w:r>
          </w:p>
        </w:tc>
      </w:tr>
      <w:tr w:rsidR="004E456B" w:rsidRPr="008466AF" w:rsidTr="00027A9C">
        <w:trPr>
          <w:cantSplit/>
          <w:trHeight w:val="1129"/>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sz w:val="16"/>
                <w:szCs w:val="16"/>
                <w:bdr w:val="nil"/>
              </w:rPr>
              <w:t>Taller nacional sobre derecho de autor y derechos conexos para las partes interesadas;  y reuniones de consulta.</w:t>
            </w:r>
          </w:p>
        </w:tc>
        <w:tc>
          <w:tcPr>
            <w:tcW w:w="1277"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24 a 26 de octubre de 2016</w:t>
            </w:r>
          </w:p>
        </w:tc>
        <w:tc>
          <w:tcPr>
            <w:tcW w:w="1418" w:type="dxa"/>
          </w:tcPr>
          <w:p w:rsidR="004E456B" w:rsidRPr="00712537" w:rsidRDefault="004E456B" w:rsidP="00027A9C">
            <w:pPr>
              <w:autoSpaceDE w:val="0"/>
              <w:autoSpaceDN w:val="0"/>
              <w:adjustRightInd w:val="0"/>
              <w:spacing w:before="120" w:after="120"/>
              <w:rPr>
                <w:sz w:val="16"/>
                <w:szCs w:val="16"/>
              </w:rPr>
            </w:pPr>
            <w:r w:rsidRPr="00712537">
              <w:rPr>
                <w:rFonts w:eastAsia="Arial"/>
                <w:sz w:val="16"/>
                <w:szCs w:val="16"/>
                <w:bdr w:val="nil"/>
              </w:rPr>
              <w:t>Tonga</w:t>
            </w:r>
          </w:p>
        </w:tc>
        <w:tc>
          <w:tcPr>
            <w:tcW w:w="4534" w:type="dxa"/>
          </w:tcPr>
          <w:p w:rsidR="004E456B" w:rsidRPr="009703BB" w:rsidRDefault="004E456B" w:rsidP="00027A9C">
            <w:pPr>
              <w:autoSpaceDE w:val="0"/>
              <w:autoSpaceDN w:val="0"/>
              <w:adjustRightInd w:val="0"/>
              <w:spacing w:before="120" w:after="120"/>
              <w:rPr>
                <w:color w:val="000000"/>
                <w:sz w:val="16"/>
                <w:szCs w:val="16"/>
              </w:rPr>
            </w:pPr>
            <w:r>
              <w:rPr>
                <w:rFonts w:eastAsia="Arial"/>
                <w:sz w:val="16"/>
                <w:szCs w:val="16"/>
                <w:bdr w:val="nil"/>
              </w:rPr>
              <w:t xml:space="preserve">Fortalecer la capacidad y mejorar la comprensión entre los funcionarios gubernamentales y las principales partes interesadas de la pertinencia e importancia de un sistema de derecho de autor para promover el desarrollo cultural y económico. </w:t>
            </w:r>
          </w:p>
        </w:tc>
      </w:tr>
    </w:tbl>
    <w:p w:rsidR="004E456B" w:rsidRPr="009703BB" w:rsidRDefault="004E456B" w:rsidP="00027A9C">
      <w:pPr>
        <w:rPr>
          <w:sz w:val="20"/>
        </w:rPr>
      </w:pPr>
    </w:p>
    <w:p w:rsidR="004E456B" w:rsidRPr="00712537" w:rsidRDefault="004E456B" w:rsidP="00027A9C">
      <w:pPr>
        <w:rPr>
          <w:b/>
          <w:bCs/>
          <w:sz w:val="20"/>
        </w:rPr>
      </w:pPr>
      <w:r w:rsidRPr="00712537">
        <w:rPr>
          <w:rFonts w:eastAsia="Arial"/>
          <w:b/>
          <w:bCs/>
          <w:sz w:val="20"/>
          <w:bdr w:val="nil"/>
        </w:rPr>
        <w:t>AUSTRALIA II – Contribuciones del donante y gastos en 2016</w:t>
      </w:r>
    </w:p>
    <w:p w:rsidR="004E456B" w:rsidRPr="00712537" w:rsidRDefault="004E456B" w:rsidP="00027A9C">
      <w:pPr>
        <w:rPr>
          <w:b/>
          <w:sz w:val="20"/>
        </w:rPr>
      </w:pPr>
    </w:p>
    <w:tbl>
      <w:tblPr>
        <w:tblW w:w="9214" w:type="dxa"/>
        <w:tblInd w:w="108" w:type="dxa"/>
        <w:tblLayout w:type="fixed"/>
        <w:tblLook w:val="04A0" w:firstRow="1" w:lastRow="0" w:firstColumn="1" w:lastColumn="0" w:noHBand="0" w:noVBand="1"/>
      </w:tblPr>
      <w:tblGrid>
        <w:gridCol w:w="1842"/>
        <w:gridCol w:w="1843"/>
        <w:gridCol w:w="1843"/>
        <w:gridCol w:w="1843"/>
        <w:gridCol w:w="1843"/>
      </w:tblGrid>
      <w:tr w:rsidR="004E456B" w:rsidRPr="008466AF" w:rsidTr="00027A9C">
        <w:trPr>
          <w:trHeight w:val="544"/>
        </w:trPr>
        <w:tc>
          <w:tcPr>
            <w:tcW w:w="1842" w:type="dxa"/>
            <w:shd w:val="clear" w:color="000000" w:fill="C5D9F1"/>
            <w:vAlign w:val="center"/>
            <w:hideMark/>
          </w:tcPr>
          <w:p w:rsidR="004E456B" w:rsidRPr="00712537" w:rsidRDefault="004E456B" w:rsidP="00027A9C">
            <w:pPr>
              <w:jc w:val="center"/>
              <w:rPr>
                <w:b/>
                <w:bCs/>
                <w:sz w:val="16"/>
                <w:szCs w:val="16"/>
              </w:rPr>
            </w:pPr>
            <w:r w:rsidRPr="00712537">
              <w:rPr>
                <w:rFonts w:eastAsia="Arial"/>
                <w:b/>
                <w:bCs/>
                <w:sz w:val="16"/>
                <w:szCs w:val="16"/>
                <w:bdr w:val="nil"/>
              </w:rPr>
              <w:t>Saldo al 31 de diciembre de 2015</w:t>
            </w:r>
          </w:p>
        </w:tc>
        <w:tc>
          <w:tcPr>
            <w:tcW w:w="1843" w:type="dxa"/>
            <w:shd w:val="clear" w:color="000000" w:fill="C5D9F1"/>
            <w:noWrap/>
            <w:vAlign w:val="center"/>
            <w:hideMark/>
          </w:tcPr>
          <w:p w:rsidR="004E456B" w:rsidRPr="00712537" w:rsidRDefault="004E456B" w:rsidP="00027A9C">
            <w:pPr>
              <w:jc w:val="center"/>
              <w:rPr>
                <w:b/>
                <w:bCs/>
                <w:sz w:val="16"/>
                <w:szCs w:val="16"/>
              </w:rPr>
            </w:pPr>
            <w:r w:rsidRPr="00712537">
              <w:rPr>
                <w:rFonts w:eastAsia="Arial"/>
                <w:b/>
                <w:bCs/>
                <w:sz w:val="16"/>
                <w:szCs w:val="16"/>
                <w:bdr w:val="nil"/>
              </w:rPr>
              <w:t>Ingresos en 2016</w:t>
            </w:r>
          </w:p>
        </w:tc>
        <w:tc>
          <w:tcPr>
            <w:tcW w:w="1843" w:type="dxa"/>
            <w:shd w:val="clear" w:color="000000" w:fill="C5D9F1"/>
            <w:noWrap/>
            <w:vAlign w:val="center"/>
            <w:hideMark/>
          </w:tcPr>
          <w:p w:rsidR="004E456B" w:rsidRPr="00712537" w:rsidRDefault="004E456B" w:rsidP="00027A9C">
            <w:pPr>
              <w:jc w:val="center"/>
              <w:rPr>
                <w:b/>
                <w:bCs/>
                <w:sz w:val="16"/>
                <w:szCs w:val="16"/>
              </w:rPr>
            </w:pPr>
            <w:r w:rsidRPr="00712537">
              <w:rPr>
                <w:rFonts w:eastAsia="Arial"/>
                <w:b/>
                <w:bCs/>
                <w:sz w:val="16"/>
                <w:szCs w:val="16"/>
                <w:bdr w:val="nil"/>
              </w:rPr>
              <w:t>Gastos en 2016</w:t>
            </w:r>
          </w:p>
        </w:tc>
        <w:tc>
          <w:tcPr>
            <w:tcW w:w="1843" w:type="dxa"/>
            <w:shd w:val="clear" w:color="000000" w:fill="C5D9F1"/>
            <w:noWrap/>
            <w:vAlign w:val="center"/>
            <w:hideMark/>
          </w:tcPr>
          <w:p w:rsidR="004E456B" w:rsidRPr="00712537" w:rsidRDefault="004E456B" w:rsidP="00027A9C">
            <w:pPr>
              <w:jc w:val="center"/>
              <w:rPr>
                <w:b/>
                <w:bCs/>
                <w:sz w:val="16"/>
                <w:szCs w:val="16"/>
              </w:rPr>
            </w:pPr>
            <w:r w:rsidRPr="00712537">
              <w:rPr>
                <w:rFonts w:eastAsia="Arial"/>
                <w:b/>
                <w:bCs/>
                <w:sz w:val="16"/>
                <w:szCs w:val="16"/>
                <w:bdr w:val="nil"/>
              </w:rPr>
              <w:t>Reembolsos</w:t>
            </w:r>
          </w:p>
        </w:tc>
        <w:tc>
          <w:tcPr>
            <w:tcW w:w="1843" w:type="dxa"/>
            <w:shd w:val="clear" w:color="000000" w:fill="C5D9F1"/>
            <w:vAlign w:val="center"/>
            <w:hideMark/>
          </w:tcPr>
          <w:p w:rsidR="004E456B" w:rsidRPr="00712537" w:rsidRDefault="004E456B" w:rsidP="00027A9C">
            <w:pPr>
              <w:jc w:val="center"/>
              <w:rPr>
                <w:b/>
                <w:bCs/>
                <w:sz w:val="16"/>
                <w:szCs w:val="16"/>
              </w:rPr>
            </w:pPr>
            <w:r w:rsidRPr="00712537">
              <w:rPr>
                <w:rFonts w:eastAsia="Arial"/>
                <w:b/>
                <w:bCs/>
                <w:sz w:val="16"/>
                <w:szCs w:val="16"/>
                <w:bdr w:val="nil"/>
              </w:rPr>
              <w:t>Saldo al 31 de diciembre de 2016</w:t>
            </w:r>
          </w:p>
        </w:tc>
      </w:tr>
      <w:tr w:rsidR="004E456B" w:rsidRPr="00712537" w:rsidTr="00027A9C">
        <w:trPr>
          <w:trHeight w:val="357"/>
        </w:trPr>
        <w:tc>
          <w:tcPr>
            <w:tcW w:w="1842" w:type="dxa"/>
            <w:shd w:val="clear" w:color="auto" w:fill="auto"/>
            <w:noWrap/>
            <w:vAlign w:val="bottom"/>
            <w:hideMark/>
          </w:tcPr>
          <w:p w:rsidR="004E456B" w:rsidRPr="00712537" w:rsidRDefault="004E456B" w:rsidP="00027A9C">
            <w:pPr>
              <w:jc w:val="center"/>
              <w:rPr>
                <w:sz w:val="16"/>
                <w:szCs w:val="16"/>
              </w:rPr>
            </w:pPr>
            <w:r w:rsidRPr="00712537">
              <w:rPr>
                <w:sz w:val="16"/>
                <w:szCs w:val="16"/>
              </w:rPr>
              <w:t>-</w:t>
            </w:r>
          </w:p>
        </w:tc>
        <w:tc>
          <w:tcPr>
            <w:tcW w:w="1843" w:type="dxa"/>
            <w:shd w:val="clear" w:color="auto" w:fill="auto"/>
            <w:noWrap/>
            <w:vAlign w:val="bottom"/>
            <w:hideMark/>
          </w:tcPr>
          <w:p w:rsidR="004E456B" w:rsidRPr="00712537" w:rsidRDefault="004E456B" w:rsidP="00027A9C">
            <w:pPr>
              <w:jc w:val="center"/>
              <w:rPr>
                <w:sz w:val="16"/>
                <w:szCs w:val="16"/>
              </w:rPr>
            </w:pPr>
            <w:r w:rsidRPr="00712537">
              <w:rPr>
                <w:sz w:val="16"/>
                <w:szCs w:val="16"/>
              </w:rPr>
              <w:t>1.301.725</w:t>
            </w:r>
          </w:p>
        </w:tc>
        <w:tc>
          <w:tcPr>
            <w:tcW w:w="1843" w:type="dxa"/>
            <w:shd w:val="clear" w:color="auto" w:fill="auto"/>
            <w:noWrap/>
            <w:vAlign w:val="bottom"/>
            <w:hideMark/>
          </w:tcPr>
          <w:p w:rsidR="004E456B" w:rsidRPr="00712537" w:rsidRDefault="004E456B" w:rsidP="00027A9C">
            <w:pPr>
              <w:jc w:val="center"/>
              <w:rPr>
                <w:sz w:val="16"/>
                <w:szCs w:val="16"/>
              </w:rPr>
            </w:pPr>
            <w:r w:rsidRPr="00712537">
              <w:rPr>
                <w:sz w:val="16"/>
                <w:szCs w:val="16"/>
              </w:rPr>
              <w:t>138.023</w:t>
            </w:r>
          </w:p>
        </w:tc>
        <w:tc>
          <w:tcPr>
            <w:tcW w:w="1843" w:type="dxa"/>
            <w:shd w:val="clear" w:color="auto" w:fill="auto"/>
            <w:noWrap/>
            <w:vAlign w:val="bottom"/>
            <w:hideMark/>
          </w:tcPr>
          <w:p w:rsidR="004E456B" w:rsidRPr="00712537" w:rsidRDefault="004E456B" w:rsidP="00027A9C">
            <w:pPr>
              <w:jc w:val="center"/>
              <w:rPr>
                <w:sz w:val="16"/>
                <w:szCs w:val="16"/>
              </w:rPr>
            </w:pPr>
            <w:r w:rsidRPr="00712537">
              <w:rPr>
                <w:sz w:val="16"/>
                <w:szCs w:val="16"/>
              </w:rPr>
              <w:t>-</w:t>
            </w:r>
          </w:p>
        </w:tc>
        <w:tc>
          <w:tcPr>
            <w:tcW w:w="1843" w:type="dxa"/>
            <w:shd w:val="clear" w:color="auto" w:fill="auto"/>
            <w:noWrap/>
            <w:vAlign w:val="bottom"/>
            <w:hideMark/>
          </w:tcPr>
          <w:p w:rsidR="004E456B" w:rsidRPr="00712537" w:rsidRDefault="004E456B" w:rsidP="00027A9C">
            <w:pPr>
              <w:jc w:val="center"/>
              <w:rPr>
                <w:sz w:val="16"/>
                <w:szCs w:val="16"/>
              </w:rPr>
            </w:pPr>
            <w:r w:rsidRPr="00712537">
              <w:rPr>
                <w:sz w:val="16"/>
                <w:szCs w:val="16"/>
              </w:rPr>
              <w:t>1.163.701</w:t>
            </w:r>
          </w:p>
        </w:tc>
      </w:tr>
    </w:tbl>
    <w:p w:rsidR="004E456B" w:rsidRPr="00712537" w:rsidRDefault="004E456B" w:rsidP="00027A9C">
      <w:pPr>
        <w:rPr>
          <w:sz w:val="20"/>
        </w:rPr>
      </w:pPr>
    </w:p>
    <w:p w:rsidR="004E456B" w:rsidRPr="00712537" w:rsidRDefault="004E456B" w:rsidP="00027A9C">
      <w:pPr>
        <w:rPr>
          <w:sz w:val="20"/>
        </w:rPr>
      </w:pPr>
    </w:p>
    <w:p w:rsidR="004E456B" w:rsidRPr="00712537" w:rsidRDefault="004E456B" w:rsidP="00027A9C">
      <w:pPr>
        <w:keepNext/>
        <w:keepLines/>
        <w:rPr>
          <w:b/>
          <w:sz w:val="20"/>
        </w:rPr>
      </w:pPr>
      <w:r w:rsidRPr="00712537">
        <w:rPr>
          <w:rFonts w:eastAsia="Arial"/>
          <w:b/>
          <w:bCs/>
          <w:sz w:val="20"/>
          <w:bdr w:val="nil"/>
        </w:rPr>
        <w:t>BRASIL SUR</w:t>
      </w:r>
    </w:p>
    <w:p w:rsidR="004E456B" w:rsidRPr="00712537" w:rsidRDefault="004E456B" w:rsidP="00027A9C">
      <w:pPr>
        <w:keepNext/>
        <w:keepLines/>
        <w:rPr>
          <w:sz w:val="20"/>
        </w:rPr>
      </w:pPr>
    </w:p>
    <w:tbl>
      <w:tblPr>
        <w:tblW w:w="9214" w:type="dxa"/>
        <w:tblInd w:w="108" w:type="dxa"/>
        <w:tblLayout w:type="fixed"/>
        <w:tblLook w:val="0000" w:firstRow="0" w:lastRow="0" w:firstColumn="0" w:lastColumn="0" w:noHBand="0" w:noVBand="0"/>
      </w:tblPr>
      <w:tblGrid>
        <w:gridCol w:w="1843"/>
        <w:gridCol w:w="1217"/>
        <w:gridCol w:w="1902"/>
        <w:gridCol w:w="4252"/>
      </w:tblGrid>
      <w:tr w:rsidR="004E456B" w:rsidRPr="008466AF" w:rsidTr="00027A9C">
        <w:trPr>
          <w:cantSplit/>
          <w:trHeight w:val="315"/>
        </w:trPr>
        <w:tc>
          <w:tcPr>
            <w:tcW w:w="9214" w:type="dxa"/>
            <w:gridSpan w:val="4"/>
            <w:shd w:val="clear" w:color="auto" w:fill="C6D9F1" w:themeFill="text2" w:themeFillTint="33"/>
          </w:tcPr>
          <w:p w:rsidR="004E456B" w:rsidRPr="00712537" w:rsidRDefault="004E456B" w:rsidP="00027A9C">
            <w:pPr>
              <w:keepNext/>
              <w:keepLines/>
              <w:tabs>
                <w:tab w:val="left" w:pos="1740"/>
              </w:tabs>
              <w:spacing w:before="120" w:after="120"/>
              <w:ind w:left="1740" w:hanging="1740"/>
              <w:rPr>
                <w:sz w:val="16"/>
                <w:szCs w:val="16"/>
              </w:rPr>
            </w:pPr>
            <w:r w:rsidRPr="00712537">
              <w:rPr>
                <w:rFonts w:eastAsia="Arial"/>
                <w:b/>
                <w:bCs/>
                <w:sz w:val="16"/>
                <w:szCs w:val="16"/>
                <w:bdr w:val="nil"/>
              </w:rPr>
              <w:t>RESULTADO:</w:t>
            </w:r>
            <w:r w:rsidRPr="00712537">
              <w:rPr>
                <w:rFonts w:eastAsia="Arial"/>
                <w:b/>
                <w:bCs/>
                <w:sz w:val="16"/>
                <w:szCs w:val="16"/>
                <w:bdr w:val="nil"/>
              </w:rPr>
              <w:tab/>
            </w:r>
            <w:r w:rsidRPr="00712537">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Tr="00027A9C">
        <w:trPr>
          <w:cantSplit/>
          <w:trHeight w:val="402"/>
        </w:trPr>
        <w:tc>
          <w:tcPr>
            <w:tcW w:w="1843" w:type="dxa"/>
            <w:vAlign w:val="center"/>
          </w:tcPr>
          <w:p w:rsidR="004E456B" w:rsidRPr="0036341C" w:rsidRDefault="004E456B" w:rsidP="00027A9C">
            <w:pPr>
              <w:keepNext/>
              <w:keepLines/>
              <w:spacing w:before="120"/>
              <w:rPr>
                <w:b/>
                <w:bCs/>
                <w:sz w:val="16"/>
                <w:szCs w:val="16"/>
              </w:rPr>
            </w:pPr>
            <w:r w:rsidRPr="0036341C">
              <w:rPr>
                <w:rFonts w:eastAsia="Arial"/>
                <w:b/>
                <w:bCs/>
                <w:sz w:val="16"/>
                <w:szCs w:val="16"/>
                <w:bdr w:val="nil"/>
              </w:rPr>
              <w:t>Actividad</w:t>
            </w:r>
          </w:p>
        </w:tc>
        <w:tc>
          <w:tcPr>
            <w:tcW w:w="1217" w:type="dxa"/>
            <w:vAlign w:val="center"/>
          </w:tcPr>
          <w:p w:rsidR="004E456B" w:rsidRPr="0036341C" w:rsidRDefault="004E456B" w:rsidP="00027A9C">
            <w:pPr>
              <w:keepNext/>
              <w:keepLines/>
              <w:spacing w:before="120"/>
              <w:rPr>
                <w:sz w:val="16"/>
                <w:szCs w:val="16"/>
              </w:rPr>
            </w:pPr>
            <w:r w:rsidRPr="0036341C">
              <w:rPr>
                <w:rFonts w:eastAsia="Arial"/>
                <w:b/>
                <w:bCs/>
                <w:sz w:val="16"/>
                <w:szCs w:val="16"/>
                <w:bdr w:val="nil"/>
              </w:rPr>
              <w:t>Fecha</w:t>
            </w:r>
          </w:p>
        </w:tc>
        <w:tc>
          <w:tcPr>
            <w:tcW w:w="1902" w:type="dxa"/>
            <w:vAlign w:val="center"/>
          </w:tcPr>
          <w:p w:rsidR="004E456B" w:rsidRPr="0036341C" w:rsidRDefault="004E456B" w:rsidP="00027A9C">
            <w:pPr>
              <w:keepNext/>
              <w:keepLines/>
              <w:spacing w:before="120"/>
              <w:rPr>
                <w:sz w:val="16"/>
                <w:szCs w:val="16"/>
              </w:rPr>
            </w:pPr>
            <w:r w:rsidRPr="0036341C">
              <w:rPr>
                <w:rFonts w:eastAsia="Arial"/>
                <w:b/>
                <w:bCs/>
                <w:sz w:val="16"/>
                <w:szCs w:val="16"/>
                <w:bdr w:val="nil"/>
              </w:rPr>
              <w:t>País anfitrión / Beneficiarios</w:t>
            </w:r>
          </w:p>
        </w:tc>
        <w:tc>
          <w:tcPr>
            <w:tcW w:w="4252" w:type="dxa"/>
            <w:vAlign w:val="center"/>
          </w:tcPr>
          <w:p w:rsidR="004E456B" w:rsidRPr="0036341C" w:rsidRDefault="004E456B" w:rsidP="00027A9C">
            <w:pPr>
              <w:keepNext/>
              <w:keepLines/>
              <w:spacing w:before="120"/>
              <w:rPr>
                <w:sz w:val="16"/>
                <w:szCs w:val="16"/>
              </w:rPr>
            </w:pPr>
            <w:r w:rsidRPr="0036341C">
              <w:rPr>
                <w:rFonts w:eastAsia="Arial"/>
                <w:b/>
                <w:bCs/>
                <w:sz w:val="16"/>
                <w:szCs w:val="16"/>
                <w:bdr w:val="nil"/>
              </w:rPr>
              <w:t>Propósito(s)/Descripción</w:t>
            </w:r>
          </w:p>
        </w:tc>
      </w:tr>
      <w:tr w:rsidR="004E456B" w:rsidRPr="008466AF" w:rsidTr="00027A9C">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XV Seminario regional sobre la propiedad intelectual para jueces y fiscales latinoamericanos</w:t>
            </w:r>
          </w:p>
        </w:tc>
        <w:tc>
          <w:tcPr>
            <w:tcW w:w="1217"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23 a 25 de mayo de 2016</w:t>
            </w:r>
          </w:p>
        </w:tc>
        <w:tc>
          <w:tcPr>
            <w:tcW w:w="1902"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Brasil/ 30 participantes, de Chile, Colombia, Costa Rica, Cuba, Ecuador, El Salvador, Guatemala, Honduras, México, Nicaragua, Panamá, Paraguay, Perú</w:t>
            </w:r>
            <w:r w:rsidRPr="0036341C">
              <w:rPr>
                <w:rFonts w:eastAsia="Arial"/>
                <w:szCs w:val="22"/>
                <w:bdr w:val="nil"/>
              </w:rPr>
              <w:t>,</w:t>
            </w:r>
            <w:r w:rsidRPr="0036341C">
              <w:rPr>
                <w:rFonts w:eastAsia="Arial"/>
                <w:sz w:val="16"/>
                <w:szCs w:val="16"/>
                <w:bdr w:val="nil"/>
              </w:rPr>
              <w:t xml:space="preserve"> República Dominicana</w:t>
            </w:r>
          </w:p>
        </w:tc>
        <w:tc>
          <w:tcPr>
            <w:tcW w:w="4252"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i) Promover el intercambio de experiencias entre los representantes de instituciones judiciales y fiscalías en América Latina; ii) facilitar el establecimiento de acuerdos sobre la creación de redes sectoriales para garantizar la continuidad de las relaciones de trabajo interinstitucionales en el sector judicial.</w:t>
            </w:r>
          </w:p>
          <w:p w:rsidR="004E456B" w:rsidRPr="009703BB" w:rsidRDefault="004E456B" w:rsidP="00027A9C">
            <w:pPr>
              <w:autoSpaceDE w:val="0"/>
              <w:autoSpaceDN w:val="0"/>
              <w:adjustRightInd w:val="0"/>
              <w:spacing w:before="120" w:after="120"/>
              <w:rPr>
                <w:color w:val="000000"/>
                <w:sz w:val="16"/>
                <w:szCs w:val="16"/>
              </w:rPr>
            </w:pPr>
          </w:p>
        </w:tc>
      </w:tr>
      <w:tr w:rsidR="004E456B" w:rsidRPr="008466AF" w:rsidTr="00027A9C">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XXXIV Taller regional para las Oficinas de propiedad industrial de América Latina</w:t>
            </w:r>
          </w:p>
        </w:tc>
        <w:tc>
          <w:tcPr>
            <w:tcW w:w="1217"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4 a 8 de julio de 2016</w:t>
            </w:r>
          </w:p>
        </w:tc>
        <w:tc>
          <w:tcPr>
            <w:tcW w:w="1902"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Brasil/ 20 participantes, de Argentina, Brasil, Chile, Costa Rica, Cuba, Ecuador, El Salvador, Honduras, México, Nicaragua, Panamá, Paraguay, Perú, República Dominicana, Uruguay</w:t>
            </w:r>
          </w:p>
        </w:tc>
        <w:tc>
          <w:tcPr>
            <w:tcW w:w="4252" w:type="dxa"/>
          </w:tcPr>
          <w:p w:rsidR="004E456B" w:rsidRPr="009703BB" w:rsidRDefault="004E456B" w:rsidP="00027A9C">
            <w:pPr>
              <w:autoSpaceDE w:val="0"/>
              <w:autoSpaceDN w:val="0"/>
              <w:adjustRightInd w:val="0"/>
              <w:spacing w:before="120" w:after="120"/>
              <w:rPr>
                <w:color w:val="000000"/>
                <w:sz w:val="16"/>
                <w:szCs w:val="16"/>
              </w:rPr>
            </w:pPr>
            <w:r>
              <w:rPr>
                <w:rFonts w:eastAsia="Arial"/>
                <w:sz w:val="16"/>
                <w:szCs w:val="16"/>
                <w:bdr w:val="nil"/>
              </w:rPr>
              <w:t xml:space="preserve">Promover el intercambio de experiencias entre los funcionarios de las Oficinas nacionales de P.I. sobre temas específicos, centrándose en particular en la cooperación internacional en materia de P.I.  </w:t>
            </w:r>
            <w:r>
              <w:rPr>
                <w:rFonts w:eastAsia="Arial"/>
                <w:color w:val="000000"/>
                <w:sz w:val="16"/>
                <w:szCs w:val="16"/>
                <w:bdr w:val="nil"/>
              </w:rPr>
              <w:t>Esta edición se ha centrado en el establecimiento de mecanismos de colaboración entre las oficinas de P.I. en relación con la gestión del proceso de examen de marcas y denominaciones de origen.</w:t>
            </w:r>
          </w:p>
        </w:tc>
      </w:tr>
      <w:tr w:rsidR="004E456B" w:rsidRPr="008466AF" w:rsidTr="00027A9C">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III Seminario internacional sobre indicaciones geográficas y marcas colectivas </w:t>
            </w:r>
          </w:p>
        </w:tc>
        <w:tc>
          <w:tcPr>
            <w:tcW w:w="1217"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31 de agosto a 2 de septiembre de 2016</w:t>
            </w:r>
          </w:p>
        </w:tc>
        <w:tc>
          <w:tcPr>
            <w:tcW w:w="1902"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 xml:space="preserve">Brasil/ 200 participantes, de Honduras, México, Perú </w:t>
            </w:r>
          </w:p>
        </w:tc>
        <w:tc>
          <w:tcPr>
            <w:tcW w:w="4252"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Promover un debate sobre las ventajas económicas y sociales que pueden aportar las indicaciones geográficas y las marcas colectivas al desarrollo nacional en su conjunto</w:t>
            </w:r>
          </w:p>
        </w:tc>
      </w:tr>
      <w:tr w:rsidR="004E456B" w:rsidRPr="008466AF" w:rsidTr="00027A9C">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IV Taller regional sobre la propiedad intelectual y la transferencia de tecnología</w:t>
            </w:r>
          </w:p>
          <w:p w:rsidR="004E456B" w:rsidRPr="009703BB" w:rsidRDefault="004E456B" w:rsidP="00027A9C">
            <w:pPr>
              <w:autoSpaceDE w:val="0"/>
              <w:autoSpaceDN w:val="0"/>
              <w:adjustRightInd w:val="0"/>
              <w:spacing w:before="120" w:after="120"/>
              <w:rPr>
                <w:color w:val="000000"/>
                <w:sz w:val="16"/>
                <w:szCs w:val="16"/>
              </w:rPr>
            </w:pPr>
          </w:p>
        </w:tc>
        <w:tc>
          <w:tcPr>
            <w:tcW w:w="1217"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7 a 9 de septiembre de 2016</w:t>
            </w:r>
          </w:p>
        </w:tc>
        <w:tc>
          <w:tcPr>
            <w:tcW w:w="1902" w:type="dxa"/>
          </w:tcPr>
          <w:p w:rsidR="004E456B" w:rsidRPr="0036341C" w:rsidRDefault="004E456B" w:rsidP="00027A9C">
            <w:pPr>
              <w:autoSpaceDE w:val="0"/>
              <w:autoSpaceDN w:val="0"/>
              <w:adjustRightInd w:val="0"/>
              <w:spacing w:before="120" w:after="120"/>
              <w:rPr>
                <w:sz w:val="16"/>
                <w:szCs w:val="16"/>
              </w:rPr>
            </w:pPr>
            <w:r w:rsidRPr="0036341C">
              <w:rPr>
                <w:rFonts w:eastAsia="Arial"/>
                <w:sz w:val="16"/>
                <w:szCs w:val="16"/>
                <w:bdr w:val="nil"/>
              </w:rPr>
              <w:t>El Salvador/ 40 participantes, de Colombia, Costa Rica, Ecuador, Guatemala, México</w:t>
            </w:r>
          </w:p>
        </w:tc>
        <w:tc>
          <w:tcPr>
            <w:tcW w:w="4252"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i) Promover el establecimiento de acuerdos de transferencia de tecnología y alianzas entre instituciones académicas y empresas; y ii) divulgar la experiencia adquirida en la negociación y redacción de acuerdos en materia de tecnología, así como sus aspectos prácticos</w:t>
            </w:r>
          </w:p>
        </w:tc>
      </w:tr>
      <w:tr w:rsidR="004E456B" w:rsidRPr="008466AF" w:rsidTr="00027A9C">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lastRenderedPageBreak/>
              <w:t>IX ENAPID - Reunión académica sobre P.I., innovación y desarrollo, y el Simposio internacional de las Academias de  propiedad intelectual de países de América Latina y el Caribe</w:t>
            </w:r>
          </w:p>
        </w:tc>
        <w:tc>
          <w:tcPr>
            <w:tcW w:w="1217" w:type="dxa"/>
          </w:tcPr>
          <w:p w:rsidR="004E456B" w:rsidRPr="006D3D58" w:rsidRDefault="004E456B" w:rsidP="00027A9C">
            <w:pPr>
              <w:autoSpaceDE w:val="0"/>
              <w:autoSpaceDN w:val="0"/>
              <w:adjustRightInd w:val="0"/>
              <w:spacing w:before="120" w:after="120"/>
              <w:rPr>
                <w:sz w:val="16"/>
                <w:szCs w:val="16"/>
              </w:rPr>
            </w:pPr>
            <w:r w:rsidRPr="006D3D58">
              <w:rPr>
                <w:rFonts w:eastAsia="Arial"/>
                <w:sz w:val="16"/>
                <w:szCs w:val="16"/>
                <w:bdr w:val="nil"/>
              </w:rPr>
              <w:t>23 a 25 de noviembre de 2016</w:t>
            </w:r>
          </w:p>
        </w:tc>
        <w:tc>
          <w:tcPr>
            <w:tcW w:w="1902" w:type="dxa"/>
          </w:tcPr>
          <w:p w:rsidR="004E456B" w:rsidRPr="006D3D58" w:rsidRDefault="004E456B" w:rsidP="00027A9C">
            <w:pPr>
              <w:autoSpaceDE w:val="0"/>
              <w:autoSpaceDN w:val="0"/>
              <w:adjustRightInd w:val="0"/>
              <w:spacing w:before="120" w:after="120"/>
              <w:rPr>
                <w:sz w:val="16"/>
                <w:szCs w:val="16"/>
              </w:rPr>
            </w:pPr>
            <w:r w:rsidRPr="006D3D58">
              <w:rPr>
                <w:rFonts w:eastAsia="Arial"/>
                <w:sz w:val="16"/>
                <w:szCs w:val="16"/>
                <w:bdr w:val="nil"/>
              </w:rPr>
              <w:t>Brasil/ 250 participantes, de Argentina, Chile, Colombia, Costa Rica, Cuba, Ecuador, El Salvador, Guatemala, México, Nicaragua, Paraguay, Perú, República Dominicana, Uruguay, Venezuela</w:t>
            </w:r>
          </w:p>
        </w:tc>
        <w:tc>
          <w:tcPr>
            <w:tcW w:w="4252"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Proporcionar un foro para que los institutos de investigación, las empresas y los gobiernos analicen la innovación abierta, incluidas las cuestiones de I+D, prestación de servicios y cesión de derechos de P.I., y la transferencia de tecnología.  El último día incluyó un debate entre países latinoamericanos sobre los retos y las oportunidades para las Academias de P.I. en dicha región.</w:t>
            </w:r>
          </w:p>
        </w:tc>
      </w:tr>
    </w:tbl>
    <w:p w:rsidR="004E456B" w:rsidRPr="009703BB" w:rsidRDefault="004E456B" w:rsidP="00027A9C">
      <w:pPr>
        <w:rPr>
          <w:rFonts w:cs="Times New Roman"/>
          <w:sz w:val="20"/>
        </w:rPr>
      </w:pPr>
    </w:p>
    <w:p w:rsidR="004E456B" w:rsidRPr="006D3D58" w:rsidRDefault="004E456B" w:rsidP="00027A9C">
      <w:pPr>
        <w:rPr>
          <w:b/>
          <w:bCs/>
          <w:sz w:val="20"/>
        </w:rPr>
      </w:pPr>
      <w:r w:rsidRPr="006D3D58">
        <w:rPr>
          <w:rFonts w:eastAsia="Arial"/>
          <w:b/>
          <w:bCs/>
          <w:sz w:val="20"/>
          <w:bdr w:val="nil"/>
        </w:rPr>
        <w:t>BRASIL SUR – Contribuciones del donante y gastos en 2016</w:t>
      </w:r>
    </w:p>
    <w:p w:rsidR="004E456B" w:rsidRPr="006D3D58" w:rsidRDefault="004E456B" w:rsidP="00027A9C">
      <w:pPr>
        <w:rPr>
          <w:b/>
          <w:bCs/>
          <w:sz w:val="20"/>
        </w:rPr>
      </w:pPr>
    </w:p>
    <w:tbl>
      <w:tblPr>
        <w:tblW w:w="9214" w:type="dxa"/>
        <w:tblInd w:w="108" w:type="dxa"/>
        <w:tblLayout w:type="fixed"/>
        <w:tblLook w:val="04A0" w:firstRow="1" w:lastRow="0" w:firstColumn="1" w:lastColumn="0" w:noHBand="0" w:noVBand="1"/>
      </w:tblPr>
      <w:tblGrid>
        <w:gridCol w:w="1842"/>
        <w:gridCol w:w="1843"/>
        <w:gridCol w:w="1843"/>
        <w:gridCol w:w="1843"/>
        <w:gridCol w:w="1843"/>
      </w:tblGrid>
      <w:tr w:rsidR="004E456B" w:rsidRPr="008466AF" w:rsidTr="00027A9C">
        <w:trPr>
          <w:trHeight w:val="545"/>
        </w:trPr>
        <w:tc>
          <w:tcPr>
            <w:tcW w:w="1842" w:type="dxa"/>
            <w:tcBorders>
              <w:top w:val="nil"/>
              <w:left w:val="nil"/>
              <w:bottom w:val="nil"/>
              <w:right w:val="nil"/>
            </w:tcBorders>
            <w:shd w:val="clear" w:color="000000" w:fill="C5D9F1"/>
            <w:vAlign w:val="center"/>
            <w:hideMark/>
          </w:tcPr>
          <w:p w:rsidR="004E456B" w:rsidRPr="006D3D58" w:rsidRDefault="004E456B" w:rsidP="00027A9C">
            <w:pPr>
              <w:jc w:val="center"/>
              <w:rPr>
                <w:b/>
                <w:bCs/>
                <w:sz w:val="16"/>
                <w:szCs w:val="16"/>
              </w:rPr>
            </w:pPr>
            <w:r w:rsidRPr="006D3D58">
              <w:rPr>
                <w:rFonts w:eastAsia="Arial"/>
                <w:b/>
                <w:bCs/>
                <w:sz w:val="16"/>
                <w:szCs w:val="16"/>
                <w:bdr w:val="nil"/>
              </w:rPr>
              <w:t>Saldo al 31 de diciembre de 2015</w:t>
            </w:r>
          </w:p>
        </w:tc>
        <w:tc>
          <w:tcPr>
            <w:tcW w:w="1843" w:type="dxa"/>
            <w:tcBorders>
              <w:top w:val="nil"/>
              <w:left w:val="nil"/>
              <w:bottom w:val="nil"/>
              <w:right w:val="nil"/>
            </w:tcBorders>
            <w:shd w:val="clear" w:color="000000" w:fill="C5D9F1"/>
            <w:noWrap/>
            <w:vAlign w:val="center"/>
            <w:hideMark/>
          </w:tcPr>
          <w:p w:rsidR="004E456B" w:rsidRPr="006D3D58" w:rsidRDefault="004E456B" w:rsidP="00027A9C">
            <w:pPr>
              <w:jc w:val="center"/>
              <w:rPr>
                <w:b/>
                <w:bCs/>
                <w:sz w:val="16"/>
                <w:szCs w:val="16"/>
              </w:rPr>
            </w:pPr>
            <w:r w:rsidRPr="006D3D58">
              <w:rPr>
                <w:rFonts w:eastAsia="Arial"/>
                <w:b/>
                <w:bCs/>
                <w:sz w:val="16"/>
                <w:szCs w:val="16"/>
                <w:bdr w:val="nil"/>
              </w:rPr>
              <w:t>Ingresos en 2016</w:t>
            </w:r>
          </w:p>
        </w:tc>
        <w:tc>
          <w:tcPr>
            <w:tcW w:w="1843" w:type="dxa"/>
            <w:tcBorders>
              <w:top w:val="nil"/>
              <w:left w:val="nil"/>
              <w:bottom w:val="nil"/>
              <w:right w:val="nil"/>
            </w:tcBorders>
            <w:shd w:val="clear" w:color="000000" w:fill="C5D9F1"/>
            <w:noWrap/>
            <w:vAlign w:val="center"/>
            <w:hideMark/>
          </w:tcPr>
          <w:p w:rsidR="004E456B" w:rsidRPr="006D3D58" w:rsidRDefault="004E456B" w:rsidP="00027A9C">
            <w:pPr>
              <w:jc w:val="center"/>
              <w:rPr>
                <w:b/>
                <w:bCs/>
                <w:sz w:val="16"/>
                <w:szCs w:val="16"/>
              </w:rPr>
            </w:pPr>
            <w:r w:rsidRPr="006D3D58">
              <w:rPr>
                <w:rFonts w:eastAsia="Arial"/>
                <w:b/>
                <w:bCs/>
                <w:sz w:val="16"/>
                <w:szCs w:val="16"/>
                <w:bdr w:val="nil"/>
              </w:rPr>
              <w:t>Gastos en 2016</w:t>
            </w:r>
          </w:p>
        </w:tc>
        <w:tc>
          <w:tcPr>
            <w:tcW w:w="1843" w:type="dxa"/>
            <w:tcBorders>
              <w:top w:val="nil"/>
              <w:left w:val="nil"/>
              <w:bottom w:val="nil"/>
              <w:right w:val="nil"/>
            </w:tcBorders>
            <w:shd w:val="clear" w:color="000000" w:fill="C5D9F1"/>
            <w:noWrap/>
            <w:vAlign w:val="center"/>
            <w:hideMark/>
          </w:tcPr>
          <w:p w:rsidR="004E456B" w:rsidRPr="006D3D58" w:rsidRDefault="004E456B" w:rsidP="00027A9C">
            <w:pPr>
              <w:jc w:val="center"/>
              <w:rPr>
                <w:b/>
                <w:bCs/>
                <w:sz w:val="16"/>
                <w:szCs w:val="16"/>
              </w:rPr>
            </w:pPr>
            <w:r w:rsidRPr="006D3D58">
              <w:rPr>
                <w:rFonts w:eastAsia="Arial"/>
                <w:b/>
                <w:bCs/>
                <w:sz w:val="16"/>
                <w:szCs w:val="16"/>
                <w:bdr w:val="nil"/>
              </w:rPr>
              <w:t>Reembolsos</w:t>
            </w:r>
          </w:p>
        </w:tc>
        <w:tc>
          <w:tcPr>
            <w:tcW w:w="1843" w:type="dxa"/>
            <w:tcBorders>
              <w:top w:val="nil"/>
              <w:left w:val="nil"/>
              <w:bottom w:val="nil"/>
              <w:right w:val="nil"/>
            </w:tcBorders>
            <w:shd w:val="clear" w:color="000000" w:fill="C5D9F1"/>
            <w:vAlign w:val="center"/>
            <w:hideMark/>
          </w:tcPr>
          <w:p w:rsidR="004E456B" w:rsidRPr="006D3D58" w:rsidRDefault="004E456B" w:rsidP="00027A9C">
            <w:pPr>
              <w:jc w:val="center"/>
              <w:rPr>
                <w:b/>
                <w:bCs/>
                <w:sz w:val="16"/>
                <w:szCs w:val="16"/>
              </w:rPr>
            </w:pPr>
            <w:r w:rsidRPr="006D3D58">
              <w:rPr>
                <w:rFonts w:eastAsia="Arial"/>
                <w:b/>
                <w:bCs/>
                <w:sz w:val="16"/>
                <w:szCs w:val="16"/>
                <w:bdr w:val="nil"/>
              </w:rPr>
              <w:t>Saldo al 31 de diciembre de 2016</w:t>
            </w:r>
          </w:p>
        </w:tc>
      </w:tr>
      <w:tr w:rsidR="004E456B" w:rsidRPr="006D3D58" w:rsidTr="00027A9C">
        <w:trPr>
          <w:trHeight w:val="357"/>
        </w:trPr>
        <w:tc>
          <w:tcPr>
            <w:tcW w:w="1842"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238.315</w:t>
            </w:r>
          </w:p>
        </w:tc>
        <w:tc>
          <w:tcPr>
            <w:tcW w:w="1843"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w:t>
            </w:r>
          </w:p>
        </w:tc>
        <w:tc>
          <w:tcPr>
            <w:tcW w:w="1843"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128.072</w:t>
            </w:r>
          </w:p>
        </w:tc>
        <w:tc>
          <w:tcPr>
            <w:tcW w:w="1843"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w:t>
            </w:r>
          </w:p>
        </w:tc>
        <w:tc>
          <w:tcPr>
            <w:tcW w:w="1843"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110.242</w:t>
            </w:r>
          </w:p>
        </w:tc>
      </w:tr>
    </w:tbl>
    <w:p w:rsidR="004E456B" w:rsidRPr="006D3D58" w:rsidRDefault="004E456B" w:rsidP="00027A9C">
      <w:pPr>
        <w:rPr>
          <w:bCs/>
          <w:sz w:val="20"/>
        </w:rPr>
      </w:pPr>
    </w:p>
    <w:p w:rsidR="004E456B" w:rsidRPr="006D3D58" w:rsidRDefault="004E456B" w:rsidP="00027A9C">
      <w:pPr>
        <w:rPr>
          <w:bCs/>
          <w:sz w:val="20"/>
        </w:rPr>
      </w:pPr>
    </w:p>
    <w:p w:rsidR="004E456B" w:rsidRPr="006D3D58" w:rsidRDefault="00765259" w:rsidP="00027A9C">
      <w:pPr>
        <w:keepNext/>
        <w:keepLines/>
        <w:rPr>
          <w:b/>
          <w:sz w:val="20"/>
        </w:rPr>
      </w:pPr>
      <w:r>
        <w:rPr>
          <w:rFonts w:eastAsia="Arial"/>
          <w:b/>
          <w:bCs/>
          <w:sz w:val="20"/>
          <w:bdr w:val="nil"/>
        </w:rPr>
        <w:t xml:space="preserve">SIPO </w:t>
      </w:r>
      <w:r w:rsidR="004E456B" w:rsidRPr="006D3D58">
        <w:rPr>
          <w:rFonts w:eastAsia="Arial"/>
          <w:b/>
          <w:bCs/>
          <w:sz w:val="20"/>
          <w:bdr w:val="nil"/>
        </w:rPr>
        <w:t xml:space="preserve">CHINA </w:t>
      </w:r>
    </w:p>
    <w:p w:rsidR="004E456B" w:rsidRPr="006D3D58" w:rsidRDefault="004E456B" w:rsidP="00027A9C">
      <w:pPr>
        <w:keepNext/>
        <w:keepLines/>
        <w:rPr>
          <w:sz w:val="20"/>
        </w:rPr>
      </w:pPr>
    </w:p>
    <w:tbl>
      <w:tblPr>
        <w:tblW w:w="9214" w:type="dxa"/>
        <w:tblInd w:w="108" w:type="dxa"/>
        <w:tblLayout w:type="fixed"/>
        <w:tblLook w:val="04A0" w:firstRow="1" w:lastRow="0" w:firstColumn="1" w:lastColumn="0" w:noHBand="0" w:noVBand="1"/>
      </w:tblPr>
      <w:tblGrid>
        <w:gridCol w:w="1788"/>
        <w:gridCol w:w="1241"/>
        <w:gridCol w:w="1378"/>
        <w:gridCol w:w="4807"/>
      </w:tblGrid>
      <w:tr w:rsidR="004E456B" w:rsidRPr="008466AF" w:rsidTr="00027A9C">
        <w:trPr>
          <w:cantSplit/>
          <w:trHeight w:val="315"/>
        </w:trPr>
        <w:tc>
          <w:tcPr>
            <w:tcW w:w="9214" w:type="dxa"/>
            <w:gridSpan w:val="4"/>
            <w:shd w:val="clear" w:color="auto" w:fill="C6D9F1" w:themeFill="text2" w:themeFillTint="33"/>
            <w:hideMark/>
          </w:tcPr>
          <w:p w:rsidR="004E456B" w:rsidRPr="006D3D58" w:rsidRDefault="004E456B" w:rsidP="00027A9C">
            <w:pPr>
              <w:keepNext/>
              <w:keepLines/>
              <w:tabs>
                <w:tab w:val="left" w:pos="1740"/>
              </w:tabs>
              <w:spacing w:before="120" w:after="120"/>
              <w:ind w:left="1740" w:hanging="1740"/>
              <w:rPr>
                <w:rFonts w:cs="Times New Roman"/>
                <w:sz w:val="18"/>
                <w:szCs w:val="18"/>
              </w:rPr>
            </w:pPr>
            <w:r w:rsidRPr="006D3D58">
              <w:rPr>
                <w:rFonts w:eastAsia="Arial"/>
                <w:b/>
                <w:bCs/>
                <w:sz w:val="16"/>
                <w:szCs w:val="16"/>
                <w:bdr w:val="nil"/>
              </w:rPr>
              <w:t>RESULTADO:</w:t>
            </w:r>
            <w:r w:rsidRPr="006D3D58">
              <w:rPr>
                <w:rFonts w:eastAsia="Arial"/>
                <w:b/>
                <w:bCs/>
                <w:sz w:val="16"/>
                <w:szCs w:val="16"/>
                <w:bdr w:val="nil"/>
              </w:rPr>
              <w:tab/>
            </w:r>
            <w:r w:rsidRPr="006D3D58">
              <w:rPr>
                <w:rFonts w:eastAsia="Arial"/>
                <w:sz w:val="16"/>
                <w:szCs w:val="16"/>
                <w:bdr w:val="nil"/>
              </w:rPr>
              <w:t>I.1  Mayor cooperación entre los Estados miembros en la elaboración de marcos normativos internacionales de P.I. equilibrados</w:t>
            </w:r>
          </w:p>
        </w:tc>
      </w:tr>
      <w:tr w:rsidR="004E456B" w:rsidRPr="006D3D58" w:rsidTr="00027A9C">
        <w:trPr>
          <w:cantSplit/>
          <w:trHeight w:val="473"/>
        </w:trPr>
        <w:tc>
          <w:tcPr>
            <w:tcW w:w="1788" w:type="dxa"/>
            <w:vAlign w:val="center"/>
            <w:hideMark/>
          </w:tcPr>
          <w:p w:rsidR="004E456B" w:rsidRPr="006D3D58" w:rsidRDefault="004E456B" w:rsidP="00027A9C">
            <w:pPr>
              <w:keepNext/>
              <w:keepLines/>
              <w:rPr>
                <w:b/>
                <w:bCs/>
                <w:sz w:val="16"/>
                <w:szCs w:val="16"/>
              </w:rPr>
            </w:pPr>
            <w:r w:rsidRPr="006D3D58">
              <w:rPr>
                <w:rFonts w:eastAsia="Arial"/>
                <w:b/>
                <w:bCs/>
                <w:sz w:val="16"/>
                <w:szCs w:val="16"/>
                <w:bdr w:val="nil"/>
              </w:rPr>
              <w:t>Actividad</w:t>
            </w:r>
          </w:p>
        </w:tc>
        <w:tc>
          <w:tcPr>
            <w:tcW w:w="1241" w:type="dxa"/>
            <w:vAlign w:val="center"/>
            <w:hideMark/>
          </w:tcPr>
          <w:p w:rsidR="004E456B" w:rsidRPr="006D3D58" w:rsidRDefault="004E456B" w:rsidP="00027A9C">
            <w:pPr>
              <w:keepNext/>
              <w:keepLines/>
              <w:rPr>
                <w:sz w:val="16"/>
                <w:szCs w:val="16"/>
              </w:rPr>
            </w:pPr>
            <w:r w:rsidRPr="006D3D58">
              <w:rPr>
                <w:rFonts w:eastAsia="Arial"/>
                <w:b/>
                <w:bCs/>
                <w:sz w:val="16"/>
                <w:szCs w:val="16"/>
                <w:bdr w:val="nil"/>
              </w:rPr>
              <w:t>Fecha</w:t>
            </w:r>
          </w:p>
        </w:tc>
        <w:tc>
          <w:tcPr>
            <w:tcW w:w="1378" w:type="dxa"/>
            <w:vAlign w:val="center"/>
            <w:hideMark/>
          </w:tcPr>
          <w:p w:rsidR="004E456B" w:rsidRPr="006D3D58" w:rsidRDefault="004E456B" w:rsidP="00027A9C">
            <w:pPr>
              <w:keepNext/>
              <w:keepLines/>
              <w:rPr>
                <w:sz w:val="16"/>
                <w:szCs w:val="16"/>
              </w:rPr>
            </w:pPr>
            <w:r w:rsidRPr="006D3D58">
              <w:rPr>
                <w:rFonts w:eastAsia="Arial"/>
                <w:b/>
                <w:bCs/>
                <w:sz w:val="16"/>
                <w:szCs w:val="16"/>
                <w:bdr w:val="nil"/>
              </w:rPr>
              <w:t>País anfitrión / Beneficiarios</w:t>
            </w:r>
          </w:p>
        </w:tc>
        <w:tc>
          <w:tcPr>
            <w:tcW w:w="4807" w:type="dxa"/>
            <w:vAlign w:val="center"/>
            <w:hideMark/>
          </w:tcPr>
          <w:p w:rsidR="004E456B" w:rsidRPr="006D3D58" w:rsidRDefault="004E456B" w:rsidP="00027A9C">
            <w:pPr>
              <w:keepNext/>
              <w:keepLines/>
              <w:rPr>
                <w:sz w:val="16"/>
                <w:szCs w:val="16"/>
              </w:rPr>
            </w:pPr>
            <w:r w:rsidRPr="006D3D58">
              <w:rPr>
                <w:rFonts w:eastAsia="Arial"/>
                <w:b/>
                <w:bCs/>
                <w:sz w:val="16"/>
                <w:szCs w:val="16"/>
                <w:bdr w:val="nil"/>
              </w:rPr>
              <w:t>Propósito(s)/Descripción</w:t>
            </w:r>
          </w:p>
        </w:tc>
      </w:tr>
      <w:tr w:rsidR="004E456B" w:rsidRPr="008466AF" w:rsidTr="00027A9C">
        <w:trPr>
          <w:cantSplit/>
          <w:trHeight w:val="473"/>
        </w:trPr>
        <w:tc>
          <w:tcPr>
            <w:tcW w:w="1788" w:type="dxa"/>
          </w:tcPr>
          <w:p w:rsidR="004E456B" w:rsidRPr="006D3D58" w:rsidRDefault="004E456B" w:rsidP="00027A9C">
            <w:pPr>
              <w:autoSpaceDE w:val="0"/>
              <w:autoSpaceDN w:val="0"/>
              <w:adjustRightInd w:val="0"/>
              <w:spacing w:before="120" w:after="120"/>
              <w:rPr>
                <w:sz w:val="16"/>
                <w:szCs w:val="16"/>
              </w:rPr>
            </w:pPr>
            <w:r w:rsidRPr="006D3D58">
              <w:rPr>
                <w:rFonts w:eastAsia="Arial"/>
                <w:sz w:val="16"/>
                <w:szCs w:val="16"/>
                <w:bdr w:val="nil"/>
              </w:rPr>
              <w:t xml:space="preserve">Organización de la Conferencia de Alto Nivel sobre Propiedad Intelectual para los Países de la Nueva Ruta de la Seda (OBOR) </w:t>
            </w:r>
          </w:p>
        </w:tc>
        <w:tc>
          <w:tcPr>
            <w:tcW w:w="1241" w:type="dxa"/>
          </w:tcPr>
          <w:p w:rsidR="004E456B" w:rsidRPr="006D3D58" w:rsidRDefault="004E456B" w:rsidP="00027A9C">
            <w:pPr>
              <w:autoSpaceDE w:val="0"/>
              <w:autoSpaceDN w:val="0"/>
              <w:adjustRightInd w:val="0"/>
              <w:spacing w:before="120" w:after="120"/>
              <w:rPr>
                <w:sz w:val="16"/>
                <w:szCs w:val="16"/>
              </w:rPr>
            </w:pPr>
            <w:r w:rsidRPr="006D3D58">
              <w:rPr>
                <w:rFonts w:eastAsia="Arial"/>
                <w:sz w:val="16"/>
                <w:szCs w:val="16"/>
                <w:bdr w:val="nil"/>
              </w:rPr>
              <w:t>21 a 22 de julio de 2016</w:t>
            </w:r>
          </w:p>
        </w:tc>
        <w:tc>
          <w:tcPr>
            <w:tcW w:w="1378" w:type="dxa"/>
          </w:tcPr>
          <w:p w:rsidR="004E456B" w:rsidRPr="006D3D58" w:rsidRDefault="004E456B" w:rsidP="00027A9C">
            <w:pPr>
              <w:autoSpaceDE w:val="0"/>
              <w:autoSpaceDN w:val="0"/>
              <w:adjustRightInd w:val="0"/>
              <w:spacing w:before="120" w:after="120"/>
              <w:rPr>
                <w:sz w:val="16"/>
                <w:szCs w:val="16"/>
              </w:rPr>
            </w:pPr>
            <w:r w:rsidRPr="006D3D58">
              <w:rPr>
                <w:rFonts w:eastAsia="Arial"/>
                <w:sz w:val="16"/>
                <w:szCs w:val="16"/>
                <w:bdr w:val="nil"/>
              </w:rPr>
              <w:t>China/ (más de 50 participantes internacionales)</w:t>
            </w:r>
          </w:p>
        </w:tc>
        <w:tc>
          <w:tcPr>
            <w:tcW w:w="4807"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Proporcionar un foro de diálogo de alto nivel para responsables de políticas y representantes del sector privado y de la esfera académica, con objeto de buscar nuevas oportunidades de promover la innovación y el desarrollo económico y social mediante la cooperación regional en materia de P.I.</w:t>
            </w:r>
          </w:p>
        </w:tc>
      </w:tr>
    </w:tbl>
    <w:p w:rsidR="004E456B" w:rsidRPr="009703BB" w:rsidRDefault="004E456B" w:rsidP="00027A9C">
      <w:pPr>
        <w:rPr>
          <w:bCs/>
          <w:sz w:val="20"/>
        </w:rPr>
      </w:pPr>
    </w:p>
    <w:p w:rsidR="004E456B" w:rsidRPr="006D3D58" w:rsidRDefault="00765259" w:rsidP="00027A9C">
      <w:pPr>
        <w:rPr>
          <w:b/>
          <w:sz w:val="20"/>
        </w:rPr>
      </w:pPr>
      <w:r>
        <w:rPr>
          <w:rFonts w:eastAsia="Arial"/>
          <w:b/>
          <w:bCs/>
          <w:sz w:val="20"/>
          <w:bdr w:val="nil"/>
        </w:rPr>
        <w:t xml:space="preserve">SIPO </w:t>
      </w:r>
      <w:r w:rsidR="004E456B" w:rsidRPr="006D3D58">
        <w:rPr>
          <w:rFonts w:eastAsia="Arial"/>
          <w:b/>
          <w:bCs/>
          <w:sz w:val="20"/>
          <w:bdr w:val="nil"/>
        </w:rPr>
        <w:t>CHINA / Contribuciones del donante y gastos en 2016</w:t>
      </w:r>
    </w:p>
    <w:p w:rsidR="004E456B" w:rsidRPr="006D3D58" w:rsidRDefault="004E456B" w:rsidP="00027A9C">
      <w:pPr>
        <w:rPr>
          <w:bCs/>
          <w:sz w:val="20"/>
        </w:rPr>
      </w:pPr>
    </w:p>
    <w:tbl>
      <w:tblPr>
        <w:tblW w:w="9214" w:type="dxa"/>
        <w:tblInd w:w="108" w:type="dxa"/>
        <w:tblLayout w:type="fixed"/>
        <w:tblLook w:val="04A0" w:firstRow="1" w:lastRow="0" w:firstColumn="1" w:lastColumn="0" w:noHBand="0" w:noVBand="1"/>
      </w:tblPr>
      <w:tblGrid>
        <w:gridCol w:w="1814"/>
        <w:gridCol w:w="1814"/>
        <w:gridCol w:w="1815"/>
        <w:gridCol w:w="1814"/>
        <w:gridCol w:w="1957"/>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6D3D58" w:rsidRDefault="004E456B" w:rsidP="00027A9C">
            <w:pPr>
              <w:jc w:val="center"/>
              <w:rPr>
                <w:b/>
                <w:bCs/>
                <w:sz w:val="16"/>
                <w:szCs w:val="16"/>
              </w:rPr>
            </w:pPr>
            <w:r w:rsidRPr="006D3D58">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6D3D58" w:rsidRDefault="004E456B" w:rsidP="00027A9C">
            <w:pPr>
              <w:jc w:val="center"/>
              <w:rPr>
                <w:b/>
                <w:bCs/>
                <w:sz w:val="16"/>
                <w:szCs w:val="16"/>
              </w:rPr>
            </w:pPr>
            <w:r w:rsidRPr="006D3D58">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6D3D58" w:rsidRDefault="004E456B" w:rsidP="00027A9C">
            <w:pPr>
              <w:jc w:val="center"/>
              <w:rPr>
                <w:b/>
                <w:bCs/>
                <w:sz w:val="16"/>
                <w:szCs w:val="16"/>
              </w:rPr>
            </w:pPr>
            <w:r w:rsidRPr="006D3D58">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6D3D58" w:rsidRDefault="004E456B" w:rsidP="00027A9C">
            <w:pPr>
              <w:keepNext/>
              <w:keepLines/>
              <w:tabs>
                <w:tab w:val="left" w:pos="1740"/>
              </w:tabs>
              <w:spacing w:before="120" w:after="120"/>
              <w:ind w:left="1740" w:hanging="1740"/>
              <w:rPr>
                <w:b/>
                <w:bCs/>
                <w:sz w:val="16"/>
                <w:szCs w:val="16"/>
              </w:rPr>
            </w:pPr>
            <w:r w:rsidRPr="006D3D58">
              <w:rPr>
                <w:rFonts w:eastAsia="Arial"/>
                <w:b/>
                <w:sz w:val="16"/>
                <w:szCs w:val="16"/>
                <w:bdr w:val="nil"/>
              </w:rPr>
              <w:t>Reembolsos</w:t>
            </w:r>
          </w:p>
        </w:tc>
        <w:tc>
          <w:tcPr>
            <w:tcW w:w="1957" w:type="dxa"/>
            <w:tcBorders>
              <w:top w:val="nil"/>
              <w:left w:val="nil"/>
              <w:bottom w:val="nil"/>
              <w:right w:val="nil"/>
            </w:tcBorders>
            <w:shd w:val="clear" w:color="000000" w:fill="C5D9F1"/>
            <w:vAlign w:val="center"/>
            <w:hideMark/>
          </w:tcPr>
          <w:p w:rsidR="004E456B" w:rsidRPr="006D3D58" w:rsidRDefault="004E456B" w:rsidP="00027A9C">
            <w:pPr>
              <w:jc w:val="center"/>
              <w:rPr>
                <w:b/>
                <w:bCs/>
                <w:sz w:val="16"/>
                <w:szCs w:val="16"/>
              </w:rPr>
            </w:pPr>
            <w:r w:rsidRPr="006D3D58">
              <w:rPr>
                <w:rFonts w:eastAsia="Arial"/>
                <w:b/>
                <w:bCs/>
                <w:sz w:val="16"/>
                <w:szCs w:val="16"/>
                <w:bdr w:val="nil"/>
              </w:rPr>
              <w:t>Saldo al 31 de diciembre de 2016</w:t>
            </w:r>
          </w:p>
        </w:tc>
      </w:tr>
      <w:tr w:rsidR="004E456B" w:rsidRPr="006D3D58" w:rsidTr="00027A9C">
        <w:trPr>
          <w:trHeight w:val="357"/>
        </w:trPr>
        <w:tc>
          <w:tcPr>
            <w:tcW w:w="1814"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w:t>
            </w:r>
          </w:p>
        </w:tc>
        <w:tc>
          <w:tcPr>
            <w:tcW w:w="1814"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327.817</w:t>
            </w:r>
          </w:p>
        </w:tc>
        <w:tc>
          <w:tcPr>
            <w:tcW w:w="1815"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226.481</w:t>
            </w:r>
          </w:p>
        </w:tc>
        <w:tc>
          <w:tcPr>
            <w:tcW w:w="1814"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w:t>
            </w:r>
          </w:p>
        </w:tc>
        <w:tc>
          <w:tcPr>
            <w:tcW w:w="1957" w:type="dxa"/>
            <w:tcBorders>
              <w:top w:val="nil"/>
              <w:left w:val="nil"/>
              <w:bottom w:val="nil"/>
              <w:right w:val="nil"/>
            </w:tcBorders>
            <w:shd w:val="clear" w:color="auto" w:fill="auto"/>
            <w:noWrap/>
            <w:vAlign w:val="bottom"/>
            <w:hideMark/>
          </w:tcPr>
          <w:p w:rsidR="004E456B" w:rsidRPr="006D3D58" w:rsidRDefault="004E456B" w:rsidP="00027A9C">
            <w:pPr>
              <w:jc w:val="center"/>
              <w:rPr>
                <w:sz w:val="16"/>
                <w:szCs w:val="16"/>
              </w:rPr>
            </w:pPr>
            <w:r w:rsidRPr="006D3D58">
              <w:rPr>
                <w:sz w:val="16"/>
                <w:szCs w:val="16"/>
              </w:rPr>
              <w:t>101.336</w:t>
            </w:r>
          </w:p>
        </w:tc>
      </w:tr>
    </w:tbl>
    <w:p w:rsidR="004E456B" w:rsidRPr="006D3D58" w:rsidRDefault="004E456B" w:rsidP="00027A9C">
      <w:pPr>
        <w:rPr>
          <w:bCs/>
          <w:sz w:val="20"/>
        </w:rPr>
      </w:pPr>
    </w:p>
    <w:p w:rsidR="004E456B" w:rsidRPr="006D3D58" w:rsidRDefault="004E456B" w:rsidP="00027A9C">
      <w:pPr>
        <w:rPr>
          <w:bCs/>
          <w:sz w:val="20"/>
        </w:rPr>
      </w:pPr>
    </w:p>
    <w:p w:rsidR="004E456B" w:rsidRPr="006D3D58" w:rsidRDefault="004E456B" w:rsidP="00027A9C">
      <w:pPr>
        <w:rPr>
          <w:b/>
          <w:sz w:val="20"/>
        </w:rPr>
      </w:pPr>
      <w:r w:rsidRPr="006D3D58">
        <w:rPr>
          <w:rFonts w:eastAsia="Arial"/>
          <w:b/>
          <w:bCs/>
          <w:sz w:val="20"/>
          <w:bdr w:val="nil"/>
        </w:rPr>
        <w:t>FINLANDIA / DERECHO DE AUTOR</w:t>
      </w:r>
    </w:p>
    <w:p w:rsidR="004E456B" w:rsidRPr="006D3D58" w:rsidRDefault="004E456B" w:rsidP="00027A9C">
      <w:pPr>
        <w:rPr>
          <w:bCs/>
          <w:sz w:val="20"/>
        </w:rPr>
      </w:pPr>
    </w:p>
    <w:tbl>
      <w:tblPr>
        <w:tblW w:w="9214" w:type="dxa"/>
        <w:tblInd w:w="108" w:type="dxa"/>
        <w:tblLayout w:type="fixed"/>
        <w:tblLook w:val="0000" w:firstRow="0" w:lastRow="0" w:firstColumn="0" w:lastColumn="0" w:noHBand="0" w:noVBand="0"/>
      </w:tblPr>
      <w:tblGrid>
        <w:gridCol w:w="1925"/>
        <w:gridCol w:w="1240"/>
        <w:gridCol w:w="1514"/>
        <w:gridCol w:w="4535"/>
      </w:tblGrid>
      <w:tr w:rsidR="004E456B" w:rsidRPr="008466AF" w:rsidTr="00027A9C">
        <w:tc>
          <w:tcPr>
            <w:tcW w:w="9214" w:type="dxa"/>
            <w:gridSpan w:val="4"/>
            <w:shd w:val="clear" w:color="auto" w:fill="C6D9F1" w:themeFill="text2" w:themeFillTint="33"/>
            <w:vAlign w:val="center"/>
          </w:tcPr>
          <w:p w:rsidR="004E456B" w:rsidRPr="006D3D58" w:rsidRDefault="004E456B" w:rsidP="00027A9C">
            <w:pPr>
              <w:keepNext/>
              <w:keepLines/>
              <w:tabs>
                <w:tab w:val="left" w:pos="1740"/>
              </w:tabs>
              <w:spacing w:before="120" w:after="60"/>
              <w:ind w:left="1741" w:hanging="1741"/>
              <w:rPr>
                <w:b/>
                <w:bCs/>
                <w:sz w:val="16"/>
                <w:szCs w:val="16"/>
              </w:rPr>
            </w:pPr>
            <w:r w:rsidRPr="006D3D58">
              <w:rPr>
                <w:rFonts w:eastAsia="Arial"/>
                <w:b/>
                <w:bCs/>
                <w:sz w:val="16"/>
                <w:szCs w:val="16"/>
                <w:bdr w:val="nil"/>
              </w:rPr>
              <w:t>RESULTADO:</w:t>
            </w:r>
            <w:r w:rsidRPr="006D3D58">
              <w:rPr>
                <w:rFonts w:eastAsia="Arial"/>
                <w:b/>
                <w:bCs/>
                <w:sz w:val="16"/>
                <w:szCs w:val="16"/>
                <w:bdr w:val="nil"/>
              </w:rPr>
              <w:tab/>
            </w:r>
            <w:r w:rsidRPr="006D3D58">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RPr="006D3D58" w:rsidTr="00027A9C">
        <w:tc>
          <w:tcPr>
            <w:tcW w:w="1925" w:type="dxa"/>
            <w:vAlign w:val="center"/>
          </w:tcPr>
          <w:p w:rsidR="004E456B" w:rsidRPr="006D3D58" w:rsidRDefault="004E456B" w:rsidP="00027A9C">
            <w:pPr>
              <w:keepNext/>
              <w:keepLines/>
              <w:rPr>
                <w:b/>
                <w:bCs/>
                <w:sz w:val="16"/>
                <w:szCs w:val="16"/>
              </w:rPr>
            </w:pPr>
            <w:r w:rsidRPr="006D3D58">
              <w:rPr>
                <w:rFonts w:eastAsia="Arial"/>
                <w:b/>
                <w:bCs/>
                <w:sz w:val="16"/>
                <w:szCs w:val="16"/>
                <w:bdr w:val="nil"/>
              </w:rPr>
              <w:t>Actividad</w:t>
            </w:r>
          </w:p>
        </w:tc>
        <w:tc>
          <w:tcPr>
            <w:tcW w:w="1240" w:type="dxa"/>
            <w:shd w:val="clear" w:color="auto" w:fill="auto"/>
            <w:tcMar>
              <w:top w:w="110" w:type="dxa"/>
            </w:tcMar>
            <w:vAlign w:val="center"/>
          </w:tcPr>
          <w:p w:rsidR="004E456B" w:rsidRPr="006D3D58" w:rsidRDefault="004E456B" w:rsidP="00027A9C">
            <w:pPr>
              <w:keepNext/>
              <w:keepLines/>
              <w:rPr>
                <w:sz w:val="16"/>
                <w:szCs w:val="16"/>
              </w:rPr>
            </w:pPr>
            <w:r w:rsidRPr="006D3D58">
              <w:rPr>
                <w:rFonts w:eastAsia="Arial"/>
                <w:b/>
                <w:bCs/>
                <w:sz w:val="16"/>
                <w:szCs w:val="16"/>
                <w:bdr w:val="nil"/>
              </w:rPr>
              <w:t>Fecha</w:t>
            </w:r>
          </w:p>
        </w:tc>
        <w:tc>
          <w:tcPr>
            <w:tcW w:w="1514" w:type="dxa"/>
            <w:shd w:val="clear" w:color="auto" w:fill="auto"/>
            <w:tcMar>
              <w:top w:w="110" w:type="dxa"/>
            </w:tcMar>
            <w:vAlign w:val="center"/>
          </w:tcPr>
          <w:p w:rsidR="004E456B" w:rsidRPr="006D3D58" w:rsidRDefault="004E456B" w:rsidP="00027A9C">
            <w:pPr>
              <w:keepNext/>
              <w:keepLines/>
              <w:rPr>
                <w:sz w:val="16"/>
                <w:szCs w:val="16"/>
              </w:rPr>
            </w:pPr>
            <w:r w:rsidRPr="006D3D58">
              <w:rPr>
                <w:rFonts w:eastAsia="Arial"/>
                <w:b/>
                <w:bCs/>
                <w:sz w:val="16"/>
                <w:szCs w:val="16"/>
                <w:bdr w:val="nil"/>
              </w:rPr>
              <w:t>País anfitrión / Beneficiarios</w:t>
            </w:r>
          </w:p>
        </w:tc>
        <w:tc>
          <w:tcPr>
            <w:tcW w:w="4535" w:type="dxa"/>
            <w:shd w:val="clear" w:color="auto" w:fill="FFFFFF"/>
            <w:tcMar>
              <w:top w:w="110" w:type="dxa"/>
            </w:tcMar>
            <w:vAlign w:val="center"/>
          </w:tcPr>
          <w:p w:rsidR="004E456B" w:rsidRPr="006D3D58" w:rsidRDefault="004E456B" w:rsidP="00027A9C">
            <w:pPr>
              <w:keepNext/>
              <w:keepLines/>
              <w:rPr>
                <w:sz w:val="16"/>
                <w:szCs w:val="16"/>
              </w:rPr>
            </w:pPr>
            <w:r w:rsidRPr="006D3D58">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trHeight w:val="473"/>
        </w:trPr>
        <w:tc>
          <w:tcPr>
            <w:tcW w:w="1925" w:type="dxa"/>
          </w:tcPr>
          <w:p w:rsidR="004E456B" w:rsidRPr="00FE1DC4" w:rsidRDefault="004E456B" w:rsidP="00027A9C">
            <w:pPr>
              <w:spacing w:before="240"/>
              <w:rPr>
                <w:rFonts w:eastAsia="MS Mincho"/>
                <w:sz w:val="16"/>
                <w:szCs w:val="16"/>
                <w:lang w:eastAsia="ja-JP" w:bidi="th-TH"/>
              </w:rPr>
            </w:pPr>
            <w:r w:rsidRPr="00FE1DC4">
              <w:rPr>
                <w:rFonts w:eastAsia="Arial"/>
                <w:sz w:val="16"/>
                <w:szCs w:val="16"/>
                <w:bdr w:val="nil"/>
                <w:lang w:eastAsia="ja-JP" w:bidi="th-TH"/>
              </w:rPr>
              <w:t>Elaborar directrices para evaluar la incidencia económica, social y cultural del derecho de autor en las industrias creativas</w:t>
            </w:r>
          </w:p>
        </w:tc>
        <w:tc>
          <w:tcPr>
            <w:tcW w:w="1240" w:type="dxa"/>
          </w:tcPr>
          <w:p w:rsidR="004E456B" w:rsidRPr="00FE1DC4" w:rsidRDefault="004E456B" w:rsidP="00027A9C">
            <w:pPr>
              <w:spacing w:before="240"/>
              <w:rPr>
                <w:rFonts w:eastAsia="MS Mincho"/>
                <w:sz w:val="16"/>
                <w:szCs w:val="16"/>
                <w:lang w:eastAsia="ja-JP" w:bidi="th-TH"/>
              </w:rPr>
            </w:pPr>
            <w:r w:rsidRPr="00FE1DC4">
              <w:rPr>
                <w:rFonts w:eastAsia="Arial"/>
                <w:sz w:val="16"/>
                <w:szCs w:val="16"/>
                <w:bdr w:val="nil"/>
                <w:lang w:eastAsia="ja-JP" w:bidi="th-TH"/>
              </w:rPr>
              <w:t>Marzo de 2016</w:t>
            </w:r>
          </w:p>
        </w:tc>
        <w:tc>
          <w:tcPr>
            <w:tcW w:w="1514" w:type="dxa"/>
          </w:tcPr>
          <w:p w:rsidR="004E456B" w:rsidRPr="00FE1DC4" w:rsidRDefault="004E456B" w:rsidP="00027A9C">
            <w:pPr>
              <w:spacing w:before="240"/>
              <w:rPr>
                <w:rFonts w:eastAsia="MS Mincho"/>
                <w:sz w:val="16"/>
                <w:szCs w:val="16"/>
                <w:lang w:eastAsia="ja-JP" w:bidi="th-TH"/>
              </w:rPr>
            </w:pPr>
            <w:r w:rsidRPr="00FE1DC4">
              <w:rPr>
                <w:rFonts w:eastAsia="Arial"/>
                <w:sz w:val="16"/>
                <w:szCs w:val="16"/>
                <w:bdr w:val="nil"/>
                <w:lang w:eastAsia="ja-JP" w:bidi="th-TH"/>
              </w:rPr>
              <w:t>Finlandia</w:t>
            </w:r>
          </w:p>
        </w:tc>
        <w:tc>
          <w:tcPr>
            <w:tcW w:w="4535" w:type="dxa"/>
          </w:tcPr>
          <w:p w:rsidR="004E456B" w:rsidRPr="009703BB" w:rsidRDefault="004E456B" w:rsidP="00027A9C">
            <w:pPr>
              <w:spacing w:before="240"/>
              <w:rPr>
                <w:rFonts w:eastAsia="MS Mincho"/>
                <w:color w:val="000000"/>
                <w:sz w:val="16"/>
                <w:szCs w:val="16"/>
                <w:lang w:eastAsia="ja-JP" w:bidi="th-TH"/>
              </w:rPr>
            </w:pPr>
            <w:r>
              <w:rPr>
                <w:rFonts w:eastAsia="Arial"/>
                <w:color w:val="000000"/>
                <w:sz w:val="16"/>
                <w:szCs w:val="16"/>
                <w:bdr w:val="nil"/>
                <w:lang w:eastAsia="ja-JP" w:bidi="th-TH"/>
              </w:rPr>
              <w:t>Presentación por el experto de un texto para la fase piloto del proyecto sobre la evaluación de las repercusiones económicas, sociales y culturales del derecho de autor en las industrias creativas en Finlandia, con el fin de poner a prueba la aplicación de las directrices de la OMPI en Finlandia.</w:t>
            </w:r>
          </w:p>
        </w:tc>
      </w:tr>
    </w:tbl>
    <w:p w:rsidR="004E456B" w:rsidRPr="009703BB" w:rsidRDefault="004E456B" w:rsidP="00027A9C">
      <w:pPr>
        <w:rPr>
          <w:b/>
          <w:sz w:val="20"/>
        </w:rPr>
      </w:pPr>
    </w:p>
    <w:p w:rsidR="004E456B" w:rsidRPr="00F430A3" w:rsidRDefault="004E456B" w:rsidP="00027A9C">
      <w:pPr>
        <w:keepNext/>
        <w:rPr>
          <w:b/>
          <w:sz w:val="20"/>
        </w:rPr>
      </w:pPr>
      <w:r w:rsidRPr="00F430A3">
        <w:rPr>
          <w:rFonts w:eastAsia="Arial"/>
          <w:b/>
          <w:bCs/>
          <w:sz w:val="20"/>
          <w:bdr w:val="nil"/>
        </w:rPr>
        <w:t>FINLANDIA / DERECHO DE AUTOR - Contribuciones del donante y gastos en 2016</w:t>
      </w:r>
    </w:p>
    <w:p w:rsidR="004E456B" w:rsidRPr="00F430A3" w:rsidRDefault="004E456B" w:rsidP="00027A9C">
      <w:pPr>
        <w:keepNext/>
        <w:rPr>
          <w:b/>
          <w:sz w:val="20"/>
        </w:rPr>
      </w:pPr>
    </w:p>
    <w:tbl>
      <w:tblPr>
        <w:tblW w:w="9214" w:type="dxa"/>
        <w:tblInd w:w="108" w:type="dxa"/>
        <w:tblLayout w:type="fixed"/>
        <w:tblLook w:val="04A0" w:firstRow="1" w:lastRow="0" w:firstColumn="1" w:lastColumn="0" w:noHBand="0" w:noVBand="1"/>
      </w:tblPr>
      <w:tblGrid>
        <w:gridCol w:w="1814"/>
        <w:gridCol w:w="1814"/>
        <w:gridCol w:w="1815"/>
        <w:gridCol w:w="1814"/>
        <w:gridCol w:w="1957"/>
      </w:tblGrid>
      <w:tr w:rsidR="004E456B" w:rsidRPr="008466AF" w:rsidTr="00027A9C">
        <w:trPr>
          <w:trHeight w:val="544"/>
        </w:trPr>
        <w:tc>
          <w:tcPr>
            <w:tcW w:w="1814" w:type="dxa"/>
            <w:shd w:val="clear" w:color="000000" w:fill="C5D9F1"/>
            <w:vAlign w:val="center"/>
            <w:hideMark/>
          </w:tcPr>
          <w:p w:rsidR="004E456B" w:rsidRPr="00F430A3" w:rsidRDefault="004E456B" w:rsidP="00027A9C">
            <w:pPr>
              <w:keepNext/>
              <w:jc w:val="center"/>
              <w:rPr>
                <w:b/>
                <w:bCs/>
                <w:sz w:val="16"/>
                <w:szCs w:val="16"/>
              </w:rPr>
            </w:pPr>
            <w:r w:rsidRPr="00F430A3">
              <w:rPr>
                <w:rFonts w:eastAsia="Arial"/>
                <w:b/>
                <w:bCs/>
                <w:sz w:val="16"/>
                <w:szCs w:val="16"/>
                <w:bdr w:val="nil"/>
              </w:rPr>
              <w:t>Saldo al 31 de diciembre de 2015</w:t>
            </w:r>
          </w:p>
        </w:tc>
        <w:tc>
          <w:tcPr>
            <w:tcW w:w="1814" w:type="dxa"/>
            <w:shd w:val="clear" w:color="000000" w:fill="C5D9F1"/>
            <w:noWrap/>
            <w:vAlign w:val="center"/>
            <w:hideMark/>
          </w:tcPr>
          <w:p w:rsidR="004E456B" w:rsidRPr="00F430A3" w:rsidRDefault="004E456B" w:rsidP="00027A9C">
            <w:pPr>
              <w:keepNext/>
              <w:jc w:val="center"/>
              <w:rPr>
                <w:b/>
                <w:bCs/>
                <w:sz w:val="16"/>
                <w:szCs w:val="16"/>
              </w:rPr>
            </w:pPr>
            <w:r w:rsidRPr="00F430A3">
              <w:rPr>
                <w:rFonts w:eastAsia="Arial"/>
                <w:b/>
                <w:bCs/>
                <w:sz w:val="16"/>
                <w:szCs w:val="16"/>
                <w:bdr w:val="nil"/>
              </w:rPr>
              <w:t>Ingresos en 2016</w:t>
            </w:r>
          </w:p>
        </w:tc>
        <w:tc>
          <w:tcPr>
            <w:tcW w:w="1815" w:type="dxa"/>
            <w:shd w:val="clear" w:color="000000" w:fill="C5D9F1"/>
            <w:noWrap/>
            <w:vAlign w:val="center"/>
            <w:hideMark/>
          </w:tcPr>
          <w:p w:rsidR="004E456B" w:rsidRPr="00F430A3" w:rsidRDefault="004E456B" w:rsidP="00027A9C">
            <w:pPr>
              <w:keepNext/>
              <w:jc w:val="center"/>
              <w:rPr>
                <w:b/>
                <w:bCs/>
                <w:sz w:val="16"/>
                <w:szCs w:val="16"/>
              </w:rPr>
            </w:pPr>
            <w:r w:rsidRPr="00F430A3">
              <w:rPr>
                <w:rFonts w:eastAsia="Arial"/>
                <w:b/>
                <w:bCs/>
                <w:sz w:val="16"/>
                <w:szCs w:val="16"/>
                <w:bdr w:val="nil"/>
              </w:rPr>
              <w:t>Gastos en 2016</w:t>
            </w:r>
          </w:p>
        </w:tc>
        <w:tc>
          <w:tcPr>
            <w:tcW w:w="1814" w:type="dxa"/>
            <w:shd w:val="clear" w:color="000000" w:fill="C5D9F1"/>
            <w:noWrap/>
            <w:vAlign w:val="center"/>
            <w:hideMark/>
          </w:tcPr>
          <w:p w:rsidR="004E456B" w:rsidRPr="00F430A3" w:rsidRDefault="004E456B" w:rsidP="00027A9C">
            <w:pPr>
              <w:keepNext/>
              <w:jc w:val="center"/>
              <w:rPr>
                <w:b/>
                <w:bCs/>
                <w:sz w:val="16"/>
                <w:szCs w:val="16"/>
              </w:rPr>
            </w:pPr>
            <w:r w:rsidRPr="00F430A3">
              <w:rPr>
                <w:rFonts w:eastAsia="Arial"/>
                <w:b/>
                <w:bCs/>
                <w:sz w:val="16"/>
                <w:szCs w:val="16"/>
                <w:bdr w:val="nil"/>
              </w:rPr>
              <w:t>Reembolsos</w:t>
            </w:r>
          </w:p>
        </w:tc>
        <w:tc>
          <w:tcPr>
            <w:tcW w:w="1957" w:type="dxa"/>
            <w:shd w:val="clear" w:color="000000" w:fill="C5D9F1"/>
            <w:vAlign w:val="center"/>
            <w:hideMark/>
          </w:tcPr>
          <w:p w:rsidR="004E456B" w:rsidRPr="00F430A3" w:rsidRDefault="004E456B" w:rsidP="00027A9C">
            <w:pPr>
              <w:keepNext/>
              <w:jc w:val="center"/>
              <w:rPr>
                <w:b/>
                <w:bCs/>
                <w:sz w:val="16"/>
                <w:szCs w:val="16"/>
              </w:rPr>
            </w:pPr>
            <w:r w:rsidRPr="00F430A3">
              <w:rPr>
                <w:rFonts w:eastAsia="Arial"/>
                <w:b/>
                <w:bCs/>
                <w:sz w:val="16"/>
                <w:szCs w:val="16"/>
                <w:bdr w:val="nil"/>
              </w:rPr>
              <w:t>Saldo al 31 de diciembre de 2016</w:t>
            </w:r>
          </w:p>
        </w:tc>
      </w:tr>
      <w:tr w:rsidR="004E456B" w:rsidRPr="00F430A3" w:rsidTr="00027A9C">
        <w:trPr>
          <w:trHeight w:val="357"/>
        </w:trPr>
        <w:tc>
          <w:tcPr>
            <w:tcW w:w="1814" w:type="dxa"/>
            <w:shd w:val="clear" w:color="auto" w:fill="auto"/>
            <w:noWrap/>
            <w:vAlign w:val="bottom"/>
            <w:hideMark/>
          </w:tcPr>
          <w:p w:rsidR="004E456B" w:rsidRPr="00F430A3" w:rsidRDefault="004E456B" w:rsidP="00027A9C">
            <w:pPr>
              <w:jc w:val="center"/>
              <w:rPr>
                <w:sz w:val="16"/>
                <w:szCs w:val="16"/>
              </w:rPr>
            </w:pPr>
            <w:r w:rsidRPr="00F430A3">
              <w:rPr>
                <w:sz w:val="16"/>
                <w:szCs w:val="16"/>
              </w:rPr>
              <w:t>14.360</w:t>
            </w:r>
          </w:p>
        </w:tc>
        <w:tc>
          <w:tcPr>
            <w:tcW w:w="1814" w:type="dxa"/>
            <w:shd w:val="clear" w:color="auto" w:fill="auto"/>
            <w:noWrap/>
            <w:vAlign w:val="bottom"/>
            <w:hideMark/>
          </w:tcPr>
          <w:p w:rsidR="004E456B" w:rsidRPr="00F430A3" w:rsidRDefault="004E456B" w:rsidP="00027A9C">
            <w:pPr>
              <w:jc w:val="center"/>
              <w:rPr>
                <w:sz w:val="16"/>
                <w:szCs w:val="16"/>
              </w:rPr>
            </w:pPr>
            <w:r w:rsidRPr="00F430A3">
              <w:rPr>
                <w:sz w:val="16"/>
                <w:szCs w:val="16"/>
              </w:rPr>
              <w:t>-</w:t>
            </w:r>
          </w:p>
        </w:tc>
        <w:tc>
          <w:tcPr>
            <w:tcW w:w="1815" w:type="dxa"/>
            <w:shd w:val="clear" w:color="auto" w:fill="auto"/>
            <w:noWrap/>
            <w:vAlign w:val="bottom"/>
            <w:hideMark/>
          </w:tcPr>
          <w:p w:rsidR="004E456B" w:rsidRPr="00F430A3" w:rsidRDefault="004E456B" w:rsidP="00027A9C">
            <w:pPr>
              <w:jc w:val="center"/>
              <w:rPr>
                <w:sz w:val="16"/>
                <w:szCs w:val="16"/>
              </w:rPr>
            </w:pPr>
            <w:r w:rsidRPr="00F430A3">
              <w:rPr>
                <w:sz w:val="16"/>
                <w:szCs w:val="16"/>
              </w:rPr>
              <w:t>11.345</w:t>
            </w:r>
          </w:p>
        </w:tc>
        <w:tc>
          <w:tcPr>
            <w:tcW w:w="1814" w:type="dxa"/>
            <w:shd w:val="clear" w:color="auto" w:fill="auto"/>
            <w:noWrap/>
            <w:vAlign w:val="bottom"/>
            <w:hideMark/>
          </w:tcPr>
          <w:p w:rsidR="004E456B" w:rsidRPr="00F430A3" w:rsidRDefault="004E456B" w:rsidP="00027A9C">
            <w:pPr>
              <w:jc w:val="center"/>
              <w:rPr>
                <w:sz w:val="16"/>
                <w:szCs w:val="16"/>
              </w:rPr>
            </w:pPr>
            <w:r w:rsidRPr="00F430A3">
              <w:rPr>
                <w:sz w:val="16"/>
                <w:szCs w:val="16"/>
              </w:rPr>
              <w:t>-</w:t>
            </w:r>
          </w:p>
        </w:tc>
        <w:tc>
          <w:tcPr>
            <w:tcW w:w="1957" w:type="dxa"/>
            <w:shd w:val="clear" w:color="auto" w:fill="auto"/>
            <w:noWrap/>
            <w:vAlign w:val="bottom"/>
            <w:hideMark/>
          </w:tcPr>
          <w:p w:rsidR="004E456B" w:rsidRPr="00F430A3" w:rsidRDefault="004E456B" w:rsidP="00027A9C">
            <w:pPr>
              <w:jc w:val="center"/>
              <w:rPr>
                <w:sz w:val="16"/>
                <w:szCs w:val="16"/>
              </w:rPr>
            </w:pPr>
            <w:r w:rsidRPr="00F430A3">
              <w:rPr>
                <w:sz w:val="16"/>
                <w:szCs w:val="16"/>
              </w:rPr>
              <w:t>3.015</w:t>
            </w:r>
          </w:p>
        </w:tc>
      </w:tr>
    </w:tbl>
    <w:p w:rsidR="004E456B" w:rsidRPr="00F430A3" w:rsidRDefault="004E456B" w:rsidP="00027A9C">
      <w:pPr>
        <w:jc w:val="center"/>
        <w:rPr>
          <w:rFonts w:cs="Times New Roman"/>
          <w:sz w:val="20"/>
          <w:szCs w:val="24"/>
        </w:rPr>
      </w:pPr>
    </w:p>
    <w:p w:rsidR="004E456B" w:rsidRPr="00F430A3" w:rsidRDefault="004E456B" w:rsidP="00027A9C">
      <w:pPr>
        <w:jc w:val="center"/>
        <w:rPr>
          <w:rFonts w:cs="Times New Roman"/>
          <w:sz w:val="20"/>
          <w:szCs w:val="24"/>
        </w:rPr>
      </w:pPr>
    </w:p>
    <w:p w:rsidR="004E456B" w:rsidRPr="00F430A3" w:rsidRDefault="004E456B" w:rsidP="00027A9C">
      <w:pPr>
        <w:keepNext/>
        <w:keepLines/>
        <w:rPr>
          <w:b/>
          <w:sz w:val="20"/>
          <w:szCs w:val="16"/>
        </w:rPr>
      </w:pPr>
      <w:r w:rsidRPr="00F430A3">
        <w:rPr>
          <w:rFonts w:eastAsia="Arial"/>
          <w:b/>
          <w:bCs/>
          <w:sz w:val="20"/>
          <w:bdr w:val="nil"/>
        </w:rPr>
        <w:t>FRANCIA / PROPIEDAD INDUSTRIAL</w:t>
      </w:r>
    </w:p>
    <w:p w:rsidR="004E456B" w:rsidRPr="00F430A3" w:rsidRDefault="004E456B" w:rsidP="00027A9C">
      <w:pPr>
        <w:keepNext/>
        <w:keepLines/>
        <w:rPr>
          <w:b/>
          <w:sz w:val="16"/>
          <w:szCs w:val="16"/>
        </w:rPr>
      </w:pPr>
    </w:p>
    <w:tbl>
      <w:tblPr>
        <w:tblW w:w="9214" w:type="dxa"/>
        <w:tblInd w:w="108" w:type="dxa"/>
        <w:tblLayout w:type="fixed"/>
        <w:tblLook w:val="0000" w:firstRow="0" w:lastRow="0" w:firstColumn="0" w:lastColumn="0" w:noHBand="0" w:noVBand="0"/>
      </w:tblPr>
      <w:tblGrid>
        <w:gridCol w:w="1925"/>
        <w:gridCol w:w="1240"/>
        <w:gridCol w:w="1514"/>
        <w:gridCol w:w="4535"/>
      </w:tblGrid>
      <w:tr w:rsidR="004E456B" w:rsidRPr="008466AF" w:rsidTr="00027A9C">
        <w:tc>
          <w:tcPr>
            <w:tcW w:w="9214" w:type="dxa"/>
            <w:gridSpan w:val="4"/>
            <w:shd w:val="clear" w:color="auto" w:fill="C6D9F1" w:themeFill="text2" w:themeFillTint="33"/>
            <w:vAlign w:val="center"/>
          </w:tcPr>
          <w:p w:rsidR="004E456B" w:rsidRPr="00F430A3" w:rsidRDefault="004E456B" w:rsidP="00027A9C">
            <w:pPr>
              <w:keepNext/>
              <w:keepLines/>
              <w:tabs>
                <w:tab w:val="left" w:pos="1740"/>
              </w:tabs>
              <w:spacing w:before="120" w:after="60"/>
              <w:ind w:left="1741" w:hanging="1741"/>
              <w:rPr>
                <w:b/>
                <w:bCs/>
                <w:sz w:val="16"/>
                <w:szCs w:val="16"/>
              </w:rPr>
            </w:pPr>
            <w:r w:rsidRPr="00F430A3">
              <w:rPr>
                <w:rFonts w:eastAsia="Arial"/>
                <w:b/>
                <w:bCs/>
                <w:sz w:val="16"/>
                <w:szCs w:val="16"/>
                <w:bdr w:val="nil"/>
              </w:rPr>
              <w:t>RESULTADO:</w:t>
            </w:r>
            <w:r w:rsidRPr="00F430A3">
              <w:rPr>
                <w:rFonts w:eastAsia="Arial"/>
                <w:b/>
                <w:bCs/>
                <w:sz w:val="16"/>
                <w:szCs w:val="16"/>
                <w:bdr w:val="nil"/>
              </w:rPr>
              <w:tab/>
            </w:r>
            <w:r w:rsidRPr="00F430A3">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RPr="00F430A3" w:rsidTr="00027A9C">
        <w:tc>
          <w:tcPr>
            <w:tcW w:w="1925" w:type="dxa"/>
            <w:vAlign w:val="center"/>
          </w:tcPr>
          <w:p w:rsidR="004E456B" w:rsidRPr="00F430A3" w:rsidRDefault="004E456B" w:rsidP="00027A9C">
            <w:pPr>
              <w:keepNext/>
              <w:keepLines/>
              <w:rPr>
                <w:b/>
                <w:bCs/>
                <w:sz w:val="16"/>
                <w:szCs w:val="16"/>
              </w:rPr>
            </w:pPr>
            <w:r w:rsidRPr="00F430A3">
              <w:rPr>
                <w:rFonts w:eastAsia="Arial"/>
                <w:b/>
                <w:bCs/>
                <w:sz w:val="16"/>
                <w:szCs w:val="16"/>
                <w:bdr w:val="nil"/>
              </w:rPr>
              <w:t>Actividad</w:t>
            </w:r>
          </w:p>
        </w:tc>
        <w:tc>
          <w:tcPr>
            <w:tcW w:w="1240" w:type="dxa"/>
            <w:shd w:val="clear" w:color="auto" w:fill="auto"/>
            <w:tcMar>
              <w:top w:w="110" w:type="dxa"/>
            </w:tcMar>
            <w:vAlign w:val="center"/>
          </w:tcPr>
          <w:p w:rsidR="004E456B" w:rsidRPr="00F430A3" w:rsidRDefault="004E456B" w:rsidP="00027A9C">
            <w:pPr>
              <w:keepNext/>
              <w:keepLines/>
              <w:rPr>
                <w:sz w:val="16"/>
                <w:szCs w:val="16"/>
              </w:rPr>
            </w:pPr>
            <w:r w:rsidRPr="00F430A3">
              <w:rPr>
                <w:rFonts w:eastAsia="Arial"/>
                <w:b/>
                <w:bCs/>
                <w:sz w:val="16"/>
                <w:szCs w:val="16"/>
                <w:bdr w:val="nil"/>
              </w:rPr>
              <w:t>Fecha</w:t>
            </w:r>
          </w:p>
        </w:tc>
        <w:tc>
          <w:tcPr>
            <w:tcW w:w="1514" w:type="dxa"/>
            <w:shd w:val="clear" w:color="auto" w:fill="auto"/>
            <w:tcMar>
              <w:top w:w="110" w:type="dxa"/>
            </w:tcMar>
            <w:vAlign w:val="center"/>
          </w:tcPr>
          <w:p w:rsidR="004E456B" w:rsidRPr="00F430A3" w:rsidRDefault="004E456B" w:rsidP="00027A9C">
            <w:pPr>
              <w:keepNext/>
              <w:keepLines/>
              <w:rPr>
                <w:sz w:val="16"/>
                <w:szCs w:val="16"/>
              </w:rPr>
            </w:pPr>
            <w:r w:rsidRPr="00F430A3">
              <w:rPr>
                <w:rFonts w:eastAsia="Arial"/>
                <w:b/>
                <w:bCs/>
                <w:sz w:val="16"/>
                <w:szCs w:val="16"/>
                <w:bdr w:val="nil"/>
              </w:rPr>
              <w:t>País anfitrión / Beneficiarios</w:t>
            </w:r>
          </w:p>
        </w:tc>
        <w:tc>
          <w:tcPr>
            <w:tcW w:w="4535" w:type="dxa"/>
            <w:shd w:val="clear" w:color="auto" w:fill="FFFFFF"/>
            <w:tcMar>
              <w:top w:w="110" w:type="dxa"/>
            </w:tcMar>
            <w:vAlign w:val="center"/>
          </w:tcPr>
          <w:p w:rsidR="004E456B" w:rsidRPr="00F430A3" w:rsidRDefault="004E456B" w:rsidP="00027A9C">
            <w:pPr>
              <w:keepNext/>
              <w:keepLines/>
              <w:rPr>
                <w:sz w:val="16"/>
                <w:szCs w:val="16"/>
              </w:rPr>
            </w:pPr>
            <w:r w:rsidRPr="00F430A3">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trHeight w:val="2218"/>
        </w:trPr>
        <w:tc>
          <w:tcPr>
            <w:tcW w:w="1925" w:type="dxa"/>
          </w:tcPr>
          <w:p w:rsidR="004E456B" w:rsidRPr="00055969" w:rsidRDefault="004E456B" w:rsidP="00027A9C">
            <w:pPr>
              <w:keepNext/>
              <w:keepLines/>
              <w:spacing w:before="240"/>
              <w:rPr>
                <w:rFonts w:eastAsia="MS Mincho"/>
                <w:sz w:val="16"/>
                <w:szCs w:val="16"/>
                <w:lang w:eastAsia="ja-JP" w:bidi="th-TH"/>
              </w:rPr>
            </w:pPr>
            <w:r w:rsidRPr="00055969">
              <w:rPr>
                <w:rFonts w:eastAsia="Arial"/>
                <w:sz w:val="16"/>
                <w:szCs w:val="16"/>
                <w:bdr w:val="nil"/>
                <w:lang w:eastAsia="ja-JP" w:bidi="th-TH"/>
              </w:rPr>
              <w:t>Programa de formación CAPI (</w:t>
            </w:r>
            <w:r w:rsidRPr="00055969">
              <w:rPr>
                <w:rFonts w:eastAsia="Arial"/>
                <w:i/>
                <w:iCs/>
                <w:sz w:val="16"/>
                <w:szCs w:val="16"/>
                <w:bdr w:val="nil"/>
                <w:lang w:eastAsia="ja-JP" w:bidi="th-TH"/>
              </w:rPr>
              <w:t>Certificat d’animateur propriété intellectuelle</w:t>
            </w:r>
            <w:r w:rsidRPr="00055969">
              <w:rPr>
                <w:rFonts w:eastAsia="Arial"/>
                <w:sz w:val="16"/>
                <w:szCs w:val="16"/>
                <w:bdr w:val="nil"/>
                <w:lang w:eastAsia="ja-JP" w:bidi="th-TH"/>
              </w:rPr>
              <w:t>) con el Instituto Nacional de la Propiedad Industrial (INPI) francés y la Oficina Marroquí de la Propiedad Industrial y Comercial (OMPIC)</w:t>
            </w:r>
          </w:p>
        </w:tc>
        <w:tc>
          <w:tcPr>
            <w:tcW w:w="1240" w:type="dxa"/>
          </w:tcPr>
          <w:p w:rsidR="004E456B" w:rsidRPr="00055969" w:rsidRDefault="004E456B" w:rsidP="00027A9C">
            <w:pPr>
              <w:keepNext/>
              <w:keepLines/>
              <w:spacing w:before="240"/>
              <w:rPr>
                <w:rFonts w:eastAsia="MS Mincho"/>
                <w:sz w:val="16"/>
                <w:szCs w:val="16"/>
                <w:lang w:eastAsia="ja-JP" w:bidi="th-TH"/>
              </w:rPr>
            </w:pPr>
            <w:r w:rsidRPr="00055969">
              <w:rPr>
                <w:rFonts w:eastAsia="Arial"/>
                <w:sz w:val="16"/>
                <w:szCs w:val="16"/>
                <w:bdr w:val="nil"/>
                <w:lang w:eastAsia="ja-JP" w:bidi="th-TH"/>
              </w:rPr>
              <w:t>1 de enero a 12 de mayo de 2016</w:t>
            </w:r>
            <w:r w:rsidRPr="00055969">
              <w:rPr>
                <w:rFonts w:eastAsia="MS Mincho"/>
                <w:sz w:val="16"/>
                <w:szCs w:val="16"/>
                <w:vertAlign w:val="superscript"/>
                <w:lang w:val="fr-CH" w:eastAsia="ja-JP" w:bidi="th-TH"/>
              </w:rPr>
              <w:footnoteReference w:id="110"/>
            </w:r>
          </w:p>
        </w:tc>
        <w:tc>
          <w:tcPr>
            <w:tcW w:w="1514" w:type="dxa"/>
          </w:tcPr>
          <w:p w:rsidR="004E456B" w:rsidRPr="00055969" w:rsidRDefault="004E456B" w:rsidP="00027A9C">
            <w:pPr>
              <w:keepNext/>
              <w:keepLines/>
              <w:autoSpaceDE w:val="0"/>
              <w:autoSpaceDN w:val="0"/>
              <w:adjustRightInd w:val="0"/>
              <w:spacing w:before="240" w:after="60"/>
              <w:rPr>
                <w:rFonts w:eastAsia="MS Mincho"/>
                <w:sz w:val="16"/>
                <w:szCs w:val="16"/>
                <w:lang w:eastAsia="ja-JP" w:bidi="th-TH"/>
              </w:rPr>
            </w:pPr>
            <w:r w:rsidRPr="00055969">
              <w:rPr>
                <w:rFonts w:eastAsia="Arial"/>
                <w:sz w:val="16"/>
                <w:szCs w:val="16"/>
                <w:bdr w:val="nil"/>
                <w:lang w:eastAsia="ja-JP" w:bidi="th-TH"/>
              </w:rPr>
              <w:t xml:space="preserve">Marruecos/ 10 participantes, de Argelia, Camerún, Côte d’Ivoire, Senegal y Túnez </w:t>
            </w:r>
          </w:p>
          <w:p w:rsidR="004E456B" w:rsidRPr="00055969" w:rsidRDefault="004E456B" w:rsidP="00027A9C">
            <w:pPr>
              <w:keepNext/>
              <w:keepLines/>
              <w:autoSpaceDE w:val="0"/>
              <w:autoSpaceDN w:val="0"/>
              <w:adjustRightInd w:val="0"/>
              <w:spacing w:before="240" w:after="60"/>
              <w:rPr>
                <w:rFonts w:eastAsia="MS Mincho"/>
                <w:sz w:val="16"/>
                <w:szCs w:val="16"/>
                <w:lang w:eastAsia="ja-JP" w:bidi="th-TH"/>
              </w:rPr>
            </w:pPr>
          </w:p>
        </w:tc>
        <w:tc>
          <w:tcPr>
            <w:tcW w:w="4535" w:type="dxa"/>
          </w:tcPr>
          <w:p w:rsidR="004E456B" w:rsidRPr="00055969" w:rsidRDefault="004E456B" w:rsidP="00027A9C">
            <w:pPr>
              <w:keepNext/>
              <w:keepLines/>
              <w:spacing w:before="240"/>
              <w:rPr>
                <w:rFonts w:eastAsia="MS Mincho"/>
                <w:sz w:val="16"/>
                <w:szCs w:val="16"/>
                <w:lang w:eastAsia="ja-JP" w:bidi="th-TH"/>
              </w:rPr>
            </w:pPr>
            <w:r w:rsidRPr="00055969">
              <w:rPr>
                <w:rFonts w:eastAsia="Arial"/>
                <w:bCs/>
                <w:sz w:val="16"/>
                <w:szCs w:val="16"/>
                <w:bdr w:val="nil"/>
                <w:lang w:eastAsia="ja-JP" w:bidi="th-TH"/>
              </w:rPr>
              <w:t xml:space="preserve">Un programa de formación certificado dirigido a cubrir las necesidades de las empresas y los profesionales interesados en: i) adquirir conocimientos especializados en la gestión de los derechos de propiedad industrial;  ii) comprender las dificultades que entraña la propiedad industrial;  iii) mejorar la eficiencia de la gestión y la valoración de los activos intangibles;  y iv) dominar el uso de las herramientas de protección y búsqueda.  </w:t>
            </w:r>
          </w:p>
        </w:tc>
      </w:tr>
      <w:tr w:rsidR="004E456B" w:rsidRPr="008466AF" w:rsidTr="00027A9C">
        <w:tblPrEx>
          <w:tblLook w:val="04A0" w:firstRow="1" w:lastRow="0" w:firstColumn="1" w:lastColumn="0" w:noHBand="0" w:noVBand="1"/>
        </w:tblPrEx>
        <w:trPr>
          <w:trHeight w:val="473"/>
        </w:trPr>
        <w:tc>
          <w:tcPr>
            <w:tcW w:w="1925" w:type="dxa"/>
          </w:tcPr>
          <w:p w:rsidR="004E456B" w:rsidRPr="009703BB" w:rsidRDefault="004E456B" w:rsidP="00027A9C">
            <w:pPr>
              <w:keepNext/>
              <w:keepLines/>
              <w:rPr>
                <w:rFonts w:eastAsia="MS Mincho"/>
                <w:color w:val="000000"/>
                <w:sz w:val="16"/>
                <w:szCs w:val="16"/>
                <w:lang w:eastAsia="ja-JP" w:bidi="th-TH"/>
              </w:rPr>
            </w:pPr>
            <w:r>
              <w:rPr>
                <w:rFonts w:eastAsia="Arial"/>
                <w:color w:val="000000"/>
                <w:sz w:val="16"/>
                <w:szCs w:val="16"/>
                <w:bdr w:val="nil"/>
                <w:lang w:eastAsia="ja-JP" w:bidi="th-TH"/>
              </w:rPr>
              <w:t xml:space="preserve">Seminario regional sobre innovación colectiva y propiedad intelectual:   </w:t>
            </w:r>
          </w:p>
          <w:p w:rsidR="004E456B" w:rsidRPr="009703BB" w:rsidRDefault="004E456B" w:rsidP="00027A9C">
            <w:pPr>
              <w:keepNext/>
              <w:keepLines/>
              <w:rPr>
                <w:rFonts w:eastAsia="MS Mincho"/>
                <w:color w:val="000000"/>
                <w:sz w:val="16"/>
                <w:szCs w:val="16"/>
                <w:lang w:eastAsia="ja-JP" w:bidi="th-TH"/>
              </w:rPr>
            </w:pPr>
            <w:r>
              <w:rPr>
                <w:rFonts w:eastAsia="Arial"/>
                <w:color w:val="000000"/>
                <w:sz w:val="16"/>
                <w:szCs w:val="16"/>
                <w:bdr w:val="nil"/>
                <w:lang w:eastAsia="ja-JP" w:bidi="th-TH"/>
              </w:rPr>
              <w:t xml:space="preserve">"Desarrollar alianzas entre universidades y empresas" </w:t>
            </w:r>
          </w:p>
          <w:p w:rsidR="004E456B" w:rsidRPr="009703BB" w:rsidRDefault="004E456B" w:rsidP="00027A9C">
            <w:pPr>
              <w:keepNext/>
              <w:keepLines/>
              <w:rPr>
                <w:rFonts w:eastAsia="MS Mincho"/>
                <w:color w:val="000000"/>
                <w:sz w:val="16"/>
                <w:szCs w:val="16"/>
                <w:lang w:eastAsia="ja-JP" w:bidi="th-TH"/>
              </w:rPr>
            </w:pPr>
          </w:p>
        </w:tc>
        <w:tc>
          <w:tcPr>
            <w:tcW w:w="1240" w:type="dxa"/>
          </w:tcPr>
          <w:p w:rsidR="004E456B" w:rsidRPr="00055969" w:rsidRDefault="004E456B" w:rsidP="00027A9C">
            <w:pPr>
              <w:keepNext/>
              <w:keepLines/>
              <w:rPr>
                <w:rFonts w:eastAsia="MS Mincho"/>
                <w:sz w:val="16"/>
                <w:szCs w:val="16"/>
                <w:lang w:eastAsia="ja-JP" w:bidi="th-TH"/>
              </w:rPr>
            </w:pPr>
            <w:r w:rsidRPr="00055969">
              <w:rPr>
                <w:rFonts w:eastAsia="Arial"/>
                <w:sz w:val="16"/>
                <w:szCs w:val="16"/>
                <w:bdr w:val="nil"/>
                <w:lang w:eastAsia="ja-JP" w:bidi="th-TH"/>
              </w:rPr>
              <w:t>13 y 14 de enero de 2016</w:t>
            </w:r>
          </w:p>
        </w:tc>
        <w:tc>
          <w:tcPr>
            <w:tcW w:w="1514" w:type="dxa"/>
          </w:tcPr>
          <w:p w:rsidR="004E456B" w:rsidRPr="006021FB" w:rsidRDefault="004E456B" w:rsidP="00027A9C">
            <w:pPr>
              <w:keepNext/>
              <w:keepLines/>
              <w:rPr>
                <w:rFonts w:eastAsia="MS Mincho"/>
                <w:color w:val="000000"/>
                <w:sz w:val="16"/>
                <w:szCs w:val="16"/>
                <w:lang w:eastAsia="ja-JP" w:bidi="th-TH"/>
              </w:rPr>
            </w:pPr>
            <w:r w:rsidRPr="00055969">
              <w:rPr>
                <w:rFonts w:eastAsia="Arial"/>
                <w:sz w:val="16"/>
                <w:szCs w:val="16"/>
                <w:bdr w:val="nil"/>
                <w:lang w:eastAsia="ja-JP" w:bidi="th-TH"/>
              </w:rPr>
              <w:t>Chile/ 100 participantes nacionales y representantes de Bolivia, Colombia, México y Perú</w:t>
            </w:r>
          </w:p>
        </w:tc>
        <w:tc>
          <w:tcPr>
            <w:tcW w:w="4535" w:type="dxa"/>
          </w:tcPr>
          <w:p w:rsidR="004E456B" w:rsidRPr="009703BB" w:rsidRDefault="004E456B" w:rsidP="00027A9C">
            <w:pPr>
              <w:keepNext/>
              <w:keepLines/>
              <w:rPr>
                <w:rFonts w:eastAsia="MS Mincho"/>
                <w:color w:val="000000"/>
                <w:sz w:val="16"/>
                <w:szCs w:val="16"/>
                <w:lang w:eastAsia="ja-JP" w:bidi="th-TH"/>
              </w:rPr>
            </w:pPr>
            <w:r>
              <w:rPr>
                <w:rFonts w:eastAsia="Arial"/>
                <w:bCs/>
                <w:color w:val="000000"/>
                <w:sz w:val="16"/>
                <w:szCs w:val="16"/>
                <w:bdr w:val="nil"/>
                <w:lang w:eastAsia="ja-JP" w:bidi="th-TH"/>
              </w:rPr>
              <w:t>i) Presentar varios modelos que ayuden a crear un entorno propicio para la innovación y la protección de los derechos de P.I.; ii) desarrollar la capacidad de innovación a través de un uso eficiente del sistema de P.I.; iii) abordar los temas de la innovación colectiva y la innovación abierta; y iv) compartir experiencias en cuanto al establecimiento de una cooperación estrecha entre las universidades, los institutos de I+D y el sector privado.</w:t>
            </w:r>
            <w:r>
              <w:rPr>
                <w:rFonts w:eastAsia="Arial"/>
                <w:bCs/>
                <w:color w:val="000000"/>
                <w:sz w:val="16"/>
                <w:szCs w:val="16"/>
                <w:bdr w:val="nil"/>
                <w:lang w:eastAsia="ja-JP" w:bidi="th-TH"/>
              </w:rPr>
              <w:br/>
            </w:r>
          </w:p>
        </w:tc>
      </w:tr>
      <w:tr w:rsidR="004E456B" w:rsidRPr="008466AF" w:rsidTr="00027A9C">
        <w:tblPrEx>
          <w:tblLook w:val="04A0" w:firstRow="1" w:lastRow="0" w:firstColumn="1" w:lastColumn="0" w:noHBand="0" w:noVBand="1"/>
        </w:tblPrEx>
        <w:trPr>
          <w:trHeight w:val="473"/>
        </w:trPr>
        <w:tc>
          <w:tcPr>
            <w:tcW w:w="1925" w:type="dxa"/>
          </w:tcPr>
          <w:p w:rsidR="004E456B" w:rsidRPr="00055969" w:rsidRDefault="004E456B" w:rsidP="00027A9C">
            <w:pPr>
              <w:rPr>
                <w:rFonts w:eastAsia="MS Mincho"/>
                <w:sz w:val="16"/>
                <w:szCs w:val="16"/>
                <w:lang w:eastAsia="ja-JP" w:bidi="th-TH"/>
              </w:rPr>
            </w:pPr>
            <w:r w:rsidRPr="00055969">
              <w:rPr>
                <w:rFonts w:eastAsia="Arial"/>
                <w:sz w:val="16"/>
                <w:szCs w:val="16"/>
                <w:bdr w:val="nil"/>
                <w:lang w:eastAsia="ja-JP" w:bidi="th-TH"/>
              </w:rPr>
              <w:t>Actividades paralelas a la 22ª sesión de la Conferencia de las Partes en la Convención Marco de las Naciones Unidas sobre el Cambio Climático (COP 22)</w:t>
            </w:r>
          </w:p>
        </w:tc>
        <w:tc>
          <w:tcPr>
            <w:tcW w:w="1240" w:type="dxa"/>
          </w:tcPr>
          <w:p w:rsidR="004E456B" w:rsidRPr="00055969" w:rsidRDefault="004E456B" w:rsidP="00027A9C">
            <w:pPr>
              <w:rPr>
                <w:rFonts w:eastAsia="MS Mincho"/>
                <w:sz w:val="16"/>
                <w:szCs w:val="16"/>
                <w:lang w:eastAsia="ja-JP" w:bidi="th-TH"/>
              </w:rPr>
            </w:pPr>
            <w:r w:rsidRPr="00055969">
              <w:rPr>
                <w:rFonts w:eastAsia="Arial"/>
                <w:sz w:val="16"/>
                <w:szCs w:val="16"/>
                <w:bdr w:val="nil"/>
                <w:lang w:eastAsia="ja-JP" w:bidi="th-TH"/>
              </w:rPr>
              <w:t>10 a 12 de noviembre de 2016</w:t>
            </w:r>
          </w:p>
          <w:p w:rsidR="004E456B" w:rsidRPr="00055969" w:rsidRDefault="004E456B" w:rsidP="00027A9C">
            <w:pPr>
              <w:rPr>
                <w:rFonts w:eastAsia="MS Mincho"/>
                <w:sz w:val="16"/>
                <w:szCs w:val="16"/>
                <w:lang w:eastAsia="ja-JP" w:bidi="th-TH"/>
              </w:rPr>
            </w:pPr>
          </w:p>
        </w:tc>
        <w:tc>
          <w:tcPr>
            <w:tcW w:w="1514"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Marruecos/ 12 Pequeñas y medianas empresas (pymes) de África y la región árabe, 10 pymes de Francia</w:t>
            </w:r>
          </w:p>
          <w:p w:rsidR="004E456B" w:rsidRPr="009703BB" w:rsidRDefault="004E456B" w:rsidP="00027A9C">
            <w:pPr>
              <w:rPr>
                <w:rFonts w:eastAsia="MS Mincho"/>
                <w:color w:val="000000"/>
                <w:sz w:val="16"/>
                <w:szCs w:val="16"/>
                <w:lang w:eastAsia="ja-JP" w:bidi="th-TH"/>
              </w:rPr>
            </w:pPr>
          </w:p>
        </w:tc>
        <w:tc>
          <w:tcPr>
            <w:tcW w:w="453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i) Brindar la oportunidad de presentar soluciones innovadoras para el cambio climático a las pymes francesas e internacionales interesadas en el mercado africano; ii) proporcionar un foro de debate sobre las innovaciones en los ámbitos de las energías renovables, la economía consolidada, los sectores del agua y la agricultura y la alianza WIPO GREEN.</w:t>
            </w:r>
          </w:p>
          <w:p w:rsidR="004E456B" w:rsidRPr="009703BB" w:rsidRDefault="004E456B" w:rsidP="00027A9C">
            <w:pPr>
              <w:rPr>
                <w:rFonts w:eastAsia="MS Mincho"/>
                <w:color w:val="000000"/>
                <w:sz w:val="16"/>
                <w:szCs w:val="16"/>
                <w:lang w:eastAsia="ja-JP" w:bidi="th-TH"/>
              </w:rPr>
            </w:pPr>
          </w:p>
        </w:tc>
      </w:tr>
      <w:tr w:rsidR="004E456B" w:rsidRPr="008466AF" w:rsidTr="00027A9C">
        <w:tblPrEx>
          <w:tblLook w:val="04A0" w:firstRow="1" w:lastRow="0" w:firstColumn="1" w:lastColumn="0" w:noHBand="0" w:noVBand="1"/>
        </w:tblPrEx>
        <w:trPr>
          <w:trHeight w:val="2335"/>
        </w:trPr>
        <w:tc>
          <w:tcPr>
            <w:tcW w:w="192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Taller regional para jueces sobre la protección y observancia del derecho de autor</w:t>
            </w:r>
          </w:p>
        </w:tc>
        <w:tc>
          <w:tcPr>
            <w:tcW w:w="1240" w:type="dxa"/>
          </w:tcPr>
          <w:p w:rsidR="004E456B" w:rsidRPr="00055969" w:rsidRDefault="004E456B" w:rsidP="00027A9C">
            <w:pPr>
              <w:rPr>
                <w:rFonts w:eastAsia="MS Mincho"/>
                <w:sz w:val="16"/>
                <w:szCs w:val="16"/>
                <w:lang w:eastAsia="ja-JP" w:bidi="th-TH"/>
              </w:rPr>
            </w:pPr>
            <w:r w:rsidRPr="00055969">
              <w:rPr>
                <w:rFonts w:eastAsia="Arial"/>
                <w:sz w:val="16"/>
                <w:szCs w:val="16"/>
                <w:bdr w:val="nil"/>
                <w:lang w:eastAsia="ja-JP" w:bidi="th-TH"/>
              </w:rPr>
              <w:t>2 a 3 de mayo de 2016</w:t>
            </w:r>
          </w:p>
        </w:tc>
        <w:tc>
          <w:tcPr>
            <w:tcW w:w="1514" w:type="dxa"/>
          </w:tcPr>
          <w:p w:rsidR="004E456B" w:rsidRPr="00055969" w:rsidRDefault="004E456B" w:rsidP="00027A9C">
            <w:pPr>
              <w:rPr>
                <w:rFonts w:eastAsia="MS Mincho"/>
                <w:sz w:val="16"/>
                <w:szCs w:val="16"/>
                <w:lang w:eastAsia="ja-JP" w:bidi="th-TH"/>
              </w:rPr>
            </w:pPr>
            <w:r w:rsidRPr="00055969">
              <w:rPr>
                <w:rFonts w:eastAsia="Arial"/>
                <w:sz w:val="16"/>
                <w:szCs w:val="16"/>
                <w:bdr w:val="nil"/>
                <w:lang w:eastAsia="ja-JP" w:bidi="th-TH"/>
              </w:rPr>
              <w:t>Emiratos Árabes Unidos/ 36 magistrados de Arabia Saudita, Argelia, Bahréin, Egipto, Emiratos Árabes Unidos</w:t>
            </w:r>
            <w:r w:rsidRPr="00055969">
              <w:rPr>
                <w:rFonts w:eastAsia="Arial"/>
                <w:szCs w:val="22"/>
                <w:bdr w:val="nil"/>
                <w:lang w:eastAsia="ja-JP" w:bidi="th-TH"/>
              </w:rPr>
              <w:t>,</w:t>
            </w:r>
            <w:r w:rsidRPr="00055969">
              <w:rPr>
                <w:rFonts w:eastAsia="Arial"/>
                <w:sz w:val="16"/>
                <w:szCs w:val="16"/>
                <w:bdr w:val="nil"/>
                <w:lang w:eastAsia="ja-JP" w:bidi="th-TH"/>
              </w:rPr>
              <w:t xml:space="preserve"> Palestina, Jordania, Kuwait, Líbano, Marruecos, Qatar</w:t>
            </w:r>
          </w:p>
          <w:p w:rsidR="004E456B" w:rsidRPr="00931F05" w:rsidRDefault="004E456B" w:rsidP="00027A9C">
            <w:pPr>
              <w:rPr>
                <w:rFonts w:eastAsia="MS Mincho"/>
                <w:color w:val="808080"/>
                <w:sz w:val="16"/>
                <w:szCs w:val="16"/>
                <w:lang w:eastAsia="ja-JP" w:bidi="th-TH"/>
              </w:rPr>
            </w:pPr>
          </w:p>
        </w:tc>
        <w:tc>
          <w:tcPr>
            <w:tcW w:w="453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i) Comprender la importancia económica de la P.I. y la repercusión económica y social de la piratería; ii) dominar las normas y conceptos nacionales e internacionales de protección y observancia del derecho de autor a la luz del Acuerdo sobre los Aspectos de los Derechos de Propiedad Intelectual relacionados con el Comercio (Acuerdo sobre los ADPIC); iii) estar en condiciones de identificar las obras con derecho a protección y saber cuáles son los criterios que definen una obra de autor; iv) analizar los casos de infracción del derecho de autor y estudiar casos civiles y penales concretos; v) identificar, evaluar y compensar la pérdida económica para los titulares de derechos derivada de la infracción del derecho de autor en Internet; y vi) adquirir conocimientos sobre las reglas de protección de la radiodifusión.</w:t>
            </w:r>
            <w:r>
              <w:rPr>
                <w:rFonts w:eastAsia="Arial"/>
                <w:color w:val="000000"/>
                <w:sz w:val="16"/>
                <w:szCs w:val="16"/>
                <w:bdr w:val="nil"/>
                <w:lang w:eastAsia="ja-JP" w:bidi="th-TH"/>
              </w:rPr>
              <w:br/>
            </w:r>
          </w:p>
        </w:tc>
      </w:tr>
      <w:tr w:rsidR="004E456B" w:rsidRPr="008466AF" w:rsidTr="00027A9C">
        <w:tblPrEx>
          <w:tblLook w:val="04A0" w:firstRow="1" w:lastRow="0" w:firstColumn="1" w:lastColumn="0" w:noHBand="0" w:noVBand="1"/>
        </w:tblPrEx>
        <w:trPr>
          <w:trHeight w:val="1426"/>
        </w:trPr>
        <w:tc>
          <w:tcPr>
            <w:tcW w:w="192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Taller regional sobre el fomento del respeto por la propiedad intelectual para la competitividad y la creación de empleo de las pymes y las pequeñas y medianas instituciones (PMI)</w:t>
            </w:r>
          </w:p>
        </w:tc>
        <w:tc>
          <w:tcPr>
            <w:tcW w:w="1240" w:type="dxa"/>
          </w:tcPr>
          <w:p w:rsidR="004E456B" w:rsidRPr="00055969" w:rsidRDefault="004E456B" w:rsidP="00027A9C">
            <w:pPr>
              <w:rPr>
                <w:rFonts w:eastAsia="MS Mincho"/>
                <w:sz w:val="16"/>
                <w:szCs w:val="16"/>
                <w:lang w:eastAsia="ja-JP" w:bidi="th-TH"/>
              </w:rPr>
            </w:pPr>
            <w:r w:rsidRPr="00055969">
              <w:rPr>
                <w:rFonts w:eastAsia="Arial"/>
                <w:sz w:val="16"/>
                <w:szCs w:val="16"/>
                <w:bdr w:val="nil"/>
                <w:lang w:eastAsia="ja-JP" w:bidi="th-TH"/>
              </w:rPr>
              <w:t>31 de mayo a 2 de junio de 2016</w:t>
            </w:r>
          </w:p>
        </w:tc>
        <w:tc>
          <w:tcPr>
            <w:tcW w:w="1514" w:type="dxa"/>
          </w:tcPr>
          <w:p w:rsidR="004E456B" w:rsidRPr="00055969" w:rsidRDefault="004E456B" w:rsidP="00027A9C">
            <w:pPr>
              <w:rPr>
                <w:rFonts w:eastAsia="MS Mincho"/>
                <w:sz w:val="16"/>
                <w:szCs w:val="16"/>
                <w:lang w:val="fr-CH" w:eastAsia="ja-JP" w:bidi="th-TH"/>
              </w:rPr>
            </w:pPr>
            <w:r w:rsidRPr="00055969">
              <w:rPr>
                <w:rFonts w:eastAsia="Arial"/>
                <w:sz w:val="16"/>
                <w:szCs w:val="16"/>
                <w:bdr w:val="nil"/>
                <w:lang w:eastAsia="ja-JP" w:bidi="th-TH"/>
              </w:rPr>
              <w:t>Côte d’Ivoire/ 39 pymes</w:t>
            </w:r>
          </w:p>
        </w:tc>
        <w:tc>
          <w:tcPr>
            <w:tcW w:w="4535" w:type="dxa"/>
          </w:tcPr>
          <w:p w:rsidR="004E456B" w:rsidRPr="009703BB" w:rsidRDefault="004E456B" w:rsidP="00027A9C">
            <w:pPr>
              <w:rPr>
                <w:rFonts w:eastAsia="MS Mincho" w:cs="Times New Roman"/>
                <w:sz w:val="20"/>
                <w:szCs w:val="24"/>
                <w:lang w:eastAsia="ja-JP" w:bidi="th-TH"/>
              </w:rPr>
            </w:pPr>
            <w:r>
              <w:rPr>
                <w:rFonts w:eastAsia="Arial"/>
                <w:sz w:val="16"/>
                <w:szCs w:val="16"/>
                <w:bdr w:val="nil"/>
              </w:rPr>
              <w:t>i) Sensibilizar a las pymes y PMI sobre la importancia de proteger sus activos de P.I. y la relevancia de la inteligencia económica como herramienta estratégica para la toma de decisiones y el desarrollo de las pymes y PMI; y ii) presentar la plataforma del Centro de Apoyo a la Tecnología e Innovación (CATI) y su uso como herramienta para respaldar la innovación.</w:t>
            </w:r>
          </w:p>
        </w:tc>
      </w:tr>
      <w:tr w:rsidR="004E456B" w:rsidRPr="008466AF" w:rsidTr="00027A9C">
        <w:tblPrEx>
          <w:tblLook w:val="04A0" w:firstRow="1" w:lastRow="0" w:firstColumn="1" w:lastColumn="0" w:noHBand="0" w:noVBand="1"/>
        </w:tblPrEx>
        <w:trPr>
          <w:trHeight w:val="473"/>
        </w:trPr>
        <w:tc>
          <w:tcPr>
            <w:tcW w:w="1925"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 xml:space="preserve">Taller regional de la OMPI para jueces sobre el fomento del respeto por la P.I. </w:t>
            </w:r>
          </w:p>
          <w:p w:rsidR="004E456B" w:rsidRPr="00CE23E2" w:rsidRDefault="004E456B" w:rsidP="00027A9C">
            <w:pPr>
              <w:rPr>
                <w:rFonts w:eastAsia="MS Mincho"/>
                <w:sz w:val="16"/>
                <w:szCs w:val="16"/>
                <w:lang w:eastAsia="ja-JP" w:bidi="th-TH"/>
              </w:rPr>
            </w:pPr>
          </w:p>
          <w:p w:rsidR="004E456B" w:rsidRPr="00CE23E2" w:rsidRDefault="004E456B" w:rsidP="00027A9C">
            <w:pPr>
              <w:rPr>
                <w:rFonts w:eastAsia="MS Mincho"/>
                <w:sz w:val="16"/>
                <w:szCs w:val="16"/>
                <w:lang w:eastAsia="ja-JP" w:bidi="th-TH"/>
              </w:rPr>
            </w:pPr>
          </w:p>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 xml:space="preserve">Taller regional de la OMPI para funcionarios aduaneros y de policía </w:t>
            </w:r>
            <w:r w:rsidRPr="00CE23E2">
              <w:rPr>
                <w:rFonts w:eastAsia="Arial"/>
                <w:sz w:val="16"/>
                <w:szCs w:val="16"/>
                <w:bdr w:val="nil"/>
                <w:lang w:eastAsia="ja-JP" w:bidi="th-TH"/>
              </w:rPr>
              <w:lastRenderedPageBreak/>
              <w:t xml:space="preserve">sobre el fomento del respeto por la P.I. </w:t>
            </w:r>
          </w:p>
          <w:p w:rsidR="004E456B" w:rsidRPr="00CE23E2" w:rsidRDefault="004E456B" w:rsidP="00027A9C">
            <w:pPr>
              <w:rPr>
                <w:rFonts w:eastAsia="MS Mincho"/>
                <w:sz w:val="16"/>
                <w:szCs w:val="16"/>
                <w:lang w:eastAsia="ja-JP" w:bidi="th-TH"/>
              </w:rPr>
            </w:pP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lastRenderedPageBreak/>
              <w:t>31 de mayo a 2 de junio de 2016</w:t>
            </w:r>
          </w:p>
        </w:tc>
        <w:tc>
          <w:tcPr>
            <w:tcW w:w="1514"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 xml:space="preserve">Côte d’Ivoire/ 65 jueces </w:t>
            </w:r>
          </w:p>
          <w:p w:rsidR="004E456B" w:rsidRPr="00CE23E2" w:rsidRDefault="004E456B" w:rsidP="00027A9C">
            <w:pPr>
              <w:rPr>
                <w:rFonts w:eastAsia="MS Mincho"/>
                <w:sz w:val="16"/>
                <w:szCs w:val="16"/>
                <w:lang w:eastAsia="ja-JP" w:bidi="th-TH"/>
              </w:rPr>
            </w:pPr>
          </w:p>
          <w:p w:rsidR="004E456B" w:rsidRPr="00CE23E2" w:rsidRDefault="004E456B" w:rsidP="00027A9C">
            <w:pPr>
              <w:rPr>
                <w:rFonts w:eastAsia="MS Mincho"/>
                <w:sz w:val="16"/>
                <w:szCs w:val="16"/>
                <w:lang w:eastAsia="ja-JP" w:bidi="th-TH"/>
              </w:rPr>
            </w:pPr>
          </w:p>
          <w:p w:rsidR="004E456B" w:rsidRPr="00CE23E2" w:rsidRDefault="004E456B" w:rsidP="00027A9C">
            <w:pPr>
              <w:rPr>
                <w:rFonts w:eastAsia="MS Mincho"/>
                <w:sz w:val="16"/>
                <w:szCs w:val="16"/>
                <w:lang w:eastAsia="ja-JP" w:bidi="th-TH"/>
              </w:rPr>
            </w:pPr>
          </w:p>
          <w:p w:rsidR="004E456B" w:rsidRPr="00CE23E2" w:rsidRDefault="004E456B" w:rsidP="00027A9C">
            <w:pPr>
              <w:rPr>
                <w:rFonts w:eastAsia="MS Mincho"/>
                <w:sz w:val="16"/>
                <w:szCs w:val="16"/>
                <w:lang w:eastAsia="ja-JP" w:bidi="th-TH"/>
              </w:rPr>
            </w:pPr>
          </w:p>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 xml:space="preserve">Côte d’Ivoire/ 38 funcionarios aduaneros y de </w:t>
            </w:r>
            <w:r w:rsidRPr="00CE23E2">
              <w:rPr>
                <w:rFonts w:eastAsia="Arial"/>
                <w:sz w:val="16"/>
                <w:szCs w:val="16"/>
                <w:bdr w:val="nil"/>
                <w:lang w:eastAsia="ja-JP" w:bidi="th-TH"/>
              </w:rPr>
              <w:lastRenderedPageBreak/>
              <w:t>policía</w:t>
            </w:r>
          </w:p>
          <w:p w:rsidR="004E456B" w:rsidRPr="00CE23E2" w:rsidRDefault="004E456B" w:rsidP="00027A9C">
            <w:pPr>
              <w:rPr>
                <w:rFonts w:eastAsia="MS Mincho"/>
                <w:sz w:val="16"/>
                <w:szCs w:val="16"/>
                <w:lang w:eastAsia="ja-JP" w:bidi="th-TH"/>
              </w:rPr>
            </w:pPr>
          </w:p>
        </w:tc>
        <w:tc>
          <w:tcPr>
            <w:tcW w:w="4535" w:type="dxa"/>
          </w:tcPr>
          <w:p w:rsidR="004E456B" w:rsidRPr="009703BB" w:rsidRDefault="004E456B" w:rsidP="00027A9C">
            <w:pPr>
              <w:rPr>
                <w:rFonts w:eastAsia="MS Mincho"/>
                <w:color w:val="000000"/>
                <w:sz w:val="16"/>
                <w:szCs w:val="16"/>
                <w:lang w:eastAsia="ja-JP" w:bidi="th-TH"/>
              </w:rPr>
            </w:pPr>
            <w:r>
              <w:rPr>
                <w:rFonts w:eastAsia="Arial"/>
                <w:bCs/>
                <w:color w:val="000000"/>
                <w:sz w:val="16"/>
                <w:szCs w:val="16"/>
                <w:bdr w:val="nil"/>
                <w:lang w:eastAsia="ja-JP" w:bidi="th-TH"/>
              </w:rPr>
              <w:lastRenderedPageBreak/>
              <w:t xml:space="preserve">i) Desarrollar y reforzar las capacidades de los jueces y los funcionarios de aduanas de los países invitados para velar por la observancia de los derechos de P.I. y fomentar el respeto por la P.I.; ii) </w:t>
            </w:r>
            <w:r>
              <w:rPr>
                <w:rFonts w:eastAsia="Arial"/>
                <w:bCs/>
                <w:sz w:val="16"/>
                <w:szCs w:val="16"/>
                <w:bdr w:val="nil"/>
                <w:lang w:eastAsia="ja-JP" w:bidi="th-TH"/>
              </w:rPr>
              <w:t>reforzar la colaboración nacional y subregional entre las administraciones de justicia y las de aduanas para luchar contra las infracciones de los derechos de P.I.</w:t>
            </w:r>
            <w:r>
              <w:rPr>
                <w:rFonts w:eastAsia="Arial"/>
                <w:bCs/>
                <w:color w:val="000000"/>
                <w:sz w:val="16"/>
                <w:szCs w:val="16"/>
                <w:bdr w:val="nil"/>
                <w:lang w:eastAsia="ja-JP" w:bidi="th-TH"/>
              </w:rPr>
              <w:t xml:space="preserve">; iii) brindar a todos los grupos que participan la oportunidad de intercambiar experiencias y deliberar sobre las dificultades que plantea la aplicación de las </w:t>
            </w:r>
            <w:r>
              <w:rPr>
                <w:rFonts w:eastAsia="Arial"/>
                <w:bCs/>
                <w:color w:val="000000"/>
                <w:sz w:val="16"/>
                <w:szCs w:val="16"/>
                <w:bdr w:val="nil"/>
                <w:lang w:eastAsia="ja-JP" w:bidi="th-TH"/>
              </w:rPr>
              <w:lastRenderedPageBreak/>
              <w:t xml:space="preserve">disposiciones normativas y jurídicas en materia de observancia de los derechos de P.I.; y iv) </w:t>
            </w:r>
            <w:r>
              <w:rPr>
                <w:rFonts w:eastAsia="Arial"/>
                <w:bCs/>
                <w:sz w:val="16"/>
                <w:szCs w:val="16"/>
                <w:bdr w:val="nil"/>
                <w:lang w:eastAsia="ja-JP" w:bidi="th-TH"/>
              </w:rPr>
              <w:t>alentar el establecimiento o promoción de comités nacionales y regionales de lucha contra la falsificación y la piratería</w:t>
            </w:r>
            <w:r>
              <w:rPr>
                <w:rFonts w:eastAsia="Arial"/>
                <w:bCs/>
                <w:sz w:val="16"/>
                <w:szCs w:val="16"/>
                <w:bdr w:val="nil"/>
                <w:lang w:eastAsia="ja-JP" w:bidi="th-TH"/>
              </w:rPr>
              <w:br/>
            </w:r>
          </w:p>
        </w:tc>
      </w:tr>
      <w:tr w:rsidR="004E456B" w:rsidRPr="008466AF" w:rsidTr="00027A9C">
        <w:tblPrEx>
          <w:tblLook w:val="04A0" w:firstRow="1" w:lastRow="0" w:firstColumn="1" w:lastColumn="0" w:noHBand="0" w:noVBand="1"/>
        </w:tblPrEx>
        <w:trPr>
          <w:trHeight w:val="473"/>
        </w:trPr>
        <w:tc>
          <w:tcPr>
            <w:tcW w:w="1925" w:type="dxa"/>
          </w:tcPr>
          <w:p w:rsidR="004E456B" w:rsidRPr="000B20DD" w:rsidRDefault="004E456B" w:rsidP="00027A9C">
            <w:pPr>
              <w:rPr>
                <w:rFonts w:eastAsia="MS Mincho"/>
                <w:color w:val="000000"/>
                <w:sz w:val="16"/>
                <w:szCs w:val="16"/>
                <w:lang w:eastAsia="ja-JP" w:bidi="th-TH"/>
              </w:rPr>
            </w:pPr>
            <w:r>
              <w:rPr>
                <w:rFonts w:eastAsia="Arial"/>
                <w:color w:val="000000"/>
                <w:sz w:val="16"/>
                <w:szCs w:val="16"/>
                <w:bdr w:val="nil"/>
                <w:lang w:eastAsia="ja-JP" w:bidi="th-TH"/>
              </w:rPr>
              <w:lastRenderedPageBreak/>
              <w:t xml:space="preserve">Simposio sobre indicaciones geográficas </w:t>
            </w:r>
          </w:p>
          <w:p w:rsidR="004E456B" w:rsidRPr="000B20DD" w:rsidRDefault="004E456B" w:rsidP="00027A9C">
            <w:pPr>
              <w:rPr>
                <w:rFonts w:eastAsia="MS Mincho"/>
                <w:color w:val="000000"/>
                <w:sz w:val="16"/>
                <w:szCs w:val="16"/>
                <w:lang w:eastAsia="ja-JP" w:bidi="th-TH"/>
              </w:rPr>
            </w:pPr>
            <w:r w:rsidRPr="000B20DD">
              <w:rPr>
                <w:rFonts w:eastAsia="MS Mincho"/>
                <w:color w:val="000000"/>
                <w:sz w:val="16"/>
                <w:szCs w:val="16"/>
                <w:lang w:eastAsia="ja-JP" w:bidi="th-TH"/>
              </w:rPr>
              <w:br/>
            </w:r>
            <w:r>
              <w:rPr>
                <w:rFonts w:eastAsia="MS Mincho"/>
                <w:color w:val="000000"/>
                <w:sz w:val="16"/>
                <w:szCs w:val="16"/>
                <w:lang w:eastAsia="ja-JP" w:bidi="th-TH"/>
              </w:rPr>
              <w:br/>
            </w:r>
            <w:r>
              <w:rPr>
                <w:rFonts w:eastAsia="MS Mincho"/>
                <w:color w:val="000000"/>
                <w:sz w:val="16"/>
                <w:szCs w:val="16"/>
                <w:lang w:eastAsia="ja-JP" w:bidi="th-TH"/>
              </w:rPr>
              <w:br/>
            </w:r>
            <w:r>
              <w:rPr>
                <w:rFonts w:eastAsia="MS Mincho"/>
                <w:color w:val="000000"/>
                <w:sz w:val="16"/>
                <w:szCs w:val="16"/>
                <w:lang w:eastAsia="ja-JP" w:bidi="th-TH"/>
              </w:rPr>
              <w:br/>
            </w: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7 de septiembre de 2016</w:t>
            </w:r>
          </w:p>
          <w:p w:rsidR="004E456B" w:rsidRPr="00CE23E2" w:rsidRDefault="004E456B" w:rsidP="00027A9C">
            <w:pPr>
              <w:rPr>
                <w:rFonts w:eastAsia="MS Mincho"/>
                <w:sz w:val="16"/>
                <w:szCs w:val="16"/>
                <w:lang w:eastAsia="ja-JP" w:bidi="th-TH"/>
              </w:rPr>
            </w:pPr>
          </w:p>
        </w:tc>
        <w:tc>
          <w:tcPr>
            <w:tcW w:w="1514"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Camerún</w:t>
            </w:r>
          </w:p>
          <w:p w:rsidR="004E456B" w:rsidRPr="00CE23E2" w:rsidRDefault="004E456B" w:rsidP="00027A9C">
            <w:pPr>
              <w:rPr>
                <w:rFonts w:eastAsia="MS Mincho"/>
                <w:sz w:val="16"/>
                <w:szCs w:val="16"/>
                <w:lang w:eastAsia="ja-JP" w:bidi="th-TH"/>
              </w:rPr>
            </w:pPr>
          </w:p>
        </w:tc>
        <w:tc>
          <w:tcPr>
            <w:tcW w:w="4535" w:type="dxa"/>
            <w:vMerge w:val="restart"/>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i) Fortalecer la capacidad de las oficinas de P.I. y de los titulares de derechos de P.I. para que usen estratégicamente los activos de P.I. para una mayor competitividad y creación de empleo; y ii) sensibilizar a los participantes sobre las normas que rigen el uso del logotipo de indicaciones geográficas protegidas y represión del fraude</w:t>
            </w:r>
          </w:p>
        </w:tc>
      </w:tr>
      <w:tr w:rsidR="004E456B" w:rsidTr="00027A9C">
        <w:tblPrEx>
          <w:tblLook w:val="04A0" w:firstRow="1" w:lastRow="0" w:firstColumn="1" w:lastColumn="0" w:noHBand="0" w:noVBand="1"/>
        </w:tblPrEx>
        <w:trPr>
          <w:trHeight w:val="473"/>
        </w:trPr>
        <w:tc>
          <w:tcPr>
            <w:tcW w:w="192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Feria internacional de productos cuya calidad está vinculada al origen geográfico</w:t>
            </w: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8 a 10 de septiembre de 2016</w:t>
            </w:r>
          </w:p>
        </w:tc>
        <w:tc>
          <w:tcPr>
            <w:tcW w:w="1514" w:type="dxa"/>
          </w:tcPr>
          <w:p w:rsidR="004E456B" w:rsidRPr="00CE23E2" w:rsidRDefault="004E456B" w:rsidP="00027A9C">
            <w:pPr>
              <w:rPr>
                <w:rFonts w:eastAsia="MS Mincho"/>
                <w:sz w:val="16"/>
                <w:szCs w:val="16"/>
                <w:lang w:val="fr-CH" w:eastAsia="ja-JP" w:bidi="th-TH"/>
              </w:rPr>
            </w:pPr>
          </w:p>
        </w:tc>
        <w:tc>
          <w:tcPr>
            <w:tcW w:w="4535" w:type="dxa"/>
            <w:vMerge/>
          </w:tcPr>
          <w:p w:rsidR="004E456B" w:rsidRPr="000B20DD" w:rsidRDefault="004E456B" w:rsidP="00027A9C">
            <w:pPr>
              <w:rPr>
                <w:rFonts w:eastAsia="MS Mincho"/>
                <w:color w:val="000000"/>
                <w:sz w:val="16"/>
                <w:szCs w:val="16"/>
                <w:lang w:eastAsia="ja-JP" w:bidi="th-TH"/>
              </w:rPr>
            </w:pPr>
          </w:p>
        </w:tc>
      </w:tr>
      <w:tr w:rsidR="004E456B" w:rsidRPr="008466AF" w:rsidTr="00027A9C">
        <w:tblPrEx>
          <w:tblLook w:val="04A0" w:firstRow="1" w:lastRow="0" w:firstColumn="1" w:lastColumn="0" w:noHBand="0" w:noVBand="1"/>
        </w:tblPrEx>
        <w:trPr>
          <w:trHeight w:val="473"/>
        </w:trPr>
        <w:tc>
          <w:tcPr>
            <w:tcW w:w="192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Visita de trabajo a Casablanca (Marruecos)</w:t>
            </w:r>
          </w:p>
          <w:p w:rsidR="004E456B" w:rsidRPr="009703BB" w:rsidRDefault="004E456B" w:rsidP="00027A9C">
            <w:pPr>
              <w:rPr>
                <w:rFonts w:eastAsia="MS Mincho"/>
                <w:color w:val="000000"/>
                <w:sz w:val="16"/>
                <w:szCs w:val="16"/>
                <w:lang w:eastAsia="ja-JP" w:bidi="th-TH"/>
              </w:rPr>
            </w:pPr>
          </w:p>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Sesión de trabajo con la Oficina Marroquí de Propiedad Intelectual y Comercial (OMPIC) para tratar el seguimiento del Programa de formación CAPI</w:t>
            </w:r>
          </w:p>
          <w:p w:rsidR="004E456B" w:rsidRPr="009703BB" w:rsidRDefault="004E456B" w:rsidP="00027A9C">
            <w:pPr>
              <w:rPr>
                <w:rFonts w:eastAsia="MS Mincho"/>
                <w:color w:val="000000"/>
                <w:sz w:val="16"/>
                <w:szCs w:val="16"/>
                <w:lang w:eastAsia="ja-JP" w:bidi="th-TH"/>
              </w:rPr>
            </w:pP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4 y 5 de marzo de 2016</w:t>
            </w:r>
          </w:p>
          <w:p w:rsidR="004E456B" w:rsidRPr="00CE23E2" w:rsidRDefault="004E456B" w:rsidP="00027A9C">
            <w:pPr>
              <w:rPr>
                <w:rFonts w:eastAsia="MS Mincho"/>
                <w:sz w:val="16"/>
                <w:szCs w:val="16"/>
                <w:lang w:eastAsia="ja-JP" w:bidi="th-TH"/>
              </w:rPr>
            </w:pPr>
          </w:p>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7 y 8 de marzo de 2016</w:t>
            </w:r>
          </w:p>
        </w:tc>
        <w:tc>
          <w:tcPr>
            <w:tcW w:w="1514"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Marruecos</w:t>
            </w:r>
          </w:p>
          <w:p w:rsidR="004E456B" w:rsidRPr="00CE23E2" w:rsidRDefault="004E456B" w:rsidP="00027A9C">
            <w:pPr>
              <w:rPr>
                <w:rFonts w:eastAsia="MS Mincho"/>
                <w:sz w:val="16"/>
                <w:szCs w:val="16"/>
                <w:lang w:eastAsia="ja-JP" w:bidi="th-TH"/>
              </w:rPr>
            </w:pPr>
          </w:p>
        </w:tc>
        <w:tc>
          <w:tcPr>
            <w:tcW w:w="453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Estudiar las formas y los medios para lograr la sostenibilidad del Programa de formación CAPI</w:t>
            </w:r>
          </w:p>
          <w:p w:rsidR="004E456B" w:rsidRPr="009703BB" w:rsidRDefault="004E456B" w:rsidP="00027A9C">
            <w:pPr>
              <w:rPr>
                <w:rFonts w:eastAsia="MS Mincho"/>
                <w:color w:val="000000"/>
                <w:sz w:val="16"/>
                <w:szCs w:val="16"/>
                <w:lang w:eastAsia="ja-JP" w:bidi="th-TH"/>
              </w:rPr>
            </w:pPr>
          </w:p>
        </w:tc>
      </w:tr>
      <w:tr w:rsidR="004E456B" w:rsidRPr="008466AF" w:rsidTr="00027A9C">
        <w:tblPrEx>
          <w:tblLook w:val="04A0" w:firstRow="1" w:lastRow="0" w:firstColumn="1" w:lastColumn="0" w:noHBand="0" w:noVBand="1"/>
        </w:tblPrEx>
        <w:trPr>
          <w:trHeight w:val="5144"/>
        </w:trPr>
        <w:tc>
          <w:tcPr>
            <w:tcW w:w="1925" w:type="dxa"/>
          </w:tcPr>
          <w:p w:rsidR="004E456B" w:rsidRPr="009703BB" w:rsidRDefault="004E456B" w:rsidP="00027A9C">
            <w:pPr>
              <w:rPr>
                <w:rFonts w:eastAsia="MS Mincho"/>
                <w:color w:val="000000"/>
                <w:sz w:val="16"/>
                <w:szCs w:val="16"/>
                <w:lang w:eastAsia="ja-JP" w:bidi="th-TH"/>
              </w:rPr>
            </w:pPr>
            <w:r>
              <w:rPr>
                <w:rFonts w:eastAsia="Arial"/>
                <w:color w:val="222222"/>
                <w:sz w:val="16"/>
                <w:szCs w:val="16"/>
                <w:bdr w:val="nil"/>
              </w:rPr>
              <w:t xml:space="preserve">Elaboración de una estrategia de innovación y política de P.I. en las universidades, institutos de investigación e instituciones públicas de desarrollo </w:t>
            </w:r>
            <w:r>
              <w:rPr>
                <w:rFonts w:eastAsia="Arial"/>
                <w:sz w:val="16"/>
                <w:szCs w:val="16"/>
                <w:bdr w:val="nil"/>
              </w:rPr>
              <w:t xml:space="preserve">destinada a facilitar </w:t>
            </w:r>
            <w:r>
              <w:rPr>
                <w:rFonts w:eastAsia="Arial"/>
                <w:color w:val="222222"/>
                <w:sz w:val="16"/>
                <w:szCs w:val="16"/>
                <w:bdr w:val="nil"/>
              </w:rPr>
              <w:t>la transferencia de tecnología hacia la industria creando un "círculo virtuoso" de innovación</w:t>
            </w: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1 a 16 de mayo de 2016</w:t>
            </w:r>
          </w:p>
        </w:tc>
        <w:tc>
          <w:tcPr>
            <w:tcW w:w="1514"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Marruecos/ 46 participantes, de Argelia, Benin, Botswana, Camerún, Congo, Côte d’Ivoire, Egipto, Etiopía, Gabón, Ghana, Guinea, Kenya, Malí, Mauricio, Mozambique, Níger, Nigeria, República Democrática del Congo, Rwanda, Senegal, Sudáfrica, Sudán Túnez, Uganda, Organización Africana de la Propiedad Intelectual (OAPI) y la Organización Regional Africana de la Propiedad Intelectual (ARIPO)</w:t>
            </w:r>
          </w:p>
        </w:tc>
        <w:tc>
          <w:tcPr>
            <w:tcW w:w="4535" w:type="dxa"/>
          </w:tcPr>
          <w:p w:rsidR="004E456B" w:rsidRPr="009703BB" w:rsidRDefault="004E456B" w:rsidP="00027A9C">
            <w:pPr>
              <w:rPr>
                <w:rFonts w:eastAsia="MS Mincho"/>
                <w:color w:val="000000"/>
                <w:sz w:val="16"/>
                <w:szCs w:val="16"/>
                <w:lang w:eastAsia="ja-JP" w:bidi="th-TH"/>
              </w:rPr>
            </w:pPr>
            <w:r>
              <w:rPr>
                <w:rFonts w:eastAsia="Arial"/>
                <w:sz w:val="16"/>
                <w:szCs w:val="16"/>
                <w:bdr w:val="nil"/>
              </w:rPr>
              <w:t xml:space="preserve">i) Debatir la función que desempeñan las universidades e institutos de investigación en una economía que se basa cada vez más en el conocimiento y la  innovación; ii) elucidar el modo de que las políticas y estrategias contribuyan a generar conocimientos con miras a transferir la tecnología al sector industrial; iii) crear un círculo virtuoso de innovación que impulse la investigación y promueva a su vez la oferta de soluciones innovadoras necesarias para que las pymes y las PMI sean más competitivas y potencien el crecimiento en las economías africanas; y iv) examinar las maneras de facilitar la participación de los países africanos en la economía global digital basada en el conocimiento. </w:t>
            </w:r>
            <w:r>
              <w:rPr>
                <w:rFonts w:eastAsia="Arial"/>
                <w:sz w:val="20"/>
                <w:bdr w:val="nil"/>
              </w:rPr>
              <w:t xml:space="preserve">  </w:t>
            </w:r>
          </w:p>
        </w:tc>
      </w:tr>
      <w:tr w:rsidR="004E456B" w:rsidRPr="008466AF" w:rsidTr="00027A9C">
        <w:tblPrEx>
          <w:tblLook w:val="04A0" w:firstRow="1" w:lastRow="0" w:firstColumn="1" w:lastColumn="0" w:noHBand="0" w:noVBand="1"/>
        </w:tblPrEx>
        <w:trPr>
          <w:trHeight w:val="1256"/>
        </w:trPr>
        <w:tc>
          <w:tcPr>
            <w:tcW w:w="1925"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Curso de formación sobre marcas</w:t>
            </w: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11 a 22 de julio de 2016</w:t>
            </w:r>
          </w:p>
        </w:tc>
        <w:tc>
          <w:tcPr>
            <w:tcW w:w="1514"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Marruecos/ 20 participantes</w:t>
            </w:r>
          </w:p>
        </w:tc>
        <w:tc>
          <w:tcPr>
            <w:tcW w:w="453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i) Mejorar las capacidades y los conocimientos de los funcionarios encargados de marcas de las oficinas de P.I. o de los ministerios competentes de los países en desarrollo, mediante debates sobre cuestiones y procedimientos relativos a las marcas; y ii) familiarizar a los funcionarios que participan en el curso con las cuestiones más importantes y de mayor actualidad en el ámbito de las marcas y áreas conexas</w:t>
            </w:r>
          </w:p>
        </w:tc>
      </w:tr>
      <w:tr w:rsidR="004E456B" w:rsidRPr="008466AF" w:rsidTr="00027A9C">
        <w:tblPrEx>
          <w:tblLook w:val="04A0" w:firstRow="1" w:lastRow="0" w:firstColumn="1" w:lastColumn="0" w:noHBand="0" w:noVBand="1"/>
        </w:tblPrEx>
        <w:trPr>
          <w:trHeight w:val="473"/>
        </w:trPr>
        <w:tc>
          <w:tcPr>
            <w:tcW w:w="1925"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Taller regional de la OMPI para jueces sobre el fomento del respeto por la P.I.</w:t>
            </w: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29 y 30 de noviembre de 2016</w:t>
            </w:r>
          </w:p>
        </w:tc>
        <w:tc>
          <w:tcPr>
            <w:tcW w:w="1514"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Madagascar/ 40 jueces de Madagascar y 9 jueces de Comoras</w:t>
            </w:r>
          </w:p>
          <w:p w:rsidR="004E456B" w:rsidRPr="00CE23E2" w:rsidRDefault="004E456B" w:rsidP="00027A9C">
            <w:pPr>
              <w:rPr>
                <w:rFonts w:eastAsia="MS Mincho"/>
                <w:sz w:val="16"/>
                <w:szCs w:val="16"/>
                <w:lang w:eastAsia="ja-JP" w:bidi="th-TH"/>
              </w:rPr>
            </w:pPr>
          </w:p>
        </w:tc>
        <w:tc>
          <w:tcPr>
            <w:tcW w:w="453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Desarrollar y reforzar las capacidades de los jueces y los funcionarios de aduanas de Madagascar y Comoras en relación con la observancia de los derechos de la propiedad intelectual y fomentar el respeto por la P.I.</w:t>
            </w:r>
          </w:p>
          <w:p w:rsidR="004E456B" w:rsidRPr="009703BB" w:rsidRDefault="004E456B" w:rsidP="00027A9C">
            <w:pPr>
              <w:rPr>
                <w:rFonts w:eastAsia="MS Mincho"/>
                <w:color w:val="000000"/>
                <w:sz w:val="16"/>
                <w:szCs w:val="16"/>
                <w:lang w:eastAsia="ja-JP" w:bidi="th-TH"/>
              </w:rPr>
            </w:pPr>
          </w:p>
        </w:tc>
      </w:tr>
      <w:tr w:rsidR="004E456B" w:rsidRPr="008466AF" w:rsidTr="00027A9C">
        <w:tblPrEx>
          <w:tblLook w:val="04A0" w:firstRow="1" w:lastRow="0" w:firstColumn="1" w:lastColumn="0" w:noHBand="0" w:noVBand="1"/>
        </w:tblPrEx>
        <w:trPr>
          <w:trHeight w:val="473"/>
        </w:trPr>
        <w:tc>
          <w:tcPr>
            <w:tcW w:w="1925"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t xml:space="preserve">Taller subregional de la OMPI sobre el fomento del respeto por la P.I. para funcionarios encargados de hacer </w:t>
            </w:r>
            <w:r w:rsidRPr="00CE23E2">
              <w:rPr>
                <w:rFonts w:eastAsia="Arial"/>
                <w:sz w:val="16"/>
                <w:szCs w:val="16"/>
                <w:bdr w:val="nil"/>
                <w:lang w:eastAsia="ja-JP" w:bidi="th-TH"/>
              </w:rPr>
              <w:lastRenderedPageBreak/>
              <w:t>cumplir la ley (Aduana y Policía)</w:t>
            </w:r>
          </w:p>
        </w:tc>
        <w:tc>
          <w:tcPr>
            <w:tcW w:w="1240" w:type="dxa"/>
          </w:tcPr>
          <w:p w:rsidR="004E456B" w:rsidRPr="00CE23E2" w:rsidRDefault="004E456B" w:rsidP="00027A9C">
            <w:pPr>
              <w:rPr>
                <w:rFonts w:eastAsia="MS Mincho"/>
                <w:sz w:val="16"/>
                <w:szCs w:val="16"/>
                <w:lang w:eastAsia="ja-JP" w:bidi="th-TH"/>
              </w:rPr>
            </w:pPr>
            <w:r w:rsidRPr="00CE23E2">
              <w:rPr>
                <w:rFonts w:eastAsia="Arial"/>
                <w:sz w:val="16"/>
                <w:szCs w:val="16"/>
                <w:bdr w:val="nil"/>
                <w:lang w:eastAsia="ja-JP" w:bidi="th-TH"/>
              </w:rPr>
              <w:lastRenderedPageBreak/>
              <w:t>1 de diciembre de 2016</w:t>
            </w:r>
          </w:p>
        </w:tc>
        <w:tc>
          <w:tcPr>
            <w:tcW w:w="1514"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Madagascar/ 38 funcionarios de aduanas y policía de Madagascar,</w:t>
            </w:r>
          </w:p>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t xml:space="preserve">18 funcionarios </w:t>
            </w:r>
            <w:r>
              <w:rPr>
                <w:rFonts w:eastAsia="Arial"/>
                <w:color w:val="000000"/>
                <w:sz w:val="16"/>
                <w:szCs w:val="16"/>
                <w:bdr w:val="nil"/>
                <w:lang w:eastAsia="ja-JP" w:bidi="th-TH"/>
              </w:rPr>
              <w:lastRenderedPageBreak/>
              <w:t>de aduanas y policía de Comoras</w:t>
            </w:r>
          </w:p>
          <w:p w:rsidR="004E456B" w:rsidRPr="009703BB" w:rsidRDefault="004E456B" w:rsidP="00027A9C">
            <w:pPr>
              <w:rPr>
                <w:rFonts w:eastAsia="MS Mincho"/>
                <w:color w:val="000000"/>
                <w:sz w:val="16"/>
                <w:szCs w:val="16"/>
                <w:lang w:eastAsia="ja-JP" w:bidi="th-TH"/>
              </w:rPr>
            </w:pPr>
          </w:p>
        </w:tc>
        <w:tc>
          <w:tcPr>
            <w:tcW w:w="4535" w:type="dxa"/>
          </w:tcPr>
          <w:p w:rsidR="004E456B" w:rsidRPr="009703BB" w:rsidRDefault="004E456B" w:rsidP="00027A9C">
            <w:pPr>
              <w:rPr>
                <w:rFonts w:eastAsia="MS Mincho"/>
                <w:color w:val="000000"/>
                <w:sz w:val="16"/>
                <w:szCs w:val="16"/>
                <w:lang w:eastAsia="ja-JP" w:bidi="th-TH"/>
              </w:rPr>
            </w:pPr>
            <w:r>
              <w:rPr>
                <w:rFonts w:eastAsia="Arial"/>
                <w:color w:val="000000"/>
                <w:sz w:val="16"/>
                <w:szCs w:val="16"/>
                <w:bdr w:val="nil"/>
                <w:lang w:eastAsia="ja-JP" w:bidi="th-TH"/>
              </w:rPr>
              <w:lastRenderedPageBreak/>
              <w:t xml:space="preserve">i) Mejorar los conocimientos y las competencias de los participantes en relación con los procedimientos jurídicos y la gestión de los litigios en materia de P.I. y con la aplicación de medidas aduaneras dirigidas a fomentar el uso de los procedimientos descritos en la Parte III del Acuerdo sobre </w:t>
            </w:r>
            <w:r>
              <w:rPr>
                <w:rFonts w:eastAsia="Arial"/>
                <w:color w:val="000000"/>
                <w:sz w:val="16"/>
                <w:szCs w:val="16"/>
                <w:bdr w:val="nil"/>
                <w:lang w:eastAsia="ja-JP" w:bidi="th-TH"/>
              </w:rPr>
              <w:lastRenderedPageBreak/>
              <w:t>los ADPIC; ii) brindar la ocasión a los grupos participantes de intercambiar experiencias y debatir acerca de los retos que les plantea la aplicación de las disposiciones jurídicas y reglamentarias relativas a la observancia de los derechos de P.I. y iii) familiarizar a los jueces con las herramientas jurisprudenciales elaboradas respectivamente por la OMPI y la OAPI</w:t>
            </w:r>
          </w:p>
        </w:tc>
      </w:tr>
    </w:tbl>
    <w:p w:rsidR="004E456B" w:rsidRPr="007B5E22" w:rsidRDefault="004E456B" w:rsidP="00027A9C">
      <w:pPr>
        <w:rPr>
          <w:rFonts w:eastAsia="Arial"/>
          <w:b/>
          <w:bCs/>
          <w:sz w:val="20"/>
          <w:bdr w:val="nil"/>
        </w:rPr>
      </w:pPr>
    </w:p>
    <w:p w:rsidR="004E456B" w:rsidRPr="00CE23E2" w:rsidRDefault="004E456B" w:rsidP="00027A9C">
      <w:pPr>
        <w:keepNext/>
        <w:keepLines/>
        <w:rPr>
          <w:b/>
          <w:sz w:val="20"/>
          <w:szCs w:val="16"/>
        </w:rPr>
      </w:pPr>
      <w:r w:rsidRPr="00CE23E2">
        <w:rPr>
          <w:rFonts w:eastAsia="Arial"/>
          <w:b/>
          <w:bCs/>
          <w:sz w:val="20"/>
          <w:bdr w:val="nil"/>
        </w:rPr>
        <w:t>FRANCIA / PROPIEDAD INDUSTRIAL – Contribuciones del donante y gastos en 2016</w:t>
      </w:r>
    </w:p>
    <w:p w:rsidR="004E456B" w:rsidRPr="00CE23E2" w:rsidRDefault="004E456B" w:rsidP="00027A9C">
      <w:pPr>
        <w:keepNext/>
        <w:keepLines/>
        <w:rPr>
          <w:b/>
          <w:sz w:val="20"/>
          <w:szCs w:val="16"/>
        </w:rPr>
      </w:pPr>
    </w:p>
    <w:tbl>
      <w:tblPr>
        <w:tblW w:w="9179" w:type="dxa"/>
        <w:tblInd w:w="108" w:type="dxa"/>
        <w:tblLayout w:type="fixed"/>
        <w:tblLook w:val="04A0" w:firstRow="1" w:lastRow="0" w:firstColumn="1" w:lastColumn="0" w:noHBand="0" w:noVBand="1"/>
      </w:tblPr>
      <w:tblGrid>
        <w:gridCol w:w="1835"/>
        <w:gridCol w:w="1836"/>
        <w:gridCol w:w="1836"/>
        <w:gridCol w:w="1836"/>
        <w:gridCol w:w="1836"/>
      </w:tblGrid>
      <w:tr w:rsidR="004E456B" w:rsidRPr="008466AF" w:rsidTr="00027A9C">
        <w:trPr>
          <w:trHeight w:val="544"/>
        </w:trPr>
        <w:tc>
          <w:tcPr>
            <w:tcW w:w="1835" w:type="dxa"/>
            <w:tcBorders>
              <w:top w:val="nil"/>
              <w:left w:val="nil"/>
              <w:bottom w:val="nil"/>
              <w:right w:val="nil"/>
            </w:tcBorders>
            <w:shd w:val="clear" w:color="000000" w:fill="C5D9F1"/>
            <w:vAlign w:val="center"/>
            <w:hideMark/>
          </w:tcPr>
          <w:p w:rsidR="004E456B" w:rsidRPr="00CE23E2" w:rsidRDefault="004E456B" w:rsidP="00027A9C">
            <w:pPr>
              <w:keepNext/>
              <w:keepLines/>
              <w:jc w:val="center"/>
              <w:rPr>
                <w:b/>
                <w:bCs/>
                <w:sz w:val="16"/>
                <w:szCs w:val="16"/>
              </w:rPr>
            </w:pPr>
            <w:r w:rsidRPr="00CE23E2">
              <w:rPr>
                <w:rFonts w:eastAsia="Arial"/>
                <w:b/>
                <w:bCs/>
                <w:sz w:val="16"/>
                <w:szCs w:val="16"/>
                <w:bdr w:val="nil"/>
              </w:rPr>
              <w:t>Saldo al 31 de diciembre de 2015</w:t>
            </w:r>
          </w:p>
        </w:tc>
        <w:tc>
          <w:tcPr>
            <w:tcW w:w="1836" w:type="dxa"/>
            <w:tcBorders>
              <w:top w:val="nil"/>
              <w:left w:val="nil"/>
              <w:bottom w:val="nil"/>
              <w:right w:val="nil"/>
            </w:tcBorders>
            <w:shd w:val="clear" w:color="000000" w:fill="C5D9F1"/>
            <w:noWrap/>
            <w:vAlign w:val="center"/>
            <w:hideMark/>
          </w:tcPr>
          <w:p w:rsidR="004E456B" w:rsidRPr="00CE23E2" w:rsidRDefault="004E456B" w:rsidP="00027A9C">
            <w:pPr>
              <w:keepNext/>
              <w:keepLines/>
              <w:jc w:val="center"/>
              <w:rPr>
                <w:b/>
                <w:bCs/>
                <w:sz w:val="16"/>
                <w:szCs w:val="16"/>
              </w:rPr>
            </w:pPr>
            <w:r w:rsidRPr="00CE23E2">
              <w:rPr>
                <w:rFonts w:eastAsia="Arial"/>
                <w:b/>
                <w:bCs/>
                <w:sz w:val="16"/>
                <w:szCs w:val="16"/>
                <w:bdr w:val="nil"/>
              </w:rPr>
              <w:t>Ingresos en 2016</w:t>
            </w:r>
          </w:p>
        </w:tc>
        <w:tc>
          <w:tcPr>
            <w:tcW w:w="1836" w:type="dxa"/>
            <w:tcBorders>
              <w:top w:val="nil"/>
              <w:left w:val="nil"/>
              <w:bottom w:val="nil"/>
              <w:right w:val="nil"/>
            </w:tcBorders>
            <w:shd w:val="clear" w:color="000000" w:fill="C5D9F1"/>
            <w:noWrap/>
            <w:vAlign w:val="center"/>
            <w:hideMark/>
          </w:tcPr>
          <w:p w:rsidR="004E456B" w:rsidRPr="00CE23E2" w:rsidRDefault="004E456B" w:rsidP="00027A9C">
            <w:pPr>
              <w:keepNext/>
              <w:keepLines/>
              <w:jc w:val="center"/>
              <w:rPr>
                <w:b/>
                <w:bCs/>
                <w:sz w:val="16"/>
                <w:szCs w:val="16"/>
              </w:rPr>
            </w:pPr>
            <w:r w:rsidRPr="00CE23E2">
              <w:rPr>
                <w:rFonts w:eastAsia="Arial"/>
                <w:b/>
                <w:bCs/>
                <w:sz w:val="16"/>
                <w:szCs w:val="16"/>
                <w:bdr w:val="nil"/>
              </w:rPr>
              <w:t>Gastos en 2016</w:t>
            </w:r>
          </w:p>
        </w:tc>
        <w:tc>
          <w:tcPr>
            <w:tcW w:w="1836" w:type="dxa"/>
            <w:tcBorders>
              <w:top w:val="nil"/>
              <w:left w:val="nil"/>
              <w:bottom w:val="nil"/>
              <w:right w:val="nil"/>
            </w:tcBorders>
            <w:shd w:val="clear" w:color="000000" w:fill="C5D9F1"/>
            <w:noWrap/>
            <w:vAlign w:val="center"/>
            <w:hideMark/>
          </w:tcPr>
          <w:p w:rsidR="004E456B" w:rsidRPr="00CE23E2" w:rsidRDefault="004E456B" w:rsidP="00027A9C">
            <w:pPr>
              <w:keepNext/>
              <w:keepLines/>
              <w:jc w:val="center"/>
              <w:rPr>
                <w:b/>
                <w:bCs/>
                <w:sz w:val="16"/>
                <w:szCs w:val="16"/>
              </w:rPr>
            </w:pPr>
            <w:r w:rsidRPr="00CE23E2">
              <w:rPr>
                <w:rFonts w:eastAsia="Arial"/>
                <w:b/>
                <w:bCs/>
                <w:sz w:val="16"/>
                <w:szCs w:val="16"/>
                <w:bdr w:val="nil"/>
              </w:rPr>
              <w:t>Reembolsos</w:t>
            </w:r>
          </w:p>
        </w:tc>
        <w:tc>
          <w:tcPr>
            <w:tcW w:w="1836" w:type="dxa"/>
            <w:tcBorders>
              <w:top w:val="nil"/>
              <w:left w:val="nil"/>
              <w:bottom w:val="nil"/>
              <w:right w:val="nil"/>
            </w:tcBorders>
            <w:shd w:val="clear" w:color="000000" w:fill="C5D9F1"/>
            <w:vAlign w:val="center"/>
            <w:hideMark/>
          </w:tcPr>
          <w:p w:rsidR="004E456B" w:rsidRPr="00CE23E2" w:rsidRDefault="004E456B" w:rsidP="00027A9C">
            <w:pPr>
              <w:keepNext/>
              <w:keepLines/>
              <w:jc w:val="center"/>
              <w:rPr>
                <w:b/>
                <w:bCs/>
                <w:sz w:val="16"/>
                <w:szCs w:val="16"/>
              </w:rPr>
            </w:pPr>
            <w:r w:rsidRPr="00CE23E2">
              <w:rPr>
                <w:rFonts w:eastAsia="Arial"/>
                <w:b/>
                <w:bCs/>
                <w:sz w:val="16"/>
                <w:szCs w:val="16"/>
                <w:bdr w:val="nil"/>
              </w:rPr>
              <w:t>Saldo al 31 de diciembre de 2016</w:t>
            </w:r>
          </w:p>
        </w:tc>
      </w:tr>
      <w:tr w:rsidR="004E456B" w:rsidRPr="00CE23E2" w:rsidTr="00027A9C">
        <w:trPr>
          <w:trHeight w:val="357"/>
        </w:trPr>
        <w:tc>
          <w:tcPr>
            <w:tcW w:w="1835" w:type="dxa"/>
            <w:tcBorders>
              <w:top w:val="nil"/>
              <w:left w:val="nil"/>
              <w:bottom w:val="nil"/>
              <w:right w:val="nil"/>
            </w:tcBorders>
            <w:shd w:val="clear" w:color="auto" w:fill="auto"/>
            <w:noWrap/>
            <w:vAlign w:val="bottom"/>
            <w:hideMark/>
          </w:tcPr>
          <w:p w:rsidR="004E456B" w:rsidRPr="00CE23E2" w:rsidRDefault="004E456B" w:rsidP="00027A9C">
            <w:pPr>
              <w:keepNext/>
              <w:keepLines/>
              <w:jc w:val="center"/>
              <w:rPr>
                <w:sz w:val="16"/>
                <w:szCs w:val="16"/>
              </w:rPr>
            </w:pPr>
            <w:r w:rsidRPr="00CE23E2">
              <w:rPr>
                <w:sz w:val="16"/>
                <w:szCs w:val="16"/>
              </w:rPr>
              <w:t>960.497</w:t>
            </w:r>
          </w:p>
        </w:tc>
        <w:tc>
          <w:tcPr>
            <w:tcW w:w="1836" w:type="dxa"/>
            <w:tcBorders>
              <w:top w:val="nil"/>
              <w:left w:val="nil"/>
              <w:bottom w:val="nil"/>
              <w:right w:val="nil"/>
            </w:tcBorders>
            <w:shd w:val="clear" w:color="auto" w:fill="auto"/>
            <w:noWrap/>
            <w:vAlign w:val="bottom"/>
            <w:hideMark/>
          </w:tcPr>
          <w:p w:rsidR="004E456B" w:rsidRPr="00CE23E2" w:rsidRDefault="004E456B" w:rsidP="00027A9C">
            <w:pPr>
              <w:keepNext/>
              <w:keepLines/>
              <w:jc w:val="center"/>
              <w:rPr>
                <w:sz w:val="16"/>
                <w:szCs w:val="16"/>
              </w:rPr>
            </w:pPr>
            <w:r w:rsidRPr="00CE23E2">
              <w:rPr>
                <w:sz w:val="16"/>
                <w:szCs w:val="16"/>
              </w:rPr>
              <w:t>289.323</w:t>
            </w:r>
          </w:p>
        </w:tc>
        <w:tc>
          <w:tcPr>
            <w:tcW w:w="1836" w:type="dxa"/>
            <w:tcBorders>
              <w:top w:val="nil"/>
              <w:left w:val="nil"/>
              <w:bottom w:val="nil"/>
              <w:right w:val="nil"/>
            </w:tcBorders>
            <w:shd w:val="clear" w:color="auto" w:fill="auto"/>
            <w:noWrap/>
            <w:vAlign w:val="bottom"/>
            <w:hideMark/>
          </w:tcPr>
          <w:p w:rsidR="004E456B" w:rsidRPr="00CE23E2" w:rsidRDefault="004E456B" w:rsidP="00027A9C">
            <w:pPr>
              <w:keepNext/>
              <w:keepLines/>
              <w:jc w:val="center"/>
              <w:rPr>
                <w:sz w:val="16"/>
                <w:szCs w:val="16"/>
              </w:rPr>
            </w:pPr>
            <w:r w:rsidRPr="00CE23E2">
              <w:rPr>
                <w:sz w:val="16"/>
                <w:szCs w:val="16"/>
              </w:rPr>
              <w:t>545.186</w:t>
            </w:r>
          </w:p>
        </w:tc>
        <w:tc>
          <w:tcPr>
            <w:tcW w:w="1836" w:type="dxa"/>
            <w:tcBorders>
              <w:top w:val="nil"/>
              <w:left w:val="nil"/>
              <w:bottom w:val="nil"/>
              <w:right w:val="nil"/>
            </w:tcBorders>
            <w:shd w:val="clear" w:color="auto" w:fill="auto"/>
            <w:noWrap/>
            <w:vAlign w:val="bottom"/>
            <w:hideMark/>
          </w:tcPr>
          <w:p w:rsidR="004E456B" w:rsidRPr="00CE23E2" w:rsidRDefault="004E456B" w:rsidP="00027A9C">
            <w:pPr>
              <w:keepNext/>
              <w:keepLines/>
              <w:jc w:val="center"/>
              <w:rPr>
                <w:sz w:val="16"/>
                <w:szCs w:val="16"/>
              </w:rPr>
            </w:pPr>
            <w:r w:rsidRPr="00CE23E2">
              <w:rPr>
                <w:sz w:val="16"/>
                <w:szCs w:val="16"/>
              </w:rPr>
              <w:t>-</w:t>
            </w:r>
          </w:p>
        </w:tc>
        <w:tc>
          <w:tcPr>
            <w:tcW w:w="1836" w:type="dxa"/>
            <w:tcBorders>
              <w:top w:val="nil"/>
              <w:left w:val="nil"/>
              <w:bottom w:val="nil"/>
              <w:right w:val="nil"/>
            </w:tcBorders>
            <w:shd w:val="clear" w:color="auto" w:fill="auto"/>
            <w:noWrap/>
            <w:vAlign w:val="bottom"/>
            <w:hideMark/>
          </w:tcPr>
          <w:p w:rsidR="004E456B" w:rsidRPr="00CE23E2" w:rsidRDefault="004E456B" w:rsidP="00027A9C">
            <w:pPr>
              <w:keepNext/>
              <w:keepLines/>
              <w:jc w:val="center"/>
              <w:rPr>
                <w:sz w:val="16"/>
                <w:szCs w:val="16"/>
              </w:rPr>
            </w:pPr>
            <w:r w:rsidRPr="00CE23E2">
              <w:rPr>
                <w:sz w:val="16"/>
                <w:szCs w:val="16"/>
              </w:rPr>
              <w:t>704.634</w:t>
            </w:r>
          </w:p>
        </w:tc>
      </w:tr>
    </w:tbl>
    <w:p w:rsidR="004E456B" w:rsidRPr="00CE23E2" w:rsidRDefault="004E456B" w:rsidP="00027A9C">
      <w:pPr>
        <w:rPr>
          <w:rFonts w:cs="Times New Roman"/>
          <w:sz w:val="20"/>
          <w:szCs w:val="24"/>
        </w:rPr>
      </w:pPr>
    </w:p>
    <w:p w:rsidR="004E456B" w:rsidRDefault="004E456B" w:rsidP="00027A9C">
      <w:pPr>
        <w:rPr>
          <w:b/>
          <w:sz w:val="20"/>
        </w:rPr>
      </w:pPr>
    </w:p>
    <w:p w:rsidR="004E456B" w:rsidRPr="00CE23E2" w:rsidRDefault="004E456B" w:rsidP="00027A9C">
      <w:pPr>
        <w:rPr>
          <w:b/>
          <w:sz w:val="20"/>
        </w:rPr>
      </w:pPr>
    </w:p>
    <w:p w:rsidR="004E456B" w:rsidRPr="00CE23E2" w:rsidRDefault="004E456B" w:rsidP="00027A9C">
      <w:pPr>
        <w:rPr>
          <w:b/>
          <w:sz w:val="20"/>
        </w:rPr>
      </w:pPr>
      <w:r w:rsidRPr="00CE23E2">
        <w:rPr>
          <w:rFonts w:eastAsia="Arial"/>
          <w:b/>
          <w:bCs/>
          <w:sz w:val="20"/>
          <w:bdr w:val="nil"/>
        </w:rPr>
        <w:t>PROGRAMA IBEROAMERICANO DE PROPIEDAD INDUSTRIAL</w:t>
      </w:r>
      <w:r>
        <w:rPr>
          <w:rFonts w:eastAsia="Arial"/>
          <w:b/>
          <w:bCs/>
          <w:sz w:val="20"/>
          <w:bdr w:val="nil"/>
        </w:rPr>
        <w:t xml:space="preserve"> (IBEPI)</w:t>
      </w:r>
    </w:p>
    <w:p w:rsidR="004E456B" w:rsidRPr="00CE23E2" w:rsidRDefault="004E456B" w:rsidP="00027A9C">
      <w:pPr>
        <w:rPr>
          <w:b/>
          <w:sz w:val="20"/>
          <w:u w:val="single"/>
        </w:rPr>
      </w:pPr>
    </w:p>
    <w:tbl>
      <w:tblPr>
        <w:tblW w:w="9214" w:type="dxa"/>
        <w:tblInd w:w="108" w:type="dxa"/>
        <w:tblLayout w:type="fixed"/>
        <w:tblLook w:val="0000" w:firstRow="0" w:lastRow="0" w:firstColumn="0" w:lastColumn="0" w:noHBand="0" w:noVBand="0"/>
      </w:tblPr>
      <w:tblGrid>
        <w:gridCol w:w="1789"/>
        <w:gridCol w:w="1103"/>
        <w:gridCol w:w="2061"/>
        <w:gridCol w:w="4261"/>
      </w:tblGrid>
      <w:tr w:rsidR="004E456B" w:rsidRPr="008466AF" w:rsidTr="00027A9C">
        <w:tc>
          <w:tcPr>
            <w:tcW w:w="9214" w:type="dxa"/>
            <w:gridSpan w:val="4"/>
            <w:shd w:val="clear" w:color="auto" w:fill="C6D9F1"/>
            <w:vAlign w:val="center"/>
          </w:tcPr>
          <w:p w:rsidR="004E456B" w:rsidRPr="00CE23E2" w:rsidRDefault="004E456B" w:rsidP="00027A9C">
            <w:pPr>
              <w:keepNext/>
              <w:keepLines/>
              <w:tabs>
                <w:tab w:val="left" w:pos="1740"/>
              </w:tabs>
              <w:spacing w:before="120" w:after="120"/>
              <w:ind w:left="1740" w:hanging="1740"/>
              <w:rPr>
                <w:b/>
                <w:bCs/>
                <w:sz w:val="16"/>
                <w:szCs w:val="16"/>
              </w:rPr>
            </w:pPr>
            <w:r w:rsidRPr="00CE23E2">
              <w:rPr>
                <w:rFonts w:eastAsia="Arial"/>
                <w:b/>
                <w:bCs/>
                <w:sz w:val="16"/>
                <w:szCs w:val="16"/>
                <w:bdr w:val="nil"/>
              </w:rPr>
              <w:t>RESULTADO:</w:t>
            </w:r>
            <w:r w:rsidRPr="00CE23E2">
              <w:rPr>
                <w:rFonts w:eastAsia="Arial"/>
                <w:b/>
                <w:bCs/>
                <w:sz w:val="16"/>
                <w:szCs w:val="16"/>
                <w:bdr w:val="nil"/>
              </w:rPr>
              <w:tab/>
            </w:r>
            <w:r w:rsidRPr="00CE23E2">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RPr="00CE23E2" w:rsidTr="00027A9C">
        <w:tc>
          <w:tcPr>
            <w:tcW w:w="1789" w:type="dxa"/>
            <w:vAlign w:val="center"/>
          </w:tcPr>
          <w:p w:rsidR="004E456B" w:rsidRPr="00CE23E2" w:rsidRDefault="004E456B" w:rsidP="00027A9C">
            <w:pPr>
              <w:keepNext/>
              <w:keepLines/>
              <w:rPr>
                <w:b/>
                <w:bCs/>
                <w:sz w:val="16"/>
                <w:szCs w:val="16"/>
              </w:rPr>
            </w:pPr>
            <w:r w:rsidRPr="00CE23E2">
              <w:rPr>
                <w:rFonts w:eastAsia="Arial"/>
                <w:b/>
                <w:bCs/>
                <w:sz w:val="16"/>
                <w:szCs w:val="16"/>
                <w:bdr w:val="nil"/>
              </w:rPr>
              <w:t>Actividad</w:t>
            </w:r>
          </w:p>
        </w:tc>
        <w:tc>
          <w:tcPr>
            <w:tcW w:w="1103" w:type="dxa"/>
            <w:shd w:val="clear" w:color="auto" w:fill="auto"/>
            <w:tcMar>
              <w:top w:w="110" w:type="dxa"/>
            </w:tcMar>
            <w:vAlign w:val="center"/>
          </w:tcPr>
          <w:p w:rsidR="004E456B" w:rsidRPr="00CE23E2" w:rsidRDefault="004E456B" w:rsidP="00027A9C">
            <w:pPr>
              <w:keepNext/>
              <w:keepLines/>
              <w:rPr>
                <w:sz w:val="16"/>
                <w:szCs w:val="16"/>
              </w:rPr>
            </w:pPr>
            <w:r w:rsidRPr="00CE23E2">
              <w:rPr>
                <w:rFonts w:eastAsia="Arial"/>
                <w:b/>
                <w:bCs/>
                <w:sz w:val="16"/>
                <w:szCs w:val="16"/>
                <w:bdr w:val="nil"/>
              </w:rPr>
              <w:t>Fecha</w:t>
            </w:r>
          </w:p>
        </w:tc>
        <w:tc>
          <w:tcPr>
            <w:tcW w:w="2061" w:type="dxa"/>
            <w:shd w:val="clear" w:color="auto" w:fill="auto"/>
            <w:tcMar>
              <w:top w:w="110" w:type="dxa"/>
            </w:tcMar>
            <w:vAlign w:val="center"/>
          </w:tcPr>
          <w:p w:rsidR="004E456B" w:rsidRPr="00CE23E2" w:rsidRDefault="004E456B" w:rsidP="00027A9C">
            <w:pPr>
              <w:keepNext/>
              <w:keepLines/>
              <w:rPr>
                <w:sz w:val="16"/>
                <w:szCs w:val="16"/>
              </w:rPr>
            </w:pPr>
            <w:r w:rsidRPr="00CE23E2">
              <w:rPr>
                <w:rFonts w:eastAsia="Arial"/>
                <w:b/>
                <w:bCs/>
                <w:sz w:val="16"/>
                <w:szCs w:val="16"/>
                <w:bdr w:val="nil"/>
              </w:rPr>
              <w:t>País anfitrión / Beneficiarios</w:t>
            </w:r>
          </w:p>
        </w:tc>
        <w:tc>
          <w:tcPr>
            <w:tcW w:w="4261" w:type="dxa"/>
            <w:shd w:val="clear" w:color="auto" w:fill="FFFFFF"/>
            <w:tcMar>
              <w:top w:w="110" w:type="dxa"/>
            </w:tcMar>
            <w:vAlign w:val="center"/>
          </w:tcPr>
          <w:p w:rsidR="004E456B" w:rsidRPr="00CE23E2" w:rsidRDefault="004E456B" w:rsidP="00027A9C">
            <w:pPr>
              <w:keepNext/>
              <w:keepLines/>
              <w:rPr>
                <w:sz w:val="16"/>
                <w:szCs w:val="16"/>
              </w:rPr>
            </w:pPr>
            <w:r w:rsidRPr="00CE23E2">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trHeight w:val="1654"/>
        </w:trPr>
        <w:tc>
          <w:tcPr>
            <w:tcW w:w="1789" w:type="dxa"/>
          </w:tcPr>
          <w:p w:rsidR="004E456B" w:rsidRPr="00CE23E2" w:rsidRDefault="004E456B" w:rsidP="00027A9C">
            <w:pPr>
              <w:autoSpaceDE w:val="0"/>
              <w:autoSpaceDN w:val="0"/>
              <w:adjustRightInd w:val="0"/>
              <w:spacing w:before="120"/>
              <w:rPr>
                <w:sz w:val="16"/>
                <w:szCs w:val="16"/>
                <w:lang w:val="es-ES_tradnl"/>
              </w:rPr>
            </w:pPr>
            <w:r w:rsidRPr="00CE23E2">
              <w:rPr>
                <w:rFonts w:eastAsia="Arial"/>
                <w:sz w:val="16"/>
                <w:szCs w:val="16"/>
                <w:bdr w:val="nil"/>
              </w:rPr>
              <w:t>Plataforma de servicios y contenidos de P.I. adaptada a las necesidades del sector empresarial iberoamericano, con atención especial a las pymes (CIBEPYME)</w:t>
            </w:r>
          </w:p>
          <w:p w:rsidR="004E456B" w:rsidRPr="00CE23E2" w:rsidRDefault="004E456B" w:rsidP="00027A9C">
            <w:pPr>
              <w:autoSpaceDE w:val="0"/>
              <w:autoSpaceDN w:val="0"/>
              <w:adjustRightInd w:val="0"/>
              <w:spacing w:before="120"/>
              <w:rPr>
                <w:sz w:val="16"/>
                <w:szCs w:val="16"/>
              </w:rPr>
            </w:pPr>
          </w:p>
        </w:tc>
        <w:tc>
          <w:tcPr>
            <w:tcW w:w="1103" w:type="dxa"/>
          </w:tcPr>
          <w:p w:rsidR="004E456B" w:rsidRPr="00CE23E2" w:rsidRDefault="004E456B" w:rsidP="00027A9C">
            <w:pPr>
              <w:autoSpaceDE w:val="0"/>
              <w:autoSpaceDN w:val="0"/>
              <w:adjustRightInd w:val="0"/>
              <w:spacing w:before="120" w:after="120"/>
              <w:rPr>
                <w:sz w:val="16"/>
                <w:szCs w:val="16"/>
              </w:rPr>
            </w:pPr>
            <w:r w:rsidRPr="00CE23E2">
              <w:rPr>
                <w:rFonts w:eastAsia="Arial"/>
                <w:sz w:val="16"/>
                <w:szCs w:val="16"/>
                <w:bdr w:val="nil"/>
              </w:rPr>
              <w:t>Enero a diciembre de 2016</w:t>
            </w:r>
          </w:p>
          <w:p w:rsidR="004E456B" w:rsidRPr="00CE23E2" w:rsidRDefault="004E456B" w:rsidP="00027A9C">
            <w:pPr>
              <w:autoSpaceDE w:val="0"/>
              <w:autoSpaceDN w:val="0"/>
              <w:adjustRightInd w:val="0"/>
              <w:spacing w:before="120" w:after="120"/>
              <w:rPr>
                <w:sz w:val="16"/>
                <w:szCs w:val="16"/>
              </w:rPr>
            </w:pPr>
            <w:r w:rsidRPr="00CE23E2">
              <w:rPr>
                <w:rFonts w:eastAsia="Arial"/>
                <w:sz w:val="16"/>
                <w:szCs w:val="16"/>
                <w:bdr w:val="nil"/>
              </w:rPr>
              <w:t>(en curso)</w:t>
            </w:r>
          </w:p>
        </w:tc>
        <w:tc>
          <w:tcPr>
            <w:tcW w:w="2061" w:type="dxa"/>
          </w:tcPr>
          <w:p w:rsidR="004E456B" w:rsidRPr="00CE23E2" w:rsidRDefault="004E456B" w:rsidP="00027A9C">
            <w:pPr>
              <w:autoSpaceDE w:val="0"/>
              <w:autoSpaceDN w:val="0"/>
              <w:adjustRightInd w:val="0"/>
              <w:spacing w:before="120" w:after="120"/>
              <w:rPr>
                <w:sz w:val="16"/>
                <w:szCs w:val="16"/>
              </w:rPr>
            </w:pPr>
            <w:r w:rsidRPr="00CE23E2">
              <w:rPr>
                <w:rFonts w:eastAsia="Arial"/>
                <w:sz w:val="16"/>
                <w:szCs w:val="16"/>
                <w:bdr w:val="nil"/>
              </w:rPr>
              <w:t>Todos los países iberoamericanos</w:t>
            </w:r>
          </w:p>
        </w:tc>
        <w:tc>
          <w:tcPr>
            <w:tcW w:w="4261" w:type="dxa"/>
          </w:tcPr>
          <w:p w:rsidR="004E456B" w:rsidRPr="00CE23E2" w:rsidRDefault="004E456B" w:rsidP="00027A9C">
            <w:pPr>
              <w:autoSpaceDE w:val="0"/>
              <w:autoSpaceDN w:val="0"/>
              <w:adjustRightInd w:val="0"/>
              <w:spacing w:before="120" w:after="120"/>
              <w:rPr>
                <w:sz w:val="16"/>
                <w:szCs w:val="16"/>
              </w:rPr>
            </w:pPr>
            <w:r w:rsidRPr="00CE23E2">
              <w:rPr>
                <w:rFonts w:eastAsia="Arial"/>
                <w:sz w:val="16"/>
                <w:szCs w:val="16"/>
                <w:bdr w:val="nil"/>
              </w:rPr>
              <w:t xml:space="preserve">Reforzar la generación y gestión de activos de P.I. por parte del sector empresarial en los países iberoamericanos. </w:t>
            </w:r>
          </w:p>
        </w:tc>
      </w:tr>
      <w:tr w:rsidR="004E456B" w:rsidRPr="008466AF" w:rsidTr="00027A9C">
        <w:tc>
          <w:tcPr>
            <w:tcW w:w="9214" w:type="dxa"/>
            <w:gridSpan w:val="4"/>
            <w:shd w:val="clear" w:color="auto" w:fill="C6D9F1"/>
            <w:vAlign w:val="center"/>
          </w:tcPr>
          <w:p w:rsidR="004E456B" w:rsidRPr="00CE23E2" w:rsidRDefault="004E456B" w:rsidP="00027A9C">
            <w:pPr>
              <w:keepNext/>
              <w:keepLines/>
              <w:tabs>
                <w:tab w:val="left" w:pos="1740"/>
              </w:tabs>
              <w:spacing w:before="120" w:after="120"/>
              <w:ind w:left="1740" w:hanging="1740"/>
              <w:rPr>
                <w:b/>
                <w:bCs/>
                <w:sz w:val="16"/>
                <w:szCs w:val="16"/>
              </w:rPr>
            </w:pPr>
            <w:r w:rsidRPr="00CE23E2">
              <w:rPr>
                <w:rFonts w:eastAsia="Arial"/>
                <w:b/>
                <w:bCs/>
                <w:sz w:val="16"/>
                <w:szCs w:val="16"/>
                <w:bdr w:val="nil"/>
              </w:rPr>
              <w:t>RESULTADO:</w:t>
            </w:r>
            <w:r w:rsidRPr="00CE23E2">
              <w:rPr>
                <w:rFonts w:eastAsia="Arial"/>
                <w:b/>
                <w:bCs/>
                <w:sz w:val="16"/>
                <w:szCs w:val="16"/>
                <w:bdr w:val="nil"/>
              </w:rPr>
              <w:tab/>
            </w:r>
            <w:r w:rsidRPr="00CE23E2">
              <w:rPr>
                <w:rFonts w:eastAsia="Arial"/>
                <w:sz w:val="16"/>
                <w:szCs w:val="16"/>
                <w:bdr w:val="nil"/>
              </w:rPr>
              <w:t>III.4  Fortalecimiento de los mecanismos de cooperación con instituciones de países en desarrollo, PMA y países con economías en transición, conforme a sus necesidades</w:t>
            </w:r>
          </w:p>
        </w:tc>
      </w:tr>
      <w:tr w:rsidR="004E456B" w:rsidTr="00027A9C">
        <w:tc>
          <w:tcPr>
            <w:tcW w:w="1789" w:type="dxa"/>
            <w:vAlign w:val="center"/>
          </w:tcPr>
          <w:p w:rsidR="004E456B" w:rsidRPr="00D07FCC" w:rsidRDefault="004E456B" w:rsidP="00027A9C">
            <w:pPr>
              <w:keepNext/>
              <w:keepLines/>
              <w:rPr>
                <w:b/>
                <w:bCs/>
                <w:sz w:val="16"/>
                <w:szCs w:val="16"/>
              </w:rPr>
            </w:pPr>
            <w:r w:rsidRPr="00D07FCC">
              <w:rPr>
                <w:rFonts w:eastAsia="Arial"/>
                <w:b/>
                <w:bCs/>
                <w:sz w:val="16"/>
                <w:szCs w:val="16"/>
                <w:bdr w:val="nil"/>
              </w:rPr>
              <w:t>Actividad</w:t>
            </w:r>
          </w:p>
        </w:tc>
        <w:tc>
          <w:tcPr>
            <w:tcW w:w="1103" w:type="dxa"/>
            <w:shd w:val="clear" w:color="auto" w:fill="auto"/>
            <w:tcMar>
              <w:top w:w="110" w:type="dxa"/>
            </w:tcMar>
            <w:vAlign w:val="center"/>
          </w:tcPr>
          <w:p w:rsidR="004E456B" w:rsidRPr="00D07FCC" w:rsidRDefault="004E456B" w:rsidP="00027A9C">
            <w:pPr>
              <w:keepNext/>
              <w:keepLines/>
              <w:rPr>
                <w:sz w:val="16"/>
                <w:szCs w:val="16"/>
              </w:rPr>
            </w:pPr>
            <w:r w:rsidRPr="00D07FCC">
              <w:rPr>
                <w:rFonts w:eastAsia="Arial"/>
                <w:b/>
                <w:bCs/>
                <w:sz w:val="16"/>
                <w:szCs w:val="16"/>
                <w:bdr w:val="nil"/>
              </w:rPr>
              <w:t>Fecha</w:t>
            </w:r>
          </w:p>
        </w:tc>
        <w:tc>
          <w:tcPr>
            <w:tcW w:w="2061" w:type="dxa"/>
            <w:shd w:val="clear" w:color="auto" w:fill="auto"/>
            <w:tcMar>
              <w:top w:w="110" w:type="dxa"/>
            </w:tcMar>
            <w:vAlign w:val="center"/>
          </w:tcPr>
          <w:p w:rsidR="004E456B" w:rsidRPr="00D07FCC" w:rsidRDefault="004E456B" w:rsidP="00027A9C">
            <w:pPr>
              <w:keepNext/>
              <w:keepLines/>
              <w:rPr>
                <w:sz w:val="16"/>
                <w:szCs w:val="16"/>
              </w:rPr>
            </w:pPr>
            <w:r w:rsidRPr="00D07FCC">
              <w:rPr>
                <w:rFonts w:eastAsia="Arial"/>
                <w:b/>
                <w:bCs/>
                <w:sz w:val="16"/>
                <w:szCs w:val="16"/>
                <w:bdr w:val="nil"/>
              </w:rPr>
              <w:t>País anfitrión / Beneficiarios</w:t>
            </w:r>
          </w:p>
        </w:tc>
        <w:tc>
          <w:tcPr>
            <w:tcW w:w="4261" w:type="dxa"/>
            <w:shd w:val="clear" w:color="auto" w:fill="FFFFFF"/>
            <w:tcMar>
              <w:top w:w="110" w:type="dxa"/>
            </w:tcMar>
            <w:vAlign w:val="center"/>
          </w:tcPr>
          <w:p w:rsidR="004E456B" w:rsidRPr="00CE23E2" w:rsidRDefault="004E456B" w:rsidP="00027A9C">
            <w:pPr>
              <w:keepNext/>
              <w:keepLines/>
              <w:rPr>
                <w:sz w:val="16"/>
                <w:szCs w:val="16"/>
              </w:rPr>
            </w:pPr>
            <w:r w:rsidRPr="00CE23E2">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trHeight w:val="473"/>
        </w:trPr>
        <w:tc>
          <w:tcPr>
            <w:tcW w:w="1789" w:type="dxa"/>
          </w:tcPr>
          <w:p w:rsidR="004E456B" w:rsidRPr="00D07FCC" w:rsidRDefault="004E456B" w:rsidP="00027A9C">
            <w:pPr>
              <w:autoSpaceDE w:val="0"/>
              <w:autoSpaceDN w:val="0"/>
              <w:adjustRightInd w:val="0"/>
              <w:spacing w:before="120" w:after="120"/>
              <w:rPr>
                <w:sz w:val="16"/>
                <w:szCs w:val="16"/>
              </w:rPr>
            </w:pPr>
            <w:r w:rsidRPr="00D07FCC">
              <w:rPr>
                <w:rFonts w:eastAsia="Arial"/>
                <w:sz w:val="16"/>
                <w:szCs w:val="16"/>
                <w:bdr w:val="nil"/>
              </w:rPr>
              <w:t>Sistema Iberoamericano de Cooperación para la prestación de Servicios de Información Tecnológica (Programa INFOTEC)</w:t>
            </w:r>
          </w:p>
        </w:tc>
        <w:tc>
          <w:tcPr>
            <w:tcW w:w="1103" w:type="dxa"/>
          </w:tcPr>
          <w:p w:rsidR="004E456B" w:rsidRPr="00D07FCC" w:rsidRDefault="004E456B" w:rsidP="00027A9C">
            <w:pPr>
              <w:autoSpaceDE w:val="0"/>
              <w:autoSpaceDN w:val="0"/>
              <w:adjustRightInd w:val="0"/>
              <w:spacing w:before="120" w:after="120"/>
              <w:rPr>
                <w:sz w:val="16"/>
                <w:szCs w:val="16"/>
              </w:rPr>
            </w:pPr>
            <w:r w:rsidRPr="00D07FCC">
              <w:rPr>
                <w:rFonts w:eastAsia="Arial"/>
                <w:sz w:val="16"/>
                <w:szCs w:val="16"/>
                <w:bdr w:val="nil"/>
              </w:rPr>
              <w:t>Enero a diciembre de 2016</w:t>
            </w:r>
          </w:p>
          <w:p w:rsidR="004E456B" w:rsidRPr="00D07FCC" w:rsidRDefault="004E456B" w:rsidP="00027A9C">
            <w:pPr>
              <w:autoSpaceDE w:val="0"/>
              <w:autoSpaceDN w:val="0"/>
              <w:adjustRightInd w:val="0"/>
              <w:spacing w:before="120" w:after="120"/>
              <w:rPr>
                <w:sz w:val="16"/>
                <w:szCs w:val="16"/>
              </w:rPr>
            </w:pPr>
            <w:r w:rsidRPr="00D07FCC">
              <w:rPr>
                <w:rFonts w:eastAsia="Arial"/>
                <w:sz w:val="16"/>
                <w:szCs w:val="16"/>
                <w:bdr w:val="nil"/>
              </w:rPr>
              <w:t>(en curso)</w:t>
            </w:r>
          </w:p>
          <w:p w:rsidR="004E456B" w:rsidRPr="00D07FCC" w:rsidRDefault="004E456B" w:rsidP="00027A9C">
            <w:pPr>
              <w:autoSpaceDE w:val="0"/>
              <w:autoSpaceDN w:val="0"/>
              <w:adjustRightInd w:val="0"/>
              <w:spacing w:before="120" w:after="120"/>
              <w:rPr>
                <w:sz w:val="16"/>
                <w:szCs w:val="16"/>
              </w:rPr>
            </w:pPr>
          </w:p>
        </w:tc>
        <w:tc>
          <w:tcPr>
            <w:tcW w:w="2061" w:type="dxa"/>
          </w:tcPr>
          <w:p w:rsidR="004E456B" w:rsidRPr="00D07FCC" w:rsidRDefault="004E456B" w:rsidP="00027A9C">
            <w:pPr>
              <w:autoSpaceDE w:val="0"/>
              <w:autoSpaceDN w:val="0"/>
              <w:adjustRightInd w:val="0"/>
              <w:spacing w:before="120" w:after="120"/>
              <w:rPr>
                <w:sz w:val="16"/>
                <w:szCs w:val="16"/>
              </w:rPr>
            </w:pPr>
            <w:r w:rsidRPr="00D07FCC">
              <w:rPr>
                <w:rFonts w:eastAsia="Arial"/>
                <w:sz w:val="16"/>
                <w:szCs w:val="16"/>
                <w:bdr w:val="nil"/>
              </w:rPr>
              <w:t>Todos los países iberoamericanos</w:t>
            </w:r>
          </w:p>
          <w:p w:rsidR="004E456B" w:rsidRPr="00D07FCC" w:rsidRDefault="004E456B" w:rsidP="00027A9C">
            <w:pPr>
              <w:autoSpaceDE w:val="0"/>
              <w:autoSpaceDN w:val="0"/>
              <w:adjustRightInd w:val="0"/>
              <w:spacing w:before="120" w:after="120"/>
              <w:rPr>
                <w:sz w:val="16"/>
                <w:szCs w:val="16"/>
              </w:rPr>
            </w:pPr>
          </w:p>
        </w:tc>
        <w:tc>
          <w:tcPr>
            <w:tcW w:w="4261"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En 2016, el Comité de Información Tecnológica del IBEPI, compuesto por Argentina, el Brasil, Colombia, Costa Rica, República Dominicana, Ecuador, México, Paraguay, Perú, Portugal, España y Uruguay, lanzó el programa INFOTEC con objeto de: i) Aumentar la capacidad de los países iberoamericanos en materia de gestión y uso de la información tecnológica; y ii) promover la cooperación horizontal entre las oficinas de P.I. para reducir asimetrías en la calidad de la gestión de las tecnologías de la información y en el diseño de programas de formación.</w:t>
            </w:r>
          </w:p>
        </w:tc>
      </w:tr>
      <w:tr w:rsidR="004E456B" w:rsidRPr="008466AF" w:rsidTr="00027A9C">
        <w:tblPrEx>
          <w:tblLook w:val="04A0" w:firstRow="1" w:lastRow="0" w:firstColumn="1" w:lastColumn="0" w:noHBand="0" w:noVBand="1"/>
        </w:tblPrEx>
        <w:trPr>
          <w:trHeight w:val="473"/>
        </w:trPr>
        <w:tc>
          <w:tcPr>
            <w:tcW w:w="1789" w:type="dxa"/>
          </w:tcPr>
          <w:p w:rsidR="004E456B" w:rsidRPr="009703BB" w:rsidRDefault="004E456B" w:rsidP="00027A9C">
            <w:pPr>
              <w:keepNext/>
              <w:keepLines/>
              <w:autoSpaceDE w:val="0"/>
              <w:autoSpaceDN w:val="0"/>
              <w:adjustRightInd w:val="0"/>
              <w:spacing w:before="120" w:after="120"/>
              <w:rPr>
                <w:color w:val="000000"/>
                <w:sz w:val="16"/>
                <w:szCs w:val="16"/>
              </w:rPr>
            </w:pPr>
            <w:r>
              <w:rPr>
                <w:rFonts w:eastAsia="Arial"/>
                <w:color w:val="000000"/>
                <w:sz w:val="16"/>
                <w:szCs w:val="16"/>
                <w:bdr w:val="nil"/>
              </w:rPr>
              <w:t>Alentar la cooperación mediante una plataforma de Oficinas Nacionales de Propiedad Intelectual (ONAPI) de Latinoamérica para promover el intercambio de mejores prácticas entre Oficinas</w:t>
            </w:r>
          </w:p>
        </w:tc>
        <w:tc>
          <w:tcPr>
            <w:tcW w:w="1103" w:type="dxa"/>
          </w:tcPr>
          <w:p w:rsidR="004E456B" w:rsidRPr="00D07FCC" w:rsidRDefault="004E456B" w:rsidP="00027A9C">
            <w:pPr>
              <w:keepNext/>
              <w:keepLines/>
              <w:autoSpaceDE w:val="0"/>
              <w:autoSpaceDN w:val="0"/>
              <w:adjustRightInd w:val="0"/>
              <w:spacing w:before="120" w:after="120"/>
              <w:rPr>
                <w:sz w:val="16"/>
                <w:szCs w:val="16"/>
              </w:rPr>
            </w:pPr>
            <w:r w:rsidRPr="00D07FCC">
              <w:rPr>
                <w:rFonts w:eastAsia="Arial"/>
                <w:sz w:val="16"/>
                <w:szCs w:val="16"/>
                <w:bdr w:val="nil"/>
              </w:rPr>
              <w:t>Enero a diciembre de 2016</w:t>
            </w:r>
          </w:p>
          <w:p w:rsidR="004E456B" w:rsidRPr="00D07FCC" w:rsidRDefault="004E456B" w:rsidP="00027A9C">
            <w:pPr>
              <w:keepNext/>
              <w:keepLines/>
              <w:autoSpaceDE w:val="0"/>
              <w:autoSpaceDN w:val="0"/>
              <w:adjustRightInd w:val="0"/>
              <w:spacing w:before="120" w:after="120"/>
              <w:rPr>
                <w:sz w:val="16"/>
                <w:szCs w:val="16"/>
              </w:rPr>
            </w:pPr>
            <w:r w:rsidRPr="00D07FCC">
              <w:rPr>
                <w:rFonts w:eastAsia="Arial"/>
                <w:sz w:val="16"/>
                <w:szCs w:val="16"/>
                <w:bdr w:val="nil"/>
              </w:rPr>
              <w:t>(en curso)</w:t>
            </w:r>
          </w:p>
          <w:p w:rsidR="004E456B" w:rsidRPr="00D07FCC" w:rsidRDefault="004E456B" w:rsidP="00027A9C">
            <w:pPr>
              <w:keepNext/>
              <w:keepLines/>
              <w:autoSpaceDE w:val="0"/>
              <w:autoSpaceDN w:val="0"/>
              <w:adjustRightInd w:val="0"/>
              <w:spacing w:before="120" w:after="120"/>
              <w:rPr>
                <w:sz w:val="16"/>
                <w:szCs w:val="16"/>
              </w:rPr>
            </w:pPr>
          </w:p>
        </w:tc>
        <w:tc>
          <w:tcPr>
            <w:tcW w:w="2061" w:type="dxa"/>
          </w:tcPr>
          <w:p w:rsidR="004E456B" w:rsidRPr="00D07FCC" w:rsidRDefault="004E456B" w:rsidP="00027A9C">
            <w:pPr>
              <w:keepNext/>
              <w:keepLines/>
              <w:autoSpaceDE w:val="0"/>
              <w:autoSpaceDN w:val="0"/>
              <w:adjustRightInd w:val="0"/>
              <w:spacing w:before="120" w:after="120"/>
              <w:rPr>
                <w:sz w:val="16"/>
                <w:szCs w:val="16"/>
              </w:rPr>
            </w:pPr>
            <w:r w:rsidRPr="00D07FCC">
              <w:rPr>
                <w:rFonts w:eastAsia="Arial"/>
                <w:sz w:val="16"/>
                <w:szCs w:val="16"/>
                <w:bdr w:val="nil"/>
              </w:rPr>
              <w:t>Todos los países iberoamericanos</w:t>
            </w:r>
          </w:p>
          <w:p w:rsidR="004E456B" w:rsidRPr="00D07FCC" w:rsidRDefault="004E456B" w:rsidP="00027A9C">
            <w:pPr>
              <w:keepNext/>
              <w:keepLines/>
              <w:autoSpaceDE w:val="0"/>
              <w:autoSpaceDN w:val="0"/>
              <w:adjustRightInd w:val="0"/>
              <w:spacing w:before="120" w:after="120"/>
              <w:rPr>
                <w:sz w:val="16"/>
                <w:szCs w:val="16"/>
              </w:rPr>
            </w:pPr>
          </w:p>
        </w:tc>
        <w:tc>
          <w:tcPr>
            <w:tcW w:w="4261" w:type="dxa"/>
          </w:tcPr>
          <w:p w:rsidR="004E456B" w:rsidRPr="00D07FCC" w:rsidRDefault="004E456B" w:rsidP="00027A9C">
            <w:pPr>
              <w:keepNext/>
              <w:keepLines/>
              <w:autoSpaceDE w:val="0"/>
              <w:autoSpaceDN w:val="0"/>
              <w:adjustRightInd w:val="0"/>
              <w:spacing w:before="120" w:after="120"/>
              <w:rPr>
                <w:sz w:val="16"/>
                <w:szCs w:val="16"/>
              </w:rPr>
            </w:pPr>
            <w:r w:rsidRPr="00D07FCC">
              <w:rPr>
                <w:rFonts w:eastAsia="Arial"/>
                <w:sz w:val="16"/>
                <w:szCs w:val="16"/>
                <w:bdr w:val="nil"/>
              </w:rPr>
              <w:t>Promover el intercambio virtual de mejores prácticas entre las oficinas de P.I. iberoamericanas en cuestiones como:  i) la gestión de la calidad;  ii) la organización de servicios de registro e información en línea;  iii) el suministro de bases de datos de P.I.;  iv) el examen de patentes, diseños y marcas;  v) la prestación de servicios basados en el uso de información tecnológica y comercial;  vi) la organización de programas de fortalecimiento de capacidades;  y vii) la prestación de servicios de mediación o arbitraje.</w:t>
            </w:r>
          </w:p>
        </w:tc>
      </w:tr>
      <w:tr w:rsidR="004E456B" w:rsidRPr="008466AF" w:rsidTr="00027A9C">
        <w:tblPrEx>
          <w:tblLook w:val="04A0" w:firstRow="1" w:lastRow="0" w:firstColumn="1" w:lastColumn="0" w:noHBand="0" w:noVBand="1"/>
        </w:tblPrEx>
        <w:trPr>
          <w:trHeight w:val="473"/>
        </w:trPr>
        <w:tc>
          <w:tcPr>
            <w:tcW w:w="1789"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Reunión anual del Comité Intergubernamental del IBEPI</w:t>
            </w:r>
          </w:p>
        </w:tc>
        <w:tc>
          <w:tcPr>
            <w:tcW w:w="1103"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19 y 20 de mayo de 2016</w:t>
            </w:r>
          </w:p>
        </w:tc>
        <w:tc>
          <w:tcPr>
            <w:tcW w:w="2061"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Portugal/ Todos los países iberoamericanos</w:t>
            </w:r>
          </w:p>
        </w:tc>
        <w:tc>
          <w:tcPr>
            <w:tcW w:w="4261"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Examinar los proyectos y actividades en curso así como la planificación de nuevas iniciativas para el año siguiente. </w:t>
            </w:r>
          </w:p>
        </w:tc>
      </w:tr>
    </w:tbl>
    <w:p w:rsidR="004E456B" w:rsidRPr="009703BB" w:rsidRDefault="004E456B" w:rsidP="00027A9C">
      <w:pPr>
        <w:rPr>
          <w:b/>
          <w:sz w:val="20"/>
        </w:rPr>
      </w:pPr>
    </w:p>
    <w:p w:rsidR="004E456B" w:rsidRPr="009703BB" w:rsidRDefault="004E456B" w:rsidP="00027A9C">
      <w:pPr>
        <w:rPr>
          <w:b/>
          <w:sz w:val="20"/>
        </w:rPr>
      </w:pPr>
    </w:p>
    <w:p w:rsidR="004E456B" w:rsidRPr="00481B74" w:rsidRDefault="004E456B" w:rsidP="00027A9C">
      <w:pPr>
        <w:keepNext/>
        <w:keepLines/>
        <w:rPr>
          <w:rFonts w:cs="Times New Roman"/>
          <w:sz w:val="20"/>
          <w:szCs w:val="24"/>
        </w:rPr>
      </w:pPr>
      <w:r w:rsidRPr="00481B74">
        <w:rPr>
          <w:rFonts w:eastAsia="Arial"/>
          <w:b/>
          <w:bCs/>
          <w:sz w:val="20"/>
          <w:bdr w:val="nil"/>
        </w:rPr>
        <w:t>PROGRAMA IBEROAMERICANO DE PROPIEDAD INDUSTRIAL (IBEPI) – Contribuciones del donante y gastos en 2016</w:t>
      </w:r>
    </w:p>
    <w:p w:rsidR="004E456B" w:rsidRPr="00481B74" w:rsidRDefault="004E456B" w:rsidP="00027A9C">
      <w:pPr>
        <w:keepNext/>
        <w:keepLines/>
        <w:rPr>
          <w:rFonts w:cs="Times New Roman"/>
          <w:sz w:val="20"/>
          <w:szCs w:val="24"/>
        </w:rPr>
      </w:pPr>
    </w:p>
    <w:tbl>
      <w:tblPr>
        <w:tblW w:w="9179" w:type="dxa"/>
        <w:tblInd w:w="108" w:type="dxa"/>
        <w:tblLayout w:type="fixed"/>
        <w:tblLook w:val="04A0" w:firstRow="1" w:lastRow="0" w:firstColumn="1" w:lastColumn="0" w:noHBand="0" w:noVBand="1"/>
      </w:tblPr>
      <w:tblGrid>
        <w:gridCol w:w="1835"/>
        <w:gridCol w:w="1836"/>
        <w:gridCol w:w="1836"/>
        <w:gridCol w:w="1836"/>
        <w:gridCol w:w="1836"/>
      </w:tblGrid>
      <w:tr w:rsidR="004E456B" w:rsidRPr="008466AF" w:rsidTr="00027A9C">
        <w:trPr>
          <w:trHeight w:val="544"/>
        </w:trPr>
        <w:tc>
          <w:tcPr>
            <w:tcW w:w="1835" w:type="dxa"/>
            <w:tcBorders>
              <w:top w:val="nil"/>
              <w:left w:val="nil"/>
              <w:bottom w:val="nil"/>
              <w:right w:val="nil"/>
            </w:tcBorders>
            <w:shd w:val="clear" w:color="000000" w:fill="C5D9F1"/>
            <w:vAlign w:val="center"/>
            <w:hideMark/>
          </w:tcPr>
          <w:p w:rsidR="004E456B" w:rsidRPr="00481B74" w:rsidRDefault="004E456B" w:rsidP="00027A9C">
            <w:pPr>
              <w:keepNext/>
              <w:keepLines/>
              <w:jc w:val="center"/>
              <w:rPr>
                <w:b/>
                <w:bCs/>
                <w:sz w:val="16"/>
                <w:szCs w:val="16"/>
              </w:rPr>
            </w:pPr>
            <w:r w:rsidRPr="00481B74">
              <w:rPr>
                <w:rFonts w:eastAsia="Arial"/>
                <w:b/>
                <w:bCs/>
                <w:sz w:val="16"/>
                <w:szCs w:val="16"/>
                <w:bdr w:val="nil"/>
              </w:rPr>
              <w:t>Saldo al 31 de diciembre de 2015</w:t>
            </w:r>
          </w:p>
        </w:tc>
        <w:tc>
          <w:tcPr>
            <w:tcW w:w="1836" w:type="dxa"/>
            <w:tcBorders>
              <w:top w:val="nil"/>
              <w:left w:val="nil"/>
              <w:bottom w:val="nil"/>
              <w:right w:val="nil"/>
            </w:tcBorders>
            <w:shd w:val="clear" w:color="000000" w:fill="C5D9F1"/>
            <w:noWrap/>
            <w:vAlign w:val="center"/>
            <w:hideMark/>
          </w:tcPr>
          <w:p w:rsidR="004E456B" w:rsidRPr="00481B74" w:rsidRDefault="004E456B" w:rsidP="00027A9C">
            <w:pPr>
              <w:keepNext/>
              <w:keepLines/>
              <w:jc w:val="center"/>
              <w:rPr>
                <w:b/>
                <w:bCs/>
                <w:sz w:val="16"/>
                <w:szCs w:val="16"/>
              </w:rPr>
            </w:pPr>
            <w:r w:rsidRPr="00481B74">
              <w:rPr>
                <w:rFonts w:eastAsia="Arial"/>
                <w:b/>
                <w:bCs/>
                <w:sz w:val="16"/>
                <w:szCs w:val="16"/>
                <w:bdr w:val="nil"/>
              </w:rPr>
              <w:t>Ingresos en 2016</w:t>
            </w:r>
          </w:p>
        </w:tc>
        <w:tc>
          <w:tcPr>
            <w:tcW w:w="1836" w:type="dxa"/>
            <w:tcBorders>
              <w:top w:val="nil"/>
              <w:left w:val="nil"/>
              <w:bottom w:val="nil"/>
              <w:right w:val="nil"/>
            </w:tcBorders>
            <w:shd w:val="clear" w:color="000000" w:fill="C5D9F1"/>
            <w:noWrap/>
            <w:vAlign w:val="center"/>
            <w:hideMark/>
          </w:tcPr>
          <w:p w:rsidR="004E456B" w:rsidRPr="00481B74" w:rsidRDefault="004E456B" w:rsidP="00027A9C">
            <w:pPr>
              <w:keepNext/>
              <w:keepLines/>
              <w:jc w:val="center"/>
              <w:rPr>
                <w:b/>
                <w:bCs/>
                <w:sz w:val="16"/>
                <w:szCs w:val="16"/>
              </w:rPr>
            </w:pPr>
            <w:r w:rsidRPr="00481B74">
              <w:rPr>
                <w:rFonts w:eastAsia="Arial"/>
                <w:b/>
                <w:bCs/>
                <w:sz w:val="16"/>
                <w:szCs w:val="16"/>
                <w:bdr w:val="nil"/>
              </w:rPr>
              <w:t>Gastos en 2016</w:t>
            </w:r>
          </w:p>
        </w:tc>
        <w:tc>
          <w:tcPr>
            <w:tcW w:w="1836" w:type="dxa"/>
            <w:tcBorders>
              <w:top w:val="nil"/>
              <w:left w:val="nil"/>
              <w:bottom w:val="nil"/>
              <w:right w:val="nil"/>
            </w:tcBorders>
            <w:shd w:val="clear" w:color="000000" w:fill="C5D9F1"/>
            <w:noWrap/>
            <w:vAlign w:val="center"/>
            <w:hideMark/>
          </w:tcPr>
          <w:p w:rsidR="004E456B" w:rsidRPr="00481B74" w:rsidRDefault="004E456B" w:rsidP="00027A9C">
            <w:pPr>
              <w:keepNext/>
              <w:keepLines/>
              <w:jc w:val="center"/>
              <w:rPr>
                <w:b/>
                <w:bCs/>
                <w:sz w:val="16"/>
                <w:szCs w:val="16"/>
              </w:rPr>
            </w:pPr>
            <w:r w:rsidRPr="00481B74">
              <w:rPr>
                <w:rFonts w:eastAsia="Arial"/>
                <w:b/>
                <w:bCs/>
                <w:sz w:val="16"/>
                <w:szCs w:val="16"/>
                <w:bdr w:val="nil"/>
              </w:rPr>
              <w:t>Reembolsos</w:t>
            </w:r>
          </w:p>
        </w:tc>
        <w:tc>
          <w:tcPr>
            <w:tcW w:w="1836" w:type="dxa"/>
            <w:tcBorders>
              <w:top w:val="nil"/>
              <w:left w:val="nil"/>
              <w:bottom w:val="nil"/>
              <w:right w:val="nil"/>
            </w:tcBorders>
            <w:shd w:val="clear" w:color="000000" w:fill="C5D9F1"/>
            <w:vAlign w:val="center"/>
            <w:hideMark/>
          </w:tcPr>
          <w:p w:rsidR="004E456B" w:rsidRPr="00481B74" w:rsidRDefault="004E456B" w:rsidP="00027A9C">
            <w:pPr>
              <w:keepNext/>
              <w:keepLines/>
              <w:jc w:val="center"/>
              <w:rPr>
                <w:b/>
                <w:bCs/>
                <w:sz w:val="16"/>
                <w:szCs w:val="16"/>
              </w:rPr>
            </w:pPr>
            <w:r w:rsidRPr="00481B74">
              <w:rPr>
                <w:rFonts w:eastAsia="Arial"/>
                <w:b/>
                <w:bCs/>
                <w:sz w:val="16"/>
                <w:szCs w:val="16"/>
                <w:bdr w:val="nil"/>
              </w:rPr>
              <w:t>Saldo al 31 de diciembre de 2016</w:t>
            </w:r>
          </w:p>
        </w:tc>
      </w:tr>
      <w:tr w:rsidR="004E456B" w:rsidRPr="00481B74" w:rsidTr="00027A9C">
        <w:trPr>
          <w:trHeight w:val="357"/>
        </w:trPr>
        <w:tc>
          <w:tcPr>
            <w:tcW w:w="1835" w:type="dxa"/>
            <w:tcBorders>
              <w:top w:val="nil"/>
              <w:left w:val="nil"/>
              <w:bottom w:val="nil"/>
              <w:right w:val="nil"/>
            </w:tcBorders>
            <w:shd w:val="clear" w:color="auto" w:fill="auto"/>
            <w:noWrap/>
            <w:vAlign w:val="bottom"/>
            <w:hideMark/>
          </w:tcPr>
          <w:p w:rsidR="004E456B" w:rsidRPr="00481B74" w:rsidRDefault="004E456B" w:rsidP="00027A9C">
            <w:pPr>
              <w:keepNext/>
              <w:keepLines/>
              <w:jc w:val="center"/>
              <w:rPr>
                <w:sz w:val="16"/>
                <w:szCs w:val="16"/>
              </w:rPr>
            </w:pPr>
            <w:r w:rsidRPr="00481B74">
              <w:rPr>
                <w:sz w:val="16"/>
                <w:szCs w:val="16"/>
              </w:rPr>
              <w:t>239.955</w:t>
            </w:r>
          </w:p>
        </w:tc>
        <w:tc>
          <w:tcPr>
            <w:tcW w:w="1836" w:type="dxa"/>
            <w:tcBorders>
              <w:top w:val="nil"/>
              <w:left w:val="nil"/>
              <w:bottom w:val="nil"/>
              <w:right w:val="nil"/>
            </w:tcBorders>
            <w:shd w:val="clear" w:color="auto" w:fill="auto"/>
            <w:noWrap/>
            <w:vAlign w:val="bottom"/>
            <w:hideMark/>
          </w:tcPr>
          <w:p w:rsidR="004E456B" w:rsidRPr="00481B74" w:rsidRDefault="004E456B" w:rsidP="00027A9C">
            <w:pPr>
              <w:keepNext/>
              <w:keepLines/>
              <w:jc w:val="center"/>
              <w:rPr>
                <w:sz w:val="16"/>
                <w:szCs w:val="16"/>
              </w:rPr>
            </w:pPr>
            <w:r w:rsidRPr="00481B74">
              <w:rPr>
                <w:sz w:val="16"/>
                <w:szCs w:val="16"/>
              </w:rPr>
              <w:t>56.510</w:t>
            </w:r>
          </w:p>
        </w:tc>
        <w:tc>
          <w:tcPr>
            <w:tcW w:w="1836" w:type="dxa"/>
            <w:tcBorders>
              <w:top w:val="nil"/>
              <w:left w:val="nil"/>
              <w:bottom w:val="nil"/>
              <w:right w:val="nil"/>
            </w:tcBorders>
            <w:shd w:val="clear" w:color="auto" w:fill="auto"/>
            <w:noWrap/>
            <w:vAlign w:val="bottom"/>
            <w:hideMark/>
          </w:tcPr>
          <w:p w:rsidR="004E456B" w:rsidRPr="00481B74" w:rsidRDefault="004E456B" w:rsidP="00027A9C">
            <w:pPr>
              <w:keepNext/>
              <w:keepLines/>
              <w:jc w:val="center"/>
              <w:rPr>
                <w:sz w:val="16"/>
                <w:szCs w:val="16"/>
              </w:rPr>
            </w:pPr>
            <w:r w:rsidRPr="00481B74">
              <w:rPr>
                <w:sz w:val="16"/>
                <w:szCs w:val="16"/>
              </w:rPr>
              <w:t>59.219</w:t>
            </w:r>
          </w:p>
        </w:tc>
        <w:tc>
          <w:tcPr>
            <w:tcW w:w="1836" w:type="dxa"/>
            <w:tcBorders>
              <w:top w:val="nil"/>
              <w:left w:val="nil"/>
              <w:bottom w:val="nil"/>
              <w:right w:val="nil"/>
            </w:tcBorders>
            <w:shd w:val="clear" w:color="auto" w:fill="auto"/>
            <w:noWrap/>
            <w:vAlign w:val="bottom"/>
            <w:hideMark/>
          </w:tcPr>
          <w:p w:rsidR="004E456B" w:rsidRPr="00481B74" w:rsidRDefault="004E456B" w:rsidP="00027A9C">
            <w:pPr>
              <w:keepNext/>
              <w:keepLines/>
              <w:jc w:val="center"/>
              <w:rPr>
                <w:sz w:val="16"/>
                <w:szCs w:val="16"/>
              </w:rPr>
            </w:pPr>
            <w:r w:rsidRPr="00481B74">
              <w:rPr>
                <w:sz w:val="16"/>
                <w:szCs w:val="16"/>
              </w:rPr>
              <w:t>-</w:t>
            </w:r>
          </w:p>
        </w:tc>
        <w:tc>
          <w:tcPr>
            <w:tcW w:w="1836" w:type="dxa"/>
            <w:tcBorders>
              <w:top w:val="nil"/>
              <w:left w:val="nil"/>
              <w:bottom w:val="nil"/>
              <w:right w:val="nil"/>
            </w:tcBorders>
            <w:shd w:val="clear" w:color="auto" w:fill="auto"/>
            <w:noWrap/>
            <w:vAlign w:val="bottom"/>
            <w:hideMark/>
          </w:tcPr>
          <w:p w:rsidR="004E456B" w:rsidRPr="00481B74" w:rsidRDefault="004E456B" w:rsidP="00027A9C">
            <w:pPr>
              <w:keepNext/>
              <w:keepLines/>
              <w:jc w:val="center"/>
              <w:rPr>
                <w:sz w:val="16"/>
                <w:szCs w:val="16"/>
              </w:rPr>
            </w:pPr>
            <w:r w:rsidRPr="00481B74">
              <w:rPr>
                <w:sz w:val="16"/>
                <w:szCs w:val="16"/>
              </w:rPr>
              <w:t>237.245</w:t>
            </w:r>
          </w:p>
        </w:tc>
      </w:tr>
    </w:tbl>
    <w:p w:rsidR="004E456B" w:rsidRPr="00481B74" w:rsidRDefault="004E456B" w:rsidP="00027A9C">
      <w:pPr>
        <w:rPr>
          <w:b/>
          <w:sz w:val="20"/>
        </w:rPr>
      </w:pPr>
    </w:p>
    <w:p w:rsidR="004E456B" w:rsidRDefault="004E456B" w:rsidP="00027A9C">
      <w:pPr>
        <w:rPr>
          <w:b/>
          <w:sz w:val="20"/>
        </w:rPr>
      </w:pPr>
    </w:p>
    <w:p w:rsidR="004E456B" w:rsidRPr="00481B74" w:rsidRDefault="004E456B" w:rsidP="00027A9C">
      <w:pPr>
        <w:rPr>
          <w:b/>
          <w:sz w:val="20"/>
        </w:rPr>
      </w:pPr>
    </w:p>
    <w:p w:rsidR="004E456B" w:rsidRPr="00481B74" w:rsidRDefault="004E456B" w:rsidP="00027A9C">
      <w:pPr>
        <w:rPr>
          <w:b/>
          <w:sz w:val="20"/>
        </w:rPr>
      </w:pPr>
      <w:r w:rsidRPr="00481B74">
        <w:rPr>
          <w:rFonts w:eastAsia="Arial"/>
          <w:b/>
          <w:bCs/>
          <w:sz w:val="20"/>
          <w:bdr w:val="nil"/>
        </w:rPr>
        <w:t>ITALIA</w:t>
      </w:r>
    </w:p>
    <w:p w:rsidR="004E456B" w:rsidRPr="00481B74" w:rsidRDefault="004E456B" w:rsidP="00027A9C">
      <w:pPr>
        <w:keepNext/>
        <w:keepLines/>
        <w:rPr>
          <w:b/>
          <w:sz w:val="20"/>
        </w:rPr>
      </w:pPr>
    </w:p>
    <w:tbl>
      <w:tblPr>
        <w:tblW w:w="9214" w:type="dxa"/>
        <w:tblInd w:w="108" w:type="dxa"/>
        <w:tblLayout w:type="fixed"/>
        <w:tblLook w:val="0000" w:firstRow="0" w:lastRow="0" w:firstColumn="0" w:lastColumn="0" w:noHBand="0" w:noVBand="0"/>
      </w:tblPr>
      <w:tblGrid>
        <w:gridCol w:w="1789"/>
        <w:gridCol w:w="1240"/>
        <w:gridCol w:w="1924"/>
        <w:gridCol w:w="4261"/>
      </w:tblGrid>
      <w:tr w:rsidR="004E456B" w:rsidRPr="008466AF" w:rsidTr="00027A9C">
        <w:trPr>
          <w:cantSplit/>
        </w:trPr>
        <w:tc>
          <w:tcPr>
            <w:tcW w:w="9214" w:type="dxa"/>
            <w:gridSpan w:val="4"/>
            <w:shd w:val="clear" w:color="auto" w:fill="C6D9F1" w:themeFill="text2" w:themeFillTint="33"/>
            <w:vAlign w:val="center"/>
          </w:tcPr>
          <w:p w:rsidR="004E456B" w:rsidRPr="00481B74" w:rsidRDefault="004E456B" w:rsidP="00027A9C">
            <w:pPr>
              <w:keepNext/>
              <w:keepLines/>
              <w:tabs>
                <w:tab w:val="left" w:pos="1740"/>
              </w:tabs>
              <w:spacing w:before="120" w:after="120"/>
              <w:ind w:left="1740" w:hanging="1740"/>
              <w:rPr>
                <w:b/>
                <w:bCs/>
                <w:sz w:val="16"/>
                <w:szCs w:val="16"/>
              </w:rPr>
            </w:pPr>
            <w:r w:rsidRPr="00481B74">
              <w:rPr>
                <w:rFonts w:eastAsia="Arial"/>
                <w:b/>
                <w:bCs/>
                <w:sz w:val="16"/>
                <w:szCs w:val="16"/>
                <w:bdr w:val="nil"/>
              </w:rPr>
              <w:t>RESULTADO:</w:t>
            </w:r>
            <w:r w:rsidRPr="00481B74">
              <w:rPr>
                <w:rFonts w:eastAsia="Arial"/>
                <w:b/>
                <w:bCs/>
                <w:sz w:val="16"/>
                <w:szCs w:val="16"/>
                <w:bdr w:val="nil"/>
              </w:rPr>
              <w:tab/>
            </w:r>
            <w:r w:rsidRPr="00481B74">
              <w:rPr>
                <w:rFonts w:eastAsia="Arial"/>
                <w:sz w:val="16"/>
                <w:szCs w:val="16"/>
                <w:bdr w:val="nil"/>
              </w:rPr>
              <w:t>IV.2  Mejora del acceso y uso de información de P.I. por parte de instituciones de P.I. y el público para fomentar la innovación y la creatividad</w:t>
            </w:r>
          </w:p>
        </w:tc>
      </w:tr>
      <w:tr w:rsidR="004E456B" w:rsidRPr="00481B74" w:rsidTr="00027A9C">
        <w:trPr>
          <w:cantSplit/>
        </w:trPr>
        <w:tc>
          <w:tcPr>
            <w:tcW w:w="1789" w:type="dxa"/>
            <w:vAlign w:val="center"/>
          </w:tcPr>
          <w:p w:rsidR="004E456B" w:rsidRPr="00481B74" w:rsidRDefault="004E456B" w:rsidP="00027A9C">
            <w:pPr>
              <w:keepNext/>
              <w:keepLines/>
              <w:rPr>
                <w:b/>
                <w:bCs/>
                <w:sz w:val="16"/>
                <w:szCs w:val="16"/>
              </w:rPr>
            </w:pPr>
            <w:r w:rsidRPr="00481B74">
              <w:rPr>
                <w:rFonts w:eastAsia="Arial"/>
                <w:b/>
                <w:bCs/>
                <w:sz w:val="16"/>
                <w:szCs w:val="16"/>
                <w:bdr w:val="nil"/>
              </w:rPr>
              <w:t>Actividad</w:t>
            </w:r>
          </w:p>
        </w:tc>
        <w:tc>
          <w:tcPr>
            <w:tcW w:w="1240" w:type="dxa"/>
            <w:tcMar>
              <w:top w:w="110" w:type="dxa"/>
            </w:tcMar>
            <w:vAlign w:val="center"/>
          </w:tcPr>
          <w:p w:rsidR="004E456B" w:rsidRPr="00481B74" w:rsidRDefault="004E456B" w:rsidP="00027A9C">
            <w:pPr>
              <w:keepNext/>
              <w:keepLines/>
              <w:rPr>
                <w:sz w:val="16"/>
                <w:szCs w:val="16"/>
              </w:rPr>
            </w:pPr>
            <w:r w:rsidRPr="00481B74">
              <w:rPr>
                <w:rFonts w:eastAsia="Arial"/>
                <w:b/>
                <w:bCs/>
                <w:sz w:val="16"/>
                <w:szCs w:val="16"/>
                <w:bdr w:val="nil"/>
              </w:rPr>
              <w:t>Fecha</w:t>
            </w:r>
          </w:p>
        </w:tc>
        <w:tc>
          <w:tcPr>
            <w:tcW w:w="1924" w:type="dxa"/>
            <w:tcMar>
              <w:top w:w="110" w:type="dxa"/>
            </w:tcMar>
            <w:vAlign w:val="center"/>
          </w:tcPr>
          <w:p w:rsidR="004E456B" w:rsidRPr="00481B74" w:rsidRDefault="004E456B" w:rsidP="00027A9C">
            <w:pPr>
              <w:keepNext/>
              <w:keepLines/>
              <w:rPr>
                <w:sz w:val="16"/>
                <w:szCs w:val="16"/>
              </w:rPr>
            </w:pPr>
            <w:r w:rsidRPr="00481B74">
              <w:rPr>
                <w:rFonts w:eastAsia="Arial"/>
                <w:b/>
                <w:bCs/>
                <w:sz w:val="16"/>
                <w:szCs w:val="16"/>
                <w:bdr w:val="nil"/>
              </w:rPr>
              <w:t>País anfitrión / Beneficiarios</w:t>
            </w:r>
          </w:p>
        </w:tc>
        <w:tc>
          <w:tcPr>
            <w:tcW w:w="4261" w:type="dxa"/>
            <w:shd w:val="clear" w:color="auto" w:fill="FFFFFF"/>
            <w:tcMar>
              <w:top w:w="110" w:type="dxa"/>
            </w:tcMar>
            <w:vAlign w:val="center"/>
          </w:tcPr>
          <w:p w:rsidR="004E456B" w:rsidRPr="00481B74" w:rsidRDefault="004E456B" w:rsidP="00027A9C">
            <w:pPr>
              <w:keepNext/>
              <w:keepLines/>
              <w:rPr>
                <w:sz w:val="16"/>
                <w:szCs w:val="16"/>
              </w:rPr>
            </w:pPr>
            <w:r w:rsidRPr="00481B74">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789"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Creación de una base de datos nacional de patentes en línea en la Oficina de Patentes y Marcas de Italia (DGLC-UIBM)</w:t>
            </w:r>
          </w:p>
          <w:p w:rsidR="004E456B" w:rsidRPr="00481B74" w:rsidRDefault="004E456B" w:rsidP="00027A9C">
            <w:pPr>
              <w:autoSpaceDE w:val="0"/>
              <w:autoSpaceDN w:val="0"/>
              <w:adjustRightInd w:val="0"/>
              <w:spacing w:before="120" w:after="120"/>
              <w:rPr>
                <w:sz w:val="16"/>
                <w:szCs w:val="16"/>
              </w:rPr>
            </w:pPr>
          </w:p>
          <w:p w:rsidR="004E456B" w:rsidRPr="00481B74" w:rsidRDefault="004E456B" w:rsidP="00027A9C">
            <w:pPr>
              <w:autoSpaceDE w:val="0"/>
              <w:autoSpaceDN w:val="0"/>
              <w:adjustRightInd w:val="0"/>
              <w:spacing w:before="120" w:after="120"/>
              <w:rPr>
                <w:sz w:val="16"/>
                <w:szCs w:val="16"/>
              </w:rPr>
            </w:pPr>
          </w:p>
        </w:tc>
        <w:tc>
          <w:tcPr>
            <w:tcW w:w="1240" w:type="dxa"/>
          </w:tcPr>
          <w:p w:rsidR="004E456B" w:rsidRPr="00481B74" w:rsidRDefault="004E456B" w:rsidP="00027A9C">
            <w:pPr>
              <w:keepNext/>
              <w:keepLines/>
              <w:autoSpaceDE w:val="0"/>
              <w:autoSpaceDN w:val="0"/>
              <w:adjustRightInd w:val="0"/>
              <w:spacing w:before="120" w:after="120"/>
              <w:rPr>
                <w:sz w:val="16"/>
                <w:szCs w:val="16"/>
              </w:rPr>
            </w:pPr>
            <w:r w:rsidRPr="00481B74">
              <w:rPr>
                <w:rFonts w:eastAsia="Arial"/>
                <w:sz w:val="16"/>
                <w:szCs w:val="16"/>
                <w:bdr w:val="nil"/>
              </w:rPr>
              <w:t>Junio de 2013 – mayo de 2016</w:t>
            </w:r>
          </w:p>
          <w:p w:rsidR="004E456B" w:rsidRPr="00481B74" w:rsidRDefault="004E456B" w:rsidP="00027A9C">
            <w:pPr>
              <w:autoSpaceDE w:val="0"/>
              <w:autoSpaceDN w:val="0"/>
              <w:adjustRightInd w:val="0"/>
              <w:spacing w:before="120" w:after="120"/>
              <w:rPr>
                <w:sz w:val="16"/>
                <w:szCs w:val="16"/>
              </w:rPr>
            </w:pPr>
          </w:p>
        </w:tc>
        <w:tc>
          <w:tcPr>
            <w:tcW w:w="1924"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Italia</w:t>
            </w:r>
          </w:p>
        </w:tc>
        <w:tc>
          <w:tcPr>
            <w:tcW w:w="4261" w:type="dxa"/>
          </w:tcPr>
          <w:p w:rsidR="004E456B" w:rsidRPr="00481B74" w:rsidRDefault="004E456B" w:rsidP="00027A9C">
            <w:pPr>
              <w:autoSpaceDE w:val="0"/>
              <w:autoSpaceDN w:val="0"/>
              <w:adjustRightInd w:val="0"/>
              <w:spacing w:before="120" w:after="120"/>
              <w:rPr>
                <w:rFonts w:cs="Times New Roman"/>
                <w:sz w:val="16"/>
                <w:szCs w:val="16"/>
              </w:rPr>
            </w:pPr>
            <w:r w:rsidRPr="00481B74">
              <w:rPr>
                <w:rFonts w:eastAsia="Arial"/>
                <w:sz w:val="16"/>
                <w:szCs w:val="16"/>
                <w:bdr w:val="nil"/>
              </w:rPr>
              <w:t>i) Facilitar la participación de Italia en los acuerdos multilaterales existentes para el intercambio de documentos e información contenida en patentes;  ii) sentar las bases de la participación de Italia en PATENTSCOPE y en otras bases de datos de patentes a nivel internacional (por ejemplo, Espacenet);  y iii) contribuir a fomentar la difusión de colecciones de patentes digitalizadas en beneficio de todos los Estados miembros de la OMPI, incluidos los países en desarrollo.</w:t>
            </w:r>
          </w:p>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Iniciado en 2013, el proyecto concluyó satisfactoriamente con la publicación en línea de toda la colección de solicitudes de patentes publicada en papel desde 2008.  Esta base de datos, plenamente operativa desde mayo de 2016, contribuye a aumentar la difusión de las colecciones de patentes digitalizadas en beneficio de los Estados miembros de la OMPI, incluidos los países en desarrollo.</w:t>
            </w:r>
          </w:p>
        </w:tc>
      </w:tr>
    </w:tbl>
    <w:p w:rsidR="004E456B" w:rsidRPr="009703BB" w:rsidRDefault="004E456B" w:rsidP="00027A9C">
      <w:pPr>
        <w:rPr>
          <w:b/>
          <w:sz w:val="20"/>
        </w:rPr>
      </w:pPr>
    </w:p>
    <w:p w:rsidR="004E456B" w:rsidRPr="00481B74" w:rsidRDefault="004E456B" w:rsidP="00027A9C">
      <w:pPr>
        <w:rPr>
          <w:sz w:val="20"/>
        </w:rPr>
      </w:pPr>
      <w:r w:rsidRPr="00481B74">
        <w:rPr>
          <w:rFonts w:eastAsia="Arial"/>
          <w:b/>
          <w:bCs/>
          <w:sz w:val="20"/>
          <w:bdr w:val="nil"/>
        </w:rPr>
        <w:t>ITALIA / Contribuciones del donante y gastos en 2016</w:t>
      </w:r>
    </w:p>
    <w:p w:rsidR="004E456B" w:rsidRPr="00481B74" w:rsidRDefault="004E456B" w:rsidP="00027A9C">
      <w:pPr>
        <w:rPr>
          <w:rFonts w:cs="Times New Roman"/>
          <w:sz w:val="20"/>
        </w:rPr>
      </w:pPr>
    </w:p>
    <w:tbl>
      <w:tblPr>
        <w:tblW w:w="9214" w:type="dxa"/>
        <w:tblInd w:w="108" w:type="dxa"/>
        <w:tblLayout w:type="fixed"/>
        <w:tblLook w:val="04A0" w:firstRow="1" w:lastRow="0" w:firstColumn="1" w:lastColumn="0" w:noHBand="0" w:noVBand="1"/>
      </w:tblPr>
      <w:tblGrid>
        <w:gridCol w:w="1814"/>
        <w:gridCol w:w="1814"/>
        <w:gridCol w:w="1815"/>
        <w:gridCol w:w="1814"/>
        <w:gridCol w:w="1957"/>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481B74" w:rsidRDefault="004E456B" w:rsidP="00027A9C">
            <w:pPr>
              <w:jc w:val="center"/>
              <w:rPr>
                <w:b/>
                <w:bCs/>
                <w:sz w:val="16"/>
                <w:szCs w:val="16"/>
              </w:rPr>
            </w:pPr>
            <w:r w:rsidRPr="00481B74">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481B74" w:rsidRDefault="004E456B" w:rsidP="00027A9C">
            <w:pPr>
              <w:jc w:val="center"/>
              <w:rPr>
                <w:b/>
                <w:bCs/>
                <w:sz w:val="16"/>
                <w:szCs w:val="16"/>
              </w:rPr>
            </w:pPr>
            <w:r w:rsidRPr="00481B74">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481B74" w:rsidRDefault="004E456B" w:rsidP="00027A9C">
            <w:pPr>
              <w:jc w:val="center"/>
              <w:rPr>
                <w:b/>
                <w:bCs/>
                <w:sz w:val="16"/>
                <w:szCs w:val="16"/>
              </w:rPr>
            </w:pPr>
            <w:r w:rsidRPr="00481B74">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481B74" w:rsidRDefault="004E456B" w:rsidP="00027A9C">
            <w:pPr>
              <w:jc w:val="center"/>
              <w:rPr>
                <w:b/>
                <w:bCs/>
                <w:sz w:val="16"/>
                <w:szCs w:val="16"/>
              </w:rPr>
            </w:pPr>
            <w:r w:rsidRPr="00481B74">
              <w:rPr>
                <w:rFonts w:eastAsia="Arial"/>
                <w:b/>
                <w:bCs/>
                <w:sz w:val="16"/>
                <w:szCs w:val="16"/>
                <w:bdr w:val="nil"/>
              </w:rPr>
              <w:t>Reembolsos</w:t>
            </w:r>
          </w:p>
        </w:tc>
        <w:tc>
          <w:tcPr>
            <w:tcW w:w="1957" w:type="dxa"/>
            <w:tcBorders>
              <w:top w:val="nil"/>
              <w:left w:val="nil"/>
              <w:bottom w:val="nil"/>
              <w:right w:val="nil"/>
            </w:tcBorders>
            <w:shd w:val="clear" w:color="000000" w:fill="C5D9F1"/>
            <w:vAlign w:val="center"/>
            <w:hideMark/>
          </w:tcPr>
          <w:p w:rsidR="004E456B" w:rsidRPr="00481B74" w:rsidRDefault="004E456B" w:rsidP="00027A9C">
            <w:pPr>
              <w:jc w:val="center"/>
              <w:rPr>
                <w:b/>
                <w:bCs/>
                <w:sz w:val="16"/>
                <w:szCs w:val="16"/>
              </w:rPr>
            </w:pPr>
            <w:r w:rsidRPr="00481B74">
              <w:rPr>
                <w:rFonts w:eastAsia="Arial"/>
                <w:b/>
                <w:bCs/>
                <w:sz w:val="16"/>
                <w:szCs w:val="16"/>
                <w:bdr w:val="nil"/>
              </w:rPr>
              <w:t>Saldo al 31 de diciembre de 2016</w:t>
            </w:r>
          </w:p>
        </w:tc>
      </w:tr>
      <w:tr w:rsidR="004E456B" w:rsidRPr="00481B74" w:rsidTr="00027A9C">
        <w:trPr>
          <w:trHeight w:val="357"/>
        </w:trPr>
        <w:tc>
          <w:tcPr>
            <w:tcW w:w="1814" w:type="dxa"/>
            <w:tcBorders>
              <w:top w:val="nil"/>
              <w:left w:val="nil"/>
              <w:bottom w:val="nil"/>
              <w:right w:val="nil"/>
            </w:tcBorders>
            <w:shd w:val="clear" w:color="auto" w:fill="auto"/>
            <w:noWrap/>
            <w:vAlign w:val="bottom"/>
            <w:hideMark/>
          </w:tcPr>
          <w:p w:rsidR="004E456B" w:rsidRPr="00481B74" w:rsidRDefault="004E456B" w:rsidP="00027A9C">
            <w:pPr>
              <w:jc w:val="center"/>
              <w:rPr>
                <w:sz w:val="16"/>
                <w:szCs w:val="16"/>
              </w:rPr>
            </w:pPr>
            <w:r w:rsidRPr="00481B74">
              <w:rPr>
                <w:sz w:val="16"/>
                <w:szCs w:val="16"/>
              </w:rPr>
              <w:t>796.598</w:t>
            </w:r>
          </w:p>
        </w:tc>
        <w:tc>
          <w:tcPr>
            <w:tcW w:w="1814" w:type="dxa"/>
            <w:tcBorders>
              <w:top w:val="nil"/>
              <w:left w:val="nil"/>
              <w:bottom w:val="nil"/>
              <w:right w:val="nil"/>
            </w:tcBorders>
            <w:shd w:val="clear" w:color="auto" w:fill="auto"/>
            <w:noWrap/>
            <w:vAlign w:val="bottom"/>
            <w:hideMark/>
          </w:tcPr>
          <w:p w:rsidR="004E456B" w:rsidRPr="00481B74" w:rsidRDefault="004E456B" w:rsidP="00027A9C">
            <w:pPr>
              <w:jc w:val="center"/>
              <w:rPr>
                <w:sz w:val="16"/>
                <w:szCs w:val="16"/>
              </w:rPr>
            </w:pPr>
            <w:r w:rsidRPr="00481B74">
              <w:rPr>
                <w:sz w:val="16"/>
                <w:szCs w:val="16"/>
              </w:rPr>
              <w:t>-</w:t>
            </w:r>
          </w:p>
        </w:tc>
        <w:tc>
          <w:tcPr>
            <w:tcW w:w="1815" w:type="dxa"/>
            <w:tcBorders>
              <w:top w:val="nil"/>
              <w:left w:val="nil"/>
              <w:bottom w:val="nil"/>
              <w:right w:val="nil"/>
            </w:tcBorders>
            <w:shd w:val="clear" w:color="auto" w:fill="auto"/>
            <w:noWrap/>
            <w:vAlign w:val="bottom"/>
            <w:hideMark/>
          </w:tcPr>
          <w:p w:rsidR="004E456B" w:rsidRPr="00481B74" w:rsidRDefault="004E456B" w:rsidP="00027A9C">
            <w:pPr>
              <w:jc w:val="center"/>
              <w:rPr>
                <w:sz w:val="16"/>
                <w:szCs w:val="16"/>
              </w:rPr>
            </w:pPr>
            <w:r w:rsidRPr="00481B74">
              <w:rPr>
                <w:sz w:val="16"/>
                <w:szCs w:val="16"/>
              </w:rPr>
              <w:t>81.503</w:t>
            </w:r>
          </w:p>
        </w:tc>
        <w:tc>
          <w:tcPr>
            <w:tcW w:w="1814" w:type="dxa"/>
            <w:tcBorders>
              <w:top w:val="nil"/>
              <w:left w:val="nil"/>
              <w:bottom w:val="nil"/>
              <w:right w:val="nil"/>
            </w:tcBorders>
            <w:shd w:val="clear" w:color="auto" w:fill="auto"/>
            <w:noWrap/>
            <w:vAlign w:val="bottom"/>
            <w:hideMark/>
          </w:tcPr>
          <w:p w:rsidR="004E456B" w:rsidRPr="00481B74" w:rsidRDefault="004E456B" w:rsidP="00027A9C">
            <w:pPr>
              <w:jc w:val="center"/>
              <w:rPr>
                <w:sz w:val="16"/>
                <w:szCs w:val="16"/>
              </w:rPr>
            </w:pPr>
            <w:r w:rsidRPr="00481B74">
              <w:rPr>
                <w:sz w:val="16"/>
                <w:szCs w:val="16"/>
              </w:rPr>
              <w:t>-</w:t>
            </w:r>
          </w:p>
        </w:tc>
        <w:tc>
          <w:tcPr>
            <w:tcW w:w="1957" w:type="dxa"/>
            <w:tcBorders>
              <w:top w:val="nil"/>
              <w:left w:val="nil"/>
              <w:bottom w:val="nil"/>
              <w:right w:val="nil"/>
            </w:tcBorders>
            <w:shd w:val="clear" w:color="auto" w:fill="auto"/>
            <w:noWrap/>
            <w:vAlign w:val="bottom"/>
            <w:hideMark/>
          </w:tcPr>
          <w:p w:rsidR="004E456B" w:rsidRPr="00481B74" w:rsidRDefault="004E456B" w:rsidP="00027A9C">
            <w:pPr>
              <w:jc w:val="center"/>
              <w:rPr>
                <w:sz w:val="16"/>
                <w:szCs w:val="16"/>
              </w:rPr>
            </w:pPr>
            <w:r w:rsidRPr="00481B74">
              <w:rPr>
                <w:sz w:val="16"/>
                <w:szCs w:val="16"/>
              </w:rPr>
              <w:t>715.095</w:t>
            </w:r>
          </w:p>
        </w:tc>
      </w:tr>
    </w:tbl>
    <w:p w:rsidR="004E456B" w:rsidRPr="000B20DD" w:rsidRDefault="004E456B" w:rsidP="00027A9C">
      <w:pPr>
        <w:rPr>
          <w:b/>
          <w:sz w:val="20"/>
          <w:szCs w:val="16"/>
        </w:rPr>
      </w:pPr>
    </w:p>
    <w:p w:rsidR="004E456B" w:rsidRPr="000B20DD" w:rsidRDefault="004E456B" w:rsidP="00027A9C">
      <w:pPr>
        <w:rPr>
          <w:b/>
          <w:sz w:val="20"/>
          <w:szCs w:val="16"/>
        </w:rPr>
      </w:pPr>
    </w:p>
    <w:p w:rsidR="004E456B" w:rsidRPr="00481B74" w:rsidRDefault="004E456B" w:rsidP="00027A9C">
      <w:pPr>
        <w:keepNext/>
        <w:rPr>
          <w:b/>
          <w:sz w:val="20"/>
          <w:szCs w:val="16"/>
          <w:lang w:eastAsia="ja-JP"/>
        </w:rPr>
      </w:pPr>
      <w:r w:rsidRPr="00481B74">
        <w:rPr>
          <w:rFonts w:eastAsia="Arial"/>
          <w:b/>
          <w:bCs/>
          <w:sz w:val="20"/>
          <w:bdr w:val="nil"/>
          <w:lang w:eastAsia="ja-JP"/>
        </w:rPr>
        <w:t>JAPÓN / DERECHO DE AUTOR</w:t>
      </w:r>
    </w:p>
    <w:p w:rsidR="004E456B" w:rsidRPr="00481B74" w:rsidRDefault="004E456B" w:rsidP="00027A9C">
      <w:pPr>
        <w:keepNext/>
        <w:rPr>
          <w:b/>
          <w:sz w:val="20"/>
          <w:lang w:eastAsia="ja-JP"/>
        </w:rPr>
      </w:pPr>
    </w:p>
    <w:tbl>
      <w:tblPr>
        <w:tblW w:w="9072" w:type="dxa"/>
        <w:tblInd w:w="108" w:type="dxa"/>
        <w:tblLayout w:type="fixed"/>
        <w:tblLook w:val="0000" w:firstRow="0" w:lastRow="0" w:firstColumn="0" w:lastColumn="0" w:noHBand="0" w:noVBand="0"/>
      </w:tblPr>
      <w:tblGrid>
        <w:gridCol w:w="1763"/>
        <w:gridCol w:w="1089"/>
        <w:gridCol w:w="2032"/>
        <w:gridCol w:w="4188"/>
      </w:tblGrid>
      <w:tr w:rsidR="004E456B" w:rsidRPr="008466AF" w:rsidTr="00027A9C">
        <w:tc>
          <w:tcPr>
            <w:tcW w:w="9498" w:type="dxa"/>
            <w:gridSpan w:val="4"/>
            <w:shd w:val="clear" w:color="auto" w:fill="C6D9F1" w:themeFill="text2" w:themeFillTint="33"/>
            <w:vAlign w:val="center"/>
          </w:tcPr>
          <w:p w:rsidR="004E456B" w:rsidRPr="00481B74" w:rsidRDefault="004E456B" w:rsidP="00027A9C">
            <w:pPr>
              <w:keepNext/>
              <w:keepLines/>
              <w:tabs>
                <w:tab w:val="left" w:pos="1740"/>
              </w:tabs>
              <w:spacing w:before="120" w:after="120"/>
              <w:ind w:left="1742" w:hanging="1742"/>
              <w:rPr>
                <w:b/>
                <w:bCs/>
                <w:sz w:val="16"/>
                <w:szCs w:val="16"/>
              </w:rPr>
            </w:pPr>
            <w:r w:rsidRPr="00481B74">
              <w:rPr>
                <w:rFonts w:eastAsia="Arial"/>
                <w:b/>
                <w:bCs/>
                <w:sz w:val="16"/>
                <w:szCs w:val="16"/>
                <w:bdr w:val="nil"/>
                <w:shd w:val="clear" w:color="auto" w:fill="C6D9F1"/>
              </w:rPr>
              <w:t>RESULTADO:</w:t>
            </w:r>
            <w:r w:rsidRPr="00481B74">
              <w:rPr>
                <w:rFonts w:eastAsia="Arial"/>
                <w:b/>
                <w:bCs/>
                <w:sz w:val="16"/>
                <w:szCs w:val="16"/>
                <w:bdr w:val="nil"/>
                <w:shd w:val="clear" w:color="auto" w:fill="C6D9F1"/>
              </w:rPr>
              <w:tab/>
            </w:r>
            <w:r w:rsidRPr="00481B74">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RPr="00481B74" w:rsidTr="00027A9C">
        <w:tc>
          <w:tcPr>
            <w:tcW w:w="1843" w:type="dxa"/>
            <w:vAlign w:val="center"/>
          </w:tcPr>
          <w:p w:rsidR="004E456B" w:rsidRPr="00481B74" w:rsidRDefault="004E456B" w:rsidP="00027A9C">
            <w:pPr>
              <w:keepNext/>
              <w:keepLines/>
              <w:rPr>
                <w:b/>
                <w:bCs/>
                <w:sz w:val="16"/>
                <w:szCs w:val="16"/>
              </w:rPr>
            </w:pPr>
            <w:r w:rsidRPr="00481B74">
              <w:rPr>
                <w:rFonts w:eastAsia="Arial"/>
                <w:b/>
                <w:bCs/>
                <w:sz w:val="16"/>
                <w:szCs w:val="16"/>
                <w:bdr w:val="nil"/>
              </w:rPr>
              <w:t>Actividad</w:t>
            </w:r>
          </w:p>
        </w:tc>
        <w:tc>
          <w:tcPr>
            <w:tcW w:w="1134" w:type="dxa"/>
            <w:shd w:val="clear" w:color="auto" w:fill="auto"/>
            <w:tcMar>
              <w:top w:w="110" w:type="dxa"/>
            </w:tcMar>
            <w:vAlign w:val="center"/>
          </w:tcPr>
          <w:p w:rsidR="004E456B" w:rsidRPr="00481B74" w:rsidRDefault="004E456B" w:rsidP="00027A9C">
            <w:pPr>
              <w:keepNext/>
              <w:keepLines/>
              <w:rPr>
                <w:sz w:val="16"/>
                <w:szCs w:val="16"/>
              </w:rPr>
            </w:pPr>
            <w:r w:rsidRPr="00481B74">
              <w:rPr>
                <w:rFonts w:eastAsia="Arial"/>
                <w:b/>
                <w:bCs/>
                <w:sz w:val="16"/>
                <w:szCs w:val="16"/>
                <w:bdr w:val="nil"/>
              </w:rPr>
              <w:t>Fecha</w:t>
            </w:r>
          </w:p>
        </w:tc>
        <w:tc>
          <w:tcPr>
            <w:tcW w:w="2126" w:type="dxa"/>
            <w:shd w:val="clear" w:color="auto" w:fill="auto"/>
            <w:tcMar>
              <w:top w:w="110" w:type="dxa"/>
            </w:tcMar>
            <w:vAlign w:val="center"/>
          </w:tcPr>
          <w:p w:rsidR="004E456B" w:rsidRPr="00481B74" w:rsidRDefault="004E456B" w:rsidP="00027A9C">
            <w:pPr>
              <w:keepNext/>
              <w:keepLines/>
              <w:rPr>
                <w:sz w:val="16"/>
                <w:szCs w:val="16"/>
              </w:rPr>
            </w:pPr>
            <w:r w:rsidRPr="00481B74">
              <w:rPr>
                <w:rFonts w:eastAsia="Arial"/>
                <w:b/>
                <w:bCs/>
                <w:sz w:val="16"/>
                <w:szCs w:val="16"/>
                <w:bdr w:val="nil"/>
              </w:rPr>
              <w:t>País anfitrión / Beneficiarios</w:t>
            </w:r>
          </w:p>
        </w:tc>
        <w:tc>
          <w:tcPr>
            <w:tcW w:w="4395" w:type="dxa"/>
            <w:shd w:val="clear" w:color="auto" w:fill="FFFFFF"/>
            <w:tcMar>
              <w:top w:w="110" w:type="dxa"/>
            </w:tcMar>
            <w:vAlign w:val="center"/>
          </w:tcPr>
          <w:p w:rsidR="004E456B" w:rsidRPr="00481B74" w:rsidRDefault="004E456B" w:rsidP="00027A9C">
            <w:pPr>
              <w:keepNext/>
              <w:keepLines/>
              <w:rPr>
                <w:sz w:val="16"/>
                <w:szCs w:val="16"/>
              </w:rPr>
            </w:pPr>
            <w:r w:rsidRPr="00481B74">
              <w:rPr>
                <w:rFonts w:eastAsia="Arial"/>
                <w:b/>
                <w:bCs/>
                <w:sz w:val="16"/>
                <w:szCs w:val="16"/>
                <w:bdr w:val="nil"/>
              </w:rPr>
              <w:t>Propósito(s)/Descripción</w:t>
            </w:r>
          </w:p>
        </w:tc>
      </w:tr>
      <w:tr w:rsidR="004E456B" w:rsidRPr="008466AF" w:rsidTr="00027A9C">
        <w:trPr>
          <w:trHeight w:val="520"/>
        </w:trPr>
        <w:tc>
          <w:tcPr>
            <w:tcW w:w="1843"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Taller nacional de sensibilización sobre el derecho de autor y los derechos conexos</w:t>
            </w:r>
          </w:p>
        </w:tc>
        <w:tc>
          <w:tcPr>
            <w:tcW w:w="1134"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18 y 19 de enero de 2016</w:t>
            </w:r>
          </w:p>
        </w:tc>
        <w:tc>
          <w:tcPr>
            <w:tcW w:w="2126"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Sri Lanka/ más de 60 participantes locales</w:t>
            </w:r>
          </w:p>
        </w:tc>
        <w:tc>
          <w:tcPr>
            <w:tcW w:w="4395"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i) Conocer más adecuadamente la importancia que reviste un sistema de derecho de autor equilibrado para el desarrollo económico y cultural en el país; y ii) debatir los métodos y enfoques para fomentar la concien</w:t>
            </w:r>
            <w:r>
              <w:rPr>
                <w:rFonts w:eastAsia="Arial"/>
                <w:sz w:val="16"/>
                <w:szCs w:val="16"/>
                <w:bdr w:val="nil"/>
              </w:rPr>
              <w:t>tiz</w:t>
            </w:r>
            <w:r w:rsidRPr="00481B74">
              <w:rPr>
                <w:rFonts w:eastAsia="Arial"/>
                <w:sz w:val="16"/>
                <w:szCs w:val="16"/>
                <w:bdr w:val="nil"/>
              </w:rPr>
              <w:t xml:space="preserve">ación sobre este tipo de derecho entre los funcionarios gubernamentales y las partes interesadas.  </w:t>
            </w:r>
          </w:p>
        </w:tc>
      </w:tr>
      <w:tr w:rsidR="004E456B" w:rsidRPr="008466AF" w:rsidTr="00027A9C">
        <w:trPr>
          <w:trHeight w:val="520"/>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Taller subregional para responsables de la formulación de políticas sobre derecho de autor y derechos conexos en </w:t>
            </w:r>
            <w:r>
              <w:rPr>
                <w:rFonts w:eastAsia="Arial"/>
                <w:color w:val="000000"/>
                <w:sz w:val="16"/>
                <w:szCs w:val="16"/>
                <w:bdr w:val="nil"/>
              </w:rPr>
              <w:lastRenderedPageBreak/>
              <w:t>el Pacífico Sur</w:t>
            </w:r>
          </w:p>
        </w:tc>
        <w:tc>
          <w:tcPr>
            <w:tcW w:w="1134"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lastRenderedPageBreak/>
              <w:t>24 a 26 de febrero de 2016</w:t>
            </w:r>
          </w:p>
        </w:tc>
        <w:tc>
          <w:tcPr>
            <w:tcW w:w="2126"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 xml:space="preserve">Australia/ 15 participantes, de Fiji, Islas Cook, Islas Marshall, Islas Salomón, Kiribati, Nauru, Niue, Papúa Nueva Guinea, </w:t>
            </w:r>
            <w:r w:rsidRPr="00481B74">
              <w:rPr>
                <w:rFonts w:eastAsia="Arial"/>
                <w:sz w:val="16"/>
                <w:szCs w:val="16"/>
                <w:bdr w:val="nil"/>
              </w:rPr>
              <w:lastRenderedPageBreak/>
              <w:t>Samoa, Tonga, Vanuatu</w:t>
            </w:r>
          </w:p>
        </w:tc>
        <w:tc>
          <w:tcPr>
            <w:tcW w:w="4395"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lastRenderedPageBreak/>
              <w:t xml:space="preserve">i) Intercambiar información sobre cuestiones, retos y novedades en relación con el derecho de autor y los derechos conexos; ii) intercambiar experiencias y opiniones sobre el establecimiento y fortalecimiento de los sistemas de derecho de autor y las capacidades de formulación de políticas, incluidas aquellas relativas al </w:t>
            </w:r>
            <w:r>
              <w:rPr>
                <w:rFonts w:eastAsia="Arial"/>
                <w:color w:val="000000"/>
                <w:sz w:val="16"/>
                <w:szCs w:val="16"/>
                <w:bdr w:val="nil"/>
              </w:rPr>
              <w:lastRenderedPageBreak/>
              <w:t>desarrollo económico y cultural; y iii) examinar nuevos ámbitos de cooperación potenciales en la región</w:t>
            </w:r>
          </w:p>
        </w:tc>
      </w:tr>
      <w:tr w:rsidR="004E456B" w:rsidRPr="008466AF" w:rsidTr="00027A9C">
        <w:trPr>
          <w:trHeight w:val="520"/>
        </w:trPr>
        <w:tc>
          <w:tcPr>
            <w:tcW w:w="1843" w:type="dxa"/>
          </w:tcPr>
          <w:p w:rsidR="004E456B" w:rsidRPr="00ED42A1" w:rsidRDefault="004E456B" w:rsidP="00027A9C">
            <w:pPr>
              <w:autoSpaceDE w:val="0"/>
              <w:autoSpaceDN w:val="0"/>
              <w:adjustRightInd w:val="0"/>
              <w:spacing w:before="120" w:after="120"/>
              <w:rPr>
                <w:color w:val="000000"/>
                <w:sz w:val="16"/>
                <w:szCs w:val="16"/>
              </w:rPr>
            </w:pPr>
            <w:r w:rsidRPr="00481B74">
              <w:rPr>
                <w:rFonts w:eastAsia="Arial"/>
                <w:sz w:val="16"/>
                <w:szCs w:val="16"/>
                <w:bdr w:val="nil"/>
              </w:rPr>
              <w:lastRenderedPageBreak/>
              <w:t>Taller nacional de sensibilización sobre el derecho de autor y los derechos conexos</w:t>
            </w:r>
          </w:p>
        </w:tc>
        <w:tc>
          <w:tcPr>
            <w:tcW w:w="1134"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12 y 13 de mayo de 2016</w:t>
            </w:r>
          </w:p>
        </w:tc>
        <w:tc>
          <w:tcPr>
            <w:tcW w:w="2126" w:type="dxa"/>
          </w:tcPr>
          <w:p w:rsidR="004E456B" w:rsidRPr="00481B74" w:rsidRDefault="004E456B" w:rsidP="00027A9C">
            <w:pPr>
              <w:autoSpaceDE w:val="0"/>
              <w:autoSpaceDN w:val="0"/>
              <w:adjustRightInd w:val="0"/>
              <w:spacing w:before="120" w:after="120"/>
              <w:rPr>
                <w:sz w:val="16"/>
                <w:szCs w:val="16"/>
              </w:rPr>
            </w:pPr>
            <w:r w:rsidRPr="00481B74">
              <w:rPr>
                <w:rFonts w:eastAsia="Arial"/>
                <w:sz w:val="16"/>
                <w:szCs w:val="16"/>
                <w:bdr w:val="nil"/>
              </w:rPr>
              <w:t>República Democrática Popular Lao/ unos 50 participantes locales</w:t>
            </w:r>
          </w:p>
        </w:tc>
        <w:tc>
          <w:tcPr>
            <w:tcW w:w="4395"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i) Aumentar la sensibilización sobre el derecho de autor y los derechos conexos; y ii) promover un mayor conocimiento sobre la función del derecho de autor para mejorar el desarrollo cultural y económico y alentar la creatividad. </w:t>
            </w:r>
          </w:p>
        </w:tc>
      </w:tr>
      <w:tr w:rsidR="004E456B" w:rsidRPr="008466AF" w:rsidTr="00027A9C">
        <w:trPr>
          <w:trHeight w:val="520"/>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Taller subregional de sensibilización sobre el derecho de autor y el fortalecimiento de  capacidades para los países de la ASEAN</w:t>
            </w:r>
          </w:p>
          <w:p w:rsidR="004E456B" w:rsidRPr="009703BB" w:rsidRDefault="004E456B" w:rsidP="00027A9C">
            <w:pPr>
              <w:keepNext/>
              <w:keepLines/>
              <w:tabs>
                <w:tab w:val="left" w:pos="1740"/>
              </w:tabs>
              <w:spacing w:before="120" w:after="120"/>
              <w:rPr>
                <w:color w:val="000000"/>
                <w:sz w:val="16"/>
                <w:szCs w:val="16"/>
              </w:rPr>
            </w:pPr>
          </w:p>
          <w:p w:rsidR="004E456B" w:rsidRPr="009703BB" w:rsidRDefault="004E456B" w:rsidP="00027A9C">
            <w:pPr>
              <w:autoSpaceDE w:val="0"/>
              <w:autoSpaceDN w:val="0"/>
              <w:adjustRightInd w:val="0"/>
              <w:spacing w:before="120" w:after="120"/>
              <w:rPr>
                <w:color w:val="000000"/>
                <w:sz w:val="16"/>
                <w:szCs w:val="16"/>
              </w:rPr>
            </w:pPr>
          </w:p>
        </w:tc>
        <w:tc>
          <w:tcPr>
            <w:tcW w:w="1134" w:type="dxa"/>
          </w:tcPr>
          <w:p w:rsidR="004E456B" w:rsidRPr="005B3765" w:rsidRDefault="004E456B" w:rsidP="00027A9C">
            <w:pPr>
              <w:autoSpaceDE w:val="0"/>
              <w:autoSpaceDN w:val="0"/>
              <w:adjustRightInd w:val="0"/>
              <w:spacing w:before="120" w:after="120"/>
              <w:rPr>
                <w:color w:val="808080"/>
                <w:sz w:val="16"/>
                <w:szCs w:val="16"/>
              </w:rPr>
            </w:pPr>
            <w:r w:rsidRPr="00481B74">
              <w:rPr>
                <w:rFonts w:eastAsia="Arial"/>
                <w:sz w:val="16"/>
                <w:szCs w:val="16"/>
                <w:bdr w:val="nil"/>
              </w:rPr>
              <w:t>6 a 8 de septiembre de 2016</w:t>
            </w:r>
          </w:p>
        </w:tc>
        <w:tc>
          <w:tcPr>
            <w:tcW w:w="2126" w:type="dxa"/>
          </w:tcPr>
          <w:p w:rsidR="004E456B" w:rsidRPr="009703BB" w:rsidRDefault="004E456B" w:rsidP="00027A9C">
            <w:pPr>
              <w:autoSpaceDE w:val="0"/>
              <w:autoSpaceDN w:val="0"/>
              <w:adjustRightInd w:val="0"/>
              <w:spacing w:before="120" w:after="120"/>
              <w:rPr>
                <w:color w:val="000000"/>
                <w:sz w:val="16"/>
                <w:szCs w:val="16"/>
                <w:lang w:eastAsia="ja-JP"/>
              </w:rPr>
            </w:pPr>
            <w:r>
              <w:rPr>
                <w:rFonts w:eastAsia="Arial"/>
                <w:color w:val="000000"/>
                <w:sz w:val="16"/>
                <w:szCs w:val="16"/>
                <w:bdr w:val="nil"/>
              </w:rPr>
              <w:t>Malasia/ 10 participantes, de Brunei Darussalam, Camboya, Indonesia, República Democrática Popular Lao, Myanmar, Filipinas, Singapur, Tailandia, Viet Nam y varios participantes locales</w:t>
            </w:r>
          </w:p>
        </w:tc>
        <w:tc>
          <w:tcPr>
            <w:tcW w:w="4395"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i) Intercambiar información y opiniones sobre cuestiones y retos relativos a la sensibilización y el fortalecimiento de capacidades en el ámbito del derecho de autor y los derechos conexos; y ii) examinar nuevas vías de cooperación entre las Oficinas de derecho de autor con objeto de atender a los retos y necesidades en materia de fortalecimiento de las capacidades en la subregión</w:t>
            </w:r>
          </w:p>
        </w:tc>
      </w:tr>
      <w:tr w:rsidR="004E456B" w:rsidRPr="008466AF" w:rsidTr="00027A9C">
        <w:trPr>
          <w:trHeight w:val="520"/>
        </w:trPr>
        <w:tc>
          <w:tcPr>
            <w:tcW w:w="9498" w:type="dxa"/>
            <w:gridSpan w:val="4"/>
            <w:shd w:val="clear" w:color="auto" w:fill="C6D9F1" w:themeFill="text2" w:themeFillTint="33"/>
          </w:tcPr>
          <w:p w:rsidR="004E456B" w:rsidRPr="0027289C" w:rsidRDefault="004E456B" w:rsidP="00027A9C">
            <w:pPr>
              <w:spacing w:before="120" w:after="120"/>
              <w:ind w:left="1426" w:hanging="1426"/>
              <w:rPr>
                <w:bCs/>
                <w:sz w:val="16"/>
                <w:szCs w:val="16"/>
                <w:shd w:val="clear" w:color="auto" w:fill="C6D9F1" w:themeFill="text2" w:themeFillTint="33"/>
              </w:rPr>
            </w:pPr>
            <w:r w:rsidRPr="0027289C">
              <w:rPr>
                <w:rFonts w:eastAsia="Arial"/>
                <w:b/>
                <w:bCs/>
                <w:sz w:val="16"/>
                <w:szCs w:val="16"/>
                <w:bdr w:val="nil"/>
                <w:shd w:val="clear" w:color="auto" w:fill="C6D9F1"/>
              </w:rPr>
              <w:t>RESULTADO:</w:t>
            </w:r>
            <w:r w:rsidRPr="0027289C">
              <w:rPr>
                <w:rFonts w:eastAsia="Arial"/>
                <w:b/>
                <w:bCs/>
                <w:sz w:val="16"/>
                <w:szCs w:val="16"/>
                <w:bdr w:val="nil"/>
                <w:shd w:val="clear" w:color="auto" w:fill="C6D9F1"/>
              </w:rPr>
              <w:tab/>
            </w:r>
            <w:r w:rsidRPr="0027289C">
              <w:rPr>
                <w:rFonts w:eastAsia="Arial"/>
                <w:sz w:val="16"/>
                <w:szCs w:val="16"/>
                <w:bdr w:val="nil"/>
                <w:shd w:val="clear" w:color="auto" w:fill="C6D9F1"/>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r>
      <w:tr w:rsidR="004E456B" w:rsidTr="00027A9C">
        <w:trPr>
          <w:trHeight w:val="520"/>
        </w:trPr>
        <w:tc>
          <w:tcPr>
            <w:tcW w:w="1843" w:type="dxa"/>
            <w:vAlign w:val="center"/>
          </w:tcPr>
          <w:p w:rsidR="004E456B" w:rsidRPr="0027289C" w:rsidRDefault="004E456B" w:rsidP="00027A9C">
            <w:pPr>
              <w:autoSpaceDE w:val="0"/>
              <w:autoSpaceDN w:val="0"/>
              <w:adjustRightInd w:val="0"/>
              <w:spacing w:before="120" w:after="120"/>
              <w:rPr>
                <w:sz w:val="16"/>
                <w:szCs w:val="16"/>
              </w:rPr>
            </w:pPr>
            <w:r w:rsidRPr="0027289C">
              <w:rPr>
                <w:rFonts w:eastAsia="Arial"/>
                <w:b/>
                <w:bCs/>
                <w:sz w:val="16"/>
                <w:szCs w:val="16"/>
                <w:bdr w:val="nil"/>
              </w:rPr>
              <w:t>Actividad</w:t>
            </w:r>
          </w:p>
        </w:tc>
        <w:tc>
          <w:tcPr>
            <w:tcW w:w="1134" w:type="dxa"/>
            <w:vAlign w:val="center"/>
          </w:tcPr>
          <w:p w:rsidR="004E456B" w:rsidRPr="0027289C" w:rsidRDefault="004E456B" w:rsidP="00027A9C">
            <w:pPr>
              <w:autoSpaceDE w:val="0"/>
              <w:autoSpaceDN w:val="0"/>
              <w:adjustRightInd w:val="0"/>
              <w:spacing w:before="120" w:after="120"/>
              <w:rPr>
                <w:sz w:val="16"/>
                <w:szCs w:val="16"/>
              </w:rPr>
            </w:pPr>
            <w:r w:rsidRPr="0027289C">
              <w:rPr>
                <w:rFonts w:eastAsia="Arial"/>
                <w:b/>
                <w:bCs/>
                <w:sz w:val="16"/>
                <w:szCs w:val="16"/>
                <w:bdr w:val="nil"/>
              </w:rPr>
              <w:t>Fecha</w:t>
            </w:r>
          </w:p>
        </w:tc>
        <w:tc>
          <w:tcPr>
            <w:tcW w:w="2126" w:type="dxa"/>
            <w:vAlign w:val="center"/>
          </w:tcPr>
          <w:p w:rsidR="004E456B" w:rsidRPr="0027289C" w:rsidRDefault="004E456B" w:rsidP="00027A9C">
            <w:pPr>
              <w:autoSpaceDE w:val="0"/>
              <w:autoSpaceDN w:val="0"/>
              <w:adjustRightInd w:val="0"/>
              <w:spacing w:before="120" w:after="120"/>
              <w:rPr>
                <w:sz w:val="16"/>
                <w:szCs w:val="16"/>
              </w:rPr>
            </w:pPr>
            <w:r w:rsidRPr="0027289C">
              <w:rPr>
                <w:rFonts w:eastAsia="Arial"/>
                <w:b/>
                <w:bCs/>
                <w:sz w:val="16"/>
                <w:szCs w:val="16"/>
                <w:bdr w:val="nil"/>
              </w:rPr>
              <w:t>País anfitrión / Beneficiarios</w:t>
            </w:r>
          </w:p>
        </w:tc>
        <w:tc>
          <w:tcPr>
            <w:tcW w:w="4395" w:type="dxa"/>
            <w:vAlign w:val="center"/>
          </w:tcPr>
          <w:p w:rsidR="004E456B" w:rsidRPr="0027289C" w:rsidRDefault="004E456B" w:rsidP="00027A9C">
            <w:pPr>
              <w:autoSpaceDE w:val="0"/>
              <w:autoSpaceDN w:val="0"/>
              <w:adjustRightInd w:val="0"/>
              <w:spacing w:before="120" w:after="120"/>
              <w:rPr>
                <w:sz w:val="16"/>
                <w:szCs w:val="16"/>
              </w:rPr>
            </w:pPr>
            <w:r w:rsidRPr="0027289C">
              <w:rPr>
                <w:rFonts w:eastAsia="Arial"/>
                <w:b/>
                <w:bCs/>
                <w:sz w:val="16"/>
                <w:szCs w:val="16"/>
                <w:bdr w:val="nil"/>
              </w:rPr>
              <w:t>Propósito(s)/Descripción</w:t>
            </w:r>
          </w:p>
        </w:tc>
      </w:tr>
      <w:tr w:rsidR="004E456B" w:rsidRPr="008466AF" w:rsidTr="00027A9C">
        <w:trPr>
          <w:trHeight w:val="520"/>
        </w:trPr>
        <w:tc>
          <w:tcPr>
            <w:tcW w:w="1843"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rPr>
              <w:t>Taller sobre protección del derecho de autor y los derechos conexos</w:t>
            </w:r>
          </w:p>
        </w:tc>
        <w:tc>
          <w:tcPr>
            <w:tcW w:w="1134"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rPr>
              <w:t>17 a 28 de octubre de 2016</w:t>
            </w:r>
          </w:p>
        </w:tc>
        <w:tc>
          <w:tcPr>
            <w:tcW w:w="2126"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lang w:eastAsia="ja-JP"/>
              </w:rPr>
              <w:t>Japón/ 8 participantes</w:t>
            </w:r>
            <w:r>
              <w:rPr>
                <w:rFonts w:eastAsia="Arial"/>
                <w:sz w:val="16"/>
                <w:szCs w:val="16"/>
                <w:bdr w:val="nil"/>
                <w:lang w:eastAsia="ja-JP"/>
              </w:rPr>
              <w:t>,</w:t>
            </w:r>
            <w:r w:rsidRPr="0027289C">
              <w:rPr>
                <w:rFonts w:eastAsia="Arial"/>
                <w:sz w:val="16"/>
                <w:szCs w:val="16"/>
                <w:bdr w:val="nil"/>
                <w:lang w:eastAsia="ja-JP"/>
              </w:rPr>
              <w:t xml:space="preserve"> de China, Filipinas, Pakistán, Viet Nam</w:t>
            </w:r>
          </w:p>
        </w:tc>
        <w:tc>
          <w:tcPr>
            <w:tcW w:w="4395"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lang w:eastAsia="ja-JP"/>
              </w:rPr>
              <w:t xml:space="preserve">i) Informar a los funcionarios de las oficinas de derecho de autor y otras instituciones relacionadas de la región de Asia y el Pacífico de la importancia de la protección del derecho de autor y los derechos conexos;  y ii) intercambiar experiencias con colegas japoneses.  </w:t>
            </w:r>
          </w:p>
        </w:tc>
      </w:tr>
      <w:tr w:rsidR="004E456B" w:rsidRPr="008466AF" w:rsidTr="00027A9C">
        <w:trPr>
          <w:trHeight w:val="520"/>
        </w:trPr>
        <w:tc>
          <w:tcPr>
            <w:tcW w:w="1843"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rPr>
              <w:t>Visita de estudio a organismos de gestión colectiva del derecho de autor</w:t>
            </w:r>
          </w:p>
        </w:tc>
        <w:tc>
          <w:tcPr>
            <w:tcW w:w="1134"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rPr>
              <w:t>24 a 28 de octubre de 2016</w:t>
            </w:r>
          </w:p>
        </w:tc>
        <w:tc>
          <w:tcPr>
            <w:tcW w:w="2126"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rPr>
              <w:t>Japón/ 8 participantes de Camboya, Islas Cook, Maldivas, Myanmar, República Democrática Popular Lao</w:t>
            </w:r>
          </w:p>
        </w:tc>
        <w:tc>
          <w:tcPr>
            <w:tcW w:w="4395" w:type="dxa"/>
          </w:tcPr>
          <w:p w:rsidR="004E456B" w:rsidRPr="0027289C" w:rsidRDefault="004E456B" w:rsidP="00027A9C">
            <w:pPr>
              <w:autoSpaceDE w:val="0"/>
              <w:autoSpaceDN w:val="0"/>
              <w:adjustRightInd w:val="0"/>
              <w:spacing w:before="120" w:after="120"/>
              <w:rPr>
                <w:sz w:val="16"/>
                <w:szCs w:val="16"/>
              </w:rPr>
            </w:pPr>
            <w:r w:rsidRPr="0027289C">
              <w:rPr>
                <w:rFonts w:eastAsia="Arial"/>
                <w:sz w:val="16"/>
                <w:szCs w:val="16"/>
                <w:bdr w:val="nil"/>
              </w:rPr>
              <w:t>i) Mejorar el conocimiento y la comprensión de los participantes sobre cuestiones relativas a la gestión del derecho de autor;  ii) facilitar la colaboración y coordinación entre las oficinas de derecho de autor y los organismos de gestión colectiva de este tipo de derechos;  y iii) estudiar la experiencia japonesa en el ámbito del derecho de autor y los derechos conexos.</w:t>
            </w:r>
          </w:p>
        </w:tc>
      </w:tr>
    </w:tbl>
    <w:p w:rsidR="004E456B" w:rsidRPr="00931F05" w:rsidRDefault="004E456B" w:rsidP="00027A9C">
      <w:pPr>
        <w:rPr>
          <w:rFonts w:cs="Times New Roman"/>
          <w:sz w:val="20"/>
        </w:rPr>
      </w:pPr>
    </w:p>
    <w:p w:rsidR="004E456B" w:rsidRPr="0027289C" w:rsidRDefault="004E456B" w:rsidP="00027A9C">
      <w:pPr>
        <w:keepNext/>
        <w:rPr>
          <w:b/>
          <w:bCs/>
          <w:sz w:val="20"/>
        </w:rPr>
      </w:pPr>
      <w:r w:rsidRPr="0027289C">
        <w:rPr>
          <w:rFonts w:eastAsia="Arial"/>
          <w:b/>
          <w:bCs/>
          <w:sz w:val="20"/>
          <w:bdr w:val="nil"/>
        </w:rPr>
        <w:t>JAPÓN / DERECHO DE AUTOR – Contribuciones del donante y gastos en 2016</w:t>
      </w:r>
    </w:p>
    <w:p w:rsidR="004E456B" w:rsidRPr="0027289C" w:rsidRDefault="004E456B" w:rsidP="00027A9C">
      <w:pPr>
        <w:keepNext/>
        <w:rPr>
          <w:b/>
          <w:bCs/>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shd w:val="clear" w:color="000000" w:fill="C5D9F1"/>
            <w:vAlign w:val="center"/>
            <w:hideMark/>
          </w:tcPr>
          <w:p w:rsidR="004E456B" w:rsidRPr="0027289C" w:rsidRDefault="004E456B" w:rsidP="00027A9C">
            <w:pPr>
              <w:keepNext/>
              <w:jc w:val="center"/>
              <w:rPr>
                <w:b/>
                <w:bCs/>
                <w:sz w:val="16"/>
                <w:szCs w:val="16"/>
              </w:rPr>
            </w:pPr>
            <w:r w:rsidRPr="0027289C">
              <w:rPr>
                <w:rFonts w:eastAsia="Arial"/>
                <w:b/>
                <w:bCs/>
                <w:sz w:val="16"/>
                <w:szCs w:val="16"/>
                <w:bdr w:val="nil"/>
              </w:rPr>
              <w:t>Saldo al 31 de diciembre de 2015</w:t>
            </w:r>
          </w:p>
        </w:tc>
        <w:tc>
          <w:tcPr>
            <w:tcW w:w="1814" w:type="dxa"/>
            <w:shd w:val="clear" w:color="000000" w:fill="C5D9F1"/>
            <w:noWrap/>
            <w:vAlign w:val="center"/>
            <w:hideMark/>
          </w:tcPr>
          <w:p w:rsidR="004E456B" w:rsidRPr="0027289C" w:rsidRDefault="004E456B" w:rsidP="00027A9C">
            <w:pPr>
              <w:keepNext/>
              <w:jc w:val="center"/>
              <w:rPr>
                <w:b/>
                <w:bCs/>
                <w:sz w:val="16"/>
                <w:szCs w:val="16"/>
              </w:rPr>
            </w:pPr>
            <w:r w:rsidRPr="0027289C">
              <w:rPr>
                <w:rFonts w:eastAsia="Arial"/>
                <w:b/>
                <w:bCs/>
                <w:sz w:val="16"/>
                <w:szCs w:val="16"/>
                <w:bdr w:val="nil"/>
              </w:rPr>
              <w:t>Ingresos en 2016</w:t>
            </w:r>
          </w:p>
        </w:tc>
        <w:tc>
          <w:tcPr>
            <w:tcW w:w="1815" w:type="dxa"/>
            <w:shd w:val="clear" w:color="000000" w:fill="C5D9F1"/>
            <w:noWrap/>
            <w:vAlign w:val="center"/>
            <w:hideMark/>
          </w:tcPr>
          <w:p w:rsidR="004E456B" w:rsidRPr="0027289C" w:rsidRDefault="004E456B" w:rsidP="00027A9C">
            <w:pPr>
              <w:keepNext/>
              <w:jc w:val="center"/>
              <w:rPr>
                <w:b/>
                <w:bCs/>
                <w:sz w:val="16"/>
                <w:szCs w:val="16"/>
              </w:rPr>
            </w:pPr>
            <w:r w:rsidRPr="0027289C">
              <w:rPr>
                <w:rFonts w:eastAsia="Arial"/>
                <w:b/>
                <w:bCs/>
                <w:sz w:val="16"/>
                <w:szCs w:val="16"/>
                <w:bdr w:val="nil"/>
              </w:rPr>
              <w:t>Gastos en 2016</w:t>
            </w:r>
          </w:p>
        </w:tc>
        <w:tc>
          <w:tcPr>
            <w:tcW w:w="1814" w:type="dxa"/>
            <w:shd w:val="clear" w:color="000000" w:fill="C5D9F1"/>
            <w:noWrap/>
            <w:vAlign w:val="center"/>
            <w:hideMark/>
          </w:tcPr>
          <w:p w:rsidR="004E456B" w:rsidRPr="0027289C" w:rsidRDefault="004E456B" w:rsidP="00027A9C">
            <w:pPr>
              <w:keepNext/>
              <w:jc w:val="center"/>
              <w:rPr>
                <w:b/>
                <w:bCs/>
                <w:sz w:val="16"/>
                <w:szCs w:val="16"/>
              </w:rPr>
            </w:pPr>
            <w:r w:rsidRPr="0027289C">
              <w:rPr>
                <w:rFonts w:eastAsia="Arial"/>
                <w:b/>
                <w:bCs/>
                <w:sz w:val="16"/>
                <w:szCs w:val="16"/>
                <w:bdr w:val="nil"/>
              </w:rPr>
              <w:t>Reembolsos</w:t>
            </w:r>
          </w:p>
        </w:tc>
        <w:tc>
          <w:tcPr>
            <w:tcW w:w="1815" w:type="dxa"/>
            <w:shd w:val="clear" w:color="000000" w:fill="C5D9F1"/>
            <w:vAlign w:val="center"/>
            <w:hideMark/>
          </w:tcPr>
          <w:p w:rsidR="004E456B" w:rsidRPr="0027289C" w:rsidRDefault="004E456B" w:rsidP="00027A9C">
            <w:pPr>
              <w:keepNext/>
              <w:jc w:val="center"/>
              <w:rPr>
                <w:b/>
                <w:bCs/>
                <w:sz w:val="16"/>
                <w:szCs w:val="16"/>
              </w:rPr>
            </w:pPr>
            <w:r w:rsidRPr="0027289C">
              <w:rPr>
                <w:rFonts w:eastAsia="Arial"/>
                <w:b/>
                <w:bCs/>
                <w:sz w:val="16"/>
                <w:szCs w:val="16"/>
                <w:bdr w:val="nil"/>
              </w:rPr>
              <w:t>Saldo al 31 de diciembre de 2016</w:t>
            </w:r>
          </w:p>
        </w:tc>
      </w:tr>
      <w:tr w:rsidR="004E456B" w:rsidRPr="0027289C" w:rsidTr="00027A9C">
        <w:trPr>
          <w:trHeight w:val="357"/>
        </w:trPr>
        <w:tc>
          <w:tcPr>
            <w:tcW w:w="1814" w:type="dxa"/>
            <w:shd w:val="clear" w:color="auto" w:fill="auto"/>
            <w:noWrap/>
            <w:vAlign w:val="bottom"/>
            <w:hideMark/>
          </w:tcPr>
          <w:p w:rsidR="004E456B" w:rsidRPr="0027289C" w:rsidRDefault="004E456B" w:rsidP="00027A9C">
            <w:pPr>
              <w:keepNext/>
              <w:jc w:val="center"/>
              <w:rPr>
                <w:sz w:val="16"/>
                <w:szCs w:val="16"/>
              </w:rPr>
            </w:pPr>
            <w:r w:rsidRPr="0027289C">
              <w:rPr>
                <w:sz w:val="16"/>
                <w:szCs w:val="16"/>
              </w:rPr>
              <w:t xml:space="preserve">344.935 </w:t>
            </w:r>
          </w:p>
        </w:tc>
        <w:tc>
          <w:tcPr>
            <w:tcW w:w="1814" w:type="dxa"/>
            <w:shd w:val="clear" w:color="auto" w:fill="auto"/>
            <w:noWrap/>
            <w:vAlign w:val="bottom"/>
            <w:hideMark/>
          </w:tcPr>
          <w:p w:rsidR="004E456B" w:rsidRPr="0027289C" w:rsidRDefault="004E456B" w:rsidP="00027A9C">
            <w:pPr>
              <w:keepNext/>
              <w:jc w:val="center"/>
              <w:rPr>
                <w:sz w:val="16"/>
                <w:szCs w:val="16"/>
              </w:rPr>
            </w:pPr>
            <w:r w:rsidRPr="0027289C">
              <w:rPr>
                <w:sz w:val="16"/>
                <w:szCs w:val="16"/>
              </w:rPr>
              <w:t xml:space="preserve">468.973 </w:t>
            </w:r>
          </w:p>
        </w:tc>
        <w:tc>
          <w:tcPr>
            <w:tcW w:w="1815" w:type="dxa"/>
            <w:shd w:val="clear" w:color="auto" w:fill="auto"/>
            <w:noWrap/>
            <w:vAlign w:val="bottom"/>
            <w:hideMark/>
          </w:tcPr>
          <w:p w:rsidR="004E456B" w:rsidRPr="0027289C" w:rsidRDefault="004E456B" w:rsidP="00027A9C">
            <w:pPr>
              <w:keepNext/>
              <w:jc w:val="center"/>
              <w:rPr>
                <w:sz w:val="16"/>
                <w:szCs w:val="16"/>
              </w:rPr>
            </w:pPr>
            <w:r w:rsidRPr="0027289C">
              <w:rPr>
                <w:sz w:val="16"/>
                <w:szCs w:val="16"/>
              </w:rPr>
              <w:t xml:space="preserve">530.717 </w:t>
            </w:r>
          </w:p>
        </w:tc>
        <w:tc>
          <w:tcPr>
            <w:tcW w:w="1814" w:type="dxa"/>
            <w:shd w:val="clear" w:color="auto" w:fill="auto"/>
            <w:noWrap/>
            <w:vAlign w:val="bottom"/>
            <w:hideMark/>
          </w:tcPr>
          <w:p w:rsidR="004E456B" w:rsidRPr="0027289C" w:rsidRDefault="004E456B" w:rsidP="00027A9C">
            <w:pPr>
              <w:keepNext/>
              <w:jc w:val="center"/>
              <w:rPr>
                <w:sz w:val="16"/>
                <w:szCs w:val="16"/>
              </w:rPr>
            </w:pPr>
            <w:r w:rsidRPr="0027289C">
              <w:rPr>
                <w:sz w:val="16"/>
                <w:szCs w:val="16"/>
              </w:rPr>
              <w:t>-</w:t>
            </w:r>
          </w:p>
        </w:tc>
        <w:tc>
          <w:tcPr>
            <w:tcW w:w="1815" w:type="dxa"/>
            <w:shd w:val="clear" w:color="auto" w:fill="auto"/>
            <w:noWrap/>
            <w:vAlign w:val="bottom"/>
            <w:hideMark/>
          </w:tcPr>
          <w:p w:rsidR="004E456B" w:rsidRPr="0027289C" w:rsidRDefault="004E456B" w:rsidP="00027A9C">
            <w:pPr>
              <w:keepNext/>
              <w:jc w:val="center"/>
              <w:rPr>
                <w:sz w:val="16"/>
                <w:szCs w:val="16"/>
              </w:rPr>
            </w:pPr>
            <w:r w:rsidRPr="0027289C">
              <w:rPr>
                <w:sz w:val="16"/>
                <w:szCs w:val="16"/>
              </w:rPr>
              <w:t>283.190</w:t>
            </w:r>
          </w:p>
        </w:tc>
      </w:tr>
    </w:tbl>
    <w:p w:rsidR="004E456B" w:rsidRPr="0027289C" w:rsidRDefault="004E456B" w:rsidP="00027A9C">
      <w:pPr>
        <w:rPr>
          <w:rFonts w:eastAsiaTheme="minorEastAsia"/>
          <w:b/>
          <w:sz w:val="20"/>
          <w:szCs w:val="16"/>
        </w:rPr>
      </w:pPr>
    </w:p>
    <w:p w:rsidR="004E456B" w:rsidRPr="0027289C" w:rsidRDefault="004E456B" w:rsidP="00027A9C">
      <w:pPr>
        <w:rPr>
          <w:rFonts w:eastAsiaTheme="minorEastAsia"/>
          <w:b/>
          <w:sz w:val="20"/>
          <w:szCs w:val="16"/>
        </w:rPr>
      </w:pPr>
    </w:p>
    <w:p w:rsidR="004E456B" w:rsidRPr="0027289C" w:rsidRDefault="004E456B" w:rsidP="00027A9C">
      <w:pPr>
        <w:rPr>
          <w:rFonts w:eastAsiaTheme="minorEastAsia"/>
          <w:b/>
          <w:sz w:val="20"/>
          <w:szCs w:val="16"/>
        </w:rPr>
      </w:pPr>
      <w:r w:rsidRPr="0027289C">
        <w:rPr>
          <w:rFonts w:eastAsia="Arial"/>
          <w:b/>
          <w:bCs/>
          <w:sz w:val="20"/>
          <w:bdr w:val="nil"/>
        </w:rPr>
        <w:t>JAPÓN / PROPIEDAD INDUSTRIAL</w:t>
      </w:r>
    </w:p>
    <w:p w:rsidR="004E456B" w:rsidRPr="0027289C" w:rsidRDefault="004E456B" w:rsidP="00027A9C">
      <w:pPr>
        <w:rPr>
          <w:rFonts w:eastAsiaTheme="minorEastAsia"/>
          <w:b/>
          <w:sz w:val="20"/>
          <w:szCs w:val="16"/>
        </w:rPr>
      </w:pPr>
    </w:p>
    <w:tbl>
      <w:tblPr>
        <w:tblW w:w="9072" w:type="dxa"/>
        <w:tblInd w:w="108" w:type="dxa"/>
        <w:tblLayout w:type="fixed"/>
        <w:tblLook w:val="0000" w:firstRow="0" w:lastRow="0" w:firstColumn="0" w:lastColumn="0" w:noHBand="0" w:noVBand="0"/>
      </w:tblPr>
      <w:tblGrid>
        <w:gridCol w:w="1788"/>
        <w:gridCol w:w="1103"/>
        <w:gridCol w:w="1925"/>
        <w:gridCol w:w="4256"/>
      </w:tblGrid>
      <w:tr w:rsidR="004E456B" w:rsidRPr="008466AF" w:rsidTr="00027A9C">
        <w:trPr>
          <w:cantSplit/>
          <w:trHeight w:val="315"/>
        </w:trPr>
        <w:tc>
          <w:tcPr>
            <w:tcW w:w="9360" w:type="dxa"/>
            <w:gridSpan w:val="4"/>
            <w:shd w:val="clear" w:color="auto" w:fill="C6D9F1" w:themeFill="text2" w:themeFillTint="33"/>
          </w:tcPr>
          <w:p w:rsidR="004E456B" w:rsidRPr="0027289C" w:rsidRDefault="004E456B" w:rsidP="00027A9C">
            <w:pPr>
              <w:keepNext/>
              <w:keepLines/>
              <w:tabs>
                <w:tab w:val="left" w:pos="1740"/>
              </w:tabs>
              <w:spacing w:before="120" w:after="120"/>
              <w:ind w:left="1740" w:hanging="1740"/>
              <w:rPr>
                <w:rFonts w:eastAsiaTheme="minorEastAsia"/>
                <w:sz w:val="16"/>
                <w:szCs w:val="16"/>
              </w:rPr>
            </w:pPr>
            <w:r w:rsidRPr="0027289C">
              <w:rPr>
                <w:rFonts w:eastAsia="Arial"/>
                <w:b/>
                <w:bCs/>
                <w:sz w:val="16"/>
                <w:szCs w:val="16"/>
                <w:bdr w:val="nil"/>
              </w:rPr>
              <w:t>RESULTADO:</w:t>
            </w:r>
            <w:r w:rsidRPr="0027289C">
              <w:rPr>
                <w:rFonts w:eastAsia="Arial"/>
                <w:b/>
                <w:bCs/>
                <w:sz w:val="16"/>
                <w:szCs w:val="16"/>
                <w:bdr w:val="nil"/>
              </w:rPr>
              <w:tab/>
            </w:r>
            <w:r w:rsidRPr="0027289C">
              <w:rPr>
                <w:rFonts w:eastAsia="Arial"/>
                <w:sz w:val="16"/>
                <w:szCs w:val="16"/>
                <w:bdr w:val="nil"/>
              </w:rPr>
              <w:t>II.1  Mayor y más eficaz utilización del Sistema del PCT para presentar solicitudes internacionales de patentes</w:t>
            </w:r>
          </w:p>
        </w:tc>
      </w:tr>
      <w:tr w:rsidR="004E456B" w:rsidRPr="0027289C" w:rsidTr="00027A9C">
        <w:trPr>
          <w:cantSplit/>
          <w:trHeight w:val="402"/>
        </w:trPr>
        <w:tc>
          <w:tcPr>
            <w:tcW w:w="1843" w:type="dxa"/>
            <w:vAlign w:val="center"/>
          </w:tcPr>
          <w:p w:rsidR="004E456B" w:rsidRPr="0027289C" w:rsidRDefault="004E456B" w:rsidP="00027A9C">
            <w:pPr>
              <w:keepNext/>
              <w:keepLines/>
              <w:spacing w:before="120"/>
              <w:rPr>
                <w:rFonts w:eastAsiaTheme="minorEastAsia"/>
                <w:b/>
                <w:bCs/>
                <w:sz w:val="16"/>
                <w:szCs w:val="16"/>
              </w:rPr>
            </w:pPr>
            <w:r w:rsidRPr="0027289C">
              <w:rPr>
                <w:rFonts w:eastAsia="Arial"/>
                <w:b/>
                <w:bCs/>
                <w:sz w:val="16"/>
                <w:szCs w:val="16"/>
                <w:bdr w:val="nil"/>
              </w:rPr>
              <w:t>Actividad</w:t>
            </w:r>
          </w:p>
        </w:tc>
        <w:tc>
          <w:tcPr>
            <w:tcW w:w="1134"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Fecha</w:t>
            </w:r>
          </w:p>
        </w:tc>
        <w:tc>
          <w:tcPr>
            <w:tcW w:w="1985"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País anfitrión / Beneficiarios</w:t>
            </w:r>
          </w:p>
        </w:tc>
        <w:tc>
          <w:tcPr>
            <w:tcW w:w="4398"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843"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Taller nacional sobre el Sistema del PCT</w:t>
            </w:r>
          </w:p>
        </w:tc>
        <w:tc>
          <w:tcPr>
            <w:tcW w:w="1134"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28 y 29 de noviembre de 2016</w:t>
            </w:r>
          </w:p>
        </w:tc>
        <w:tc>
          <w:tcPr>
            <w:tcW w:w="1985"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India/ 50 participantes locales</w:t>
            </w:r>
          </w:p>
        </w:tc>
        <w:tc>
          <w:tcPr>
            <w:tcW w:w="4398" w:type="dxa"/>
          </w:tcPr>
          <w:p w:rsidR="004E456B" w:rsidRPr="0027289C" w:rsidRDefault="004E456B" w:rsidP="00027A9C">
            <w:pPr>
              <w:tabs>
                <w:tab w:val="left" w:pos="0"/>
              </w:tabs>
              <w:spacing w:after="120"/>
              <w:rPr>
                <w:rFonts w:eastAsiaTheme="minorEastAsia" w:cs="Times New Roman"/>
                <w:sz w:val="16"/>
                <w:szCs w:val="16"/>
                <w:lang w:eastAsia="ko-KR"/>
              </w:rPr>
            </w:pPr>
            <w:r w:rsidRPr="0027289C">
              <w:rPr>
                <w:rFonts w:eastAsia="Arial"/>
                <w:sz w:val="16"/>
                <w:szCs w:val="16"/>
                <w:bdr w:val="nil"/>
                <w:lang w:eastAsia="ja-JP"/>
              </w:rPr>
              <w:t>i) Conocer más en detalle las cuestiones relativas a la labor de las Administraciones encargadas de la búsqueda internacional y las Administraciones encargadas del examen preliminar internacional (</w:t>
            </w:r>
            <w:r w:rsidRPr="0027289C">
              <w:rPr>
                <w:rFonts w:eastAsia="Arial"/>
                <w:iCs/>
                <w:sz w:val="16"/>
                <w:szCs w:val="16"/>
                <w:bdr w:val="nil"/>
                <w:lang w:eastAsia="ja-JP"/>
              </w:rPr>
              <w:t>entre otros</w:t>
            </w:r>
            <w:r w:rsidRPr="0027289C">
              <w:rPr>
                <w:rFonts w:eastAsia="Arial"/>
                <w:sz w:val="16"/>
                <w:szCs w:val="16"/>
                <w:bdr w:val="nil"/>
                <w:lang w:eastAsia="ja-JP"/>
              </w:rPr>
              <w:t>, el Informe de búsqueda internacional y el Informe preliminar internacional sobre la patentabilidad, Capítulo II);  ii) mejorar las competencias de los examinadores relativas a la labor de la Administración encargada de la búsqueda internacional/Administración encargada del examen preliminar internacional (</w:t>
            </w:r>
            <w:r w:rsidRPr="0027289C">
              <w:rPr>
                <w:rFonts w:eastAsia="Arial"/>
                <w:iCs/>
                <w:sz w:val="16"/>
                <w:szCs w:val="16"/>
                <w:bdr w:val="nil"/>
                <w:lang w:eastAsia="ja-JP"/>
              </w:rPr>
              <w:t>entre otros</w:t>
            </w:r>
            <w:r w:rsidRPr="0027289C">
              <w:rPr>
                <w:rFonts w:eastAsia="Arial"/>
                <w:sz w:val="16"/>
                <w:szCs w:val="16"/>
                <w:bdr w:val="nil"/>
                <w:lang w:eastAsia="ja-JP"/>
              </w:rPr>
              <w:t>, el Informe de búsqueda internacional/ Informe preliminar internacional sobre la patentabilidad, Capítulo II); y iii) aplicar los conocimientos y capacidades adquiridos en el lugar de trabajo.</w:t>
            </w:r>
          </w:p>
        </w:tc>
      </w:tr>
      <w:tr w:rsidR="004E456B" w:rsidRPr="008466AF" w:rsidTr="00027A9C">
        <w:trPr>
          <w:cantSplit/>
          <w:trHeight w:val="315"/>
        </w:trPr>
        <w:tc>
          <w:tcPr>
            <w:tcW w:w="9360" w:type="dxa"/>
            <w:gridSpan w:val="4"/>
            <w:shd w:val="clear" w:color="auto" w:fill="C6D9F1" w:themeFill="text2" w:themeFillTint="33"/>
          </w:tcPr>
          <w:p w:rsidR="004E456B" w:rsidRPr="0027289C" w:rsidRDefault="004E456B" w:rsidP="00027A9C">
            <w:pPr>
              <w:keepNext/>
              <w:keepLines/>
              <w:tabs>
                <w:tab w:val="left" w:pos="1740"/>
              </w:tabs>
              <w:spacing w:before="120" w:after="120"/>
              <w:ind w:left="1740" w:hanging="1740"/>
              <w:rPr>
                <w:rFonts w:eastAsiaTheme="minorEastAsia"/>
                <w:sz w:val="16"/>
                <w:szCs w:val="16"/>
              </w:rPr>
            </w:pPr>
            <w:r w:rsidRPr="0027289C">
              <w:rPr>
                <w:rFonts w:eastAsia="Arial"/>
                <w:b/>
                <w:bCs/>
                <w:sz w:val="16"/>
                <w:szCs w:val="16"/>
                <w:bdr w:val="nil"/>
              </w:rPr>
              <w:lastRenderedPageBreak/>
              <w:t>RESULTADO:</w:t>
            </w:r>
            <w:r w:rsidRPr="0027289C">
              <w:rPr>
                <w:rFonts w:eastAsia="Arial"/>
                <w:b/>
                <w:bCs/>
                <w:sz w:val="16"/>
                <w:szCs w:val="16"/>
                <w:bdr w:val="nil"/>
              </w:rPr>
              <w:tab/>
            </w:r>
            <w:r w:rsidRPr="0027289C">
              <w:rPr>
                <w:rFonts w:eastAsia="Arial"/>
                <w:sz w:val="16"/>
                <w:szCs w:val="16"/>
                <w:bdr w:val="nil"/>
              </w:rPr>
              <w:t>II.4  Mayor y más eficaz utilización del Sistema de La Haya, entre otros por los países en desarrollo y los PMA</w:t>
            </w:r>
          </w:p>
        </w:tc>
      </w:tr>
      <w:tr w:rsidR="004E456B" w:rsidTr="00027A9C">
        <w:trPr>
          <w:cantSplit/>
          <w:trHeight w:val="402"/>
        </w:trPr>
        <w:tc>
          <w:tcPr>
            <w:tcW w:w="1843" w:type="dxa"/>
            <w:vAlign w:val="center"/>
          </w:tcPr>
          <w:p w:rsidR="004E456B" w:rsidRPr="0027289C" w:rsidRDefault="004E456B" w:rsidP="00027A9C">
            <w:pPr>
              <w:keepNext/>
              <w:keepLines/>
              <w:spacing w:before="120"/>
              <w:rPr>
                <w:rFonts w:eastAsiaTheme="minorEastAsia"/>
                <w:b/>
                <w:bCs/>
                <w:sz w:val="16"/>
                <w:szCs w:val="16"/>
              </w:rPr>
            </w:pPr>
            <w:r w:rsidRPr="0027289C">
              <w:rPr>
                <w:rFonts w:eastAsia="Arial"/>
                <w:b/>
                <w:bCs/>
                <w:sz w:val="16"/>
                <w:szCs w:val="16"/>
                <w:bdr w:val="nil"/>
              </w:rPr>
              <w:t>Actividad</w:t>
            </w:r>
          </w:p>
        </w:tc>
        <w:tc>
          <w:tcPr>
            <w:tcW w:w="1134"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Fecha</w:t>
            </w:r>
          </w:p>
        </w:tc>
        <w:tc>
          <w:tcPr>
            <w:tcW w:w="1985"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País anfitrión / Beneficiarios</w:t>
            </w:r>
          </w:p>
        </w:tc>
        <w:tc>
          <w:tcPr>
            <w:tcW w:w="4398" w:type="dxa"/>
            <w:vAlign w:val="center"/>
          </w:tcPr>
          <w:p w:rsidR="004E456B" w:rsidRPr="000B20DD" w:rsidRDefault="004E456B" w:rsidP="00027A9C">
            <w:pPr>
              <w:keepNext/>
              <w:keepLines/>
              <w:spacing w:before="120"/>
              <w:rPr>
                <w:rFonts w:eastAsiaTheme="minorEastAsia"/>
                <w:sz w:val="16"/>
                <w:szCs w:val="16"/>
              </w:rPr>
            </w:pPr>
            <w:r w:rsidRPr="0027289C">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843"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Misión de asesoramiento</w:t>
            </w:r>
          </w:p>
        </w:tc>
        <w:tc>
          <w:tcPr>
            <w:tcW w:w="1134"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4 de marzo de 2016</w:t>
            </w:r>
          </w:p>
        </w:tc>
        <w:tc>
          <w:tcPr>
            <w:tcW w:w="1985"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Viet Nam/  30 participantes locales</w:t>
            </w:r>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rPr>
            </w:pPr>
            <w:r>
              <w:rPr>
                <w:rFonts w:eastAsia="Arial"/>
                <w:sz w:val="16"/>
                <w:szCs w:val="16"/>
                <w:bdr w:val="nil"/>
                <w:lang w:eastAsia="ja-JP"/>
              </w:rPr>
              <w:t>Mejorar las capacidades en el área de las comunicaciones relacionadas con las tecnologías de la información entre la Oficina, la Oficina Internacional y los titulares de derechos en el Sistema de La Haya.</w:t>
            </w:r>
          </w:p>
        </w:tc>
      </w:tr>
      <w:tr w:rsidR="004E456B" w:rsidRPr="008466AF" w:rsidTr="00027A9C">
        <w:tblPrEx>
          <w:tblLook w:val="04A0" w:firstRow="1" w:lastRow="0" w:firstColumn="1" w:lastColumn="0" w:noHBand="0" w:noVBand="1"/>
        </w:tblPrEx>
        <w:trPr>
          <w:cantSplit/>
          <w:trHeight w:val="473"/>
        </w:trPr>
        <w:tc>
          <w:tcPr>
            <w:tcW w:w="1843"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Visita de estudio anterior a la adhesión al Sistema de La Haya</w:t>
            </w:r>
          </w:p>
        </w:tc>
        <w:tc>
          <w:tcPr>
            <w:tcW w:w="1134"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29 y 30 de noviembre de 2016</w:t>
            </w:r>
          </w:p>
        </w:tc>
        <w:tc>
          <w:tcPr>
            <w:tcW w:w="1985" w:type="dxa"/>
          </w:tcPr>
          <w:p w:rsidR="004E456B" w:rsidRPr="0027289C" w:rsidRDefault="004E456B" w:rsidP="00027A9C">
            <w:pPr>
              <w:autoSpaceDE w:val="0"/>
              <w:autoSpaceDN w:val="0"/>
              <w:adjustRightInd w:val="0"/>
              <w:spacing w:before="120" w:after="120"/>
              <w:rPr>
                <w:rFonts w:eastAsiaTheme="minorEastAsia"/>
                <w:sz w:val="16"/>
                <w:szCs w:val="16"/>
                <w:lang w:eastAsia="ja-JP"/>
              </w:rPr>
            </w:pPr>
            <w:r w:rsidRPr="0027289C">
              <w:rPr>
                <w:rFonts w:eastAsia="Arial"/>
                <w:sz w:val="16"/>
                <w:szCs w:val="16"/>
                <w:bdr w:val="nil"/>
                <w:lang w:eastAsia="ja-JP"/>
              </w:rPr>
              <w:t>Japón/ 6 participantes vietnamitas</w:t>
            </w:r>
          </w:p>
        </w:tc>
        <w:tc>
          <w:tcPr>
            <w:tcW w:w="4398" w:type="dxa"/>
          </w:tcPr>
          <w:p w:rsidR="004E456B" w:rsidRPr="009703BB" w:rsidRDefault="004E456B" w:rsidP="00027A9C">
            <w:pPr>
              <w:autoSpaceDE w:val="0"/>
              <w:autoSpaceDN w:val="0"/>
              <w:adjustRightInd w:val="0"/>
              <w:spacing w:before="120" w:after="120"/>
              <w:rPr>
                <w:rFonts w:eastAsiaTheme="minorEastAsia"/>
                <w:sz w:val="16"/>
                <w:szCs w:val="16"/>
                <w:lang w:eastAsia="ja-JP"/>
              </w:rPr>
            </w:pPr>
            <w:r>
              <w:rPr>
                <w:rFonts w:eastAsia="Arial"/>
                <w:sz w:val="16"/>
                <w:szCs w:val="16"/>
                <w:bdr w:val="nil"/>
                <w:lang w:eastAsia="ja-JP"/>
              </w:rPr>
              <w:t xml:space="preserve">i) Fortalecer las competencias en materia de reglamentación del Sistema de La Haya y tramitación de los registros internacionales; ii) familiarizar a los participantes con las solicitudes, formularios y documentos relativos a las solicitudes internacionales; e iii) iniciar el trabajo preparatorio para la recepción, administración y examen de las solicitudes internacionales. </w:t>
            </w:r>
          </w:p>
        </w:tc>
      </w:tr>
      <w:tr w:rsidR="004E456B" w:rsidRPr="008466AF" w:rsidTr="00027A9C">
        <w:trPr>
          <w:cantSplit/>
          <w:trHeight w:val="315"/>
        </w:trPr>
        <w:tc>
          <w:tcPr>
            <w:tcW w:w="9360" w:type="dxa"/>
            <w:gridSpan w:val="4"/>
            <w:shd w:val="clear" w:color="auto" w:fill="C6D9F1" w:themeFill="text2" w:themeFillTint="33"/>
          </w:tcPr>
          <w:p w:rsidR="004E456B" w:rsidRPr="0027289C" w:rsidRDefault="004E456B" w:rsidP="00027A9C">
            <w:pPr>
              <w:keepNext/>
              <w:keepLines/>
              <w:tabs>
                <w:tab w:val="left" w:pos="1740"/>
              </w:tabs>
              <w:spacing w:before="120" w:after="120"/>
              <w:ind w:left="1740" w:hanging="1740"/>
              <w:rPr>
                <w:rFonts w:eastAsiaTheme="minorEastAsia"/>
                <w:sz w:val="16"/>
                <w:szCs w:val="16"/>
              </w:rPr>
            </w:pPr>
            <w:r w:rsidRPr="0027289C">
              <w:rPr>
                <w:rFonts w:eastAsia="Arial"/>
                <w:b/>
                <w:bCs/>
                <w:sz w:val="16"/>
                <w:szCs w:val="16"/>
                <w:bdr w:val="nil"/>
              </w:rPr>
              <w:t>RESULTADO:</w:t>
            </w:r>
            <w:r w:rsidRPr="0027289C">
              <w:rPr>
                <w:rFonts w:eastAsia="Arial"/>
                <w:b/>
                <w:bCs/>
                <w:sz w:val="16"/>
                <w:szCs w:val="16"/>
                <w:bdr w:val="nil"/>
              </w:rPr>
              <w:tab/>
            </w:r>
            <w:r w:rsidRPr="0027289C">
              <w:rPr>
                <w:rFonts w:eastAsia="Arial"/>
                <w:sz w:val="16"/>
                <w:szCs w:val="16"/>
                <w:bdr w:val="nil"/>
              </w:rPr>
              <w:t>II.6  Mayor y más eficaz utilización del Sistema de Madrid, entre otros por los países en desarrollo y los PMA</w:t>
            </w:r>
          </w:p>
        </w:tc>
      </w:tr>
      <w:tr w:rsidR="004E456B" w:rsidTr="00027A9C">
        <w:trPr>
          <w:cantSplit/>
          <w:trHeight w:val="402"/>
        </w:trPr>
        <w:tc>
          <w:tcPr>
            <w:tcW w:w="1843" w:type="dxa"/>
            <w:vAlign w:val="center"/>
          </w:tcPr>
          <w:p w:rsidR="004E456B" w:rsidRPr="0027289C" w:rsidRDefault="004E456B" w:rsidP="00027A9C">
            <w:pPr>
              <w:keepNext/>
              <w:keepLines/>
              <w:spacing w:before="120"/>
              <w:rPr>
                <w:rFonts w:eastAsiaTheme="minorEastAsia"/>
                <w:b/>
                <w:bCs/>
                <w:sz w:val="16"/>
                <w:szCs w:val="16"/>
              </w:rPr>
            </w:pPr>
            <w:r w:rsidRPr="0027289C">
              <w:rPr>
                <w:rFonts w:eastAsia="Arial"/>
                <w:b/>
                <w:bCs/>
                <w:sz w:val="16"/>
                <w:szCs w:val="16"/>
                <w:bdr w:val="nil"/>
              </w:rPr>
              <w:t>Actividad</w:t>
            </w:r>
          </w:p>
        </w:tc>
        <w:tc>
          <w:tcPr>
            <w:tcW w:w="1134"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Fecha</w:t>
            </w:r>
          </w:p>
        </w:tc>
        <w:tc>
          <w:tcPr>
            <w:tcW w:w="1985"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País anfitrión / Beneficiarios</w:t>
            </w:r>
          </w:p>
        </w:tc>
        <w:tc>
          <w:tcPr>
            <w:tcW w:w="4398" w:type="dxa"/>
            <w:vAlign w:val="center"/>
          </w:tcPr>
          <w:p w:rsidR="004E456B" w:rsidRPr="0027289C" w:rsidRDefault="004E456B" w:rsidP="00027A9C">
            <w:pPr>
              <w:keepNext/>
              <w:keepLines/>
              <w:spacing w:before="120"/>
              <w:rPr>
                <w:rFonts w:eastAsiaTheme="minorEastAsia"/>
                <w:sz w:val="16"/>
                <w:szCs w:val="16"/>
              </w:rPr>
            </w:pPr>
            <w:r w:rsidRPr="0027289C">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Reunión subregional de funcionarios de las oficinas de P.I. responsables del funcionamiento del Sistema de Madrid</w:t>
            </w:r>
          </w:p>
        </w:tc>
        <w:tc>
          <w:tcPr>
            <w:tcW w:w="1134"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13 y 14 de diciembre de 2016</w:t>
            </w:r>
          </w:p>
        </w:tc>
        <w:tc>
          <w:tcPr>
            <w:tcW w:w="1985"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Japón/ 17 participantes, de Bhután, Camboya, Filipinas, India, Indonesia, Malasia Myanmar, Pakistán, República Democrática Popular Lao, Singapur, Sri Lanka, Tailandia, Viet Nam</w:t>
            </w:r>
          </w:p>
        </w:tc>
        <w:tc>
          <w:tcPr>
            <w:tcW w:w="4398" w:type="dxa"/>
          </w:tcPr>
          <w:p w:rsidR="004E456B" w:rsidRPr="009703BB" w:rsidRDefault="004E456B" w:rsidP="00027A9C">
            <w:pPr>
              <w:tabs>
                <w:tab w:val="left" w:pos="0"/>
              </w:tabs>
              <w:rPr>
                <w:rFonts w:eastAsiaTheme="minorEastAsia"/>
                <w:color w:val="000000"/>
                <w:sz w:val="16"/>
                <w:szCs w:val="16"/>
              </w:rPr>
            </w:pPr>
            <w:r>
              <w:rPr>
                <w:rFonts w:eastAsia="Arial"/>
                <w:sz w:val="16"/>
                <w:szCs w:val="16"/>
                <w:bdr w:val="nil"/>
                <w:lang w:eastAsia="ja-JP"/>
              </w:rPr>
              <w:t>i) Ampliar los conocimientos sobre el Sistema de Madrid; ii) aumentar las competencias relativas a la puesta en práctica del Sistema de Madrid; iii) compartir los conocimientos y experiencias recabados por las partes contratantes sobre el Sistema de Madrid con las partes no contratantes; iv) aplicar los conocimientos y competencias adquiridos en el lugar de trabajo; y iv) brindar a los participantes la oportunidad de examinar el posible desarrollo operativo del Sistema de Madrid en el futuro</w:t>
            </w:r>
          </w:p>
        </w:tc>
      </w:tr>
      <w:tr w:rsidR="004E456B" w:rsidRPr="008466AF" w:rsidTr="00027A9C">
        <w:trPr>
          <w:cantSplit/>
          <w:trHeight w:val="315"/>
        </w:trPr>
        <w:tc>
          <w:tcPr>
            <w:tcW w:w="9360" w:type="dxa"/>
            <w:gridSpan w:val="4"/>
            <w:shd w:val="clear" w:color="auto" w:fill="C6D9F1" w:themeFill="text2" w:themeFillTint="33"/>
          </w:tcPr>
          <w:p w:rsidR="004E456B" w:rsidRPr="003F551C" w:rsidRDefault="004E456B" w:rsidP="00027A9C">
            <w:pPr>
              <w:keepNext/>
              <w:keepLines/>
              <w:tabs>
                <w:tab w:val="left" w:pos="1740"/>
              </w:tabs>
              <w:spacing w:before="120" w:after="120"/>
              <w:ind w:left="1740" w:hanging="1740"/>
              <w:rPr>
                <w:rFonts w:eastAsiaTheme="minorEastAsia"/>
                <w:bCs/>
                <w:sz w:val="16"/>
                <w:szCs w:val="16"/>
              </w:rPr>
            </w:pPr>
            <w:r w:rsidRPr="003F551C">
              <w:rPr>
                <w:rFonts w:eastAsia="Arial"/>
                <w:b/>
                <w:bCs/>
                <w:sz w:val="16"/>
                <w:szCs w:val="16"/>
                <w:bdr w:val="nil"/>
              </w:rPr>
              <w:t>RESULTADO:</w:t>
            </w:r>
            <w:r w:rsidRPr="003F551C">
              <w:rPr>
                <w:rFonts w:eastAsia="Arial"/>
                <w:b/>
                <w:bCs/>
                <w:sz w:val="16"/>
                <w:szCs w:val="16"/>
                <w:bdr w:val="nil"/>
              </w:rPr>
              <w:tab/>
            </w:r>
            <w:r w:rsidRPr="003F551C">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Tr="00027A9C">
        <w:trPr>
          <w:cantSplit/>
          <w:trHeight w:val="402"/>
        </w:trPr>
        <w:tc>
          <w:tcPr>
            <w:tcW w:w="1843" w:type="dxa"/>
            <w:vAlign w:val="center"/>
          </w:tcPr>
          <w:p w:rsidR="004E456B" w:rsidRPr="003F551C" w:rsidRDefault="004E456B" w:rsidP="00027A9C">
            <w:pPr>
              <w:keepNext/>
              <w:keepLines/>
              <w:spacing w:before="120"/>
              <w:rPr>
                <w:rFonts w:eastAsiaTheme="minorEastAsia"/>
                <w:b/>
                <w:bCs/>
                <w:sz w:val="16"/>
                <w:szCs w:val="16"/>
              </w:rPr>
            </w:pPr>
            <w:r w:rsidRPr="003F551C">
              <w:rPr>
                <w:rFonts w:eastAsia="Arial"/>
                <w:b/>
                <w:bCs/>
                <w:sz w:val="16"/>
                <w:szCs w:val="16"/>
                <w:bdr w:val="nil"/>
              </w:rPr>
              <w:t>Actividad</w:t>
            </w:r>
          </w:p>
        </w:tc>
        <w:tc>
          <w:tcPr>
            <w:tcW w:w="1134" w:type="dxa"/>
            <w:vAlign w:val="center"/>
          </w:tcPr>
          <w:p w:rsidR="004E456B" w:rsidRPr="003F551C" w:rsidRDefault="004E456B" w:rsidP="00027A9C">
            <w:pPr>
              <w:keepNext/>
              <w:keepLines/>
              <w:spacing w:before="120"/>
              <w:rPr>
                <w:rFonts w:eastAsiaTheme="minorEastAsia"/>
                <w:sz w:val="16"/>
                <w:szCs w:val="16"/>
              </w:rPr>
            </w:pPr>
            <w:r w:rsidRPr="003F551C">
              <w:rPr>
                <w:rFonts w:eastAsia="Arial"/>
                <w:b/>
                <w:bCs/>
                <w:sz w:val="16"/>
                <w:szCs w:val="16"/>
                <w:bdr w:val="nil"/>
              </w:rPr>
              <w:t>Fecha</w:t>
            </w:r>
          </w:p>
        </w:tc>
        <w:tc>
          <w:tcPr>
            <w:tcW w:w="1985" w:type="dxa"/>
            <w:vAlign w:val="center"/>
          </w:tcPr>
          <w:p w:rsidR="004E456B" w:rsidRPr="003F551C" w:rsidRDefault="004E456B" w:rsidP="00027A9C">
            <w:pPr>
              <w:keepNext/>
              <w:keepLines/>
              <w:spacing w:before="120"/>
              <w:rPr>
                <w:rFonts w:eastAsiaTheme="minorEastAsia"/>
                <w:sz w:val="16"/>
                <w:szCs w:val="16"/>
              </w:rPr>
            </w:pPr>
            <w:r w:rsidRPr="003F551C">
              <w:rPr>
                <w:rFonts w:eastAsia="Arial"/>
                <w:b/>
                <w:bCs/>
                <w:sz w:val="16"/>
                <w:szCs w:val="16"/>
                <w:bdr w:val="nil"/>
              </w:rPr>
              <w:t>País anfitrión / Beneficiarios</w:t>
            </w:r>
          </w:p>
        </w:tc>
        <w:tc>
          <w:tcPr>
            <w:tcW w:w="4398" w:type="dxa"/>
            <w:vAlign w:val="center"/>
          </w:tcPr>
          <w:p w:rsidR="004E456B" w:rsidRPr="003F551C" w:rsidRDefault="004E456B" w:rsidP="00027A9C">
            <w:pPr>
              <w:keepNext/>
              <w:keepLines/>
              <w:spacing w:before="120"/>
              <w:rPr>
                <w:rFonts w:eastAsiaTheme="minorEastAsia"/>
                <w:sz w:val="16"/>
                <w:szCs w:val="16"/>
              </w:rPr>
            </w:pPr>
            <w:r w:rsidRPr="003F551C">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61"/>
        </w:trPr>
        <w:tc>
          <w:tcPr>
            <w:tcW w:w="1843"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 xml:space="preserve">Seis prácticas / pasantías </w:t>
            </w:r>
          </w:p>
        </w:tc>
        <w:tc>
          <w:tcPr>
            <w:tcW w:w="1134"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Enero a diciembre de 2016</w:t>
            </w:r>
          </w:p>
        </w:tc>
        <w:tc>
          <w:tcPr>
            <w:tcW w:w="1985"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Japón/ 6 participantes de la India, Malasia, Mongolia, Pakistán, Sri Lanka, Tailandia</w:t>
            </w:r>
          </w:p>
        </w:tc>
        <w:tc>
          <w:tcPr>
            <w:tcW w:w="4398" w:type="dxa"/>
          </w:tcPr>
          <w:p w:rsidR="004E456B" w:rsidRPr="003F551C" w:rsidRDefault="004E456B" w:rsidP="00027A9C">
            <w:pPr>
              <w:autoSpaceDE w:val="0"/>
              <w:autoSpaceDN w:val="0"/>
              <w:adjustRightInd w:val="0"/>
              <w:spacing w:before="120" w:after="120"/>
              <w:rPr>
                <w:rFonts w:eastAsiaTheme="minorEastAsia"/>
                <w:sz w:val="16"/>
                <w:szCs w:val="16"/>
              </w:rPr>
            </w:pPr>
            <w:r w:rsidRPr="003F551C">
              <w:rPr>
                <w:rFonts w:eastAsia="Arial"/>
                <w:sz w:val="16"/>
                <w:szCs w:val="16"/>
                <w:bdr w:val="nil"/>
              </w:rPr>
              <w:t>Facilitar que los graduados en propiedad intelectual adquieran conocimientos, competencias e impresiones del mundo real de la P.I. a través de la combinación del aprendizaje en el aula con formación práctica y experiencia real de trabajo.</w:t>
            </w:r>
          </w:p>
        </w:tc>
      </w:tr>
      <w:tr w:rsidR="004E456B" w:rsidRPr="008466AF" w:rsidTr="00027A9C">
        <w:tblPrEx>
          <w:tblLook w:val="04A0" w:firstRow="1" w:lastRow="0" w:firstColumn="1" w:lastColumn="0" w:noHBand="0" w:noVBand="1"/>
        </w:tblPrEx>
        <w:trPr>
          <w:cantSplit/>
          <w:trHeight w:val="61"/>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rPr>
            </w:pPr>
            <w:r>
              <w:rPr>
                <w:rFonts w:eastAsia="Arial"/>
                <w:sz w:val="16"/>
                <w:szCs w:val="16"/>
                <w:bdr w:val="nil"/>
                <w:lang w:eastAsia="ja-JP"/>
              </w:rPr>
              <w:t>Taller nacional sobre la utilización efectiva del Sistema de Madrid para especialistas y agentes de marcas</w:t>
            </w:r>
          </w:p>
        </w:tc>
        <w:tc>
          <w:tcPr>
            <w:tcW w:w="1134"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20 y 21 de enero de 2016</w:t>
            </w:r>
          </w:p>
        </w:tc>
        <w:tc>
          <w:tcPr>
            <w:tcW w:w="1985"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Camboya / 60 participantes locales</w:t>
            </w:r>
          </w:p>
        </w:tc>
        <w:tc>
          <w:tcPr>
            <w:tcW w:w="4398" w:type="dxa"/>
          </w:tcPr>
          <w:p w:rsidR="004E456B" w:rsidRPr="009703BB" w:rsidRDefault="004E456B" w:rsidP="00027A9C">
            <w:pPr>
              <w:tabs>
                <w:tab w:val="left" w:pos="0"/>
              </w:tabs>
              <w:rPr>
                <w:rFonts w:eastAsiaTheme="minorEastAsia"/>
                <w:color w:val="000000"/>
                <w:sz w:val="16"/>
                <w:szCs w:val="16"/>
              </w:rPr>
            </w:pPr>
            <w:r>
              <w:rPr>
                <w:rFonts w:eastAsia="Arial"/>
                <w:sz w:val="16"/>
                <w:szCs w:val="16"/>
                <w:bdr w:val="nil"/>
                <w:lang w:eastAsia="ja-JP"/>
              </w:rPr>
              <w:t xml:space="preserve">i) Ampliar los conocimientos sobre el Sistema de Madrid de los especialistas y agentes de marcas; ii) aumentar las competencias sobre la utilización práctica del Sistema de Madrid; iii) compartir conocimientos sobre el Sistema de Madrid y las experiencias recabadas en el Japón; y iv) facilitar la puesta en práctica posterior de los conocimientos y competencias adquiridos por los participantes durante el taller. </w:t>
            </w:r>
          </w:p>
        </w:tc>
      </w:tr>
      <w:tr w:rsidR="004E456B" w:rsidRPr="008466AF" w:rsidTr="00027A9C">
        <w:tblPrEx>
          <w:tblLook w:val="04A0" w:firstRow="1" w:lastRow="0" w:firstColumn="1" w:lastColumn="0" w:noHBand="0" w:noVBand="1"/>
        </w:tblPrEx>
        <w:trPr>
          <w:cantSplit/>
          <w:trHeight w:val="61"/>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Curso de formación sobre el examen de la propiedad industrial  - programa básico (patentes y marcas)</w:t>
            </w:r>
          </w:p>
        </w:tc>
        <w:tc>
          <w:tcPr>
            <w:tcW w:w="1134"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18 a 29 de enero de 2016</w:t>
            </w:r>
          </w:p>
        </w:tc>
        <w:tc>
          <w:tcPr>
            <w:tcW w:w="1985" w:type="dxa"/>
          </w:tcPr>
          <w:p w:rsidR="004E456B" w:rsidRPr="003F551C" w:rsidRDefault="004E456B" w:rsidP="00027A9C">
            <w:pPr>
              <w:autoSpaceDE w:val="0"/>
              <w:autoSpaceDN w:val="0"/>
              <w:adjustRightInd w:val="0"/>
              <w:spacing w:before="120" w:after="120"/>
              <w:rPr>
                <w:rFonts w:eastAsiaTheme="minorEastAsia"/>
                <w:sz w:val="16"/>
                <w:szCs w:val="16"/>
                <w:lang w:eastAsia="ja-JP"/>
              </w:rPr>
            </w:pPr>
            <w:r w:rsidRPr="003F551C">
              <w:rPr>
                <w:rFonts w:eastAsia="Arial"/>
                <w:sz w:val="16"/>
                <w:szCs w:val="16"/>
                <w:bdr w:val="nil"/>
                <w:lang w:eastAsia="ja-JP"/>
              </w:rPr>
              <w:t>Japón/ 20 participantes, de Afganistán, Camboya, Chile, Indonesia, Kenya, Malasia, Marruecos, Myanmar, Nigeria, Pakistán, República Democrática Popular Lao, Sri Lanka, Turquía, Viet Nam, ARIPO, Consejo de Cooperación del Golfo (CCG), OAPI</w:t>
            </w:r>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 xml:space="preserve">i) Mejorar los conocimientos básicos esenciales sobre la legislación y los procedimientos sustantivos para efectuar exámenes de patentes y marcas; ii) fortalecer las capacidades para la utilización de herramientas de búsqueda; y iii) mejorar los conocimientos sobre casos de infracción de patentes y marcas, a través de estudios de caso. </w:t>
            </w:r>
          </w:p>
        </w:tc>
      </w:tr>
      <w:tr w:rsidR="004E456B" w:rsidRPr="008466AF" w:rsidTr="00027A9C">
        <w:tblPrEx>
          <w:tblLook w:val="04A0" w:firstRow="1" w:lastRow="0" w:firstColumn="1" w:lastColumn="0" w:noHBand="0" w:noVBand="1"/>
        </w:tblPrEx>
        <w:trPr>
          <w:cantSplit/>
          <w:trHeight w:val="61"/>
        </w:trPr>
        <w:tc>
          <w:tcPr>
            <w:tcW w:w="1843"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lastRenderedPageBreak/>
              <w:t xml:space="preserve">Curso de formación sobre gestión de P.I. y formulación y aplicación de planes de gestión por resultados de oficinas de P.I. </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16 a 23 de febrero de 2016</w:t>
            </w:r>
          </w:p>
        </w:tc>
        <w:tc>
          <w:tcPr>
            <w:tcW w:w="1985"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Japón/ 20 participantes</w:t>
            </w:r>
            <w:r>
              <w:rPr>
                <w:rFonts w:eastAsia="Arial"/>
                <w:sz w:val="16"/>
                <w:szCs w:val="16"/>
                <w:bdr w:val="nil"/>
                <w:lang w:eastAsia="ja-JP"/>
              </w:rPr>
              <w:t>,</w:t>
            </w:r>
            <w:r w:rsidRPr="00CB2A8B">
              <w:rPr>
                <w:rFonts w:eastAsia="Arial"/>
                <w:sz w:val="16"/>
                <w:szCs w:val="16"/>
                <w:bdr w:val="nil"/>
                <w:lang w:eastAsia="ja-JP"/>
              </w:rPr>
              <w:t xml:space="preserve"> de Brasil, Camboya, Chile, China, Egipto, Filipinas, India, Indonesia, Malasia, México, Myanmar, Nigeria, Perú, República Democrática Popular Lao, Senegal, Tailandia, Uganda, Viet Nam</w:t>
            </w:r>
          </w:p>
        </w:tc>
        <w:tc>
          <w:tcPr>
            <w:tcW w:w="4398"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i) Ampliar los conocimientos de los participantes sobre las modernas prácticas de gestión de la P.I., entre ellas sobre la forma de elaborar políticas, estrategias y planes para el desarrollo de recursos humanos, el fortalecimiento de la capacidad de los examinadores, la gestión de las operaciones de una oficina, el apoyo a las pymes en lo relativo a la P.I.;  y ii) mejorar la capacidad de los participantes de formular, aplicar y evaluar planes para la gestión de oficinas de P.I. sujetos a plazo, orientados a la obtención de resultados y con efectos mensurables.</w:t>
            </w:r>
          </w:p>
        </w:tc>
      </w:tr>
      <w:tr w:rsidR="004E456B" w:rsidRPr="008466AF" w:rsidTr="00027A9C">
        <w:tblPrEx>
          <w:tblLook w:val="04A0" w:firstRow="1" w:lastRow="0" w:firstColumn="1" w:lastColumn="0" w:noHBand="0" w:noVBand="1"/>
        </w:tblPrEx>
        <w:trPr>
          <w:cantSplit/>
          <w:trHeight w:val="61"/>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Curso de formación sobre los estudios de caso en los exámenes de patentes</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24 de febrero a 1 de marzo de 2016</w:t>
            </w:r>
          </w:p>
        </w:tc>
        <w:tc>
          <w:tcPr>
            <w:tcW w:w="1985"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Japón/ 8 participantes</w:t>
            </w:r>
            <w:r>
              <w:rPr>
                <w:rFonts w:eastAsia="Arial"/>
                <w:sz w:val="16"/>
                <w:szCs w:val="16"/>
                <w:bdr w:val="nil"/>
                <w:lang w:eastAsia="ja-JP"/>
              </w:rPr>
              <w:t>,</w:t>
            </w:r>
            <w:r w:rsidRPr="00CB2A8B">
              <w:rPr>
                <w:rFonts w:eastAsia="Arial"/>
                <w:sz w:val="16"/>
                <w:szCs w:val="16"/>
                <w:bdr w:val="nil"/>
                <w:lang w:eastAsia="ja-JP"/>
              </w:rPr>
              <w:t xml:space="preserve"> de Chile, China, Filipinas, Malasia, Tailandia, Viet Nam</w:t>
            </w:r>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rPr>
            </w:pPr>
            <w:r>
              <w:rPr>
                <w:rFonts w:eastAsia="Arial"/>
                <w:color w:val="000000"/>
                <w:sz w:val="16"/>
                <w:szCs w:val="16"/>
                <w:bdr w:val="nil"/>
                <w:lang w:eastAsia="ja-JP"/>
              </w:rPr>
              <w:t>Proporcionar a los participantes que han completado el programa intermedio/avanzado una formación adicional sobre los exámenes de patentes, mediante estudios de caso en un ámbito específico.</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sz w:val="16"/>
                <w:szCs w:val="16"/>
                <w:bdr w:val="nil"/>
              </w:rPr>
              <w:t>Taller nacional sobre el examen de diseños y el Sistema de La Haya para el registro internacional de los diseños industriales</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3 y 4 de marzo de 2016</w:t>
            </w:r>
          </w:p>
        </w:tc>
        <w:tc>
          <w:tcPr>
            <w:tcW w:w="1985"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Viet Nam/ 30 participantes locales</w:t>
            </w:r>
          </w:p>
        </w:tc>
        <w:tc>
          <w:tcPr>
            <w:tcW w:w="4398" w:type="dxa"/>
          </w:tcPr>
          <w:p w:rsidR="004E456B" w:rsidRPr="009703BB" w:rsidRDefault="004E456B" w:rsidP="00027A9C">
            <w:pPr>
              <w:tabs>
                <w:tab w:val="left" w:pos="0"/>
              </w:tabs>
              <w:rPr>
                <w:rFonts w:eastAsiaTheme="minorEastAsia"/>
                <w:color w:val="000000"/>
                <w:sz w:val="16"/>
                <w:szCs w:val="16"/>
              </w:rPr>
            </w:pPr>
            <w:r>
              <w:rPr>
                <w:rFonts w:eastAsia="Arial"/>
                <w:sz w:val="16"/>
                <w:szCs w:val="16"/>
                <w:bdr w:val="nil"/>
                <w:lang w:eastAsia="ja-JP"/>
              </w:rPr>
              <w:t>i) Ampliar los conocimientos sobre el Sistema de La Haya; ii) aumentar las competencias en la aplicación práctica del Sistema de La Haya; iii) compartir conocimientos sobre el Sistema de La Haya y las experiencias recabadas en el Japón; y iv) aplicar los conocimientos y competencias adquiridos en el lugar de trabajo.</w:t>
            </w:r>
          </w:p>
        </w:tc>
      </w:tr>
      <w:tr w:rsidR="004E456B" w:rsidRPr="008466AF" w:rsidTr="00027A9C">
        <w:tblPrEx>
          <w:tblLook w:val="04A0" w:firstRow="1" w:lastRow="0" w:firstColumn="1" w:lastColumn="0" w:noHBand="0" w:noVBand="1"/>
        </w:tblPrEx>
        <w:trPr>
          <w:cantSplit/>
          <w:trHeight w:val="1499"/>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rPr>
            </w:pPr>
            <w:r>
              <w:rPr>
                <w:rFonts w:eastAsia="Arial"/>
                <w:sz w:val="16"/>
                <w:szCs w:val="16"/>
                <w:bdr w:val="nil"/>
                <w:lang w:eastAsia="ja-JP"/>
              </w:rPr>
              <w:t xml:space="preserve">Taller subregional sobre el Sistema de gestión de calidad del examen de patentes </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19 y 20 de abril de 2016</w:t>
            </w:r>
          </w:p>
        </w:tc>
        <w:tc>
          <w:tcPr>
            <w:tcW w:w="1985"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Malasia/ 20 participantes</w:t>
            </w:r>
            <w:r>
              <w:rPr>
                <w:rFonts w:eastAsia="Arial"/>
                <w:sz w:val="16"/>
                <w:szCs w:val="16"/>
                <w:bdr w:val="nil"/>
                <w:lang w:eastAsia="ja-JP"/>
              </w:rPr>
              <w:t>,</w:t>
            </w:r>
            <w:r w:rsidRPr="00CB2A8B">
              <w:rPr>
                <w:rFonts w:eastAsia="Arial"/>
                <w:sz w:val="16"/>
                <w:szCs w:val="16"/>
                <w:bdr w:val="nil"/>
                <w:lang w:eastAsia="ja-JP"/>
              </w:rPr>
              <w:t xml:space="preserve"> de la India, Indonesia, Malasia, Filipinas, Singapur, Tailandia, Viet Nam</w:t>
            </w:r>
          </w:p>
        </w:tc>
        <w:tc>
          <w:tcPr>
            <w:tcW w:w="4398" w:type="dxa"/>
          </w:tcPr>
          <w:p w:rsidR="004E456B" w:rsidRPr="009703BB" w:rsidRDefault="004E456B" w:rsidP="00027A9C">
            <w:pPr>
              <w:tabs>
                <w:tab w:val="left" w:pos="0"/>
              </w:tabs>
              <w:rPr>
                <w:rFonts w:eastAsiaTheme="minorEastAsia"/>
                <w:color w:val="000000"/>
                <w:sz w:val="16"/>
                <w:szCs w:val="16"/>
              </w:rPr>
            </w:pPr>
            <w:r>
              <w:rPr>
                <w:rFonts w:eastAsia="Arial"/>
                <w:sz w:val="16"/>
                <w:szCs w:val="16"/>
                <w:bdr w:val="nil"/>
                <w:lang w:eastAsia="ja-JP"/>
              </w:rPr>
              <w:t xml:space="preserve">i) Ampliar los conocimientos necesarios para realizar el control de calidad; ii) adquirir nuevas competencias en la gestión real de la calidad del examen de patentes; iii) compartir conocimientos sobre el sistema de gestión de calidad en el país de cada participante y las experiencias en las Administraciones encargadas de la búsqueda internacional; y iv) aplicar los conocimientos y experiencias adquiridos en el lugar de trabajo. </w:t>
            </w:r>
          </w:p>
        </w:tc>
      </w:tr>
      <w:tr w:rsidR="004E456B" w:rsidRPr="008466AF" w:rsidTr="00027A9C">
        <w:tblPrEx>
          <w:tblLook w:val="04A0" w:firstRow="1" w:lastRow="0" w:firstColumn="1" w:lastColumn="0" w:noHBand="0" w:noVBand="1"/>
        </w:tblPrEx>
        <w:trPr>
          <w:cantSplit/>
          <w:trHeight w:val="61"/>
        </w:trPr>
        <w:tc>
          <w:tcPr>
            <w:tcW w:w="1843" w:type="dxa"/>
          </w:tcPr>
          <w:p w:rsidR="004E456B" w:rsidRPr="00CB2A8B" w:rsidRDefault="004E456B" w:rsidP="007744A6">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Becas de estudios de larga duración</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Julio a septiembre de 2016</w:t>
            </w:r>
          </w:p>
        </w:tc>
        <w:tc>
          <w:tcPr>
            <w:tcW w:w="1985" w:type="dxa"/>
          </w:tcPr>
          <w:p w:rsidR="004E456B" w:rsidRPr="00CB2A8B" w:rsidRDefault="007744A6" w:rsidP="00027A9C">
            <w:pPr>
              <w:autoSpaceDE w:val="0"/>
              <w:autoSpaceDN w:val="0"/>
              <w:adjustRightInd w:val="0"/>
              <w:spacing w:before="120" w:after="120"/>
              <w:rPr>
                <w:rFonts w:eastAsiaTheme="minorEastAsia"/>
                <w:sz w:val="16"/>
                <w:szCs w:val="16"/>
                <w:lang w:eastAsia="ja-JP"/>
              </w:rPr>
            </w:pPr>
            <w:r>
              <w:rPr>
                <w:rFonts w:eastAsia="Arial"/>
                <w:sz w:val="16"/>
                <w:szCs w:val="16"/>
                <w:bdr w:val="nil"/>
                <w:lang w:eastAsia="ja-JP"/>
              </w:rPr>
              <w:t>Instituto de Tecnología de Osaka, Osaka (</w:t>
            </w:r>
            <w:r w:rsidR="004E456B" w:rsidRPr="00CB2A8B">
              <w:rPr>
                <w:rFonts w:eastAsia="Arial"/>
                <w:sz w:val="16"/>
                <w:szCs w:val="16"/>
                <w:bdr w:val="nil"/>
                <w:lang w:eastAsia="ja-JP"/>
              </w:rPr>
              <w:t>Japón</w:t>
            </w:r>
            <w:r>
              <w:rPr>
                <w:rFonts w:eastAsia="Arial"/>
                <w:sz w:val="16"/>
                <w:szCs w:val="16"/>
                <w:bdr w:val="nil"/>
                <w:lang w:eastAsia="ja-JP"/>
              </w:rPr>
              <w:t>)</w:t>
            </w:r>
            <w:r w:rsidR="004E456B" w:rsidRPr="00CB2A8B">
              <w:rPr>
                <w:rFonts w:eastAsia="Arial"/>
                <w:sz w:val="16"/>
                <w:szCs w:val="16"/>
                <w:bdr w:val="nil"/>
                <w:lang w:eastAsia="ja-JP"/>
              </w:rPr>
              <w:t>/</w:t>
            </w:r>
            <w:r>
              <w:rPr>
                <w:rFonts w:eastAsia="Arial"/>
                <w:sz w:val="16"/>
                <w:szCs w:val="16"/>
                <w:bdr w:val="nil"/>
                <w:lang w:eastAsia="ja-JP"/>
              </w:rPr>
              <w:t xml:space="preserve"> </w:t>
            </w:r>
            <w:r w:rsidR="004E456B" w:rsidRPr="00CB2A8B">
              <w:rPr>
                <w:rFonts w:eastAsia="Arial"/>
                <w:sz w:val="16"/>
                <w:szCs w:val="16"/>
                <w:bdr w:val="nil"/>
                <w:lang w:eastAsia="ja-JP"/>
              </w:rPr>
              <w:t>1 participante de Filipinas</w:t>
            </w:r>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Aumentar el conjunto de expertos de P.I. en la región que puedan emprender labores de enseñanza e investigación en cuestiones de P.I.</w:t>
            </w:r>
          </w:p>
        </w:tc>
      </w:tr>
      <w:tr w:rsidR="004E456B" w:rsidRPr="008466AF" w:rsidTr="00027A9C">
        <w:tblPrEx>
          <w:tblLook w:val="04A0" w:firstRow="1" w:lastRow="0" w:firstColumn="1" w:lastColumn="0" w:noHBand="0" w:noVBand="1"/>
        </w:tblPrEx>
        <w:trPr>
          <w:cantSplit/>
          <w:trHeight w:val="61"/>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Taller nacional sobre marcas tridimensionales</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2 de agosto de 2016</w:t>
            </w:r>
          </w:p>
        </w:tc>
        <w:tc>
          <w:tcPr>
            <w:tcW w:w="1985"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Indonesia/ 50 participantes locales</w:t>
            </w:r>
          </w:p>
        </w:tc>
        <w:tc>
          <w:tcPr>
            <w:tcW w:w="4398" w:type="dxa"/>
          </w:tcPr>
          <w:p w:rsidR="004E456B" w:rsidRPr="009703BB" w:rsidRDefault="004E456B" w:rsidP="00027A9C">
            <w:pPr>
              <w:tabs>
                <w:tab w:val="left" w:pos="403"/>
              </w:tabs>
              <w:spacing w:before="120"/>
              <w:rPr>
                <w:rFonts w:eastAsiaTheme="minorEastAsia" w:cs="Times New Roman"/>
                <w:sz w:val="16"/>
                <w:szCs w:val="16"/>
                <w:lang w:eastAsia="ko-KR"/>
              </w:rPr>
            </w:pPr>
            <w:r>
              <w:rPr>
                <w:rFonts w:eastAsia="Arial"/>
                <w:color w:val="000000"/>
                <w:sz w:val="16"/>
                <w:szCs w:val="16"/>
                <w:bdr w:val="nil"/>
                <w:lang w:eastAsia="ja-JP"/>
              </w:rPr>
              <w:t xml:space="preserve">To: </w:t>
            </w:r>
            <w:r>
              <w:rPr>
                <w:rFonts w:eastAsia="Arial"/>
                <w:sz w:val="16"/>
                <w:szCs w:val="16"/>
                <w:bdr w:val="nil"/>
                <w:lang w:eastAsia="ja-JP"/>
              </w:rPr>
              <w:t>i) Ampliar los conocimientos sobre las marcas tridimensionales; ii) compartir las experiencias recabadas en el Japón; y iii) aplicar los conocimientos y experiencias adquiridos en el lugar de trabajo.</w:t>
            </w:r>
          </w:p>
        </w:tc>
      </w:tr>
      <w:tr w:rsidR="004E456B" w:rsidRPr="008466AF" w:rsidTr="00027A9C">
        <w:tblPrEx>
          <w:tblLook w:val="04A0" w:firstRow="1" w:lastRow="0" w:firstColumn="1" w:lastColumn="0" w:noHBand="0" w:noVBand="1"/>
        </w:tblPrEx>
        <w:trPr>
          <w:cantSplit/>
          <w:trHeight w:val="61"/>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 xml:space="preserve">Facilitar especialistas en P.I. para cursos de formación  </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29 de agosto a 2 de septiembre de 2016</w:t>
            </w:r>
          </w:p>
        </w:tc>
        <w:tc>
          <w:tcPr>
            <w:tcW w:w="1985"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Japón</w:t>
            </w:r>
          </w:p>
        </w:tc>
        <w:tc>
          <w:tcPr>
            <w:tcW w:w="4398" w:type="dxa"/>
          </w:tcPr>
          <w:p w:rsidR="004E456B" w:rsidRPr="009703BB" w:rsidRDefault="004E456B" w:rsidP="00027A9C">
            <w:pPr>
              <w:tabs>
                <w:tab w:val="left" w:pos="403"/>
              </w:tabs>
              <w:spacing w:before="120" w:after="120"/>
              <w:rPr>
                <w:rFonts w:eastAsiaTheme="minorEastAsia"/>
                <w:color w:val="000000" w:themeColor="text1"/>
                <w:sz w:val="16"/>
                <w:szCs w:val="16"/>
                <w:lang w:eastAsia="ja-JP"/>
              </w:rPr>
            </w:pPr>
            <w:r>
              <w:rPr>
                <w:rFonts w:eastAsia="Arial"/>
                <w:color w:val="000000"/>
                <w:sz w:val="16"/>
                <w:szCs w:val="16"/>
                <w:bdr w:val="nil"/>
                <w:lang w:eastAsia="ja-JP"/>
              </w:rPr>
              <w:t>Mejorar i) los conocimientos del marco internacional de P.I. de los participantes del Seminario de la Asociación japonesa de Universidades para la educación e investigación en materia de propiedad intelectual; y ii) los conocimientos del marco internacional de P.I. de los participantes del Curso de verano sobre la propiedad intelectual del Instituto de Tecnología de Osaka de 2016.</w:t>
            </w:r>
          </w:p>
        </w:tc>
      </w:tr>
      <w:tr w:rsidR="004E456B" w:rsidRPr="008466AF" w:rsidTr="00027A9C">
        <w:tblPrEx>
          <w:tblLook w:val="04A0" w:firstRow="1" w:lastRow="0" w:firstColumn="1" w:lastColumn="0" w:noHBand="0" w:noVBand="1"/>
        </w:tblPrEx>
        <w:trPr>
          <w:cantSplit/>
          <w:trHeight w:val="61"/>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Taller regional sobre el uso de los productos del PCT</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13 a 14 de septiembre de 2016</w:t>
            </w:r>
          </w:p>
        </w:tc>
        <w:tc>
          <w:tcPr>
            <w:tcW w:w="1985"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Japón/ 19 participantes, de Costa Rica, Filipinas, Indonesia, Malasia, México, Perú, República Democrática Popular Lao, Tailandia, Viet Nam</w:t>
            </w:r>
          </w:p>
        </w:tc>
        <w:tc>
          <w:tcPr>
            <w:tcW w:w="4398" w:type="dxa"/>
          </w:tcPr>
          <w:p w:rsidR="004E456B" w:rsidRPr="009703BB" w:rsidRDefault="004E456B" w:rsidP="00027A9C">
            <w:pPr>
              <w:autoSpaceDE w:val="0"/>
              <w:autoSpaceDN w:val="0"/>
              <w:adjustRightInd w:val="0"/>
              <w:spacing w:before="120" w:after="120"/>
              <w:rPr>
                <w:rFonts w:eastAsia="MS Mincho"/>
                <w:color w:val="000000"/>
                <w:sz w:val="16"/>
                <w:szCs w:val="16"/>
                <w:lang w:eastAsia="ja-JP"/>
              </w:rPr>
            </w:pPr>
            <w:r>
              <w:rPr>
                <w:rFonts w:eastAsia="Arial"/>
                <w:sz w:val="16"/>
                <w:szCs w:val="16"/>
                <w:bdr w:val="nil"/>
              </w:rPr>
              <w:t>Fortalecer y mejorar las capacidades de examen de patentes en las oficinas de P.I. en países emergentes y en desarrollo que no han sido designados en calidad de Administraciones encargadas de la búsqueda internacional en el marco del PCT.</w:t>
            </w:r>
          </w:p>
          <w:p w:rsidR="004E456B" w:rsidRPr="009703BB" w:rsidRDefault="004E456B" w:rsidP="00027A9C">
            <w:pPr>
              <w:autoSpaceDE w:val="0"/>
              <w:autoSpaceDN w:val="0"/>
              <w:adjustRightInd w:val="0"/>
              <w:spacing w:before="120" w:after="120"/>
              <w:rPr>
                <w:rFonts w:eastAsia="MS Mincho"/>
                <w:color w:val="000000"/>
                <w:sz w:val="16"/>
                <w:szCs w:val="16"/>
                <w:lang w:eastAsia="ja-JP"/>
              </w:rPr>
            </w:pPr>
            <w:r>
              <w:rPr>
                <w:rFonts w:eastAsia="Arial"/>
                <w:color w:val="000000"/>
                <w:sz w:val="16"/>
                <w:szCs w:val="16"/>
                <w:bdr w:val="nil"/>
                <w:lang w:eastAsia="ja-JP"/>
              </w:rPr>
              <w:t>i) Ampliar los conocimientos necesarios para llevar a cabo el examen de patentes de manera oportuna y eficiente utilizando los productos del PCT; ii) impartir una formación técnica práctica para aumentar las competencias con el fin de acceder a las bases de datos con eficacia cuando se desee obtener productos del PCT, como los Informes de búsqueda internacional y los Informes de examen preliminar internacional; y iii) difundir los conocimientos adquiridos en la oficina de P.I. de cada participante</w:t>
            </w:r>
          </w:p>
        </w:tc>
      </w:tr>
      <w:tr w:rsidR="004E456B" w:rsidRPr="008466AF" w:rsidTr="00027A9C">
        <w:trPr>
          <w:cantSplit/>
          <w:trHeight w:val="315"/>
        </w:trPr>
        <w:tc>
          <w:tcPr>
            <w:tcW w:w="9360" w:type="dxa"/>
            <w:gridSpan w:val="4"/>
            <w:shd w:val="clear" w:color="auto" w:fill="C6D9F1" w:themeFill="text2" w:themeFillTint="33"/>
          </w:tcPr>
          <w:p w:rsidR="004E456B" w:rsidRPr="00CB2A8B" w:rsidRDefault="004E456B" w:rsidP="00027A9C">
            <w:pPr>
              <w:keepNext/>
              <w:keepLines/>
              <w:tabs>
                <w:tab w:val="left" w:pos="1740"/>
              </w:tabs>
              <w:spacing w:before="120" w:after="120"/>
              <w:ind w:left="1740" w:hanging="1740"/>
              <w:rPr>
                <w:rFonts w:eastAsiaTheme="minorEastAsia"/>
                <w:sz w:val="16"/>
                <w:szCs w:val="16"/>
              </w:rPr>
            </w:pPr>
            <w:r w:rsidRPr="00CB2A8B">
              <w:rPr>
                <w:rFonts w:eastAsia="Arial"/>
                <w:b/>
                <w:bCs/>
                <w:sz w:val="16"/>
                <w:szCs w:val="16"/>
                <w:bdr w:val="nil"/>
              </w:rPr>
              <w:lastRenderedPageBreak/>
              <w:t>RESULTADO:</w:t>
            </w:r>
            <w:r w:rsidRPr="00CB2A8B">
              <w:rPr>
                <w:rFonts w:eastAsia="Arial"/>
                <w:b/>
                <w:bCs/>
                <w:sz w:val="16"/>
                <w:szCs w:val="16"/>
                <w:bdr w:val="nil"/>
              </w:rPr>
              <w:tab/>
            </w:r>
            <w:r w:rsidRPr="00CB2A8B">
              <w:rPr>
                <w:rFonts w:eastAsia="Arial"/>
                <w:sz w:val="16"/>
                <w:szCs w:val="16"/>
                <w:bdr w:val="nil"/>
              </w:rPr>
              <w:t>III.6  Mayor capacidad de las pymes, las universidades y las instituciones de investigación para utilizar eficazmente la P.I. con el fin de apoyar la innovación</w:t>
            </w:r>
          </w:p>
        </w:tc>
      </w:tr>
      <w:tr w:rsidR="004E456B" w:rsidTr="00027A9C">
        <w:trPr>
          <w:cantSplit/>
          <w:trHeight w:val="402"/>
        </w:trPr>
        <w:tc>
          <w:tcPr>
            <w:tcW w:w="1843" w:type="dxa"/>
            <w:vAlign w:val="center"/>
          </w:tcPr>
          <w:p w:rsidR="004E456B" w:rsidRPr="00CB2A8B" w:rsidRDefault="004E456B" w:rsidP="00027A9C">
            <w:pPr>
              <w:keepNext/>
              <w:keepLines/>
              <w:spacing w:before="120"/>
              <w:rPr>
                <w:rFonts w:eastAsiaTheme="minorEastAsia"/>
                <w:b/>
                <w:bCs/>
                <w:sz w:val="16"/>
                <w:szCs w:val="16"/>
              </w:rPr>
            </w:pPr>
            <w:r w:rsidRPr="00CB2A8B">
              <w:rPr>
                <w:rFonts w:eastAsia="Arial"/>
                <w:b/>
                <w:bCs/>
                <w:sz w:val="16"/>
                <w:szCs w:val="16"/>
                <w:bdr w:val="nil"/>
              </w:rPr>
              <w:t>Actividad</w:t>
            </w:r>
          </w:p>
        </w:tc>
        <w:tc>
          <w:tcPr>
            <w:tcW w:w="1134" w:type="dxa"/>
            <w:vAlign w:val="center"/>
          </w:tcPr>
          <w:p w:rsidR="004E456B" w:rsidRPr="00CB2A8B" w:rsidRDefault="004E456B" w:rsidP="00027A9C">
            <w:pPr>
              <w:keepNext/>
              <w:keepLines/>
              <w:spacing w:before="120"/>
              <w:rPr>
                <w:rFonts w:eastAsiaTheme="minorEastAsia"/>
                <w:sz w:val="16"/>
                <w:szCs w:val="16"/>
              </w:rPr>
            </w:pPr>
            <w:r w:rsidRPr="00CB2A8B">
              <w:rPr>
                <w:rFonts w:eastAsia="Arial"/>
                <w:b/>
                <w:bCs/>
                <w:sz w:val="16"/>
                <w:szCs w:val="16"/>
                <w:bdr w:val="nil"/>
              </w:rPr>
              <w:t>Fecha</w:t>
            </w:r>
          </w:p>
        </w:tc>
        <w:tc>
          <w:tcPr>
            <w:tcW w:w="1985" w:type="dxa"/>
            <w:vAlign w:val="center"/>
          </w:tcPr>
          <w:p w:rsidR="004E456B" w:rsidRPr="00CB2A8B" w:rsidRDefault="004E456B" w:rsidP="00027A9C">
            <w:pPr>
              <w:keepNext/>
              <w:keepLines/>
              <w:spacing w:before="120"/>
              <w:rPr>
                <w:rFonts w:eastAsiaTheme="minorEastAsia"/>
                <w:sz w:val="16"/>
                <w:szCs w:val="16"/>
              </w:rPr>
            </w:pPr>
            <w:r w:rsidRPr="00CB2A8B">
              <w:rPr>
                <w:rFonts w:eastAsia="Arial"/>
                <w:b/>
                <w:bCs/>
                <w:sz w:val="16"/>
                <w:szCs w:val="16"/>
                <w:bdr w:val="nil"/>
              </w:rPr>
              <w:t>País anfitrión / Beneficiarios</w:t>
            </w:r>
          </w:p>
        </w:tc>
        <w:tc>
          <w:tcPr>
            <w:tcW w:w="4398" w:type="dxa"/>
            <w:vAlign w:val="center"/>
          </w:tcPr>
          <w:p w:rsidR="004E456B" w:rsidRPr="00CB2A8B" w:rsidRDefault="004E456B" w:rsidP="00027A9C">
            <w:pPr>
              <w:keepNext/>
              <w:keepLines/>
              <w:spacing w:before="120"/>
              <w:rPr>
                <w:rFonts w:eastAsiaTheme="minorEastAsia"/>
                <w:sz w:val="16"/>
                <w:szCs w:val="16"/>
              </w:rPr>
            </w:pPr>
            <w:r w:rsidRPr="00CB2A8B">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843" w:type="dxa"/>
          </w:tcPr>
          <w:p w:rsidR="004E456B" w:rsidRPr="00CB2A8B" w:rsidRDefault="004E456B" w:rsidP="00027A9C">
            <w:pPr>
              <w:autoSpaceDE w:val="0"/>
              <w:autoSpaceDN w:val="0"/>
              <w:adjustRightInd w:val="0"/>
              <w:spacing w:before="120" w:after="120"/>
              <w:rPr>
                <w:rFonts w:eastAsiaTheme="minorEastAsia"/>
                <w:sz w:val="16"/>
                <w:szCs w:val="16"/>
                <w:lang w:eastAsia="ja-JP"/>
              </w:rPr>
            </w:pPr>
            <w:r w:rsidRPr="00CB2A8B">
              <w:rPr>
                <w:rFonts w:eastAsia="Arial"/>
                <w:sz w:val="16"/>
                <w:szCs w:val="16"/>
                <w:bdr w:val="nil"/>
                <w:lang w:eastAsia="ja-JP"/>
              </w:rPr>
              <w:t xml:space="preserve">Iniciativas </w:t>
            </w:r>
            <w:r w:rsidRPr="00CB2A8B">
              <w:rPr>
                <w:rFonts w:eastAsia="Arial"/>
                <w:i/>
                <w:iCs/>
                <w:sz w:val="16"/>
                <w:szCs w:val="16"/>
                <w:bdr w:val="nil"/>
                <w:lang w:eastAsia="ja-JP"/>
              </w:rPr>
              <w:t>IP Advantage</w:t>
            </w:r>
          </w:p>
        </w:tc>
        <w:tc>
          <w:tcPr>
            <w:tcW w:w="1134" w:type="dxa"/>
          </w:tcPr>
          <w:p w:rsidR="004E456B" w:rsidRPr="00CB2A8B" w:rsidRDefault="004E456B" w:rsidP="00027A9C">
            <w:pPr>
              <w:autoSpaceDE w:val="0"/>
              <w:autoSpaceDN w:val="0"/>
              <w:adjustRightInd w:val="0"/>
              <w:spacing w:before="120" w:after="120"/>
              <w:rPr>
                <w:rFonts w:eastAsiaTheme="minorEastAsia"/>
                <w:sz w:val="16"/>
                <w:szCs w:val="16"/>
              </w:rPr>
            </w:pPr>
            <w:r w:rsidRPr="00CB2A8B">
              <w:rPr>
                <w:rFonts w:eastAsia="Arial"/>
                <w:sz w:val="16"/>
                <w:szCs w:val="16"/>
                <w:bdr w:val="nil"/>
              </w:rPr>
              <w:t>Enero a diciembre de 2016</w:t>
            </w:r>
          </w:p>
        </w:tc>
        <w:tc>
          <w:tcPr>
            <w:tcW w:w="1985" w:type="dxa"/>
          </w:tcPr>
          <w:p w:rsidR="004E456B" w:rsidRPr="00CB2A8B" w:rsidRDefault="007744A6" w:rsidP="00027A9C">
            <w:pPr>
              <w:autoSpaceDE w:val="0"/>
              <w:autoSpaceDN w:val="0"/>
              <w:adjustRightInd w:val="0"/>
              <w:spacing w:before="120" w:after="120"/>
              <w:rPr>
                <w:rFonts w:eastAsiaTheme="minorEastAsia"/>
                <w:sz w:val="16"/>
                <w:szCs w:val="16"/>
                <w:lang w:eastAsia="ja-JP"/>
              </w:rPr>
            </w:pPr>
            <w:r>
              <w:rPr>
                <w:rFonts w:eastAsia="Arial"/>
                <w:sz w:val="16"/>
                <w:szCs w:val="16"/>
                <w:bdr w:val="nil"/>
                <w:lang w:eastAsia="ja-JP"/>
              </w:rPr>
              <w:t xml:space="preserve">OOJ y sede de la OMPI/ </w:t>
            </w:r>
            <w:r w:rsidR="004E456B" w:rsidRPr="00CB2A8B">
              <w:rPr>
                <w:rFonts w:eastAsia="Arial"/>
                <w:sz w:val="16"/>
                <w:szCs w:val="16"/>
                <w:bdr w:val="nil"/>
                <w:lang w:eastAsia="ja-JP"/>
              </w:rPr>
              <w:t>Todos los países</w:t>
            </w:r>
          </w:p>
        </w:tc>
        <w:tc>
          <w:tcPr>
            <w:tcW w:w="4398" w:type="dxa"/>
          </w:tcPr>
          <w:p w:rsidR="004E456B" w:rsidRPr="00CB2A8B" w:rsidRDefault="007744A6" w:rsidP="007744A6">
            <w:pPr>
              <w:autoSpaceDE w:val="0"/>
              <w:autoSpaceDN w:val="0"/>
              <w:adjustRightInd w:val="0"/>
              <w:spacing w:before="120" w:after="120"/>
              <w:rPr>
                <w:rFonts w:eastAsiaTheme="minorEastAsia"/>
                <w:sz w:val="16"/>
                <w:szCs w:val="16"/>
                <w:lang w:eastAsia="ja-JP"/>
              </w:rPr>
            </w:pPr>
            <w:r>
              <w:rPr>
                <w:rFonts w:eastAsia="Arial"/>
                <w:sz w:val="16"/>
                <w:szCs w:val="16"/>
                <w:bdr w:val="nil"/>
                <w:lang w:eastAsia="ja-JP"/>
              </w:rPr>
              <w:t>La Oficina de la OMPI en el Japón (OOJ) añadió</w:t>
            </w:r>
            <w:r w:rsidR="004E456B" w:rsidRPr="00CB2A8B">
              <w:rPr>
                <w:rFonts w:eastAsia="Arial"/>
                <w:sz w:val="16"/>
                <w:szCs w:val="16"/>
                <w:bdr w:val="nil"/>
                <w:lang w:eastAsia="ja-JP"/>
              </w:rPr>
              <w:t xml:space="preserve"> cuatro estudios de casos en la base de datos </w:t>
            </w:r>
            <w:r w:rsidR="004E456B" w:rsidRPr="00CB2A8B">
              <w:rPr>
                <w:rFonts w:eastAsia="Arial"/>
                <w:i/>
                <w:sz w:val="16"/>
                <w:szCs w:val="16"/>
                <w:bdr w:val="nil"/>
                <w:lang w:eastAsia="ja-JP"/>
              </w:rPr>
              <w:t xml:space="preserve">IP </w:t>
            </w:r>
            <w:proofErr w:type="spellStart"/>
            <w:r w:rsidR="004E456B" w:rsidRPr="00CB2A8B">
              <w:rPr>
                <w:rFonts w:eastAsia="Arial"/>
                <w:i/>
                <w:sz w:val="16"/>
                <w:szCs w:val="16"/>
                <w:bdr w:val="nil"/>
                <w:lang w:eastAsia="ja-JP"/>
              </w:rPr>
              <w:t>Advantage</w:t>
            </w:r>
            <w:proofErr w:type="spellEnd"/>
            <w:r>
              <w:rPr>
                <w:rFonts w:eastAsia="Arial"/>
                <w:sz w:val="16"/>
                <w:szCs w:val="16"/>
                <w:bdr w:val="nil"/>
                <w:lang w:eastAsia="ja-JP"/>
              </w:rPr>
              <w:t>,</w:t>
            </w:r>
            <w:r w:rsidR="004E456B" w:rsidRPr="00CB2A8B">
              <w:rPr>
                <w:rFonts w:eastAsia="Arial"/>
                <w:sz w:val="16"/>
                <w:szCs w:val="16"/>
                <w:bdr w:val="nil"/>
                <w:lang w:eastAsia="ja-JP"/>
              </w:rPr>
              <w:t xml:space="preserve"> y </w:t>
            </w:r>
            <w:r>
              <w:rPr>
                <w:rFonts w:eastAsia="Arial"/>
                <w:sz w:val="16"/>
                <w:szCs w:val="16"/>
                <w:bdr w:val="nil"/>
                <w:lang w:eastAsia="ja-JP"/>
              </w:rPr>
              <w:t>la División de Comunicaciones y la OOJ produjeron</w:t>
            </w:r>
            <w:r w:rsidR="004E456B" w:rsidRPr="00CB2A8B">
              <w:rPr>
                <w:rFonts w:eastAsia="Arial"/>
                <w:sz w:val="16"/>
                <w:szCs w:val="16"/>
                <w:bdr w:val="nil"/>
                <w:lang w:eastAsia="ja-JP"/>
              </w:rPr>
              <w:t xml:space="preserve"> cuatro videoclips para dar a conocer mejor el uso del sistema de P.I. para la innovación.</w:t>
            </w:r>
          </w:p>
        </w:tc>
      </w:tr>
      <w:tr w:rsidR="004E456B" w:rsidRPr="008466AF" w:rsidTr="00027A9C">
        <w:trPr>
          <w:cantSplit/>
          <w:trHeight w:val="315"/>
        </w:trPr>
        <w:tc>
          <w:tcPr>
            <w:tcW w:w="9360" w:type="dxa"/>
            <w:gridSpan w:val="4"/>
            <w:shd w:val="clear" w:color="auto" w:fill="C6D9F1" w:themeFill="text2" w:themeFillTint="33"/>
          </w:tcPr>
          <w:p w:rsidR="004E456B" w:rsidRPr="00976C64" w:rsidRDefault="004E456B" w:rsidP="00027A9C">
            <w:pPr>
              <w:tabs>
                <w:tab w:val="left" w:pos="1740"/>
              </w:tabs>
              <w:spacing w:before="120" w:after="120"/>
              <w:ind w:left="1740" w:hanging="1740"/>
              <w:rPr>
                <w:rFonts w:eastAsiaTheme="minorEastAsia"/>
                <w:sz w:val="16"/>
                <w:szCs w:val="16"/>
              </w:rPr>
            </w:pPr>
            <w:r w:rsidRPr="00976C64">
              <w:rPr>
                <w:rFonts w:eastAsia="Arial"/>
                <w:b/>
                <w:bCs/>
                <w:sz w:val="16"/>
                <w:szCs w:val="16"/>
                <w:bdr w:val="nil"/>
              </w:rPr>
              <w:t>RESULTADO:</w:t>
            </w:r>
            <w:r w:rsidRPr="00976C64">
              <w:rPr>
                <w:rFonts w:eastAsia="Arial"/>
                <w:b/>
                <w:bCs/>
                <w:sz w:val="16"/>
                <w:szCs w:val="16"/>
                <w:bdr w:val="nil"/>
              </w:rPr>
              <w:tab/>
            </w:r>
            <w:r w:rsidRPr="00976C64">
              <w:rPr>
                <w:rFonts w:eastAsia="Arial"/>
                <w:sz w:val="16"/>
                <w:szCs w:val="16"/>
                <w:bdr w:val="nil"/>
              </w:rPr>
              <w:t>IV.2  Mejora del acceso y uso de información de P.I. por parte de instituciones de P.I. y el público para fomentar la innovación y la creatividad</w:t>
            </w:r>
          </w:p>
        </w:tc>
      </w:tr>
      <w:tr w:rsidR="004E456B" w:rsidRPr="00976C64" w:rsidTr="00027A9C">
        <w:trPr>
          <w:cantSplit/>
          <w:trHeight w:val="402"/>
        </w:trPr>
        <w:tc>
          <w:tcPr>
            <w:tcW w:w="1843" w:type="dxa"/>
            <w:vAlign w:val="center"/>
          </w:tcPr>
          <w:p w:rsidR="004E456B" w:rsidRPr="00976C64" w:rsidRDefault="004E456B" w:rsidP="00027A9C">
            <w:pPr>
              <w:spacing w:before="120"/>
              <w:rPr>
                <w:rFonts w:eastAsiaTheme="minorEastAsia"/>
                <w:b/>
                <w:bCs/>
                <w:sz w:val="16"/>
                <w:szCs w:val="16"/>
              </w:rPr>
            </w:pPr>
            <w:r w:rsidRPr="00976C64">
              <w:rPr>
                <w:rFonts w:eastAsia="Arial"/>
                <w:b/>
                <w:bCs/>
                <w:sz w:val="16"/>
                <w:szCs w:val="16"/>
                <w:bdr w:val="nil"/>
              </w:rPr>
              <w:t>Actividad</w:t>
            </w:r>
          </w:p>
        </w:tc>
        <w:tc>
          <w:tcPr>
            <w:tcW w:w="1134" w:type="dxa"/>
            <w:vAlign w:val="center"/>
          </w:tcPr>
          <w:p w:rsidR="004E456B" w:rsidRPr="00976C64" w:rsidRDefault="004E456B" w:rsidP="00027A9C">
            <w:pPr>
              <w:spacing w:before="120"/>
              <w:rPr>
                <w:rFonts w:eastAsiaTheme="minorEastAsia"/>
                <w:sz w:val="16"/>
                <w:szCs w:val="16"/>
              </w:rPr>
            </w:pPr>
            <w:r w:rsidRPr="00976C64">
              <w:rPr>
                <w:rFonts w:eastAsia="Arial"/>
                <w:b/>
                <w:bCs/>
                <w:sz w:val="16"/>
                <w:szCs w:val="16"/>
                <w:bdr w:val="nil"/>
              </w:rPr>
              <w:t>Fecha</w:t>
            </w:r>
          </w:p>
        </w:tc>
        <w:tc>
          <w:tcPr>
            <w:tcW w:w="1985" w:type="dxa"/>
            <w:vAlign w:val="center"/>
          </w:tcPr>
          <w:p w:rsidR="004E456B" w:rsidRPr="00976C64" w:rsidRDefault="004E456B" w:rsidP="00027A9C">
            <w:pPr>
              <w:spacing w:before="120"/>
              <w:rPr>
                <w:rFonts w:eastAsiaTheme="minorEastAsia"/>
                <w:sz w:val="16"/>
                <w:szCs w:val="16"/>
              </w:rPr>
            </w:pPr>
            <w:r w:rsidRPr="00976C64">
              <w:rPr>
                <w:rFonts w:eastAsia="Arial"/>
                <w:b/>
                <w:bCs/>
                <w:sz w:val="16"/>
                <w:szCs w:val="16"/>
                <w:bdr w:val="nil"/>
              </w:rPr>
              <w:t>País anfitrión / Beneficiarios</w:t>
            </w:r>
          </w:p>
        </w:tc>
        <w:tc>
          <w:tcPr>
            <w:tcW w:w="4398" w:type="dxa"/>
            <w:vAlign w:val="center"/>
          </w:tcPr>
          <w:p w:rsidR="004E456B" w:rsidRPr="00976C64" w:rsidRDefault="004E456B" w:rsidP="00027A9C">
            <w:pPr>
              <w:spacing w:before="120"/>
              <w:rPr>
                <w:rFonts w:eastAsiaTheme="minorEastAsia"/>
                <w:sz w:val="16"/>
                <w:szCs w:val="16"/>
              </w:rPr>
            </w:pPr>
            <w:r w:rsidRPr="00976C64">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Crear un entorno propicio para la propiedad intelectual con el fin de aumentar la capacidad de innovación y creatividad</w:t>
            </w:r>
          </w:p>
        </w:tc>
        <w:tc>
          <w:tcPr>
            <w:tcW w:w="1134"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Febrero a diciembre de 2016</w:t>
            </w:r>
          </w:p>
        </w:tc>
        <w:tc>
          <w:tcPr>
            <w:tcW w:w="1985"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Malasia, Filipinas, Tailandia, Sri Lanka</w:t>
            </w:r>
          </w:p>
        </w:tc>
        <w:tc>
          <w:tcPr>
            <w:tcW w:w="4398" w:type="dxa"/>
          </w:tcPr>
          <w:p w:rsidR="004E456B" w:rsidRPr="00976C64" w:rsidRDefault="004E456B" w:rsidP="00027A9C">
            <w:pPr>
              <w:tabs>
                <w:tab w:val="left" w:pos="0"/>
                <w:tab w:val="left" w:pos="335"/>
              </w:tabs>
              <w:spacing w:before="120"/>
              <w:rPr>
                <w:rFonts w:eastAsiaTheme="minorEastAsia"/>
                <w:sz w:val="16"/>
                <w:szCs w:val="16"/>
                <w:lang w:eastAsia="ja-JP"/>
              </w:rPr>
            </w:pPr>
            <w:r w:rsidRPr="00976C64">
              <w:rPr>
                <w:rFonts w:eastAsia="Arial"/>
                <w:sz w:val="16"/>
                <w:szCs w:val="16"/>
                <w:bdr w:val="nil"/>
                <w:lang w:eastAsia="ja-JP"/>
              </w:rPr>
              <w:t>i) Mejorar la comprensión de la capacidad existente y el potencial de las instituciones de Filipinas y Tailandia para emprender tareas de investigación, absorción, adaptación, innovación y comercialización de la tecnología; ii) identificar las instituciones de los países beneficiarios que podrían formar parte del entorno propicio para la P.I. con objeto de desarrollar la tecnología y emprender otras actividades conexas; iii) alentar el interés de los participantes para que creen redes comunitarias destinadas al desarrollo de la tecnología y otras actividades conexas; y iv) debatir una estrategia adecuada y un posible camino a seguir con las partes interesadas para establecer un entorno propicio para la P.I. teniendo en cuenta las estructuras, los sistemas y el entorno general existentes en el país.</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Suministro de material de referencia sobre P.I.</w:t>
            </w:r>
          </w:p>
        </w:tc>
        <w:tc>
          <w:tcPr>
            <w:tcW w:w="1134"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3 y 4 de marzo de 2016</w:t>
            </w:r>
          </w:p>
        </w:tc>
        <w:tc>
          <w:tcPr>
            <w:tcW w:w="1985" w:type="dxa"/>
          </w:tcPr>
          <w:p w:rsidR="004E456B" w:rsidRPr="002F663B" w:rsidRDefault="004E456B" w:rsidP="00027A9C">
            <w:pPr>
              <w:autoSpaceDE w:val="0"/>
              <w:autoSpaceDN w:val="0"/>
              <w:adjustRightInd w:val="0"/>
              <w:spacing w:before="120" w:after="120"/>
              <w:rPr>
                <w:rFonts w:eastAsiaTheme="minorEastAsia"/>
                <w:sz w:val="16"/>
                <w:szCs w:val="16"/>
                <w:lang w:val="en-US" w:eastAsia="ja-JP"/>
              </w:rPr>
            </w:pPr>
            <w:r w:rsidRPr="002F663B">
              <w:rPr>
                <w:rFonts w:eastAsia="Arial"/>
                <w:sz w:val="16"/>
                <w:szCs w:val="16"/>
                <w:bdr w:val="nil"/>
                <w:lang w:val="en-US" w:eastAsia="ja-JP"/>
              </w:rPr>
              <w:t xml:space="preserve">Filipinas/ Filipinas, Viet Nam, </w:t>
            </w:r>
            <w:proofErr w:type="spellStart"/>
            <w:r w:rsidRPr="00920C62">
              <w:rPr>
                <w:rFonts w:eastAsia="Arial"/>
                <w:sz w:val="16"/>
                <w:szCs w:val="16"/>
                <w:bdr w:val="nil"/>
                <w:lang w:val="en-US" w:eastAsia="ja-JP"/>
              </w:rPr>
              <w:t>Tailandia</w:t>
            </w:r>
            <w:proofErr w:type="spellEnd"/>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sz w:val="16"/>
                <w:szCs w:val="16"/>
                <w:bdr w:val="nil"/>
                <w:lang w:eastAsia="ja-JP"/>
              </w:rPr>
              <w:t xml:space="preserve">Se distribuyeron 25 Manuales sobre P.I. entre los participantes del </w:t>
            </w:r>
            <w:r>
              <w:rPr>
                <w:rFonts w:eastAsia="Arial"/>
                <w:color w:val="000000"/>
                <w:sz w:val="16"/>
                <w:szCs w:val="16"/>
                <w:bdr w:val="nil"/>
                <w:lang w:eastAsia="ja-JP"/>
              </w:rPr>
              <w:t xml:space="preserve">taller regional sobre la gestión de la P.I. en relación con WIPO Re:Search y WIPO GREEN, para reforzar los conocimientos sobre la gestión de la P.I. y proporcionar a los participantes un </w:t>
            </w:r>
            <w:r>
              <w:rPr>
                <w:rFonts w:eastAsia="Arial"/>
                <w:sz w:val="16"/>
                <w:szCs w:val="16"/>
                <w:bdr w:val="nil"/>
                <w:lang w:eastAsia="ja-JP"/>
              </w:rPr>
              <w:t xml:space="preserve">material de referencia pertinente en materia de P.I. que puedan utilizar después de la formación. </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Visita de estudio a la Oficina de Propiedad Intelectual de Filipinas y a determinados centros de apoyo a la tecnología y la innovación (CATI) en Manila</w:t>
            </w:r>
          </w:p>
        </w:tc>
        <w:tc>
          <w:tcPr>
            <w:tcW w:w="1134"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25 a 29 de julio de 2016</w:t>
            </w:r>
          </w:p>
        </w:tc>
        <w:tc>
          <w:tcPr>
            <w:tcW w:w="1985"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Filipinas / Bangladesh, Bhután, India, Nepal, Mongolia, Pakistán, Sri Lanka</w:t>
            </w:r>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 xml:space="preserve">Contribuir al establecimiento de eficaces servicios de apoyo a la innovación, en particular, al uso y explotación de las bases de datos tecnológicas, ayudando al personal a recabar experiencias en materia de promoción y administración de centros de apoyo a la tecnología y la innovación (CATI). </w:t>
            </w:r>
          </w:p>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p>
        </w:tc>
      </w:tr>
      <w:tr w:rsidR="004E456B" w:rsidRPr="008466AF" w:rsidTr="00027A9C">
        <w:tblPrEx>
          <w:tblLook w:val="04A0" w:firstRow="1" w:lastRow="0" w:firstColumn="1" w:lastColumn="0" w:noHBand="0" w:noVBand="1"/>
        </w:tblPrEx>
        <w:trPr>
          <w:cantSplit/>
          <w:trHeight w:val="473"/>
        </w:trPr>
        <w:tc>
          <w:tcPr>
            <w:tcW w:w="1843"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Fortalecimiento de capacidad para la redacción de solicitudes de patentes, como apoyo eficaz a la innovación</w:t>
            </w:r>
          </w:p>
        </w:tc>
        <w:tc>
          <w:tcPr>
            <w:tcW w:w="1134"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22 a 26 de agosto de 2016</w:t>
            </w:r>
          </w:p>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21 a 25 de noviembre de 2016</w:t>
            </w:r>
          </w:p>
        </w:tc>
        <w:tc>
          <w:tcPr>
            <w:tcW w:w="1985"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 xml:space="preserve">Tailandia </w:t>
            </w:r>
          </w:p>
          <w:p w:rsidR="004E456B" w:rsidRPr="00976C64" w:rsidRDefault="004E456B" w:rsidP="00027A9C">
            <w:pPr>
              <w:autoSpaceDE w:val="0"/>
              <w:autoSpaceDN w:val="0"/>
              <w:adjustRightInd w:val="0"/>
              <w:spacing w:before="120"/>
              <w:rPr>
                <w:rFonts w:eastAsiaTheme="minorEastAsia"/>
                <w:sz w:val="16"/>
                <w:szCs w:val="16"/>
                <w:lang w:eastAsia="ja-JP"/>
              </w:rPr>
            </w:pPr>
            <w:r>
              <w:rPr>
                <w:rFonts w:eastAsiaTheme="minorEastAsia"/>
                <w:sz w:val="16"/>
                <w:szCs w:val="16"/>
                <w:lang w:eastAsia="ja-JP"/>
              </w:rPr>
              <w:br/>
            </w:r>
          </w:p>
          <w:p w:rsidR="004E456B" w:rsidRPr="00976C64" w:rsidRDefault="004E456B" w:rsidP="00027A9C">
            <w:pPr>
              <w:autoSpaceDE w:val="0"/>
              <w:autoSpaceDN w:val="0"/>
              <w:adjustRightInd w:val="0"/>
              <w:spacing w:after="120"/>
              <w:rPr>
                <w:rFonts w:eastAsiaTheme="minorEastAsia"/>
                <w:sz w:val="16"/>
                <w:szCs w:val="16"/>
                <w:lang w:eastAsia="ja-JP"/>
              </w:rPr>
            </w:pPr>
            <w:r w:rsidRPr="00976C64">
              <w:rPr>
                <w:rFonts w:eastAsia="Arial"/>
                <w:sz w:val="16"/>
                <w:szCs w:val="16"/>
                <w:bdr w:val="nil"/>
                <w:lang w:eastAsia="ja-JP"/>
              </w:rPr>
              <w:t xml:space="preserve">Filipinas </w:t>
            </w:r>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 xml:space="preserve">Mejorar las competencias en materia de redacción de patentes del personal de las instituciones seleccionadas de Tailandia y Filipinas. </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Taller regional sobre análisis de patentes</w:t>
            </w:r>
          </w:p>
        </w:tc>
        <w:tc>
          <w:tcPr>
            <w:tcW w:w="1134"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27 a 29 de septiembre de 2016</w:t>
            </w:r>
          </w:p>
        </w:tc>
        <w:tc>
          <w:tcPr>
            <w:tcW w:w="1985"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 xml:space="preserve">Malasia/ 11 participantes de Filipinas, Indonesia, Malasia, Singapur, Tailandia, Viet Nam </w:t>
            </w:r>
          </w:p>
        </w:tc>
        <w:tc>
          <w:tcPr>
            <w:tcW w:w="4398" w:type="dxa"/>
          </w:tcPr>
          <w:p w:rsidR="004E456B" w:rsidRPr="009703BB" w:rsidRDefault="004E456B" w:rsidP="00027A9C">
            <w:pPr>
              <w:rPr>
                <w:rFonts w:eastAsiaTheme="minorEastAsia"/>
                <w:sz w:val="16"/>
                <w:szCs w:val="16"/>
              </w:rPr>
            </w:pPr>
            <w:r>
              <w:rPr>
                <w:rFonts w:eastAsia="Arial"/>
                <w:sz w:val="16"/>
                <w:szCs w:val="16"/>
                <w:bdr w:val="nil"/>
                <w:lang w:eastAsia="ja-JP"/>
              </w:rPr>
              <w:t xml:space="preserve">Estar en condiciones de utilizar eficazmente las directrices de la OMPI para redactar informes sobre la actividad de patentamiento y el Manual de la OMPI sobre la utilización de herramientas de código abierto y gratuitas para redactar informes sobre la actividad de patentamiento. </w:t>
            </w:r>
          </w:p>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p>
        </w:tc>
      </w:tr>
      <w:tr w:rsidR="004E456B" w:rsidRPr="008466AF" w:rsidTr="00027A9C">
        <w:tblPrEx>
          <w:tblLook w:val="04A0" w:firstRow="1" w:lastRow="0" w:firstColumn="1" w:lastColumn="0" w:noHBand="0" w:noVBand="1"/>
        </w:tblPrEx>
        <w:trPr>
          <w:cantSplit/>
          <w:trHeight w:val="473"/>
        </w:trPr>
        <w:tc>
          <w:tcPr>
            <w:tcW w:w="1843" w:type="dxa"/>
          </w:tcPr>
          <w:p w:rsidR="004E456B" w:rsidRPr="00931F05" w:rsidRDefault="004E456B" w:rsidP="00027A9C">
            <w:pPr>
              <w:autoSpaceDE w:val="0"/>
              <w:autoSpaceDN w:val="0"/>
              <w:adjustRightInd w:val="0"/>
              <w:spacing w:before="120" w:after="120"/>
              <w:rPr>
                <w:rFonts w:eastAsiaTheme="minorEastAsia"/>
                <w:color w:val="000000"/>
                <w:sz w:val="16"/>
                <w:szCs w:val="16"/>
                <w:lang w:eastAsia="ja-JP"/>
              </w:rPr>
            </w:pPr>
            <w:r w:rsidRPr="00976C64">
              <w:rPr>
                <w:rFonts w:eastAsia="Arial"/>
                <w:sz w:val="16"/>
                <w:szCs w:val="16"/>
                <w:bdr w:val="nil"/>
                <w:lang w:eastAsia="ja-JP"/>
              </w:rPr>
              <w:t>Seminario regional sobre difusión y uso eficaz de la información sobre patentes</w:t>
            </w:r>
          </w:p>
        </w:tc>
        <w:tc>
          <w:tcPr>
            <w:tcW w:w="1134"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6 y 7 de diciembre de 2016</w:t>
            </w:r>
          </w:p>
        </w:tc>
        <w:tc>
          <w:tcPr>
            <w:tcW w:w="1985"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Japón/ 14 participantes de Brasil, Filipinas, India, Indonesia, Malasia, Tailandia, Viet Nam</w:t>
            </w:r>
          </w:p>
        </w:tc>
        <w:tc>
          <w:tcPr>
            <w:tcW w:w="4398" w:type="dxa"/>
          </w:tcPr>
          <w:p w:rsidR="004E456B" w:rsidRPr="009703BB" w:rsidRDefault="004E456B" w:rsidP="00027A9C">
            <w:pPr>
              <w:autoSpaceDE w:val="0"/>
              <w:autoSpaceDN w:val="0"/>
              <w:adjustRightInd w:val="0"/>
              <w:spacing w:before="120" w:after="120"/>
              <w:rPr>
                <w:rFonts w:eastAsiaTheme="minorEastAsia"/>
                <w:color w:val="000000"/>
                <w:sz w:val="16"/>
                <w:szCs w:val="16"/>
                <w:lang w:eastAsia="ja-JP"/>
              </w:rPr>
            </w:pPr>
            <w:r>
              <w:rPr>
                <w:rFonts w:eastAsia="Arial"/>
                <w:color w:val="000000"/>
                <w:sz w:val="16"/>
                <w:szCs w:val="16"/>
                <w:bdr w:val="nil"/>
                <w:lang w:eastAsia="ja-JP"/>
              </w:rPr>
              <w:t>i) Ampliar la información y los datos en materia de patentes  difundidos por las Oficinas de P.I. tanto en el país como en el extranjero; y ii) intercambiar información digital sobre patentes entre un mayor número de oficinas de P.I.</w:t>
            </w:r>
          </w:p>
        </w:tc>
      </w:tr>
      <w:tr w:rsidR="004E456B" w:rsidRPr="008466AF" w:rsidTr="00027A9C">
        <w:trPr>
          <w:cantSplit/>
          <w:trHeight w:val="315"/>
        </w:trPr>
        <w:tc>
          <w:tcPr>
            <w:tcW w:w="9360" w:type="dxa"/>
            <w:gridSpan w:val="4"/>
            <w:shd w:val="clear" w:color="auto" w:fill="C6D9F1" w:themeFill="text2" w:themeFillTint="33"/>
          </w:tcPr>
          <w:p w:rsidR="004E456B" w:rsidRPr="00976C64" w:rsidRDefault="004E456B" w:rsidP="00027A9C">
            <w:pPr>
              <w:keepNext/>
              <w:keepLines/>
              <w:tabs>
                <w:tab w:val="left" w:pos="1740"/>
              </w:tabs>
              <w:spacing w:before="120" w:after="120"/>
              <w:ind w:left="1740" w:hanging="1740"/>
              <w:rPr>
                <w:rFonts w:eastAsiaTheme="minorEastAsia"/>
                <w:sz w:val="16"/>
                <w:szCs w:val="16"/>
              </w:rPr>
            </w:pPr>
            <w:r w:rsidRPr="00976C64">
              <w:rPr>
                <w:rFonts w:eastAsia="Arial"/>
                <w:b/>
                <w:bCs/>
                <w:sz w:val="16"/>
                <w:szCs w:val="16"/>
                <w:bdr w:val="nil"/>
              </w:rPr>
              <w:lastRenderedPageBreak/>
              <w:t>RESULTADO:</w:t>
            </w:r>
            <w:r w:rsidRPr="00976C64">
              <w:rPr>
                <w:rFonts w:eastAsia="Arial"/>
                <w:b/>
                <w:bCs/>
                <w:sz w:val="16"/>
                <w:szCs w:val="16"/>
                <w:bdr w:val="nil"/>
              </w:rPr>
              <w:tab/>
            </w:r>
            <w:r w:rsidRPr="00976C64">
              <w:rPr>
                <w:rFonts w:eastAsia="Arial"/>
                <w:sz w:val="16"/>
                <w:szCs w:val="16"/>
                <w:bdr w:val="nil"/>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r>
      <w:tr w:rsidR="004E456B" w:rsidTr="00027A9C">
        <w:trPr>
          <w:cantSplit/>
          <w:trHeight w:val="402"/>
        </w:trPr>
        <w:tc>
          <w:tcPr>
            <w:tcW w:w="1843" w:type="dxa"/>
            <w:vAlign w:val="center"/>
          </w:tcPr>
          <w:p w:rsidR="004E456B" w:rsidRPr="00976C64" w:rsidRDefault="004E456B" w:rsidP="00027A9C">
            <w:pPr>
              <w:keepNext/>
              <w:keepLines/>
              <w:spacing w:before="120"/>
              <w:rPr>
                <w:rFonts w:eastAsiaTheme="minorEastAsia"/>
                <w:b/>
                <w:bCs/>
                <w:sz w:val="16"/>
                <w:szCs w:val="16"/>
              </w:rPr>
            </w:pPr>
            <w:r w:rsidRPr="00976C64">
              <w:rPr>
                <w:rFonts w:eastAsia="Arial"/>
                <w:b/>
                <w:bCs/>
                <w:sz w:val="16"/>
                <w:szCs w:val="16"/>
                <w:bdr w:val="nil"/>
              </w:rPr>
              <w:t>Actividad</w:t>
            </w:r>
          </w:p>
        </w:tc>
        <w:tc>
          <w:tcPr>
            <w:tcW w:w="1134" w:type="dxa"/>
            <w:vAlign w:val="center"/>
          </w:tcPr>
          <w:p w:rsidR="004E456B" w:rsidRPr="00976C64" w:rsidRDefault="004E456B" w:rsidP="00027A9C">
            <w:pPr>
              <w:keepNext/>
              <w:keepLines/>
              <w:spacing w:before="120"/>
              <w:rPr>
                <w:rFonts w:eastAsiaTheme="minorEastAsia"/>
                <w:sz w:val="16"/>
                <w:szCs w:val="16"/>
              </w:rPr>
            </w:pPr>
            <w:r w:rsidRPr="00976C64">
              <w:rPr>
                <w:rFonts w:eastAsia="Arial"/>
                <w:b/>
                <w:bCs/>
                <w:sz w:val="16"/>
                <w:szCs w:val="16"/>
                <w:bdr w:val="nil"/>
              </w:rPr>
              <w:t>Fecha</w:t>
            </w:r>
          </w:p>
        </w:tc>
        <w:tc>
          <w:tcPr>
            <w:tcW w:w="1985" w:type="dxa"/>
            <w:vAlign w:val="center"/>
          </w:tcPr>
          <w:p w:rsidR="004E456B" w:rsidRPr="00976C64" w:rsidRDefault="004E456B" w:rsidP="00027A9C">
            <w:pPr>
              <w:keepNext/>
              <w:keepLines/>
              <w:spacing w:before="120"/>
              <w:rPr>
                <w:rFonts w:eastAsiaTheme="minorEastAsia"/>
                <w:sz w:val="16"/>
                <w:szCs w:val="16"/>
              </w:rPr>
            </w:pPr>
            <w:r w:rsidRPr="00976C64">
              <w:rPr>
                <w:rFonts w:eastAsia="Arial"/>
                <w:b/>
                <w:bCs/>
                <w:sz w:val="16"/>
                <w:szCs w:val="16"/>
                <w:bdr w:val="nil"/>
              </w:rPr>
              <w:t>País anfitrión / Beneficiarios</w:t>
            </w:r>
          </w:p>
        </w:tc>
        <w:tc>
          <w:tcPr>
            <w:tcW w:w="4398" w:type="dxa"/>
            <w:vAlign w:val="center"/>
          </w:tcPr>
          <w:p w:rsidR="004E456B" w:rsidRPr="000B20DD" w:rsidRDefault="004E456B" w:rsidP="00027A9C">
            <w:pPr>
              <w:keepNext/>
              <w:keepLines/>
              <w:spacing w:before="120"/>
              <w:rPr>
                <w:rFonts w:eastAsiaTheme="minorEastAsia"/>
                <w:sz w:val="16"/>
                <w:szCs w:val="16"/>
              </w:rPr>
            </w:pPr>
            <w:r w:rsidRPr="00284B95">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1570"/>
        </w:trPr>
        <w:tc>
          <w:tcPr>
            <w:tcW w:w="1843"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Análisis de la situación de la Oficina de P.I.</w:t>
            </w:r>
          </w:p>
        </w:tc>
        <w:tc>
          <w:tcPr>
            <w:tcW w:w="1134"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Mayo a diciembre de 2016</w:t>
            </w:r>
          </w:p>
        </w:tc>
        <w:tc>
          <w:tcPr>
            <w:tcW w:w="1985" w:type="dxa"/>
          </w:tcPr>
          <w:p w:rsidR="004E456B" w:rsidRPr="00976C64" w:rsidRDefault="004E456B" w:rsidP="00027A9C">
            <w:pPr>
              <w:autoSpaceDE w:val="0"/>
              <w:autoSpaceDN w:val="0"/>
              <w:adjustRightInd w:val="0"/>
              <w:spacing w:before="120" w:after="120"/>
              <w:rPr>
                <w:rFonts w:eastAsiaTheme="minorEastAsia"/>
                <w:sz w:val="16"/>
                <w:szCs w:val="16"/>
                <w:lang w:eastAsia="ja-JP"/>
              </w:rPr>
            </w:pPr>
            <w:r w:rsidRPr="00976C64">
              <w:rPr>
                <w:rFonts w:eastAsia="Arial"/>
                <w:sz w:val="16"/>
                <w:szCs w:val="16"/>
                <w:bdr w:val="nil"/>
                <w:lang w:eastAsia="ja-JP"/>
              </w:rPr>
              <w:t>Tailandia</w:t>
            </w:r>
          </w:p>
        </w:tc>
        <w:tc>
          <w:tcPr>
            <w:tcW w:w="4398" w:type="dxa"/>
          </w:tcPr>
          <w:p w:rsidR="004E456B" w:rsidRPr="009703BB" w:rsidRDefault="004E456B" w:rsidP="00027A9C">
            <w:pPr>
              <w:tabs>
                <w:tab w:val="left" w:pos="540"/>
                <w:tab w:val="left" w:pos="851"/>
              </w:tabs>
              <w:contextualSpacing/>
              <w:rPr>
                <w:rFonts w:eastAsiaTheme="minorEastAsia" w:cs="Times New Roman"/>
                <w:sz w:val="16"/>
                <w:szCs w:val="16"/>
                <w:lang w:eastAsia="ja-JP"/>
              </w:rPr>
            </w:pPr>
            <w:r>
              <w:rPr>
                <w:rFonts w:eastAsia="Arial"/>
                <w:sz w:val="16"/>
                <w:szCs w:val="16"/>
                <w:bdr w:val="nil"/>
                <w:lang w:eastAsia="ja-JP"/>
              </w:rPr>
              <w:t>Evaluar de manera exhaustiva el entorno jurídico, la infraestructura de recursos, los procesos operativos, la competencia en materia de organización y la eficacia del trabajo de los sistemas de registro (P.I.) de patentes, marcas y diseños administrados por la Oficina de P.I. con el propósito de identificar las carencias y los aspectos que precisan mejora para lograr una eficacia y una efectividad del más alto nivel en la prestación de servicios de registro de la P.I. para la comunidad local y mundial de usuarios.</w:t>
            </w:r>
            <w:r>
              <w:rPr>
                <w:rFonts w:eastAsia="Arial"/>
                <w:sz w:val="16"/>
                <w:szCs w:val="16"/>
                <w:bdr w:val="nil"/>
                <w:lang w:eastAsia="ja-JP"/>
              </w:rPr>
              <w:br/>
            </w:r>
          </w:p>
        </w:tc>
      </w:tr>
      <w:tr w:rsidR="004E456B" w:rsidRPr="008466AF" w:rsidTr="00027A9C">
        <w:tblPrEx>
          <w:tblLook w:val="04A0" w:firstRow="1" w:lastRow="0" w:firstColumn="1" w:lastColumn="0" w:noHBand="0" w:noVBand="1"/>
        </w:tblPrEx>
        <w:trPr>
          <w:cantSplit/>
          <w:trHeight w:val="1805"/>
        </w:trPr>
        <w:tc>
          <w:tcPr>
            <w:tcW w:w="1843" w:type="dxa"/>
          </w:tcPr>
          <w:p w:rsidR="004E456B" w:rsidRPr="00976C64" w:rsidRDefault="004E456B" w:rsidP="00027A9C">
            <w:pPr>
              <w:tabs>
                <w:tab w:val="left" w:pos="600"/>
              </w:tabs>
              <w:contextualSpacing/>
              <w:rPr>
                <w:rFonts w:eastAsia="Malgun Gothic" w:cs="Times New Roman"/>
                <w:sz w:val="16"/>
                <w:szCs w:val="16"/>
                <w:lang w:eastAsia="ko-KR"/>
              </w:rPr>
            </w:pPr>
            <w:r w:rsidRPr="00976C64">
              <w:rPr>
                <w:rFonts w:eastAsia="Arial"/>
                <w:sz w:val="16"/>
                <w:szCs w:val="16"/>
                <w:bdr w:val="nil"/>
                <w:lang w:eastAsia="ko-KR"/>
              </w:rPr>
              <w:t>Proyecto sobre el fortalecimiento de la infraestructura de las oficinas de P.I. de la ASEAN para respaldar la cooperación regional en la reutilización de los productos finales de la tramitación de patentes</w:t>
            </w:r>
          </w:p>
        </w:tc>
        <w:tc>
          <w:tcPr>
            <w:tcW w:w="1134" w:type="dxa"/>
          </w:tcPr>
          <w:p w:rsidR="004E456B" w:rsidRPr="00976C64" w:rsidRDefault="004E456B" w:rsidP="00027A9C">
            <w:pPr>
              <w:autoSpaceDE w:val="0"/>
              <w:autoSpaceDN w:val="0"/>
              <w:adjustRightInd w:val="0"/>
              <w:rPr>
                <w:rFonts w:eastAsiaTheme="minorEastAsia"/>
                <w:sz w:val="16"/>
                <w:szCs w:val="16"/>
                <w:lang w:eastAsia="ja-JP"/>
              </w:rPr>
            </w:pPr>
            <w:r w:rsidRPr="00976C64">
              <w:rPr>
                <w:rFonts w:eastAsia="Arial"/>
                <w:sz w:val="16"/>
                <w:szCs w:val="16"/>
                <w:bdr w:val="nil"/>
                <w:lang w:eastAsia="ja-JP"/>
              </w:rPr>
              <w:t>Enero a diciembre de 2016</w:t>
            </w:r>
            <w:r w:rsidRPr="00976C64">
              <w:rPr>
                <w:rStyle w:val="FootnoteReference"/>
                <w:rFonts w:eastAsiaTheme="minorEastAsia"/>
                <w:sz w:val="16"/>
                <w:szCs w:val="16"/>
                <w:lang w:eastAsia="ja-JP"/>
              </w:rPr>
              <w:footnoteReference w:id="111"/>
            </w:r>
          </w:p>
          <w:p w:rsidR="004E456B" w:rsidRPr="00976C64" w:rsidRDefault="004E456B" w:rsidP="00027A9C">
            <w:pPr>
              <w:autoSpaceDE w:val="0"/>
              <w:autoSpaceDN w:val="0"/>
              <w:adjustRightInd w:val="0"/>
              <w:rPr>
                <w:rFonts w:eastAsiaTheme="minorEastAsia"/>
                <w:sz w:val="16"/>
                <w:szCs w:val="16"/>
                <w:lang w:eastAsia="ja-JP"/>
              </w:rPr>
            </w:pPr>
          </w:p>
          <w:p w:rsidR="004E456B" w:rsidRPr="00976C64" w:rsidRDefault="004E456B" w:rsidP="00027A9C">
            <w:pPr>
              <w:autoSpaceDE w:val="0"/>
              <w:autoSpaceDN w:val="0"/>
              <w:adjustRightInd w:val="0"/>
              <w:rPr>
                <w:rFonts w:eastAsiaTheme="minorEastAsia"/>
                <w:sz w:val="16"/>
                <w:szCs w:val="16"/>
                <w:lang w:eastAsia="ja-JP"/>
              </w:rPr>
            </w:pPr>
            <w:r w:rsidRPr="00976C64">
              <w:rPr>
                <w:rFonts w:eastAsia="Arial"/>
                <w:sz w:val="16"/>
                <w:szCs w:val="16"/>
                <w:bdr w:val="nil"/>
                <w:lang w:eastAsia="ja-JP"/>
              </w:rPr>
              <w:t>(en curso)</w:t>
            </w:r>
          </w:p>
        </w:tc>
        <w:tc>
          <w:tcPr>
            <w:tcW w:w="1985" w:type="dxa"/>
          </w:tcPr>
          <w:p w:rsidR="004E456B" w:rsidRPr="00976C64" w:rsidRDefault="00286D86" w:rsidP="00027A9C">
            <w:pPr>
              <w:autoSpaceDE w:val="0"/>
              <w:autoSpaceDN w:val="0"/>
              <w:adjustRightInd w:val="0"/>
              <w:spacing w:after="120"/>
              <w:rPr>
                <w:rFonts w:eastAsiaTheme="minorEastAsia"/>
                <w:sz w:val="16"/>
                <w:szCs w:val="16"/>
                <w:lang w:eastAsia="ja-JP"/>
              </w:rPr>
            </w:pPr>
            <w:r>
              <w:rPr>
                <w:rFonts w:eastAsia="Arial"/>
                <w:sz w:val="16"/>
                <w:szCs w:val="16"/>
                <w:bdr w:val="nil"/>
                <w:lang w:eastAsia="ja-JP"/>
              </w:rPr>
              <w:t xml:space="preserve">Sede de la OMPI y Oficina de la OMPI en Singapur/ </w:t>
            </w:r>
            <w:r w:rsidR="004E456B" w:rsidRPr="00976C64">
              <w:rPr>
                <w:rFonts w:eastAsia="Arial"/>
                <w:sz w:val="16"/>
                <w:szCs w:val="16"/>
                <w:bdr w:val="nil"/>
                <w:lang w:eastAsia="ja-JP"/>
              </w:rPr>
              <w:t>Estados miembros de la ASEAN</w:t>
            </w:r>
          </w:p>
        </w:tc>
        <w:tc>
          <w:tcPr>
            <w:tcW w:w="4398" w:type="dxa"/>
          </w:tcPr>
          <w:p w:rsidR="004E456B" w:rsidRPr="00AB2C0A" w:rsidRDefault="004E456B" w:rsidP="00027A9C">
            <w:pPr>
              <w:rPr>
                <w:rFonts w:eastAsiaTheme="minorEastAsia" w:cs="Times New Roman"/>
                <w:sz w:val="16"/>
                <w:szCs w:val="16"/>
                <w:lang w:eastAsia="ja-JP"/>
              </w:rPr>
            </w:pPr>
            <w:r w:rsidRPr="00AB2C0A">
              <w:rPr>
                <w:rFonts w:eastAsia="Arial"/>
                <w:sz w:val="16"/>
                <w:szCs w:val="16"/>
                <w:bdr w:val="nil"/>
                <w:lang w:eastAsia="ja-JP"/>
              </w:rPr>
              <w:t>i) Ampliar y mejorar los procesos de las oficinas de P.I. de la ASEAN dirigidos a compartir con otras oficinas de P.I. la información contenida en sus expedientes, incluidos los resultados de la búsqueda y el examen de patentes, a través de la red WIPO CASE;  ii) desarrollar sistemas de información a nivel regional que empleen de forma eficaz una plataforma informática;  y iii) ofrecer la asistencia técnica necesaria para que las oficinas de P.I. de la ASEAN puedan respaldar los procesos dirigidos a compartir la información contenida en sus expedientes y otros recursos de información sobre P.I. a través de la mejora de los sistemas de gestión de P.I.</w:t>
            </w:r>
            <w:r w:rsidRPr="00AB2C0A">
              <w:rPr>
                <w:rFonts w:eastAsia="Arial"/>
                <w:sz w:val="16"/>
                <w:szCs w:val="16"/>
                <w:bdr w:val="nil"/>
                <w:lang w:eastAsia="ja-JP"/>
              </w:rPr>
              <w:br/>
            </w:r>
          </w:p>
        </w:tc>
      </w:tr>
      <w:tr w:rsidR="004E456B" w:rsidRPr="008466AF" w:rsidTr="00027A9C">
        <w:tblPrEx>
          <w:tblLook w:val="04A0" w:firstRow="1" w:lastRow="0" w:firstColumn="1" w:lastColumn="0" w:noHBand="0" w:noVBand="1"/>
        </w:tblPrEx>
        <w:trPr>
          <w:cantSplit/>
          <w:trHeight w:val="1013"/>
        </w:trPr>
        <w:tc>
          <w:tcPr>
            <w:tcW w:w="1843" w:type="dxa"/>
          </w:tcPr>
          <w:p w:rsidR="004E456B" w:rsidRPr="009703BB" w:rsidRDefault="004E456B" w:rsidP="00027A9C">
            <w:pPr>
              <w:tabs>
                <w:tab w:val="left" w:pos="600"/>
              </w:tabs>
              <w:contextualSpacing/>
              <w:rPr>
                <w:rFonts w:eastAsiaTheme="minorEastAsia" w:cs="Times New Roman"/>
                <w:sz w:val="16"/>
                <w:szCs w:val="16"/>
                <w:lang w:eastAsia="ko-KR"/>
              </w:rPr>
            </w:pPr>
            <w:r>
              <w:rPr>
                <w:rFonts w:eastAsia="Arial"/>
                <w:sz w:val="16"/>
                <w:szCs w:val="16"/>
                <w:bdr w:val="nil"/>
                <w:lang w:eastAsia="ko-KR"/>
              </w:rPr>
              <w:t>Digitalización, gestión de datos y optimización del flujo de trabajo</w:t>
            </w:r>
          </w:p>
          <w:p w:rsidR="004E456B" w:rsidRPr="009703BB" w:rsidRDefault="004E456B" w:rsidP="00027A9C">
            <w:pPr>
              <w:tabs>
                <w:tab w:val="left" w:pos="600"/>
              </w:tabs>
              <w:contextualSpacing/>
              <w:rPr>
                <w:rFonts w:eastAsiaTheme="minorEastAsia"/>
                <w:sz w:val="16"/>
                <w:szCs w:val="16"/>
                <w:lang w:eastAsia="ja-JP"/>
              </w:rPr>
            </w:pPr>
          </w:p>
        </w:tc>
        <w:tc>
          <w:tcPr>
            <w:tcW w:w="1134" w:type="dxa"/>
          </w:tcPr>
          <w:p w:rsidR="004E456B" w:rsidRPr="00284B95" w:rsidRDefault="004E456B" w:rsidP="00027A9C">
            <w:pPr>
              <w:autoSpaceDE w:val="0"/>
              <w:autoSpaceDN w:val="0"/>
              <w:adjustRightInd w:val="0"/>
              <w:spacing w:after="120"/>
              <w:rPr>
                <w:rFonts w:eastAsiaTheme="minorEastAsia"/>
                <w:sz w:val="16"/>
                <w:szCs w:val="16"/>
                <w:lang w:eastAsia="ja-JP"/>
              </w:rPr>
            </w:pPr>
            <w:r w:rsidRPr="00284B95">
              <w:rPr>
                <w:rFonts w:eastAsia="Arial"/>
                <w:sz w:val="16"/>
                <w:szCs w:val="16"/>
                <w:bdr w:val="nil"/>
                <w:lang w:eastAsia="ja-JP"/>
              </w:rPr>
              <w:t>Enero a diciembre de 2016</w:t>
            </w:r>
          </w:p>
        </w:tc>
        <w:tc>
          <w:tcPr>
            <w:tcW w:w="1985" w:type="dxa"/>
          </w:tcPr>
          <w:p w:rsidR="004E456B" w:rsidRPr="00284B95" w:rsidRDefault="004E456B" w:rsidP="00027A9C">
            <w:pPr>
              <w:autoSpaceDE w:val="0"/>
              <w:autoSpaceDN w:val="0"/>
              <w:adjustRightInd w:val="0"/>
              <w:spacing w:after="120"/>
              <w:rPr>
                <w:rFonts w:eastAsiaTheme="minorEastAsia"/>
                <w:sz w:val="16"/>
                <w:szCs w:val="16"/>
              </w:rPr>
            </w:pPr>
            <w:r w:rsidRPr="00284B95">
              <w:rPr>
                <w:rFonts w:eastAsia="Arial"/>
                <w:sz w:val="16"/>
                <w:szCs w:val="16"/>
                <w:bdr w:val="nil"/>
              </w:rPr>
              <w:t>Brunei Darussalam, Filipinas, Indonesia, Mongolia, República Democrática Popular Lao, Tailandia</w:t>
            </w:r>
          </w:p>
        </w:tc>
        <w:tc>
          <w:tcPr>
            <w:tcW w:w="4398" w:type="dxa"/>
          </w:tcPr>
          <w:p w:rsidR="004E456B" w:rsidRPr="009703BB" w:rsidRDefault="004E456B" w:rsidP="00027A9C">
            <w:pPr>
              <w:rPr>
                <w:rFonts w:eastAsiaTheme="minorEastAsia" w:cs="Times New Roman"/>
                <w:sz w:val="20"/>
                <w:szCs w:val="24"/>
              </w:rPr>
            </w:pPr>
            <w:r>
              <w:rPr>
                <w:rFonts w:eastAsia="Arial"/>
                <w:sz w:val="16"/>
                <w:szCs w:val="16"/>
                <w:bdr w:val="nil"/>
                <w:lang w:eastAsia="ja-JP"/>
              </w:rPr>
              <w:t xml:space="preserve">Proyectos de digitalización, gestión de datos y optimización del flujo de trabajo para los países de la ASEAN con objeto de maximizar el acceso y la utilización de los datos de las oficinas de P.I. </w:t>
            </w:r>
          </w:p>
          <w:p w:rsidR="004E456B" w:rsidRPr="009703BB" w:rsidRDefault="004E456B" w:rsidP="00027A9C">
            <w:pPr>
              <w:tabs>
                <w:tab w:val="left" w:pos="540"/>
                <w:tab w:val="left" w:pos="851"/>
              </w:tabs>
              <w:contextualSpacing/>
              <w:rPr>
                <w:rFonts w:eastAsiaTheme="minorEastAsia" w:cs="Times New Roman"/>
                <w:sz w:val="16"/>
                <w:szCs w:val="16"/>
                <w:lang w:eastAsia="ja-JP"/>
              </w:rPr>
            </w:pPr>
          </w:p>
        </w:tc>
      </w:tr>
      <w:tr w:rsidR="004E456B" w:rsidRPr="008466AF" w:rsidTr="00027A9C">
        <w:trPr>
          <w:cantSplit/>
          <w:trHeight w:val="2696"/>
        </w:trPr>
        <w:tc>
          <w:tcPr>
            <w:tcW w:w="1843" w:type="dxa"/>
          </w:tcPr>
          <w:p w:rsidR="004E456B" w:rsidRPr="009703BB" w:rsidRDefault="004E456B" w:rsidP="00027A9C">
            <w:pPr>
              <w:tabs>
                <w:tab w:val="left" w:pos="600"/>
              </w:tabs>
              <w:contextualSpacing/>
              <w:rPr>
                <w:rFonts w:eastAsiaTheme="minorEastAsia"/>
                <w:sz w:val="16"/>
                <w:szCs w:val="16"/>
                <w:lang w:eastAsia="ja-JP"/>
              </w:rPr>
            </w:pPr>
            <w:r>
              <w:rPr>
                <w:rFonts w:eastAsia="Arial"/>
                <w:sz w:val="16"/>
                <w:szCs w:val="16"/>
                <w:bdr w:val="nil"/>
              </w:rPr>
              <w:t>Seminario de la OMPI sobre el trabajo compartido - Taller sobre la mejora de las prácticas de examen y concesión de patentes a través de WIPO CASE, la reunión del Equipo Técnico de la iniciativa de Cooperación para el Examen de Patentes de la ASEAN y la reunión sobre la comunidad de práctica de la ASEAN para examinadores de patentes</w:t>
            </w:r>
            <w:r>
              <w:rPr>
                <w:rFonts w:eastAsia="Arial"/>
                <w:sz w:val="16"/>
                <w:szCs w:val="16"/>
                <w:bdr w:val="nil"/>
              </w:rPr>
              <w:br/>
            </w:r>
          </w:p>
        </w:tc>
        <w:tc>
          <w:tcPr>
            <w:tcW w:w="1134" w:type="dxa"/>
          </w:tcPr>
          <w:p w:rsidR="004E456B" w:rsidRPr="00284B95" w:rsidRDefault="004E456B" w:rsidP="00027A9C">
            <w:pPr>
              <w:autoSpaceDE w:val="0"/>
              <w:autoSpaceDN w:val="0"/>
              <w:adjustRightInd w:val="0"/>
              <w:rPr>
                <w:rFonts w:eastAsiaTheme="minorEastAsia"/>
                <w:sz w:val="16"/>
                <w:szCs w:val="16"/>
                <w:lang w:eastAsia="ja-JP"/>
              </w:rPr>
            </w:pPr>
            <w:r w:rsidRPr="00284B95">
              <w:rPr>
                <w:rFonts w:eastAsia="Arial"/>
                <w:sz w:val="16"/>
                <w:szCs w:val="16"/>
                <w:bdr w:val="nil"/>
              </w:rPr>
              <w:t>29 de febrero a 4 de marzo de 2016</w:t>
            </w:r>
          </w:p>
        </w:tc>
        <w:tc>
          <w:tcPr>
            <w:tcW w:w="1985" w:type="dxa"/>
          </w:tcPr>
          <w:p w:rsidR="004E456B" w:rsidRPr="00284B95" w:rsidRDefault="004E456B" w:rsidP="00027A9C">
            <w:pPr>
              <w:autoSpaceDE w:val="0"/>
              <w:autoSpaceDN w:val="0"/>
              <w:adjustRightInd w:val="0"/>
              <w:rPr>
                <w:rFonts w:eastAsiaTheme="minorEastAsia"/>
                <w:sz w:val="16"/>
                <w:szCs w:val="16"/>
                <w:lang w:eastAsia="ja-JP"/>
              </w:rPr>
            </w:pPr>
            <w:r w:rsidRPr="00284B95">
              <w:rPr>
                <w:rFonts w:eastAsia="Arial"/>
                <w:sz w:val="16"/>
                <w:szCs w:val="16"/>
                <w:bdr w:val="nil"/>
                <w:lang w:eastAsia="ja-JP"/>
              </w:rPr>
              <w:t>Singapur/ Estados miembros de la ASEAN</w:t>
            </w:r>
          </w:p>
        </w:tc>
        <w:tc>
          <w:tcPr>
            <w:tcW w:w="4398" w:type="dxa"/>
            <w:shd w:val="clear" w:color="auto" w:fill="auto"/>
          </w:tcPr>
          <w:p w:rsidR="004E456B" w:rsidRPr="009703BB" w:rsidRDefault="004E456B" w:rsidP="00027A9C">
            <w:pPr>
              <w:autoSpaceDE w:val="0"/>
              <w:autoSpaceDN w:val="0"/>
              <w:adjustRightInd w:val="0"/>
              <w:rPr>
                <w:rFonts w:eastAsiaTheme="minorEastAsia" w:cs="Times New Roman"/>
                <w:sz w:val="16"/>
                <w:szCs w:val="16"/>
                <w:lang w:eastAsia="ja-JP"/>
              </w:rPr>
            </w:pPr>
            <w:r>
              <w:rPr>
                <w:rFonts w:eastAsia="Arial"/>
                <w:sz w:val="16"/>
                <w:szCs w:val="16"/>
                <w:bdr w:val="nil"/>
              </w:rPr>
              <w:t>i) Facilitar las iniciativas regionales para la reutilización de los informes en virtud del PCT en la ASEAN mediante la explotación de WIPO CASE para facilitar el acceso a las labores de examen en el extranjero; ii) examinar las actuales prácticas de examen y de concesión de patentes de la ASEAN a fin de mejorar la calidad de los sistemas de patentes; iii) promover el uso de WIPO CASE y actualizar el desarrollo de la infraestructura técnica para permitir una mayor participación de las Oficinas miembros de la ASEAN; iv) intercambiar información sobre la calidad de las patentes y de las prácticas de examen de patentes en diferentes oficinas de PI, a fin de determinar las formas en que las oficinas de PI pueden mejorar las prácticas de concesión de patentes; y iv) formular recomendaciones, con inclusión de medidas concretas, para mejorar la eficacia de las prácticas de concesión de patentes en la ASEAN.</w:t>
            </w:r>
          </w:p>
        </w:tc>
      </w:tr>
      <w:tr w:rsidR="004E456B" w:rsidRPr="008466AF" w:rsidTr="00027A9C">
        <w:trPr>
          <w:cantSplit/>
          <w:trHeight w:val="905"/>
        </w:trPr>
        <w:tc>
          <w:tcPr>
            <w:tcW w:w="1843" w:type="dxa"/>
            <w:shd w:val="clear" w:color="auto" w:fill="auto"/>
          </w:tcPr>
          <w:p w:rsidR="004E456B" w:rsidRPr="009703BB" w:rsidRDefault="004E456B" w:rsidP="00027A9C">
            <w:pPr>
              <w:tabs>
                <w:tab w:val="left" w:pos="600"/>
              </w:tabs>
              <w:contextualSpacing/>
              <w:rPr>
                <w:rFonts w:eastAsia="Malgun Gothic" w:cs="Times New Roman"/>
                <w:sz w:val="16"/>
                <w:szCs w:val="16"/>
                <w:lang w:eastAsia="ko-KR"/>
              </w:rPr>
            </w:pPr>
            <w:r>
              <w:rPr>
                <w:rFonts w:eastAsia="Arial"/>
                <w:sz w:val="16"/>
                <w:szCs w:val="16"/>
                <w:bdr w:val="nil"/>
              </w:rPr>
              <w:t>Formación avanzada sobre la gestión y respaldo de las soluciones operativas de la OMPI</w:t>
            </w:r>
          </w:p>
        </w:tc>
        <w:tc>
          <w:tcPr>
            <w:tcW w:w="1134" w:type="dxa"/>
          </w:tcPr>
          <w:p w:rsidR="004E456B" w:rsidRPr="00284B95" w:rsidRDefault="004E456B" w:rsidP="00027A9C">
            <w:pPr>
              <w:autoSpaceDE w:val="0"/>
              <w:autoSpaceDN w:val="0"/>
              <w:adjustRightInd w:val="0"/>
              <w:rPr>
                <w:rFonts w:eastAsiaTheme="minorEastAsia"/>
                <w:sz w:val="16"/>
                <w:szCs w:val="16"/>
              </w:rPr>
            </w:pPr>
            <w:r w:rsidRPr="00284B95">
              <w:rPr>
                <w:rFonts w:eastAsia="Arial"/>
                <w:sz w:val="16"/>
                <w:szCs w:val="16"/>
                <w:bdr w:val="nil"/>
              </w:rPr>
              <w:t>4 a 8 de abril de 2016</w:t>
            </w:r>
          </w:p>
          <w:p w:rsidR="004E456B" w:rsidRPr="00284B95" w:rsidRDefault="004E456B" w:rsidP="00027A9C">
            <w:pPr>
              <w:autoSpaceDE w:val="0"/>
              <w:autoSpaceDN w:val="0"/>
              <w:adjustRightInd w:val="0"/>
              <w:rPr>
                <w:rFonts w:eastAsiaTheme="minorEastAsia"/>
                <w:sz w:val="16"/>
                <w:szCs w:val="16"/>
              </w:rPr>
            </w:pPr>
          </w:p>
        </w:tc>
        <w:tc>
          <w:tcPr>
            <w:tcW w:w="1985" w:type="dxa"/>
          </w:tcPr>
          <w:p w:rsidR="004E456B" w:rsidRPr="00284B95" w:rsidRDefault="00286D86" w:rsidP="00286D86">
            <w:pPr>
              <w:autoSpaceDE w:val="0"/>
              <w:autoSpaceDN w:val="0"/>
              <w:adjustRightInd w:val="0"/>
              <w:rPr>
                <w:rFonts w:eastAsia="Batang"/>
                <w:snapToGrid w:val="0"/>
                <w:sz w:val="16"/>
                <w:szCs w:val="16"/>
                <w:lang w:eastAsia="ko-KR"/>
              </w:rPr>
            </w:pPr>
            <w:r>
              <w:rPr>
                <w:rFonts w:eastAsia="Arial"/>
                <w:sz w:val="16"/>
                <w:szCs w:val="16"/>
                <w:bdr w:val="nil"/>
                <w:lang w:eastAsia="ko-KR"/>
              </w:rPr>
              <w:t>Sede de la OMPI</w:t>
            </w:r>
            <w:r w:rsidR="004E456B" w:rsidRPr="00284B95">
              <w:rPr>
                <w:rFonts w:eastAsia="Arial"/>
                <w:sz w:val="16"/>
                <w:szCs w:val="16"/>
                <w:bdr w:val="nil"/>
                <w:lang w:eastAsia="ko-KR"/>
              </w:rPr>
              <w:t>/ Filipinas</w:t>
            </w:r>
          </w:p>
        </w:tc>
        <w:tc>
          <w:tcPr>
            <w:tcW w:w="4398" w:type="dxa"/>
          </w:tcPr>
          <w:p w:rsidR="004E456B" w:rsidRPr="009703BB" w:rsidRDefault="004E456B" w:rsidP="00027A9C">
            <w:pPr>
              <w:autoSpaceDE w:val="0"/>
              <w:autoSpaceDN w:val="0"/>
              <w:adjustRightInd w:val="0"/>
              <w:spacing w:after="120"/>
              <w:rPr>
                <w:rFonts w:eastAsiaTheme="minorEastAsia"/>
                <w:sz w:val="16"/>
                <w:szCs w:val="16"/>
              </w:rPr>
            </w:pPr>
            <w:r>
              <w:rPr>
                <w:rFonts w:eastAsia="Arial"/>
                <w:sz w:val="16"/>
                <w:szCs w:val="16"/>
                <w:bdr w:val="nil"/>
              </w:rPr>
              <w:t xml:space="preserve">Formación avanzada sobre la gestión y respaldo de las soluciones operativas de la OMPI para dos funcionarios de la Oficina de Propiedad Intelectual de Filipinas (IPOPHL). </w:t>
            </w:r>
          </w:p>
        </w:tc>
      </w:tr>
      <w:tr w:rsidR="004E456B" w:rsidRPr="008466AF" w:rsidTr="00027A9C">
        <w:trPr>
          <w:cantSplit/>
          <w:trHeight w:val="473"/>
        </w:trPr>
        <w:tc>
          <w:tcPr>
            <w:tcW w:w="1843" w:type="dxa"/>
          </w:tcPr>
          <w:p w:rsidR="004E456B" w:rsidRPr="009703BB" w:rsidRDefault="004E456B" w:rsidP="00027A9C">
            <w:pPr>
              <w:tabs>
                <w:tab w:val="left" w:pos="600"/>
              </w:tabs>
              <w:contextualSpacing/>
              <w:rPr>
                <w:rFonts w:eastAsia="Malgun Gothic" w:cs="Times New Roman"/>
                <w:sz w:val="16"/>
                <w:szCs w:val="16"/>
                <w:lang w:eastAsia="ko-KR"/>
              </w:rPr>
            </w:pPr>
            <w:r>
              <w:rPr>
                <w:rFonts w:eastAsia="Arial"/>
                <w:sz w:val="16"/>
                <w:szCs w:val="16"/>
                <w:bdr w:val="nil"/>
              </w:rPr>
              <w:lastRenderedPageBreak/>
              <w:t>Taller nacional sobre WIPO CASE</w:t>
            </w:r>
          </w:p>
        </w:tc>
        <w:tc>
          <w:tcPr>
            <w:tcW w:w="1134" w:type="dxa"/>
          </w:tcPr>
          <w:p w:rsidR="004E456B" w:rsidRPr="00284B95" w:rsidRDefault="004E456B" w:rsidP="00027A9C">
            <w:pPr>
              <w:autoSpaceDE w:val="0"/>
              <w:autoSpaceDN w:val="0"/>
              <w:adjustRightInd w:val="0"/>
              <w:rPr>
                <w:rFonts w:eastAsiaTheme="minorEastAsia"/>
                <w:sz w:val="16"/>
                <w:szCs w:val="16"/>
              </w:rPr>
            </w:pPr>
            <w:r w:rsidRPr="00284B95">
              <w:rPr>
                <w:rFonts w:eastAsia="Arial"/>
                <w:sz w:val="16"/>
                <w:szCs w:val="16"/>
                <w:bdr w:val="nil"/>
              </w:rPr>
              <w:t>18 y 19 de abril de 2016</w:t>
            </w:r>
          </w:p>
        </w:tc>
        <w:tc>
          <w:tcPr>
            <w:tcW w:w="1985" w:type="dxa"/>
          </w:tcPr>
          <w:p w:rsidR="004E456B" w:rsidRPr="00284B95" w:rsidRDefault="004E456B" w:rsidP="00027A9C">
            <w:pPr>
              <w:autoSpaceDE w:val="0"/>
              <w:autoSpaceDN w:val="0"/>
              <w:adjustRightInd w:val="0"/>
              <w:rPr>
                <w:rFonts w:eastAsia="Batang"/>
                <w:snapToGrid w:val="0"/>
                <w:sz w:val="16"/>
                <w:szCs w:val="16"/>
                <w:lang w:eastAsia="ko-KR"/>
              </w:rPr>
            </w:pPr>
            <w:r w:rsidRPr="00284B95">
              <w:rPr>
                <w:rFonts w:eastAsia="Arial"/>
                <w:sz w:val="16"/>
                <w:szCs w:val="16"/>
                <w:bdr w:val="nil"/>
                <w:lang w:eastAsia="ko-KR"/>
              </w:rPr>
              <w:t>Filipinas/ 100 funcionarios de la IPOPHL, en su mayoría, examinadores de patentes y examinadores de requisitos de forma</w:t>
            </w:r>
          </w:p>
        </w:tc>
        <w:tc>
          <w:tcPr>
            <w:tcW w:w="4398" w:type="dxa"/>
            <w:shd w:val="clear" w:color="auto" w:fill="auto"/>
          </w:tcPr>
          <w:p w:rsidR="004E456B" w:rsidRPr="009703BB" w:rsidRDefault="004E456B" w:rsidP="00027A9C">
            <w:pPr>
              <w:autoSpaceDE w:val="0"/>
              <w:autoSpaceDN w:val="0"/>
              <w:adjustRightInd w:val="0"/>
              <w:spacing w:after="120"/>
              <w:rPr>
                <w:rFonts w:eastAsiaTheme="minorEastAsia" w:cs="Times New Roman"/>
                <w:sz w:val="16"/>
                <w:szCs w:val="16"/>
              </w:rPr>
            </w:pPr>
            <w:r>
              <w:rPr>
                <w:rFonts w:eastAsia="Arial"/>
                <w:sz w:val="16"/>
                <w:szCs w:val="16"/>
                <w:bdr w:val="nil"/>
              </w:rPr>
              <w:t>i) Fortalecer la capacidad y las competencias técnicas de los examinadores de patentes y el personal administrativo de la IPOPHL sobre la utilización del sistema WIPO CASE; ii) compartir las experiencias de los examinadores de patentes recabadas a partir de los usuarios actuales del sistema CASE sobre la manera de facilitar el trabajo compartido; iii) proporcionar formación práctica sobre el sistema CASE y la transferencia de conocimientos necesaria; y iv) presentar nuevos módulos del sistema CASE y futuros planes de desarrollo así como recabar opiniones de la IPOPHL sobre prioridades futuras.</w:t>
            </w:r>
          </w:p>
        </w:tc>
      </w:tr>
      <w:tr w:rsidR="004E456B" w:rsidRPr="008466AF" w:rsidTr="00027A9C">
        <w:trPr>
          <w:cantSplit/>
          <w:trHeight w:val="1427"/>
        </w:trPr>
        <w:tc>
          <w:tcPr>
            <w:tcW w:w="1843" w:type="dxa"/>
          </w:tcPr>
          <w:p w:rsidR="004E456B" w:rsidRPr="00284B95" w:rsidRDefault="004E456B" w:rsidP="00027A9C">
            <w:pPr>
              <w:tabs>
                <w:tab w:val="left" w:pos="600"/>
              </w:tabs>
              <w:contextualSpacing/>
              <w:rPr>
                <w:rFonts w:eastAsia="Malgun Gothic" w:cs="Times New Roman"/>
                <w:sz w:val="16"/>
                <w:szCs w:val="16"/>
                <w:lang w:eastAsia="ko-KR"/>
              </w:rPr>
            </w:pPr>
            <w:r w:rsidRPr="00284B95">
              <w:rPr>
                <w:rFonts w:eastAsia="Arial"/>
                <w:sz w:val="16"/>
                <w:szCs w:val="16"/>
                <w:bdr w:val="nil"/>
              </w:rPr>
              <w:t>Taller nacional sobre WIPO CASE</w:t>
            </w:r>
          </w:p>
        </w:tc>
        <w:tc>
          <w:tcPr>
            <w:tcW w:w="1134" w:type="dxa"/>
          </w:tcPr>
          <w:p w:rsidR="004E456B" w:rsidRPr="00284B95" w:rsidRDefault="004E456B" w:rsidP="00027A9C">
            <w:pPr>
              <w:autoSpaceDE w:val="0"/>
              <w:autoSpaceDN w:val="0"/>
              <w:adjustRightInd w:val="0"/>
              <w:rPr>
                <w:rFonts w:eastAsiaTheme="minorEastAsia"/>
                <w:sz w:val="16"/>
                <w:szCs w:val="16"/>
              </w:rPr>
            </w:pPr>
            <w:r w:rsidRPr="00284B95">
              <w:rPr>
                <w:rFonts w:eastAsia="Arial"/>
                <w:sz w:val="16"/>
                <w:szCs w:val="16"/>
                <w:bdr w:val="nil"/>
              </w:rPr>
              <w:t>21 y 22 de abril de 2016</w:t>
            </w:r>
          </w:p>
        </w:tc>
        <w:tc>
          <w:tcPr>
            <w:tcW w:w="1985" w:type="dxa"/>
          </w:tcPr>
          <w:p w:rsidR="004E456B" w:rsidRPr="00284B95" w:rsidRDefault="004E456B" w:rsidP="00027A9C">
            <w:pPr>
              <w:autoSpaceDE w:val="0"/>
              <w:autoSpaceDN w:val="0"/>
              <w:adjustRightInd w:val="0"/>
              <w:rPr>
                <w:rFonts w:eastAsia="Batang"/>
                <w:snapToGrid w:val="0"/>
                <w:sz w:val="16"/>
                <w:szCs w:val="16"/>
                <w:lang w:eastAsia="ko-KR"/>
              </w:rPr>
            </w:pPr>
            <w:r w:rsidRPr="00284B95">
              <w:rPr>
                <w:rFonts w:eastAsia="Arial"/>
                <w:sz w:val="16"/>
                <w:szCs w:val="16"/>
                <w:bdr w:val="nil"/>
                <w:lang w:eastAsia="ko-KR"/>
              </w:rPr>
              <w:t>Tailandia/ 150 funcionarios del Departamento de la propiedad intelectual (DIP) de Tailandia, en su mayoría, examinadores de patentes y examinadores de requisitos de forma</w:t>
            </w:r>
          </w:p>
        </w:tc>
        <w:tc>
          <w:tcPr>
            <w:tcW w:w="4398" w:type="dxa"/>
            <w:shd w:val="clear" w:color="auto" w:fill="auto"/>
          </w:tcPr>
          <w:p w:rsidR="004E456B" w:rsidRPr="009703BB" w:rsidRDefault="004E456B" w:rsidP="00027A9C">
            <w:pPr>
              <w:autoSpaceDE w:val="0"/>
              <w:autoSpaceDN w:val="0"/>
              <w:adjustRightInd w:val="0"/>
              <w:spacing w:after="120"/>
              <w:rPr>
                <w:rFonts w:eastAsiaTheme="minorEastAsia"/>
                <w:sz w:val="16"/>
                <w:szCs w:val="16"/>
              </w:rPr>
            </w:pPr>
            <w:r>
              <w:rPr>
                <w:rFonts w:eastAsia="Arial"/>
                <w:sz w:val="16"/>
                <w:szCs w:val="16"/>
                <w:bdr w:val="nil"/>
              </w:rPr>
              <w:t>i) Fortalecer la capacidad y las competencias técnicas de los examinadores de patentes y el personal administrativo del DIP sobre la utilización del sistema WIPO CASE; ii) compartir las experiencias de los examinadores de patentes recabadas a partir de los usuarios actuales del sistema CASE sobre la manera de facilitar el trabajo compartido; iii) proporcionar formación práctica sobre el sistema CASE y la transferencia de conocimientos necesaria; y iv) presentar nuevos módulos del sistema CASE y futuros planes de desarrollo así como recabar opiniones del DIP sobre prioridades futuras.</w:t>
            </w:r>
          </w:p>
        </w:tc>
      </w:tr>
      <w:tr w:rsidR="004E456B" w:rsidRPr="008466AF" w:rsidTr="00027A9C">
        <w:trPr>
          <w:cantSplit/>
          <w:trHeight w:val="473"/>
        </w:trPr>
        <w:tc>
          <w:tcPr>
            <w:tcW w:w="1843" w:type="dxa"/>
          </w:tcPr>
          <w:p w:rsidR="004E456B" w:rsidRPr="009703BB" w:rsidRDefault="004E456B" w:rsidP="00027A9C">
            <w:pPr>
              <w:tabs>
                <w:tab w:val="left" w:pos="600"/>
              </w:tabs>
              <w:contextualSpacing/>
              <w:rPr>
                <w:rFonts w:eastAsia="Malgun Gothic" w:cs="Times New Roman"/>
                <w:sz w:val="16"/>
                <w:szCs w:val="16"/>
                <w:lang w:eastAsia="ko-KR"/>
              </w:rPr>
            </w:pPr>
            <w:r>
              <w:rPr>
                <w:rFonts w:eastAsia="Arial"/>
                <w:sz w:val="16"/>
                <w:szCs w:val="16"/>
                <w:bdr w:val="nil"/>
              </w:rPr>
              <w:t xml:space="preserve">Taller de formación subregional sobre los servicios operativos basados en tecnologías de la información </w:t>
            </w:r>
          </w:p>
        </w:tc>
        <w:tc>
          <w:tcPr>
            <w:tcW w:w="1134" w:type="dxa"/>
          </w:tcPr>
          <w:p w:rsidR="004E456B" w:rsidRPr="00284B95" w:rsidRDefault="004E456B" w:rsidP="00027A9C">
            <w:pPr>
              <w:autoSpaceDE w:val="0"/>
              <w:autoSpaceDN w:val="0"/>
              <w:adjustRightInd w:val="0"/>
              <w:rPr>
                <w:rFonts w:eastAsiaTheme="minorEastAsia"/>
                <w:sz w:val="16"/>
                <w:szCs w:val="16"/>
              </w:rPr>
            </w:pPr>
            <w:r w:rsidRPr="00284B95">
              <w:rPr>
                <w:rFonts w:eastAsia="Arial"/>
                <w:sz w:val="16"/>
                <w:szCs w:val="16"/>
                <w:bdr w:val="nil"/>
              </w:rPr>
              <w:t>14 a 18 de noviembre de 2016</w:t>
            </w:r>
          </w:p>
        </w:tc>
        <w:tc>
          <w:tcPr>
            <w:tcW w:w="1985" w:type="dxa"/>
          </w:tcPr>
          <w:p w:rsidR="004E456B" w:rsidRPr="00284B95" w:rsidRDefault="004E456B" w:rsidP="00027A9C">
            <w:pPr>
              <w:autoSpaceDE w:val="0"/>
              <w:autoSpaceDN w:val="0"/>
              <w:adjustRightInd w:val="0"/>
              <w:spacing w:after="120"/>
              <w:rPr>
                <w:rFonts w:eastAsia="Batang"/>
                <w:snapToGrid w:val="0"/>
                <w:sz w:val="16"/>
                <w:szCs w:val="16"/>
                <w:lang w:eastAsia="ko-KR"/>
              </w:rPr>
            </w:pPr>
            <w:r w:rsidRPr="00284B95">
              <w:rPr>
                <w:rFonts w:eastAsia="Arial"/>
                <w:sz w:val="16"/>
                <w:szCs w:val="16"/>
                <w:bdr w:val="nil"/>
                <w:lang w:eastAsia="ko-KR"/>
              </w:rPr>
              <w:t xml:space="preserve">Filipinas/ Brunei Darussalam, Camboya, Filipinas, Indonesia, </w:t>
            </w:r>
            <w:r>
              <w:rPr>
                <w:rFonts w:eastAsia="Arial"/>
                <w:sz w:val="16"/>
                <w:szCs w:val="16"/>
                <w:bdr w:val="nil"/>
                <w:lang w:eastAsia="ko-KR"/>
              </w:rPr>
              <w:t>Malasia, Mongolia, Myanmar, Papu</w:t>
            </w:r>
            <w:r w:rsidRPr="00284B95">
              <w:rPr>
                <w:rFonts w:eastAsia="Arial"/>
                <w:sz w:val="16"/>
                <w:szCs w:val="16"/>
                <w:bdr w:val="nil"/>
                <w:lang w:eastAsia="ko-KR"/>
              </w:rPr>
              <w:t>a Nueva Guinea, República Democrática Popular Lao, Singapur, Sri Lanka, Tailandia, Viet Nam</w:t>
            </w:r>
          </w:p>
        </w:tc>
        <w:tc>
          <w:tcPr>
            <w:tcW w:w="4398" w:type="dxa"/>
            <w:shd w:val="clear" w:color="auto" w:fill="auto"/>
          </w:tcPr>
          <w:p w:rsidR="004E456B" w:rsidRPr="009703BB" w:rsidRDefault="004E456B" w:rsidP="00027A9C">
            <w:pPr>
              <w:autoSpaceDE w:val="0"/>
              <w:autoSpaceDN w:val="0"/>
              <w:adjustRightInd w:val="0"/>
              <w:spacing w:after="120"/>
              <w:rPr>
                <w:rFonts w:eastAsiaTheme="minorEastAsia"/>
                <w:sz w:val="16"/>
                <w:szCs w:val="16"/>
              </w:rPr>
            </w:pPr>
            <w:r>
              <w:rPr>
                <w:rFonts w:eastAsia="Arial"/>
                <w:sz w:val="16"/>
                <w:szCs w:val="16"/>
                <w:bdr w:val="nil"/>
              </w:rPr>
              <w:t>Proporcionar a los miembros de la ASEAN y a algunos países seleccionados de la región de Asia y el Pacífico una formación práctica y una amplia transferencia de conocimientos del equipo de desarrollo de la OMPI acerca del uso del Sistema de Automatización de la Propiedad Industrial (IPAS) y otros productos conexos, en particular para:  i) Aportar información actualizada sobre las novedades técnicas más recientes de los productos y servicios de la OMPI; ii) fortalecer la capacidad y las competencias técnicas sobre las Soluciones operativas de P.I. de la OMPI y los productos conexos; iii) conocer más a fondo la capacidad de soluciones de la OMPI que permiten proporcionar asistencia para mejorar los servicios y las operaciones; y iv) compartir conocimientos sobre los nuevos productos de asistencia a los servicios en línea de la OMPI, en particular, los servicios WIPO Publish y WIPO File.</w:t>
            </w:r>
          </w:p>
        </w:tc>
      </w:tr>
      <w:tr w:rsidR="004E456B" w:rsidRPr="008466AF" w:rsidTr="00027A9C">
        <w:trPr>
          <w:cantSplit/>
          <w:trHeight w:val="1990"/>
        </w:trPr>
        <w:tc>
          <w:tcPr>
            <w:tcW w:w="1843" w:type="dxa"/>
          </w:tcPr>
          <w:p w:rsidR="004E456B" w:rsidRPr="009703BB" w:rsidRDefault="004E456B" w:rsidP="00027A9C">
            <w:pPr>
              <w:tabs>
                <w:tab w:val="left" w:pos="600"/>
              </w:tabs>
              <w:contextualSpacing/>
              <w:rPr>
                <w:rFonts w:eastAsia="Malgun Gothic" w:cs="Times New Roman"/>
                <w:sz w:val="16"/>
                <w:szCs w:val="16"/>
                <w:lang w:eastAsia="ko-KR"/>
              </w:rPr>
            </w:pPr>
            <w:r>
              <w:rPr>
                <w:rFonts w:eastAsia="Arial"/>
                <w:sz w:val="16"/>
                <w:szCs w:val="16"/>
                <w:bdr w:val="nil"/>
              </w:rPr>
              <w:t xml:space="preserve">Formación nacional sobre WIPO CASE para nuevos examinadores de patentes sobre la búsqueda y el examen mundiales de patentes </w:t>
            </w:r>
          </w:p>
        </w:tc>
        <w:tc>
          <w:tcPr>
            <w:tcW w:w="1134" w:type="dxa"/>
          </w:tcPr>
          <w:p w:rsidR="004E456B" w:rsidRPr="00FC07B1" w:rsidRDefault="004E456B" w:rsidP="00027A9C">
            <w:pPr>
              <w:autoSpaceDE w:val="0"/>
              <w:autoSpaceDN w:val="0"/>
              <w:adjustRightInd w:val="0"/>
              <w:rPr>
                <w:rFonts w:eastAsiaTheme="minorEastAsia"/>
                <w:sz w:val="16"/>
                <w:szCs w:val="16"/>
              </w:rPr>
            </w:pPr>
            <w:r w:rsidRPr="00FC07B1">
              <w:rPr>
                <w:rFonts w:eastAsia="Arial"/>
                <w:sz w:val="16"/>
                <w:szCs w:val="16"/>
                <w:bdr w:val="nil"/>
              </w:rPr>
              <w:t>21 a 25 de noviembre de 2016</w:t>
            </w:r>
          </w:p>
        </w:tc>
        <w:tc>
          <w:tcPr>
            <w:tcW w:w="1985" w:type="dxa"/>
          </w:tcPr>
          <w:p w:rsidR="004E456B" w:rsidRPr="00FC07B1" w:rsidRDefault="004E456B" w:rsidP="00027A9C">
            <w:pPr>
              <w:autoSpaceDE w:val="0"/>
              <w:autoSpaceDN w:val="0"/>
              <w:adjustRightInd w:val="0"/>
              <w:rPr>
                <w:rFonts w:eastAsia="Batang"/>
                <w:snapToGrid w:val="0"/>
                <w:sz w:val="16"/>
                <w:szCs w:val="16"/>
                <w:lang w:eastAsia="ko-KR"/>
              </w:rPr>
            </w:pPr>
            <w:r w:rsidRPr="00FC07B1">
              <w:rPr>
                <w:rFonts w:eastAsia="Arial"/>
                <w:sz w:val="16"/>
                <w:szCs w:val="16"/>
                <w:bdr w:val="nil"/>
                <w:lang w:eastAsia="ko-KR"/>
              </w:rPr>
              <w:t>Tailandia/ 34 examinadores de patentes del DIP contratados recientemente</w:t>
            </w:r>
          </w:p>
        </w:tc>
        <w:tc>
          <w:tcPr>
            <w:tcW w:w="4398" w:type="dxa"/>
            <w:shd w:val="clear" w:color="auto" w:fill="auto"/>
          </w:tcPr>
          <w:p w:rsidR="004E456B" w:rsidRPr="009703BB" w:rsidRDefault="004E456B" w:rsidP="00027A9C">
            <w:pPr>
              <w:autoSpaceDE w:val="0"/>
              <w:autoSpaceDN w:val="0"/>
              <w:adjustRightInd w:val="0"/>
              <w:rPr>
                <w:rFonts w:eastAsiaTheme="minorEastAsia" w:cs="Times New Roman"/>
                <w:sz w:val="16"/>
                <w:szCs w:val="16"/>
              </w:rPr>
            </w:pPr>
            <w:r>
              <w:rPr>
                <w:rFonts w:eastAsia="Arial"/>
                <w:sz w:val="16"/>
                <w:szCs w:val="16"/>
                <w:bdr w:val="nil"/>
              </w:rPr>
              <w:t>i) Fortalecer la capacidad y las competencias técnicas de los nuevos examinadores de patentes del DIP en materia de utilización de la plataforma técnica, en particular, del sistema WIPO CASE; ii) compartir las experiencias de los examinadores de patentes derivadas de los usuarios actuales del sistema CASE sobre la manera de acceder a la información acerca de los expedientes extranjeros y utilizar el resultado de las tareas de examen de patentes; iii) proporcionar formación práctica sobre el sistema CASE y la transferencia de conocimientos pertinente; y iv) conocer más adecuadamente los documentos de patentes y la información sobre las patentes, además de las técnicas de búsqueda.</w:t>
            </w:r>
            <w:r>
              <w:rPr>
                <w:rFonts w:eastAsia="Arial"/>
                <w:sz w:val="16"/>
                <w:szCs w:val="16"/>
                <w:bdr w:val="nil"/>
              </w:rPr>
              <w:br/>
            </w:r>
          </w:p>
        </w:tc>
      </w:tr>
      <w:tr w:rsidR="004E456B" w:rsidRPr="008466AF" w:rsidTr="00027A9C">
        <w:trPr>
          <w:cantSplit/>
          <w:trHeight w:val="315"/>
        </w:trPr>
        <w:tc>
          <w:tcPr>
            <w:tcW w:w="9360" w:type="dxa"/>
            <w:gridSpan w:val="4"/>
            <w:shd w:val="clear" w:color="auto" w:fill="C6D9F1" w:themeFill="text2" w:themeFillTint="33"/>
          </w:tcPr>
          <w:p w:rsidR="004E456B" w:rsidRPr="00FC07B1" w:rsidRDefault="004E456B" w:rsidP="00027A9C">
            <w:pPr>
              <w:keepNext/>
              <w:keepLines/>
              <w:tabs>
                <w:tab w:val="left" w:pos="1740"/>
              </w:tabs>
              <w:spacing w:before="120" w:after="120"/>
              <w:ind w:left="1740" w:hanging="1740"/>
              <w:rPr>
                <w:rFonts w:eastAsiaTheme="minorEastAsia"/>
                <w:sz w:val="16"/>
                <w:szCs w:val="16"/>
              </w:rPr>
            </w:pPr>
            <w:r w:rsidRPr="00FC07B1">
              <w:rPr>
                <w:rFonts w:eastAsia="Arial"/>
                <w:b/>
                <w:bCs/>
                <w:sz w:val="16"/>
                <w:szCs w:val="16"/>
                <w:bdr w:val="nil"/>
              </w:rPr>
              <w:t>RESULTADO:</w:t>
            </w:r>
            <w:r w:rsidRPr="00FC07B1">
              <w:rPr>
                <w:rFonts w:eastAsia="Arial"/>
                <w:b/>
                <w:bCs/>
                <w:sz w:val="16"/>
                <w:szCs w:val="16"/>
                <w:bdr w:val="nil"/>
              </w:rPr>
              <w:tab/>
            </w:r>
            <w:r w:rsidRPr="00FC07B1">
              <w:rPr>
                <w:rFonts w:eastAsia="Arial"/>
                <w:sz w:val="16"/>
                <w:szCs w:val="16"/>
                <w:bdr w:val="nil"/>
              </w:rPr>
              <w:t>VIII.1  Comunicación más eficaz con un público amplio y diverso acerca de la P.I. y la función de la OMPI</w:t>
            </w:r>
          </w:p>
        </w:tc>
      </w:tr>
      <w:tr w:rsidR="004E456B" w:rsidTr="00027A9C">
        <w:trPr>
          <w:cantSplit/>
          <w:trHeight w:val="402"/>
        </w:trPr>
        <w:tc>
          <w:tcPr>
            <w:tcW w:w="1843" w:type="dxa"/>
            <w:vAlign w:val="center"/>
          </w:tcPr>
          <w:p w:rsidR="004E456B" w:rsidRPr="00FC07B1" w:rsidRDefault="004E456B" w:rsidP="00027A9C">
            <w:pPr>
              <w:keepNext/>
              <w:keepLines/>
              <w:spacing w:before="120"/>
              <w:rPr>
                <w:rFonts w:eastAsiaTheme="minorEastAsia"/>
                <w:b/>
                <w:bCs/>
                <w:sz w:val="16"/>
                <w:szCs w:val="16"/>
              </w:rPr>
            </w:pPr>
            <w:r w:rsidRPr="00FC07B1">
              <w:rPr>
                <w:rFonts w:eastAsia="Arial"/>
                <w:b/>
                <w:bCs/>
                <w:sz w:val="16"/>
                <w:szCs w:val="16"/>
                <w:bdr w:val="nil"/>
              </w:rPr>
              <w:t>Actividad</w:t>
            </w:r>
          </w:p>
        </w:tc>
        <w:tc>
          <w:tcPr>
            <w:tcW w:w="1134" w:type="dxa"/>
            <w:vAlign w:val="center"/>
          </w:tcPr>
          <w:p w:rsidR="004E456B" w:rsidRPr="00FC07B1" w:rsidRDefault="004E456B" w:rsidP="00027A9C">
            <w:pPr>
              <w:keepNext/>
              <w:keepLines/>
              <w:spacing w:before="120"/>
              <w:rPr>
                <w:rFonts w:eastAsiaTheme="minorEastAsia"/>
                <w:sz w:val="16"/>
                <w:szCs w:val="16"/>
              </w:rPr>
            </w:pPr>
            <w:r w:rsidRPr="00FC07B1">
              <w:rPr>
                <w:rFonts w:eastAsia="Arial"/>
                <w:b/>
                <w:bCs/>
                <w:sz w:val="16"/>
                <w:szCs w:val="16"/>
                <w:bdr w:val="nil"/>
              </w:rPr>
              <w:t>Fecha</w:t>
            </w:r>
          </w:p>
        </w:tc>
        <w:tc>
          <w:tcPr>
            <w:tcW w:w="1985" w:type="dxa"/>
            <w:vAlign w:val="center"/>
          </w:tcPr>
          <w:p w:rsidR="004E456B" w:rsidRPr="00FC07B1" w:rsidRDefault="004E456B" w:rsidP="00027A9C">
            <w:pPr>
              <w:keepNext/>
              <w:keepLines/>
              <w:spacing w:before="120"/>
              <w:rPr>
                <w:rFonts w:eastAsiaTheme="minorEastAsia"/>
                <w:sz w:val="16"/>
                <w:szCs w:val="16"/>
              </w:rPr>
            </w:pPr>
            <w:r w:rsidRPr="00FC07B1">
              <w:rPr>
                <w:rFonts w:eastAsia="Arial"/>
                <w:b/>
                <w:bCs/>
                <w:sz w:val="16"/>
                <w:szCs w:val="16"/>
                <w:bdr w:val="nil"/>
              </w:rPr>
              <w:t>País anfitrión / Beneficiarios</w:t>
            </w:r>
          </w:p>
        </w:tc>
        <w:tc>
          <w:tcPr>
            <w:tcW w:w="4398" w:type="dxa"/>
            <w:vAlign w:val="center"/>
          </w:tcPr>
          <w:p w:rsidR="004E456B" w:rsidRPr="00FC07B1" w:rsidRDefault="004E456B" w:rsidP="00027A9C">
            <w:pPr>
              <w:keepNext/>
              <w:keepLines/>
              <w:spacing w:before="120"/>
              <w:rPr>
                <w:rFonts w:eastAsiaTheme="minorEastAsia"/>
                <w:sz w:val="16"/>
                <w:szCs w:val="16"/>
              </w:rPr>
            </w:pPr>
            <w:r w:rsidRPr="00FC07B1">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843" w:type="dxa"/>
          </w:tcPr>
          <w:p w:rsidR="004E456B" w:rsidRPr="00FC07B1" w:rsidRDefault="004E456B" w:rsidP="00027A9C">
            <w:pPr>
              <w:autoSpaceDE w:val="0"/>
              <w:autoSpaceDN w:val="0"/>
              <w:adjustRightInd w:val="0"/>
              <w:spacing w:before="120" w:after="120"/>
              <w:rPr>
                <w:rFonts w:eastAsiaTheme="minorEastAsia"/>
                <w:sz w:val="16"/>
                <w:szCs w:val="16"/>
              </w:rPr>
            </w:pPr>
            <w:r w:rsidRPr="00FC07B1">
              <w:rPr>
                <w:rFonts w:eastAsia="Arial"/>
                <w:sz w:val="16"/>
                <w:szCs w:val="16"/>
                <w:bdr w:val="nil"/>
                <w:lang w:eastAsia="ja-JP"/>
              </w:rPr>
              <w:t>Traducción e impresión de las publicaciones y materiales de referencia de la OMPI</w:t>
            </w:r>
          </w:p>
        </w:tc>
        <w:tc>
          <w:tcPr>
            <w:tcW w:w="1134" w:type="dxa"/>
          </w:tcPr>
          <w:p w:rsidR="004E456B" w:rsidRPr="00FC07B1" w:rsidRDefault="004E456B" w:rsidP="00027A9C">
            <w:pPr>
              <w:autoSpaceDE w:val="0"/>
              <w:autoSpaceDN w:val="0"/>
              <w:adjustRightInd w:val="0"/>
              <w:spacing w:before="120" w:after="120"/>
              <w:rPr>
                <w:rFonts w:eastAsiaTheme="minorEastAsia"/>
                <w:sz w:val="16"/>
                <w:szCs w:val="16"/>
                <w:lang w:eastAsia="ja-JP"/>
              </w:rPr>
            </w:pPr>
            <w:r w:rsidRPr="00FC07B1">
              <w:rPr>
                <w:rFonts w:eastAsiaTheme="minorEastAsia" w:hint="eastAsia"/>
                <w:sz w:val="16"/>
                <w:szCs w:val="16"/>
                <w:lang w:eastAsia="ja-JP"/>
              </w:rPr>
              <w:t>2016</w:t>
            </w:r>
          </w:p>
        </w:tc>
        <w:tc>
          <w:tcPr>
            <w:tcW w:w="1985" w:type="dxa"/>
          </w:tcPr>
          <w:p w:rsidR="004E456B" w:rsidRPr="00FC07B1" w:rsidRDefault="00286D86" w:rsidP="00027A9C">
            <w:pPr>
              <w:autoSpaceDE w:val="0"/>
              <w:autoSpaceDN w:val="0"/>
              <w:adjustRightInd w:val="0"/>
              <w:spacing w:before="120" w:after="120"/>
              <w:rPr>
                <w:rFonts w:eastAsiaTheme="minorEastAsia"/>
                <w:sz w:val="16"/>
                <w:szCs w:val="16"/>
                <w:lang w:eastAsia="ja-JP"/>
              </w:rPr>
            </w:pPr>
            <w:r>
              <w:rPr>
                <w:rFonts w:eastAsia="Arial"/>
                <w:sz w:val="16"/>
                <w:szCs w:val="16"/>
                <w:bdr w:val="nil"/>
                <w:lang w:eastAsia="ja-JP"/>
              </w:rPr>
              <w:t xml:space="preserve">OOJ y sede de la OMPI/ </w:t>
            </w:r>
            <w:r w:rsidR="004E456B" w:rsidRPr="00FC07B1">
              <w:rPr>
                <w:rFonts w:eastAsia="Arial"/>
                <w:sz w:val="16"/>
                <w:szCs w:val="16"/>
                <w:bdr w:val="nil"/>
                <w:lang w:eastAsia="ja-JP"/>
              </w:rPr>
              <w:t>Países de la ASEAN y Camboya</w:t>
            </w:r>
          </w:p>
        </w:tc>
        <w:tc>
          <w:tcPr>
            <w:tcW w:w="4398" w:type="dxa"/>
          </w:tcPr>
          <w:p w:rsidR="004E456B" w:rsidRPr="00FC07B1" w:rsidRDefault="004E456B" w:rsidP="00027A9C">
            <w:pPr>
              <w:spacing w:before="120"/>
              <w:rPr>
                <w:rFonts w:eastAsiaTheme="minorEastAsia"/>
                <w:sz w:val="16"/>
                <w:szCs w:val="16"/>
                <w:lang w:eastAsia="ja-JP"/>
              </w:rPr>
            </w:pPr>
            <w:r w:rsidRPr="00FC07B1">
              <w:rPr>
                <w:rFonts w:eastAsia="Arial"/>
                <w:sz w:val="16"/>
                <w:szCs w:val="16"/>
                <w:bdr w:val="nil"/>
              </w:rPr>
              <w:t>Se completó la traducción e impresión de "Honmono Manga" en los idiomas de la ASEAN.</w:t>
            </w:r>
          </w:p>
          <w:p w:rsidR="004E456B" w:rsidRPr="00FC07B1" w:rsidRDefault="004E456B" w:rsidP="00027A9C">
            <w:pPr>
              <w:rPr>
                <w:rFonts w:eastAsiaTheme="minorEastAsia" w:cs="Times New Roman"/>
                <w:sz w:val="20"/>
                <w:szCs w:val="24"/>
                <w:lang w:eastAsia="ja-JP"/>
              </w:rPr>
            </w:pPr>
            <w:r w:rsidRPr="00FC07B1">
              <w:rPr>
                <w:rFonts w:eastAsiaTheme="minorEastAsia" w:cs="Times New Roman"/>
                <w:sz w:val="20"/>
                <w:szCs w:val="24"/>
                <w:lang w:eastAsia="ja-JP"/>
              </w:rPr>
              <w:t xml:space="preserve">  </w:t>
            </w:r>
          </w:p>
          <w:p w:rsidR="004E456B" w:rsidRPr="00FC07B1" w:rsidRDefault="004E456B" w:rsidP="00027A9C">
            <w:pPr>
              <w:rPr>
                <w:rFonts w:eastAsia="MS Mincho"/>
                <w:sz w:val="16"/>
                <w:szCs w:val="16"/>
              </w:rPr>
            </w:pPr>
            <w:r w:rsidRPr="00FC07B1">
              <w:rPr>
                <w:rFonts w:eastAsia="Arial"/>
                <w:sz w:val="16"/>
                <w:szCs w:val="16"/>
                <w:bdr w:val="nil"/>
              </w:rPr>
              <w:t xml:space="preserve">Se completó la traducción e impresión de las siguientes publicaciones en khmer: i) </w:t>
            </w:r>
            <w:r w:rsidRPr="00FC07B1">
              <w:rPr>
                <w:rFonts w:eastAsia="Arial"/>
                <w:i/>
                <w:iCs/>
                <w:sz w:val="16"/>
                <w:szCs w:val="16"/>
                <w:bdr w:val="nil"/>
              </w:rPr>
              <w:t>Guía para el registro internacional de marcas según el Arreglo de Madrid y el Protocolo de Madrid</w:t>
            </w:r>
            <w:r w:rsidRPr="00FC07B1">
              <w:rPr>
                <w:rFonts w:eastAsia="Arial"/>
                <w:sz w:val="16"/>
                <w:szCs w:val="16"/>
                <w:bdr w:val="nil"/>
              </w:rPr>
              <w:t xml:space="preserve"> (Publicación N.</w:t>
            </w:r>
            <w:r>
              <w:rPr>
                <w:rFonts w:eastAsia="Arial"/>
                <w:sz w:val="16"/>
                <w:szCs w:val="16"/>
                <w:bdr w:val="nil"/>
              </w:rPr>
              <w:t>º</w:t>
            </w:r>
            <w:r w:rsidRPr="00FC07B1">
              <w:rPr>
                <w:rFonts w:eastAsia="Arial"/>
                <w:sz w:val="16"/>
                <w:szCs w:val="16"/>
                <w:bdr w:val="nil"/>
              </w:rPr>
              <w:t xml:space="preserve"> 455 de la OMPI), ii) </w:t>
            </w:r>
            <w:r w:rsidRPr="00FC07B1">
              <w:rPr>
                <w:rFonts w:eastAsia="Arial"/>
                <w:i/>
                <w:iCs/>
                <w:sz w:val="16"/>
                <w:szCs w:val="16"/>
                <w:bdr w:val="nil"/>
              </w:rPr>
              <w:t xml:space="preserve">El Arreglo de Madrid relativo al registro internacional de marcas </w:t>
            </w:r>
            <w:r>
              <w:rPr>
                <w:rFonts w:eastAsia="Arial"/>
                <w:sz w:val="16"/>
                <w:szCs w:val="16"/>
                <w:bdr w:val="nil"/>
              </w:rPr>
              <w:t>(Publicación N</w:t>
            </w:r>
            <w:r w:rsidRPr="00FC07B1">
              <w:rPr>
                <w:rFonts w:eastAsia="Arial"/>
                <w:sz w:val="16"/>
                <w:szCs w:val="16"/>
                <w:bdr w:val="nil"/>
              </w:rPr>
              <w:t>.</w:t>
            </w:r>
            <w:r>
              <w:rPr>
                <w:rFonts w:eastAsia="Arial"/>
                <w:sz w:val="16"/>
                <w:szCs w:val="16"/>
                <w:bdr w:val="nil"/>
              </w:rPr>
              <w:t>º</w:t>
            </w:r>
            <w:r w:rsidRPr="00FC07B1">
              <w:rPr>
                <w:rFonts w:eastAsia="Arial"/>
                <w:sz w:val="16"/>
                <w:szCs w:val="16"/>
                <w:bdr w:val="nil"/>
              </w:rPr>
              <w:t xml:space="preserve"> 204 de la OMPI). </w:t>
            </w:r>
          </w:p>
        </w:tc>
      </w:tr>
    </w:tbl>
    <w:p w:rsidR="004E456B" w:rsidRPr="009703BB" w:rsidRDefault="004E456B" w:rsidP="00027A9C">
      <w:pPr>
        <w:rPr>
          <w:rFonts w:eastAsiaTheme="minorEastAsia"/>
          <w:b/>
          <w:sz w:val="20"/>
          <w:lang w:eastAsia="ja-JP"/>
        </w:rPr>
      </w:pPr>
    </w:p>
    <w:p w:rsidR="004E456B" w:rsidRPr="009703BB" w:rsidRDefault="004E456B" w:rsidP="00027A9C">
      <w:pPr>
        <w:rPr>
          <w:rFonts w:eastAsiaTheme="minorEastAsia"/>
          <w:b/>
          <w:sz w:val="20"/>
          <w:lang w:eastAsia="ja-JP"/>
        </w:rPr>
      </w:pPr>
    </w:p>
    <w:p w:rsidR="004E456B" w:rsidRPr="00FC07B1" w:rsidRDefault="004E456B" w:rsidP="00027A9C">
      <w:pPr>
        <w:rPr>
          <w:rFonts w:eastAsiaTheme="minorEastAsia"/>
          <w:b/>
          <w:sz w:val="20"/>
        </w:rPr>
      </w:pPr>
      <w:r w:rsidRPr="00FC07B1">
        <w:rPr>
          <w:rFonts w:eastAsia="Arial"/>
          <w:b/>
          <w:bCs/>
          <w:sz w:val="20"/>
          <w:bdr w:val="nil"/>
        </w:rPr>
        <w:lastRenderedPageBreak/>
        <w:t>JAPÓN / PROPIEDAD INDUSTRIAL – Contribuciones del donante y gastos en 2016</w:t>
      </w:r>
    </w:p>
    <w:p w:rsidR="004E456B" w:rsidRPr="00FC07B1" w:rsidRDefault="004E456B" w:rsidP="00027A9C">
      <w:pPr>
        <w:rPr>
          <w:rFonts w:eastAsiaTheme="minorEastAsia"/>
          <w:b/>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FC07B1" w:rsidRDefault="004E456B" w:rsidP="00027A9C">
            <w:pPr>
              <w:jc w:val="center"/>
              <w:rPr>
                <w:b/>
                <w:bCs/>
                <w:sz w:val="16"/>
                <w:szCs w:val="16"/>
              </w:rPr>
            </w:pPr>
            <w:r w:rsidRPr="00FC07B1">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FC07B1" w:rsidRDefault="004E456B" w:rsidP="00027A9C">
            <w:pPr>
              <w:jc w:val="center"/>
              <w:rPr>
                <w:b/>
                <w:bCs/>
                <w:sz w:val="16"/>
                <w:szCs w:val="16"/>
              </w:rPr>
            </w:pPr>
            <w:r w:rsidRPr="00FC07B1">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FC07B1" w:rsidRDefault="004E456B" w:rsidP="00027A9C">
            <w:pPr>
              <w:jc w:val="center"/>
              <w:rPr>
                <w:b/>
                <w:bCs/>
                <w:sz w:val="16"/>
                <w:szCs w:val="16"/>
              </w:rPr>
            </w:pPr>
            <w:r w:rsidRPr="00FC07B1">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FC07B1" w:rsidRDefault="004E456B" w:rsidP="00027A9C">
            <w:pPr>
              <w:jc w:val="center"/>
              <w:rPr>
                <w:b/>
                <w:bCs/>
                <w:sz w:val="16"/>
                <w:szCs w:val="16"/>
              </w:rPr>
            </w:pPr>
            <w:r w:rsidRPr="00FC07B1">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FC07B1" w:rsidRDefault="004E456B" w:rsidP="00027A9C">
            <w:pPr>
              <w:jc w:val="center"/>
              <w:rPr>
                <w:b/>
                <w:bCs/>
                <w:sz w:val="16"/>
                <w:szCs w:val="16"/>
              </w:rPr>
            </w:pPr>
            <w:r w:rsidRPr="00FC07B1">
              <w:rPr>
                <w:rFonts w:eastAsia="Arial"/>
                <w:b/>
                <w:bCs/>
                <w:sz w:val="16"/>
                <w:szCs w:val="16"/>
                <w:bdr w:val="nil"/>
              </w:rPr>
              <w:t>Saldo al 31 de diciembre de 2016</w:t>
            </w:r>
          </w:p>
        </w:tc>
      </w:tr>
      <w:tr w:rsidR="004E456B" w:rsidRPr="00FC07B1" w:rsidTr="00027A9C">
        <w:trPr>
          <w:trHeight w:val="357"/>
        </w:trPr>
        <w:tc>
          <w:tcPr>
            <w:tcW w:w="1814" w:type="dxa"/>
            <w:tcBorders>
              <w:top w:val="nil"/>
              <w:left w:val="nil"/>
              <w:bottom w:val="nil"/>
              <w:right w:val="nil"/>
            </w:tcBorders>
            <w:shd w:val="clear" w:color="auto" w:fill="auto"/>
            <w:noWrap/>
            <w:vAlign w:val="bottom"/>
            <w:hideMark/>
          </w:tcPr>
          <w:p w:rsidR="004E456B" w:rsidRPr="00FC07B1" w:rsidRDefault="004E456B" w:rsidP="00027A9C">
            <w:pPr>
              <w:jc w:val="center"/>
              <w:rPr>
                <w:sz w:val="16"/>
                <w:szCs w:val="16"/>
              </w:rPr>
            </w:pPr>
            <w:r w:rsidRPr="00FC07B1">
              <w:rPr>
                <w:sz w:val="16"/>
                <w:szCs w:val="16"/>
              </w:rPr>
              <w:t>4.969.999</w:t>
            </w:r>
          </w:p>
        </w:tc>
        <w:tc>
          <w:tcPr>
            <w:tcW w:w="1814" w:type="dxa"/>
            <w:tcBorders>
              <w:top w:val="nil"/>
              <w:left w:val="nil"/>
              <w:bottom w:val="nil"/>
              <w:right w:val="nil"/>
            </w:tcBorders>
            <w:shd w:val="clear" w:color="auto" w:fill="auto"/>
            <w:noWrap/>
            <w:vAlign w:val="bottom"/>
            <w:hideMark/>
          </w:tcPr>
          <w:p w:rsidR="004E456B" w:rsidRPr="00FC07B1" w:rsidRDefault="004E456B" w:rsidP="00027A9C">
            <w:pPr>
              <w:jc w:val="center"/>
              <w:rPr>
                <w:sz w:val="16"/>
                <w:szCs w:val="16"/>
              </w:rPr>
            </w:pPr>
            <w:r w:rsidRPr="00FC07B1">
              <w:rPr>
                <w:sz w:val="16"/>
                <w:szCs w:val="16"/>
              </w:rPr>
              <w:t>3.830.310</w:t>
            </w:r>
          </w:p>
        </w:tc>
        <w:tc>
          <w:tcPr>
            <w:tcW w:w="1815" w:type="dxa"/>
            <w:tcBorders>
              <w:top w:val="nil"/>
              <w:left w:val="nil"/>
              <w:bottom w:val="nil"/>
              <w:right w:val="nil"/>
            </w:tcBorders>
            <w:shd w:val="clear" w:color="auto" w:fill="auto"/>
            <w:noWrap/>
            <w:vAlign w:val="bottom"/>
            <w:hideMark/>
          </w:tcPr>
          <w:p w:rsidR="004E456B" w:rsidRPr="00FC07B1" w:rsidRDefault="004E456B" w:rsidP="00027A9C">
            <w:pPr>
              <w:jc w:val="center"/>
              <w:rPr>
                <w:sz w:val="16"/>
                <w:szCs w:val="16"/>
              </w:rPr>
            </w:pPr>
            <w:r w:rsidRPr="00FC07B1">
              <w:rPr>
                <w:sz w:val="16"/>
                <w:szCs w:val="16"/>
              </w:rPr>
              <w:t>3.920.117</w:t>
            </w:r>
          </w:p>
        </w:tc>
        <w:tc>
          <w:tcPr>
            <w:tcW w:w="1814" w:type="dxa"/>
            <w:tcBorders>
              <w:top w:val="nil"/>
              <w:left w:val="nil"/>
              <w:bottom w:val="nil"/>
              <w:right w:val="nil"/>
            </w:tcBorders>
            <w:shd w:val="clear" w:color="auto" w:fill="auto"/>
            <w:noWrap/>
            <w:vAlign w:val="bottom"/>
            <w:hideMark/>
          </w:tcPr>
          <w:p w:rsidR="004E456B" w:rsidRPr="00FC07B1" w:rsidRDefault="004E456B" w:rsidP="00027A9C">
            <w:pPr>
              <w:jc w:val="center"/>
              <w:rPr>
                <w:sz w:val="16"/>
                <w:szCs w:val="16"/>
              </w:rPr>
            </w:pPr>
            <w:r w:rsidRPr="00FC07B1">
              <w:rPr>
                <w:sz w:val="16"/>
                <w:szCs w:val="16"/>
              </w:rPr>
              <w:t>-</w:t>
            </w:r>
          </w:p>
        </w:tc>
        <w:tc>
          <w:tcPr>
            <w:tcW w:w="1815" w:type="dxa"/>
            <w:tcBorders>
              <w:top w:val="nil"/>
              <w:left w:val="nil"/>
              <w:bottom w:val="nil"/>
              <w:right w:val="nil"/>
            </w:tcBorders>
            <w:shd w:val="clear" w:color="auto" w:fill="auto"/>
            <w:noWrap/>
            <w:vAlign w:val="bottom"/>
            <w:hideMark/>
          </w:tcPr>
          <w:p w:rsidR="004E456B" w:rsidRPr="00FC07B1" w:rsidRDefault="004E456B" w:rsidP="00027A9C">
            <w:pPr>
              <w:jc w:val="center"/>
              <w:rPr>
                <w:sz w:val="16"/>
                <w:szCs w:val="16"/>
              </w:rPr>
            </w:pPr>
            <w:r w:rsidRPr="00FC07B1">
              <w:rPr>
                <w:sz w:val="16"/>
                <w:szCs w:val="16"/>
              </w:rPr>
              <w:t>4.880.193</w:t>
            </w:r>
          </w:p>
        </w:tc>
      </w:tr>
    </w:tbl>
    <w:p w:rsidR="004E456B" w:rsidRPr="00FC07B1" w:rsidRDefault="004E456B" w:rsidP="00027A9C">
      <w:pPr>
        <w:spacing w:line="276" w:lineRule="auto"/>
        <w:rPr>
          <w:rFonts w:eastAsiaTheme="minorHAnsi"/>
          <w:b/>
          <w:sz w:val="20"/>
        </w:rPr>
      </w:pPr>
    </w:p>
    <w:p w:rsidR="004E456B" w:rsidRPr="00FC07B1" w:rsidRDefault="004E456B" w:rsidP="00027A9C">
      <w:pPr>
        <w:spacing w:line="276" w:lineRule="auto"/>
        <w:rPr>
          <w:rFonts w:eastAsiaTheme="minorHAnsi"/>
          <w:b/>
          <w:sz w:val="20"/>
        </w:rPr>
      </w:pPr>
    </w:p>
    <w:p w:rsidR="004E456B" w:rsidRPr="00FC07B1" w:rsidRDefault="004E456B" w:rsidP="00027A9C">
      <w:pPr>
        <w:spacing w:line="276" w:lineRule="auto"/>
        <w:rPr>
          <w:rFonts w:eastAsiaTheme="minorHAnsi"/>
          <w:b/>
          <w:sz w:val="20"/>
        </w:rPr>
      </w:pPr>
      <w:r w:rsidRPr="00FC07B1">
        <w:rPr>
          <w:rFonts w:eastAsia="Arial"/>
          <w:b/>
          <w:bCs/>
          <w:sz w:val="20"/>
          <w:bdr w:val="nil"/>
        </w:rPr>
        <w:t>JAPÓN – P.I. / ÁFRICA–PMA</w:t>
      </w:r>
    </w:p>
    <w:p w:rsidR="004E456B" w:rsidRPr="00FC07B1" w:rsidRDefault="004E456B" w:rsidP="00027A9C">
      <w:pPr>
        <w:spacing w:line="276" w:lineRule="auto"/>
        <w:rPr>
          <w:rFonts w:asciiTheme="minorHAnsi" w:eastAsiaTheme="minorHAnsi" w:hAnsiTheme="minorHAnsi"/>
          <w:b/>
          <w:sz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88"/>
        <w:gridCol w:w="1104"/>
        <w:gridCol w:w="1926"/>
        <w:gridCol w:w="4254"/>
      </w:tblGrid>
      <w:tr w:rsidR="004E456B" w:rsidRPr="008466AF" w:rsidTr="00F15D44">
        <w:trPr>
          <w:cantSplit/>
          <w:trHeight w:val="315"/>
        </w:trPr>
        <w:tc>
          <w:tcPr>
            <w:tcW w:w="9072" w:type="dxa"/>
            <w:gridSpan w:val="4"/>
            <w:tcBorders>
              <w:top w:val="nil"/>
              <w:left w:val="nil"/>
              <w:bottom w:val="nil"/>
              <w:right w:val="nil"/>
            </w:tcBorders>
            <w:shd w:val="clear" w:color="auto" w:fill="C6D9F1" w:themeFill="text2" w:themeFillTint="33"/>
          </w:tcPr>
          <w:p w:rsidR="004E456B" w:rsidRPr="00FC07B1" w:rsidRDefault="004E456B" w:rsidP="00027A9C">
            <w:pPr>
              <w:tabs>
                <w:tab w:val="left" w:pos="1740"/>
              </w:tabs>
              <w:spacing w:before="120" w:after="120" w:line="276" w:lineRule="auto"/>
              <w:ind w:left="1740" w:hanging="1740"/>
              <w:rPr>
                <w:rFonts w:eastAsiaTheme="minorHAnsi"/>
                <w:sz w:val="16"/>
                <w:szCs w:val="16"/>
              </w:rPr>
            </w:pPr>
            <w:r w:rsidRPr="00FC07B1">
              <w:rPr>
                <w:rFonts w:eastAsia="Arial"/>
                <w:b/>
                <w:bCs/>
                <w:sz w:val="16"/>
                <w:szCs w:val="16"/>
                <w:bdr w:val="nil"/>
              </w:rPr>
              <w:t>RESULTADO:</w:t>
            </w:r>
            <w:r w:rsidRPr="00FC07B1">
              <w:rPr>
                <w:rFonts w:eastAsia="Arial"/>
                <w:b/>
                <w:bCs/>
                <w:sz w:val="16"/>
                <w:szCs w:val="16"/>
                <w:bdr w:val="nil"/>
              </w:rPr>
              <w:tab/>
            </w:r>
            <w:r w:rsidRPr="00FC07B1">
              <w:rPr>
                <w:rFonts w:eastAsia="Arial"/>
                <w:sz w:val="16"/>
                <w:szCs w:val="16"/>
                <w:bdr w:val="nil"/>
              </w:rPr>
              <w:t>III.1  Estrategias y planes nacionales de P.I. que estén en sintonía con los objetivos nacionales de desarrollo</w:t>
            </w:r>
          </w:p>
        </w:tc>
      </w:tr>
      <w:tr w:rsidR="004E456B" w:rsidRPr="00FC07B1" w:rsidTr="00F15D44">
        <w:trPr>
          <w:cantSplit/>
          <w:trHeight w:val="485"/>
        </w:trPr>
        <w:tc>
          <w:tcPr>
            <w:tcW w:w="1788" w:type="dxa"/>
            <w:tcBorders>
              <w:top w:val="nil"/>
              <w:left w:val="nil"/>
              <w:bottom w:val="nil"/>
              <w:right w:val="nil"/>
            </w:tcBorders>
            <w:vAlign w:val="center"/>
          </w:tcPr>
          <w:p w:rsidR="004E456B" w:rsidRPr="00FC07B1" w:rsidRDefault="004E456B" w:rsidP="00027A9C">
            <w:pPr>
              <w:spacing w:before="120" w:line="276" w:lineRule="auto"/>
              <w:rPr>
                <w:rFonts w:eastAsiaTheme="minorHAnsi"/>
                <w:b/>
                <w:bCs/>
                <w:sz w:val="16"/>
                <w:szCs w:val="16"/>
              </w:rPr>
            </w:pPr>
            <w:r w:rsidRPr="00FC07B1">
              <w:rPr>
                <w:rFonts w:eastAsia="Arial"/>
                <w:b/>
                <w:bCs/>
                <w:sz w:val="16"/>
                <w:szCs w:val="16"/>
                <w:bdr w:val="nil"/>
              </w:rPr>
              <w:t>Actividad</w:t>
            </w:r>
          </w:p>
        </w:tc>
        <w:tc>
          <w:tcPr>
            <w:tcW w:w="1104" w:type="dxa"/>
            <w:tcBorders>
              <w:top w:val="nil"/>
              <w:left w:val="nil"/>
              <w:bottom w:val="nil"/>
              <w:right w:val="nil"/>
            </w:tcBorders>
            <w:vAlign w:val="center"/>
          </w:tcPr>
          <w:p w:rsidR="004E456B" w:rsidRPr="00FC07B1" w:rsidRDefault="004E456B" w:rsidP="00027A9C">
            <w:pPr>
              <w:spacing w:before="120" w:line="276" w:lineRule="auto"/>
              <w:rPr>
                <w:rFonts w:eastAsiaTheme="minorHAnsi"/>
                <w:sz w:val="16"/>
                <w:szCs w:val="16"/>
              </w:rPr>
            </w:pPr>
            <w:r w:rsidRPr="00FC07B1">
              <w:rPr>
                <w:rFonts w:eastAsia="Arial"/>
                <w:b/>
                <w:bCs/>
                <w:sz w:val="16"/>
                <w:szCs w:val="16"/>
                <w:bdr w:val="nil"/>
              </w:rPr>
              <w:t>Fecha</w:t>
            </w:r>
          </w:p>
        </w:tc>
        <w:tc>
          <w:tcPr>
            <w:tcW w:w="1926" w:type="dxa"/>
            <w:tcBorders>
              <w:top w:val="nil"/>
              <w:left w:val="nil"/>
              <w:bottom w:val="nil"/>
              <w:right w:val="nil"/>
            </w:tcBorders>
            <w:vAlign w:val="center"/>
          </w:tcPr>
          <w:p w:rsidR="004E456B" w:rsidRPr="00FC07B1" w:rsidRDefault="004E456B" w:rsidP="00027A9C">
            <w:pPr>
              <w:spacing w:before="120" w:line="276" w:lineRule="auto"/>
              <w:rPr>
                <w:rFonts w:eastAsiaTheme="minorHAnsi"/>
                <w:sz w:val="16"/>
                <w:szCs w:val="16"/>
              </w:rPr>
            </w:pPr>
            <w:r w:rsidRPr="00FC07B1">
              <w:rPr>
                <w:rFonts w:eastAsia="Arial"/>
                <w:b/>
                <w:bCs/>
                <w:sz w:val="16"/>
                <w:szCs w:val="16"/>
                <w:bdr w:val="nil"/>
              </w:rPr>
              <w:t>País anfitrión / Beneficiarios</w:t>
            </w:r>
          </w:p>
        </w:tc>
        <w:tc>
          <w:tcPr>
            <w:tcW w:w="4254" w:type="dxa"/>
            <w:tcBorders>
              <w:top w:val="nil"/>
              <w:left w:val="nil"/>
              <w:bottom w:val="nil"/>
              <w:right w:val="nil"/>
            </w:tcBorders>
            <w:vAlign w:val="center"/>
          </w:tcPr>
          <w:p w:rsidR="004E456B" w:rsidRPr="00FC07B1" w:rsidRDefault="004E456B" w:rsidP="00027A9C">
            <w:pPr>
              <w:spacing w:before="120" w:line="276" w:lineRule="auto"/>
              <w:rPr>
                <w:rFonts w:eastAsiaTheme="minorHAnsi"/>
                <w:sz w:val="16"/>
                <w:szCs w:val="16"/>
              </w:rPr>
            </w:pPr>
            <w:r w:rsidRPr="00FC07B1">
              <w:rPr>
                <w:rFonts w:eastAsia="Arial"/>
                <w:b/>
                <w:bCs/>
                <w:sz w:val="16"/>
                <w:szCs w:val="16"/>
                <w:bdr w:val="nil"/>
              </w:rPr>
              <w:t>Propósito(s)/Descripción</w:t>
            </w:r>
          </w:p>
        </w:tc>
      </w:tr>
      <w:tr w:rsidR="00286D86" w:rsidRPr="008466AF" w:rsidTr="00F15D44">
        <w:trPr>
          <w:cantSplit/>
          <w:trHeight w:val="315"/>
        </w:trPr>
        <w:tc>
          <w:tcPr>
            <w:tcW w:w="1788" w:type="dxa"/>
            <w:tcBorders>
              <w:top w:val="nil"/>
              <w:left w:val="nil"/>
              <w:bottom w:val="nil"/>
              <w:right w:val="nil"/>
            </w:tcBorders>
          </w:tcPr>
          <w:p w:rsidR="00286D86" w:rsidRPr="00FC07B1" w:rsidRDefault="00286D86" w:rsidP="00027A9C">
            <w:pPr>
              <w:autoSpaceDE w:val="0"/>
              <w:autoSpaceDN w:val="0"/>
              <w:adjustRightInd w:val="0"/>
              <w:spacing w:before="120" w:after="120" w:line="276" w:lineRule="auto"/>
              <w:rPr>
                <w:rFonts w:eastAsia="Arial"/>
                <w:sz w:val="16"/>
                <w:szCs w:val="16"/>
                <w:bdr w:val="nil"/>
              </w:rPr>
            </w:pPr>
            <w:r>
              <w:rPr>
                <w:rFonts w:eastAsia="Arial"/>
                <w:sz w:val="16"/>
                <w:szCs w:val="16"/>
                <w:bdr w:val="nil"/>
              </w:rPr>
              <w:t>Programa de estudios sobre innovación y transferencia de tecnología</w:t>
            </w:r>
          </w:p>
        </w:tc>
        <w:tc>
          <w:tcPr>
            <w:tcW w:w="1104" w:type="dxa"/>
            <w:tcBorders>
              <w:top w:val="nil"/>
              <w:left w:val="nil"/>
              <w:bottom w:val="nil"/>
              <w:right w:val="nil"/>
            </w:tcBorders>
          </w:tcPr>
          <w:p w:rsidR="00286D86" w:rsidRPr="00FC07B1" w:rsidRDefault="00286D86" w:rsidP="00027A9C">
            <w:pPr>
              <w:autoSpaceDE w:val="0"/>
              <w:autoSpaceDN w:val="0"/>
              <w:adjustRightInd w:val="0"/>
              <w:spacing w:before="120" w:after="120" w:line="276" w:lineRule="auto"/>
              <w:rPr>
                <w:rFonts w:eastAsia="Arial"/>
                <w:sz w:val="16"/>
                <w:szCs w:val="16"/>
                <w:bdr w:val="nil"/>
              </w:rPr>
            </w:pPr>
            <w:r>
              <w:rPr>
                <w:rFonts w:eastAsia="Arial"/>
                <w:sz w:val="16"/>
                <w:szCs w:val="16"/>
                <w:bdr w:val="nil"/>
              </w:rPr>
              <w:t>8 a 10 de marzo de 2016</w:t>
            </w:r>
          </w:p>
        </w:tc>
        <w:tc>
          <w:tcPr>
            <w:tcW w:w="1926" w:type="dxa"/>
            <w:tcBorders>
              <w:top w:val="nil"/>
              <w:left w:val="nil"/>
              <w:bottom w:val="nil"/>
              <w:right w:val="nil"/>
            </w:tcBorders>
          </w:tcPr>
          <w:p w:rsidR="00286D86" w:rsidRPr="00FC07B1" w:rsidRDefault="00286D86" w:rsidP="00027A9C">
            <w:pPr>
              <w:autoSpaceDE w:val="0"/>
              <w:autoSpaceDN w:val="0"/>
              <w:adjustRightInd w:val="0"/>
              <w:spacing w:before="120" w:after="120" w:line="276" w:lineRule="auto"/>
              <w:rPr>
                <w:rFonts w:eastAsia="Arial"/>
                <w:sz w:val="16"/>
                <w:szCs w:val="16"/>
                <w:bdr w:val="nil"/>
              </w:rPr>
            </w:pPr>
            <w:r>
              <w:rPr>
                <w:rFonts w:eastAsia="Arial"/>
                <w:sz w:val="16"/>
                <w:szCs w:val="16"/>
                <w:bdr w:val="nil"/>
              </w:rPr>
              <w:t>Japón/ 6 participantes, de Egipto, Kenya, Ghana, Marruecos, Nigeria, Sudáfrica</w:t>
            </w:r>
          </w:p>
        </w:tc>
        <w:tc>
          <w:tcPr>
            <w:tcW w:w="4254" w:type="dxa"/>
            <w:tcBorders>
              <w:top w:val="nil"/>
              <w:left w:val="nil"/>
              <w:bottom w:val="nil"/>
              <w:right w:val="nil"/>
            </w:tcBorders>
          </w:tcPr>
          <w:p w:rsidR="00286D86" w:rsidRPr="00FC07B1" w:rsidRDefault="003F18F6" w:rsidP="003F18F6">
            <w:pPr>
              <w:autoSpaceDE w:val="0"/>
              <w:autoSpaceDN w:val="0"/>
              <w:adjustRightInd w:val="0"/>
              <w:spacing w:before="120" w:after="120" w:line="276" w:lineRule="auto"/>
              <w:rPr>
                <w:rFonts w:eastAsia="Arial"/>
                <w:sz w:val="16"/>
                <w:szCs w:val="16"/>
                <w:bdr w:val="nil"/>
              </w:rPr>
            </w:pPr>
            <w:r>
              <w:rPr>
                <w:rFonts w:eastAsia="Arial"/>
                <w:sz w:val="16"/>
                <w:szCs w:val="16"/>
                <w:bdr w:val="nil"/>
              </w:rPr>
              <w:t>Profundizar el conocimiento de cómo las instituciones japonesas pertinentes administran su P.I., y aprender de las experiencias positivas adquiridas sobre el fomento de la transferencia de tecnología y su comercialización.</w:t>
            </w:r>
          </w:p>
        </w:tc>
      </w:tr>
      <w:tr w:rsidR="004E456B" w:rsidRPr="008466AF" w:rsidTr="00F15D44">
        <w:trPr>
          <w:cantSplit/>
          <w:trHeight w:val="315"/>
        </w:trPr>
        <w:tc>
          <w:tcPr>
            <w:tcW w:w="1788"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Visita de estudio Coordinadores de propiedad intelectual de las Comunidades Económicas Regionales y los Órganos Ejecutivos de la Unión Africana</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17 a 19 de mayo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Ginebra/ COMESA, ECCAS, CEDEAO, SADC, UEMOA</w:t>
            </w:r>
          </w:p>
        </w:tc>
        <w:tc>
          <w:tcPr>
            <w:tcW w:w="425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 xml:space="preserve"> i) Mejorar la cooperación con la Unión Africana y las comunidades económicas regionales; ii) establecer contacto con los coordinadores de P.I. designados oficialmente; y iii) fomentar la presencia y la actividad de la OMPI en la región africana.</w:t>
            </w:r>
          </w:p>
        </w:tc>
      </w:tr>
      <w:tr w:rsidR="004E456B" w:rsidRPr="008466AF" w:rsidTr="00F15D44">
        <w:trPr>
          <w:cantSplit/>
          <w:trHeight w:val="315"/>
        </w:trPr>
        <w:tc>
          <w:tcPr>
            <w:tcW w:w="9072" w:type="dxa"/>
            <w:gridSpan w:val="4"/>
            <w:tcBorders>
              <w:top w:val="nil"/>
              <w:left w:val="nil"/>
              <w:bottom w:val="nil"/>
              <w:right w:val="nil"/>
            </w:tcBorders>
            <w:shd w:val="clear" w:color="auto" w:fill="C6D9F1" w:themeFill="text2" w:themeFillTint="33"/>
          </w:tcPr>
          <w:p w:rsidR="004E456B" w:rsidRPr="00FC07B1" w:rsidRDefault="004E456B" w:rsidP="007B5E22">
            <w:pPr>
              <w:tabs>
                <w:tab w:val="left" w:pos="1740"/>
              </w:tabs>
              <w:spacing w:before="120" w:after="120" w:line="276" w:lineRule="auto"/>
              <w:ind w:left="1740" w:hanging="1740"/>
              <w:rPr>
                <w:rFonts w:eastAsiaTheme="minorHAnsi"/>
                <w:sz w:val="16"/>
                <w:szCs w:val="16"/>
              </w:rPr>
            </w:pPr>
            <w:r w:rsidRPr="00FC07B1">
              <w:rPr>
                <w:rFonts w:eastAsia="Arial"/>
                <w:b/>
                <w:bCs/>
                <w:sz w:val="16"/>
                <w:szCs w:val="16"/>
                <w:bdr w:val="nil"/>
              </w:rPr>
              <w:t>RESULTADO:</w:t>
            </w:r>
            <w:r w:rsidRPr="00FC07B1">
              <w:rPr>
                <w:rFonts w:eastAsia="Arial"/>
                <w:b/>
                <w:bCs/>
                <w:sz w:val="16"/>
                <w:szCs w:val="16"/>
                <w:bdr w:val="nil"/>
              </w:rPr>
              <w:tab/>
            </w:r>
            <w:r w:rsidRPr="00FC07B1">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Tr="00F15D44">
        <w:trPr>
          <w:cantSplit/>
          <w:trHeight w:val="429"/>
        </w:trPr>
        <w:tc>
          <w:tcPr>
            <w:tcW w:w="1788" w:type="dxa"/>
            <w:tcBorders>
              <w:top w:val="nil"/>
              <w:left w:val="nil"/>
              <w:bottom w:val="nil"/>
              <w:right w:val="nil"/>
            </w:tcBorders>
            <w:vAlign w:val="center"/>
          </w:tcPr>
          <w:p w:rsidR="004E456B" w:rsidRPr="00FC07B1" w:rsidRDefault="004E456B" w:rsidP="007B5E22">
            <w:pPr>
              <w:spacing w:before="120" w:after="200" w:line="276" w:lineRule="auto"/>
              <w:rPr>
                <w:rFonts w:eastAsiaTheme="minorHAnsi"/>
                <w:b/>
                <w:bCs/>
                <w:sz w:val="16"/>
                <w:szCs w:val="16"/>
              </w:rPr>
            </w:pPr>
            <w:r w:rsidRPr="00FC07B1">
              <w:rPr>
                <w:rFonts w:eastAsia="Arial"/>
                <w:b/>
                <w:bCs/>
                <w:sz w:val="16"/>
                <w:szCs w:val="16"/>
                <w:bdr w:val="nil"/>
              </w:rPr>
              <w:t>Actividad</w:t>
            </w:r>
          </w:p>
        </w:tc>
        <w:tc>
          <w:tcPr>
            <w:tcW w:w="1104" w:type="dxa"/>
            <w:tcBorders>
              <w:top w:val="nil"/>
              <w:left w:val="nil"/>
              <w:bottom w:val="nil"/>
              <w:right w:val="nil"/>
            </w:tcBorders>
            <w:vAlign w:val="center"/>
          </w:tcPr>
          <w:p w:rsidR="004E456B" w:rsidRPr="00FC07B1" w:rsidRDefault="004E456B" w:rsidP="007B5E22">
            <w:pPr>
              <w:spacing w:before="120" w:after="200" w:line="276" w:lineRule="auto"/>
              <w:rPr>
                <w:rFonts w:eastAsiaTheme="minorHAnsi"/>
                <w:sz w:val="16"/>
                <w:szCs w:val="16"/>
              </w:rPr>
            </w:pPr>
            <w:r w:rsidRPr="00FC07B1">
              <w:rPr>
                <w:rFonts w:eastAsia="Arial"/>
                <w:b/>
                <w:bCs/>
                <w:sz w:val="16"/>
                <w:szCs w:val="16"/>
                <w:bdr w:val="nil"/>
              </w:rPr>
              <w:t>Fecha</w:t>
            </w:r>
          </w:p>
        </w:tc>
        <w:tc>
          <w:tcPr>
            <w:tcW w:w="1926" w:type="dxa"/>
            <w:tcBorders>
              <w:top w:val="nil"/>
              <w:left w:val="nil"/>
              <w:bottom w:val="nil"/>
              <w:right w:val="nil"/>
            </w:tcBorders>
            <w:vAlign w:val="center"/>
          </w:tcPr>
          <w:p w:rsidR="004E456B" w:rsidRPr="00FC07B1" w:rsidRDefault="004E456B" w:rsidP="007B5E22">
            <w:pPr>
              <w:spacing w:before="120" w:after="200" w:line="276" w:lineRule="auto"/>
              <w:rPr>
                <w:rFonts w:eastAsiaTheme="minorHAnsi"/>
                <w:sz w:val="16"/>
                <w:szCs w:val="16"/>
              </w:rPr>
            </w:pPr>
            <w:r w:rsidRPr="00FC07B1">
              <w:rPr>
                <w:rFonts w:eastAsia="Arial"/>
                <w:b/>
                <w:bCs/>
                <w:sz w:val="16"/>
                <w:szCs w:val="16"/>
                <w:bdr w:val="nil"/>
              </w:rPr>
              <w:t>País anfitrión / Beneficiarios</w:t>
            </w:r>
          </w:p>
        </w:tc>
        <w:tc>
          <w:tcPr>
            <w:tcW w:w="4254" w:type="dxa"/>
            <w:tcBorders>
              <w:top w:val="nil"/>
              <w:left w:val="nil"/>
              <w:bottom w:val="nil"/>
              <w:right w:val="nil"/>
            </w:tcBorders>
            <w:vAlign w:val="center"/>
          </w:tcPr>
          <w:p w:rsidR="004E456B" w:rsidRPr="00FC07B1" w:rsidRDefault="004E456B" w:rsidP="007B5E22">
            <w:pPr>
              <w:spacing w:before="120" w:after="200" w:line="276" w:lineRule="auto"/>
              <w:rPr>
                <w:rFonts w:eastAsiaTheme="minorHAnsi"/>
                <w:sz w:val="16"/>
                <w:szCs w:val="16"/>
              </w:rPr>
            </w:pPr>
            <w:r w:rsidRPr="00FC07B1">
              <w:rPr>
                <w:rFonts w:eastAsia="Arial"/>
                <w:b/>
                <w:bCs/>
                <w:sz w:val="16"/>
                <w:szCs w:val="16"/>
                <w:bdr w:val="nil"/>
              </w:rPr>
              <w:t>Propósito(s)/Descripción</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7B5E22">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Reunión de planificación y primer taller de formación para un proyecto de desarrollo de marca basado en P.I. para "Taita Basket"</w:t>
            </w:r>
          </w:p>
        </w:tc>
        <w:tc>
          <w:tcPr>
            <w:tcW w:w="1104" w:type="dxa"/>
            <w:tcBorders>
              <w:top w:val="nil"/>
              <w:left w:val="nil"/>
              <w:bottom w:val="nil"/>
              <w:right w:val="nil"/>
            </w:tcBorders>
          </w:tcPr>
          <w:p w:rsidR="004E456B" w:rsidRPr="00FC07B1" w:rsidRDefault="004E456B" w:rsidP="007B5E22">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15 a 19 de febrero de 2016</w:t>
            </w:r>
          </w:p>
        </w:tc>
        <w:tc>
          <w:tcPr>
            <w:tcW w:w="1926" w:type="dxa"/>
            <w:tcBorders>
              <w:top w:val="nil"/>
              <w:left w:val="nil"/>
              <w:bottom w:val="nil"/>
              <w:right w:val="nil"/>
            </w:tcBorders>
          </w:tcPr>
          <w:p w:rsidR="004E456B" w:rsidRPr="00FC07B1" w:rsidRDefault="004E456B" w:rsidP="007B5E22">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Kenya/ 30 participantes locales</w:t>
            </w:r>
          </w:p>
        </w:tc>
        <w:tc>
          <w:tcPr>
            <w:tcW w:w="4254" w:type="dxa"/>
            <w:tcBorders>
              <w:top w:val="nil"/>
              <w:left w:val="nil"/>
              <w:bottom w:val="nil"/>
              <w:right w:val="nil"/>
            </w:tcBorders>
          </w:tcPr>
          <w:p w:rsidR="004E456B" w:rsidRPr="009703BB" w:rsidRDefault="004E456B" w:rsidP="007B5E22">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i) Debatir y acordar la estrategia de aplicación del proyecto de desarrollo de marca; ii) dotar de conocimientos de P.I. a los tejedores de canastas; y iii) sensibilizarlos sobre la importancia de las normas y el control de calidad.</w:t>
            </w:r>
          </w:p>
        </w:tc>
      </w:tr>
      <w:tr w:rsidR="003F18F6" w:rsidRPr="008466AF" w:rsidTr="00F15D44">
        <w:trPr>
          <w:cantSplit/>
          <w:trHeight w:val="315"/>
        </w:trPr>
        <w:tc>
          <w:tcPr>
            <w:tcW w:w="1788" w:type="dxa"/>
            <w:tcBorders>
              <w:top w:val="nil"/>
              <w:left w:val="nil"/>
              <w:bottom w:val="nil"/>
              <w:right w:val="nil"/>
            </w:tcBorders>
          </w:tcPr>
          <w:p w:rsidR="003F18F6" w:rsidRDefault="003F18F6" w:rsidP="00027A9C">
            <w:pPr>
              <w:autoSpaceDE w:val="0"/>
              <w:autoSpaceDN w:val="0"/>
              <w:adjustRightInd w:val="0"/>
              <w:spacing w:before="120" w:after="120" w:line="276" w:lineRule="auto"/>
              <w:rPr>
                <w:rFonts w:eastAsia="Arial"/>
                <w:color w:val="000000"/>
                <w:sz w:val="16"/>
                <w:szCs w:val="16"/>
                <w:bdr w:val="nil"/>
              </w:rPr>
            </w:pPr>
            <w:r>
              <w:rPr>
                <w:rFonts w:eastAsia="Arial"/>
                <w:color w:val="000000"/>
                <w:sz w:val="16"/>
                <w:szCs w:val="16"/>
                <w:bdr w:val="nil"/>
              </w:rPr>
              <w:t>Taller de formación</w:t>
            </w:r>
            <w:r w:rsidR="001C78CD">
              <w:rPr>
                <w:rFonts w:eastAsia="Arial"/>
                <w:color w:val="000000"/>
                <w:sz w:val="16"/>
                <w:szCs w:val="16"/>
                <w:bdr w:val="nil"/>
              </w:rPr>
              <w:t xml:space="preserve"> para examinadores de patentes</w:t>
            </w:r>
            <w:r>
              <w:rPr>
                <w:rFonts w:eastAsia="Arial"/>
                <w:color w:val="000000"/>
                <w:sz w:val="16"/>
                <w:szCs w:val="16"/>
                <w:bdr w:val="nil"/>
              </w:rPr>
              <w:t xml:space="preserve"> sobre información contenida en patentes, métodos de búsqueda en el estado de la técnica y utilización de los productos del examen de terceros</w:t>
            </w:r>
          </w:p>
        </w:tc>
        <w:tc>
          <w:tcPr>
            <w:tcW w:w="1104" w:type="dxa"/>
            <w:tcBorders>
              <w:top w:val="nil"/>
              <w:left w:val="nil"/>
              <w:bottom w:val="nil"/>
              <w:right w:val="nil"/>
            </w:tcBorders>
          </w:tcPr>
          <w:p w:rsidR="003F18F6" w:rsidRPr="00FC07B1" w:rsidRDefault="001C78CD" w:rsidP="00027A9C">
            <w:pPr>
              <w:autoSpaceDE w:val="0"/>
              <w:autoSpaceDN w:val="0"/>
              <w:adjustRightInd w:val="0"/>
              <w:spacing w:before="120" w:after="120" w:line="276" w:lineRule="auto"/>
              <w:rPr>
                <w:rFonts w:eastAsia="Arial"/>
                <w:sz w:val="16"/>
                <w:szCs w:val="16"/>
                <w:bdr w:val="nil"/>
              </w:rPr>
            </w:pPr>
            <w:r>
              <w:rPr>
                <w:rFonts w:eastAsia="Arial"/>
                <w:sz w:val="16"/>
                <w:szCs w:val="16"/>
                <w:bdr w:val="nil"/>
              </w:rPr>
              <w:t>14 a 18 de marzo de 2016</w:t>
            </w:r>
          </w:p>
        </w:tc>
        <w:tc>
          <w:tcPr>
            <w:tcW w:w="1926" w:type="dxa"/>
            <w:tcBorders>
              <w:top w:val="nil"/>
              <w:left w:val="nil"/>
              <w:bottom w:val="nil"/>
              <w:right w:val="nil"/>
            </w:tcBorders>
          </w:tcPr>
          <w:p w:rsidR="003F18F6" w:rsidRPr="00FC07B1" w:rsidRDefault="001C78CD" w:rsidP="00027A9C">
            <w:pPr>
              <w:autoSpaceDE w:val="0"/>
              <w:autoSpaceDN w:val="0"/>
              <w:adjustRightInd w:val="0"/>
              <w:spacing w:before="120" w:after="120" w:line="276" w:lineRule="auto"/>
              <w:rPr>
                <w:rFonts w:eastAsia="Arial"/>
                <w:sz w:val="16"/>
                <w:szCs w:val="16"/>
                <w:bdr w:val="nil"/>
              </w:rPr>
            </w:pPr>
            <w:r>
              <w:rPr>
                <w:rFonts w:eastAsia="Arial"/>
                <w:sz w:val="16"/>
                <w:szCs w:val="16"/>
                <w:bdr w:val="nil"/>
              </w:rPr>
              <w:t xml:space="preserve">Sudáfrica/ 17 participantes de la </w:t>
            </w:r>
            <w:r w:rsidRPr="001C78CD">
              <w:rPr>
                <w:rFonts w:eastAsia="Arial"/>
                <w:sz w:val="16"/>
                <w:szCs w:val="16"/>
                <w:bdr w:val="nil"/>
              </w:rPr>
              <w:t>Comisión de Empresas y Propiedad Intelectual (CIPC)</w:t>
            </w:r>
          </w:p>
        </w:tc>
        <w:tc>
          <w:tcPr>
            <w:tcW w:w="4254" w:type="dxa"/>
            <w:tcBorders>
              <w:top w:val="nil"/>
              <w:left w:val="nil"/>
              <w:bottom w:val="nil"/>
              <w:right w:val="nil"/>
            </w:tcBorders>
          </w:tcPr>
          <w:p w:rsidR="003F18F6" w:rsidRDefault="00490413" w:rsidP="00027A9C">
            <w:pPr>
              <w:autoSpaceDE w:val="0"/>
              <w:autoSpaceDN w:val="0"/>
              <w:adjustRightInd w:val="0"/>
              <w:spacing w:before="120" w:after="120" w:line="276" w:lineRule="auto"/>
              <w:rPr>
                <w:rFonts w:eastAsia="Arial"/>
                <w:color w:val="000000"/>
                <w:sz w:val="16"/>
                <w:szCs w:val="16"/>
                <w:bdr w:val="nil"/>
              </w:rPr>
            </w:pPr>
            <w:r>
              <w:rPr>
                <w:rFonts w:eastAsia="Arial"/>
                <w:color w:val="000000"/>
                <w:sz w:val="16"/>
                <w:szCs w:val="16"/>
                <w:bdr w:val="nil"/>
              </w:rPr>
              <w:t>Ofrecer a 17 funcionarios recientemente contratados por la CIPC un taller introductorio de 5 días de duración sobre la información contenida en patentes y la utilización de los productos del examen que han realizado terceras partes</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lastRenderedPageBreak/>
              <w:t>Segundo taller de formación y reunión de partes interesadas del proyecto de desarrollo de marca basado en la propiedad intelectual para "Taita Basket"</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20 a 24 de junio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Kenya/ unos 450 participantes locales</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 xml:space="preserve">i) Examinar y aprobar el proyecto de constitución de la asociación, el proyecto de diseño del logotipo de la marca colectiva, el proyecto de normas de calidad y el proyecto de reglamentación que acompañan a la marca; ii) impartir conocimientos sobre marcas colectivas a los tejedores de canastas; y iii) mejorar la calidad de las canastas, con el fin de cumplir los requisitos de calidad exigidos por la reglamentación de la marca. </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Conferencia subregional sobre las políticas de P.I. en las Universidades y los institutos de investigación</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11 y 12 de mayo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Marruecos/ 50 participantes de Argelia, Benin, Botswana, Burkina Faso, Camerún, Congo, Egipto, Etiopía, Gabón, Ghana, Guinea, Kenya, Malí, Mozambique, Níger, Nigeria, Senegal, Uganda, ARIPO, OAPI</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 xml:space="preserve">i) Presentar un modelo de política de P.I. preparado por la OMPI para las instituciones académicas a un grupo selecto de universidades, institutos de investigación y ministerios a cargo de la ciencia y la educación superior en los países africanos; ii) enriquecer el modelo con las experiencias de los países; iii) seleccionar universidades e institutos de investigación para introducir la política de P.I. en tanto que proyecto piloto; y iv) comenzar la puesta en práctica del proyecto piloto. </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Taller subregional de la propiedad intelectual para jóvenes innovadores: de la idea al mercado</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22 y 23 de junio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Botswana/ 50 participantes de Argelia, Botswana, Etiopía, Ghana, Kenya, Marruecos, Níger, Nigeria, Rwanda, Togo, Uganda, Zambia, Zimbabwe</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i) Proporcionar una plataforma para el intercambio de opiniones y experiencias de jóvenes inventores e innovadores africanos; ii) impartir enseñanzas a los participantes sobre el sistema de P.I. y la manera de utilizar el proyecto para proteger, desarrollar y comercializar innovaciones; ii) ampliar los conocimientos  sobre los costos y beneficios de utilizar el sistema de P.I. desde una perspectiva nacional, regional o internacional; y iii) proporcionar un foro en el que compartir conocimientos mediante una sesión interactiva con facilitadores de innovación en los distintos ámbitos de la innovación.</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 xml:space="preserve">Taller interregional de la OMPI, la Oficina Japonesa de Patentes y la OMPIC para funcionarios de aduanas sobre la observancia de la propiedad intelectual </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17 a 19 de mayo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Marruecos/ 21 participantes de Egipto, Gabón, Ghana, Guinea, Kenya, Mauritania, Nigeria, Senegal, Sudáfrica, Túnez</w:t>
            </w:r>
          </w:p>
        </w:tc>
        <w:tc>
          <w:tcPr>
            <w:tcW w:w="4254" w:type="dxa"/>
            <w:tcBorders>
              <w:top w:val="nil"/>
              <w:left w:val="nil"/>
              <w:bottom w:val="nil"/>
              <w:right w:val="nil"/>
            </w:tcBorders>
          </w:tcPr>
          <w:p w:rsidR="004E456B" w:rsidRPr="009703BB" w:rsidRDefault="004E456B" w:rsidP="002C37EA">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i) Ampliar los conocimientos sobre la observancia de P.I. en las fronteras y sus desafíos; ii) aumentar la eficacia de la aplicación de las medidas fronterizas en sintonía con la Parte III del Acuerdo sobre los ADPIC en aras del desarrollo y la protección del consumidor; y iii) intercambiar experiencias e información, incluidas las perspectivas del Japón.</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 xml:space="preserve">Programa de Maestría en propiedad intelectual (MIP) ofrecido conjuntamente por la OMPI, la OAPI y la Universidad de Yaundé II </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Enero a junio de 2016</w:t>
            </w:r>
          </w:p>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(en curso)</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Camerún/ 10 becas otorgadas a estudiantes seleccionados de Benín, Burkina Faso, Camerún, Comoras, Congo, Gabón, Guinea, Madagascar, Níger y Togo</w:t>
            </w:r>
          </w:p>
        </w:tc>
        <w:tc>
          <w:tcPr>
            <w:tcW w:w="425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i) Impartir formación general y especializada sobre P.I. a los funcionarios gubernamentales y profesionales que trabajan en este ámbito;  y ii) brindar oportunidades para el desarrollo de los recursos humanos y el fortalecimiento de las capacidades a través de cursos de formación y enseñanza sobre P.I. dirigidos a personas que se dedican a la enseñanza y la investigación en esta materia en las universidades y otras instituciones.</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Programa de Maestría en propiedad intelectual (MIP) ofrecido conjuntamente por la OMPI, la ARIPO y la Universidad Africana</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Mayo a diciembre de 2016</w:t>
            </w:r>
          </w:p>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(en curso)</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Zimbabwe/ 10 becas otorgadas a estudiantes seleccionados de Botswana, Burundi, Ghana, Kenya, Liberia, Malawi, Mozambique, Nigeria, Uganda, Zimbabwe</w:t>
            </w:r>
          </w:p>
        </w:tc>
        <w:tc>
          <w:tcPr>
            <w:tcW w:w="425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i) Impartir formación general y especializada sobre P.I. a los funcionarios gubernamentales y profesionales que trabajan en este ámbito;  y ii) brindar oportunidades para el desarrollo de los recursos humanos y el fortalecimiento de las capacidades a través de cursos de formación y enseñanza sobre P.I. dirigidos a personas que se dedican a la enseñanza y la investigación en esta materia en las universidades y otras instituciones.</w:t>
            </w:r>
          </w:p>
        </w:tc>
      </w:tr>
      <w:tr w:rsidR="004E456B" w:rsidRPr="008466AF" w:rsidTr="00F15D44">
        <w:trPr>
          <w:cantSplit/>
          <w:trHeight w:val="315"/>
        </w:trPr>
        <w:tc>
          <w:tcPr>
            <w:tcW w:w="1788" w:type="dxa"/>
            <w:tcBorders>
              <w:top w:val="nil"/>
              <w:left w:val="nil"/>
              <w:bottom w:val="nil"/>
              <w:right w:val="nil"/>
            </w:tcBorders>
          </w:tcPr>
          <w:p w:rsidR="004E456B" w:rsidRPr="00931F05" w:rsidRDefault="004E456B" w:rsidP="00027A9C">
            <w:pPr>
              <w:autoSpaceDE w:val="0"/>
              <w:autoSpaceDN w:val="0"/>
              <w:adjustRightInd w:val="0"/>
              <w:spacing w:before="120" w:after="120" w:line="276" w:lineRule="auto"/>
              <w:rPr>
                <w:rFonts w:eastAsiaTheme="minorHAnsi"/>
                <w:color w:val="000000"/>
                <w:sz w:val="16"/>
                <w:szCs w:val="16"/>
              </w:rPr>
            </w:pPr>
            <w:r w:rsidRPr="00FC07B1">
              <w:rPr>
                <w:rFonts w:eastAsia="Arial"/>
                <w:sz w:val="16"/>
                <w:szCs w:val="16"/>
                <w:bdr w:val="nil"/>
              </w:rPr>
              <w:lastRenderedPageBreak/>
              <w:t>Curso avanzado de verano OMPI-Sudáfrica sobre propiedad intelectual y transferencia de tecnología</w:t>
            </w:r>
          </w:p>
        </w:tc>
        <w:tc>
          <w:tcPr>
            <w:tcW w:w="110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5 a 15 de diciembre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Sudáfrica/ 10 becas otorgadas a estudiantes seleccionados de Botswana, Camerún, Ghana, Kenya, Malawi, Namibia, Nigeria, Swazilandia, Uganda, Zimbabwe</w:t>
            </w:r>
          </w:p>
        </w:tc>
        <w:tc>
          <w:tcPr>
            <w:tcW w:w="4254"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Brindar la oportunidad a estudiantes universitarios avanzados (de grado y posgrado) y a jóvenes profesionales de i) adquirir conocimientos profundos sobre la interfaz entre la P.I. y la transferencia de tecnología;  y ii) debatir cuestiones de P.I. relacionadas con las negociaciones de licencia a través de casos prácticos y ejercicios de simulación.</w:t>
            </w:r>
          </w:p>
        </w:tc>
      </w:tr>
      <w:tr w:rsidR="004E456B" w:rsidRPr="008466AF" w:rsidTr="00F15D44">
        <w:trPr>
          <w:cantSplit/>
          <w:trHeight w:val="315"/>
        </w:trPr>
        <w:tc>
          <w:tcPr>
            <w:tcW w:w="9072" w:type="dxa"/>
            <w:gridSpan w:val="4"/>
            <w:tcBorders>
              <w:top w:val="nil"/>
              <w:left w:val="nil"/>
              <w:bottom w:val="nil"/>
              <w:right w:val="nil"/>
            </w:tcBorders>
            <w:shd w:val="clear" w:color="auto" w:fill="C6D9F1" w:themeFill="text2" w:themeFillTint="33"/>
          </w:tcPr>
          <w:p w:rsidR="004E456B" w:rsidRPr="00FC07B1" w:rsidRDefault="004E456B" w:rsidP="00027A9C">
            <w:pPr>
              <w:keepNext/>
              <w:keepLines/>
              <w:tabs>
                <w:tab w:val="left" w:pos="1740"/>
              </w:tabs>
              <w:spacing w:before="120" w:after="120" w:line="276" w:lineRule="auto"/>
              <w:ind w:left="1740" w:hanging="1740"/>
              <w:rPr>
                <w:rFonts w:eastAsiaTheme="minorHAnsi"/>
                <w:b/>
                <w:bCs/>
                <w:sz w:val="16"/>
                <w:szCs w:val="16"/>
              </w:rPr>
            </w:pPr>
            <w:r w:rsidRPr="00FC07B1">
              <w:rPr>
                <w:rFonts w:eastAsia="Arial"/>
                <w:b/>
                <w:bCs/>
                <w:sz w:val="16"/>
                <w:szCs w:val="16"/>
                <w:bdr w:val="nil"/>
              </w:rPr>
              <w:t>RESULTADO:</w:t>
            </w:r>
            <w:r w:rsidRPr="00FC07B1">
              <w:rPr>
                <w:rFonts w:eastAsia="Arial"/>
                <w:b/>
                <w:bCs/>
                <w:sz w:val="16"/>
                <w:szCs w:val="16"/>
                <w:bdr w:val="nil"/>
              </w:rPr>
              <w:tab/>
            </w:r>
            <w:r w:rsidRPr="00FC07B1">
              <w:rPr>
                <w:rFonts w:eastAsia="Arial"/>
                <w:sz w:val="16"/>
                <w:szCs w:val="16"/>
                <w:bdr w:val="nil"/>
              </w:rPr>
              <w:t>IV.2  Mejora del acceso y uso de información de P.I. por parte de instituciones de P.I. y el público para fomentar la innovación y la creatividad</w:t>
            </w:r>
          </w:p>
        </w:tc>
      </w:tr>
      <w:tr w:rsidR="004E456B" w:rsidTr="00F15D44">
        <w:trPr>
          <w:cantSplit/>
          <w:trHeight w:val="315"/>
        </w:trPr>
        <w:tc>
          <w:tcPr>
            <w:tcW w:w="1788" w:type="dxa"/>
            <w:tcBorders>
              <w:top w:val="nil"/>
              <w:left w:val="nil"/>
              <w:bottom w:val="nil"/>
              <w:right w:val="nil"/>
            </w:tcBorders>
            <w:vAlign w:val="center"/>
          </w:tcPr>
          <w:p w:rsidR="004E456B" w:rsidRPr="00FC07B1" w:rsidRDefault="004E456B" w:rsidP="00027A9C">
            <w:pPr>
              <w:keepNext/>
              <w:keepLines/>
              <w:spacing w:before="120" w:line="276" w:lineRule="auto"/>
              <w:rPr>
                <w:rFonts w:eastAsiaTheme="minorHAnsi"/>
                <w:b/>
                <w:bCs/>
                <w:sz w:val="16"/>
                <w:szCs w:val="16"/>
              </w:rPr>
            </w:pPr>
            <w:r w:rsidRPr="00FC07B1">
              <w:rPr>
                <w:rFonts w:eastAsia="Arial"/>
                <w:b/>
                <w:bCs/>
                <w:sz w:val="16"/>
                <w:szCs w:val="16"/>
                <w:bdr w:val="nil"/>
              </w:rPr>
              <w:t>Actividad</w:t>
            </w:r>
          </w:p>
        </w:tc>
        <w:tc>
          <w:tcPr>
            <w:tcW w:w="1104" w:type="dxa"/>
            <w:tcBorders>
              <w:top w:val="nil"/>
              <w:left w:val="nil"/>
              <w:bottom w:val="nil"/>
              <w:right w:val="nil"/>
            </w:tcBorders>
            <w:vAlign w:val="center"/>
          </w:tcPr>
          <w:p w:rsidR="004E456B" w:rsidRPr="00FC07B1" w:rsidRDefault="004E456B" w:rsidP="00027A9C">
            <w:pPr>
              <w:keepNext/>
              <w:keepLines/>
              <w:spacing w:before="120" w:line="276" w:lineRule="auto"/>
              <w:rPr>
                <w:rFonts w:eastAsiaTheme="minorHAnsi"/>
                <w:sz w:val="16"/>
                <w:szCs w:val="16"/>
              </w:rPr>
            </w:pPr>
            <w:r w:rsidRPr="00FC07B1">
              <w:rPr>
                <w:rFonts w:eastAsia="Arial"/>
                <w:b/>
                <w:bCs/>
                <w:sz w:val="16"/>
                <w:szCs w:val="16"/>
                <w:bdr w:val="nil"/>
              </w:rPr>
              <w:t>Fecha</w:t>
            </w:r>
          </w:p>
        </w:tc>
        <w:tc>
          <w:tcPr>
            <w:tcW w:w="1926" w:type="dxa"/>
            <w:tcBorders>
              <w:top w:val="nil"/>
              <w:left w:val="nil"/>
              <w:bottom w:val="nil"/>
              <w:right w:val="nil"/>
            </w:tcBorders>
            <w:vAlign w:val="center"/>
          </w:tcPr>
          <w:p w:rsidR="004E456B" w:rsidRPr="00FC07B1" w:rsidRDefault="004E456B" w:rsidP="00027A9C">
            <w:pPr>
              <w:keepNext/>
              <w:keepLines/>
              <w:spacing w:before="120" w:line="276" w:lineRule="auto"/>
              <w:rPr>
                <w:rFonts w:eastAsiaTheme="minorHAnsi"/>
                <w:sz w:val="16"/>
                <w:szCs w:val="16"/>
              </w:rPr>
            </w:pPr>
            <w:r w:rsidRPr="00FC07B1">
              <w:rPr>
                <w:rFonts w:eastAsia="Arial"/>
                <w:b/>
                <w:bCs/>
                <w:sz w:val="16"/>
                <w:szCs w:val="16"/>
                <w:bdr w:val="nil"/>
              </w:rPr>
              <w:t>País anfitrión / Beneficiarios</w:t>
            </w:r>
          </w:p>
        </w:tc>
        <w:tc>
          <w:tcPr>
            <w:tcW w:w="4254" w:type="dxa"/>
            <w:tcBorders>
              <w:top w:val="nil"/>
              <w:left w:val="nil"/>
              <w:bottom w:val="nil"/>
              <w:right w:val="nil"/>
            </w:tcBorders>
            <w:vAlign w:val="center"/>
          </w:tcPr>
          <w:p w:rsidR="004E456B" w:rsidRPr="000B20DD" w:rsidRDefault="004E456B" w:rsidP="00027A9C">
            <w:pPr>
              <w:keepNext/>
              <w:keepLines/>
              <w:spacing w:before="120" w:line="276" w:lineRule="auto"/>
              <w:rPr>
                <w:rFonts w:eastAsiaTheme="minorHAnsi"/>
                <w:sz w:val="16"/>
                <w:szCs w:val="16"/>
              </w:rPr>
            </w:pPr>
            <w:r w:rsidRPr="00FC07B1">
              <w:rPr>
                <w:rFonts w:eastAsia="Arial"/>
                <w:b/>
                <w:bCs/>
                <w:sz w:val="16"/>
                <w:szCs w:val="16"/>
                <w:bdr w:val="nil"/>
              </w:rPr>
              <w:t>Propósito(s)/Descripción</w:t>
            </w:r>
          </w:p>
        </w:tc>
      </w:tr>
      <w:tr w:rsidR="004E456B" w:rsidRPr="008466AF" w:rsidTr="00F15D44">
        <w:trPr>
          <w:cantSplit/>
          <w:trHeight w:val="432"/>
        </w:trPr>
        <w:tc>
          <w:tcPr>
            <w:tcW w:w="1788" w:type="dxa"/>
            <w:tcBorders>
              <w:top w:val="nil"/>
              <w:left w:val="nil"/>
              <w:bottom w:val="nil"/>
              <w:right w:val="nil"/>
            </w:tcBorders>
          </w:tcPr>
          <w:p w:rsidR="004E456B" w:rsidRPr="00FC07B1" w:rsidRDefault="004E456B" w:rsidP="00027A9C">
            <w:pPr>
              <w:keepNext/>
              <w:keepLines/>
              <w:spacing w:before="120" w:after="200" w:line="276" w:lineRule="auto"/>
              <w:rPr>
                <w:rFonts w:eastAsiaTheme="minorHAnsi"/>
                <w:sz w:val="16"/>
                <w:szCs w:val="16"/>
              </w:rPr>
            </w:pPr>
            <w:r w:rsidRPr="00FC07B1">
              <w:rPr>
                <w:rFonts w:eastAsia="Arial"/>
                <w:sz w:val="16"/>
                <w:szCs w:val="16"/>
                <w:bdr w:val="nil"/>
              </w:rPr>
              <w:t>Taller de formación de formadores sobre el uso efectivo de la información técnica y científica y la evaluación del proyecto nacional de Centros de apoyo a la tecnología y la innovación (CATI)</w:t>
            </w:r>
          </w:p>
        </w:tc>
        <w:tc>
          <w:tcPr>
            <w:tcW w:w="1104" w:type="dxa"/>
            <w:tcBorders>
              <w:top w:val="nil"/>
              <w:left w:val="nil"/>
              <w:bottom w:val="nil"/>
              <w:right w:val="nil"/>
            </w:tcBorders>
          </w:tcPr>
          <w:p w:rsidR="004E456B" w:rsidRPr="00FC07B1" w:rsidRDefault="004E456B" w:rsidP="00027A9C">
            <w:pPr>
              <w:keepNext/>
              <w:keepLines/>
              <w:spacing w:before="120" w:after="200" w:line="276" w:lineRule="auto"/>
              <w:rPr>
                <w:rFonts w:eastAsiaTheme="minorHAnsi"/>
                <w:sz w:val="16"/>
                <w:szCs w:val="16"/>
              </w:rPr>
            </w:pPr>
            <w:r w:rsidRPr="00FC07B1">
              <w:rPr>
                <w:rFonts w:eastAsia="Arial"/>
                <w:sz w:val="16"/>
                <w:szCs w:val="16"/>
                <w:bdr w:val="nil"/>
              </w:rPr>
              <w:t>5 a 7 de abril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Nigeria/ unos 50 participantes locales</w:t>
            </w:r>
          </w:p>
        </w:tc>
        <w:tc>
          <w:tcPr>
            <w:tcW w:w="4254" w:type="dxa"/>
            <w:tcBorders>
              <w:top w:val="nil"/>
              <w:left w:val="nil"/>
              <w:bottom w:val="nil"/>
              <w:right w:val="nil"/>
            </w:tcBorders>
          </w:tcPr>
          <w:p w:rsidR="004E456B" w:rsidRPr="009703BB" w:rsidRDefault="004E456B" w:rsidP="00027A9C">
            <w:pPr>
              <w:keepNext/>
              <w:keepLines/>
              <w:spacing w:before="120" w:after="200" w:line="276" w:lineRule="auto"/>
              <w:rPr>
                <w:rFonts w:eastAsiaTheme="minorHAnsi"/>
                <w:color w:val="000000"/>
                <w:sz w:val="16"/>
                <w:szCs w:val="16"/>
              </w:rPr>
            </w:pPr>
            <w:r>
              <w:rPr>
                <w:rFonts w:eastAsia="Arial"/>
                <w:color w:val="000000"/>
                <w:sz w:val="16"/>
                <w:szCs w:val="16"/>
                <w:bdr w:val="nil"/>
              </w:rPr>
              <w:t>Fortalecer la red local de CATI impartiendo formación acerca del uso efectivo de la información sobre patentes y las publicaciones científicas.</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Talleres de CATI sobre el uso efectivo de la información técnica y científica  y la evaluación del proyecto de CATI nacional</w:t>
            </w:r>
          </w:p>
        </w:tc>
        <w:tc>
          <w:tcPr>
            <w:tcW w:w="1104" w:type="dxa"/>
            <w:tcBorders>
              <w:top w:val="nil"/>
              <w:left w:val="nil"/>
              <w:bottom w:val="nil"/>
              <w:right w:val="nil"/>
            </w:tcBorders>
          </w:tcPr>
          <w:p w:rsidR="004E456B" w:rsidRPr="00FC07B1" w:rsidRDefault="004E456B" w:rsidP="00027A9C">
            <w:pPr>
              <w:spacing w:before="120" w:after="120" w:line="276" w:lineRule="auto"/>
              <w:rPr>
                <w:rFonts w:eastAsiaTheme="minorHAnsi"/>
                <w:sz w:val="16"/>
                <w:szCs w:val="16"/>
              </w:rPr>
            </w:pPr>
            <w:r w:rsidRPr="00FC07B1">
              <w:rPr>
                <w:rFonts w:eastAsia="Arial"/>
                <w:sz w:val="16"/>
                <w:szCs w:val="16"/>
                <w:bdr w:val="nil"/>
              </w:rPr>
              <w:t>2 a 6 de mayo de 2016</w:t>
            </w:r>
          </w:p>
        </w:tc>
        <w:tc>
          <w:tcPr>
            <w:tcW w:w="1926" w:type="dxa"/>
            <w:tcBorders>
              <w:top w:val="nil"/>
              <w:left w:val="nil"/>
              <w:bottom w:val="nil"/>
              <w:right w:val="nil"/>
            </w:tcBorders>
          </w:tcPr>
          <w:p w:rsidR="004E456B" w:rsidRPr="00FC07B1" w:rsidRDefault="004E456B" w:rsidP="00027A9C">
            <w:pPr>
              <w:autoSpaceDE w:val="0"/>
              <w:autoSpaceDN w:val="0"/>
              <w:adjustRightInd w:val="0"/>
              <w:spacing w:before="120" w:after="120" w:line="276" w:lineRule="auto"/>
              <w:rPr>
                <w:rFonts w:eastAsiaTheme="minorHAnsi"/>
                <w:sz w:val="16"/>
                <w:szCs w:val="16"/>
              </w:rPr>
            </w:pPr>
            <w:r w:rsidRPr="00FC07B1">
              <w:rPr>
                <w:rFonts w:eastAsia="Arial"/>
                <w:sz w:val="16"/>
                <w:szCs w:val="16"/>
                <w:bdr w:val="nil"/>
              </w:rPr>
              <w:t>República Unida de Tanzanía/ unos 80 participantes locales</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Fortalecer la red local de CATI impartiendo formación acerca del uso efectivo de la información sobre patentes y las publicaciones científicas.</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490413">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Taller</w:t>
            </w:r>
            <w:r w:rsidR="00490413">
              <w:rPr>
                <w:rFonts w:eastAsia="Arial"/>
                <w:color w:val="000000"/>
                <w:sz w:val="16"/>
                <w:szCs w:val="16"/>
                <w:bdr w:val="nil"/>
              </w:rPr>
              <w:t xml:space="preserve"> sobre técnicas y estrategias para la búsqueda de patentes y sobre</w:t>
            </w:r>
            <w:r>
              <w:rPr>
                <w:rFonts w:eastAsia="Arial"/>
                <w:color w:val="000000"/>
                <w:sz w:val="16"/>
                <w:szCs w:val="16"/>
                <w:bdr w:val="nil"/>
              </w:rPr>
              <w:t xml:space="preserve"> el establecimiento de CATI</w:t>
            </w:r>
          </w:p>
        </w:tc>
        <w:tc>
          <w:tcPr>
            <w:tcW w:w="1104" w:type="dxa"/>
            <w:tcBorders>
              <w:top w:val="nil"/>
              <w:left w:val="nil"/>
              <w:bottom w:val="nil"/>
              <w:right w:val="nil"/>
            </w:tcBorders>
          </w:tcPr>
          <w:p w:rsidR="004E456B" w:rsidRPr="00FC07B1" w:rsidRDefault="00490413" w:rsidP="00490413">
            <w:pPr>
              <w:spacing w:before="120" w:after="120" w:line="276" w:lineRule="auto"/>
              <w:rPr>
                <w:rFonts w:eastAsiaTheme="minorHAnsi"/>
                <w:sz w:val="16"/>
                <w:szCs w:val="16"/>
              </w:rPr>
            </w:pPr>
            <w:r>
              <w:rPr>
                <w:rFonts w:eastAsia="Arial"/>
                <w:sz w:val="16"/>
                <w:szCs w:val="16"/>
                <w:bdr w:val="nil"/>
              </w:rPr>
              <w:t>10 y 11 de marzo de 2016</w:t>
            </w:r>
          </w:p>
        </w:tc>
        <w:tc>
          <w:tcPr>
            <w:tcW w:w="1926" w:type="dxa"/>
            <w:tcBorders>
              <w:top w:val="nil"/>
              <w:left w:val="nil"/>
              <w:bottom w:val="nil"/>
              <w:right w:val="nil"/>
            </w:tcBorders>
          </w:tcPr>
          <w:p w:rsidR="004E456B" w:rsidRPr="00FC07B1" w:rsidRDefault="00490413" w:rsidP="00F15D44">
            <w:pPr>
              <w:autoSpaceDE w:val="0"/>
              <w:autoSpaceDN w:val="0"/>
              <w:adjustRightInd w:val="0"/>
              <w:spacing w:before="120" w:after="120" w:line="276" w:lineRule="auto"/>
              <w:rPr>
                <w:rFonts w:eastAsiaTheme="minorHAnsi"/>
                <w:sz w:val="16"/>
                <w:szCs w:val="16"/>
              </w:rPr>
            </w:pPr>
            <w:proofErr w:type="spellStart"/>
            <w:r>
              <w:rPr>
                <w:rFonts w:eastAsia="Arial"/>
                <w:sz w:val="16"/>
                <w:szCs w:val="16"/>
                <w:bdr w:val="nil"/>
              </w:rPr>
              <w:t>Botswana</w:t>
            </w:r>
            <w:proofErr w:type="spellEnd"/>
            <w:r w:rsidR="004E456B" w:rsidRPr="00FC07B1">
              <w:rPr>
                <w:rFonts w:eastAsia="Arial"/>
                <w:sz w:val="16"/>
                <w:szCs w:val="16"/>
                <w:bdr w:val="nil"/>
              </w:rPr>
              <w:t xml:space="preserve">/  unos </w:t>
            </w:r>
            <w:r w:rsidR="00F15D44">
              <w:rPr>
                <w:rFonts w:eastAsia="Arial"/>
                <w:sz w:val="16"/>
                <w:szCs w:val="16"/>
                <w:bdr w:val="nil"/>
              </w:rPr>
              <w:t>5</w:t>
            </w:r>
            <w:r w:rsidR="004E456B" w:rsidRPr="00FC07B1">
              <w:rPr>
                <w:rFonts w:eastAsia="Arial"/>
                <w:sz w:val="16"/>
                <w:szCs w:val="16"/>
                <w:bdr w:val="nil"/>
              </w:rPr>
              <w:t>0 participantes locales</w:t>
            </w:r>
          </w:p>
        </w:tc>
        <w:tc>
          <w:tcPr>
            <w:tcW w:w="4254" w:type="dxa"/>
            <w:tcBorders>
              <w:top w:val="nil"/>
              <w:left w:val="nil"/>
              <w:bottom w:val="nil"/>
              <w:right w:val="nil"/>
            </w:tcBorders>
          </w:tcPr>
          <w:p w:rsidR="004E456B" w:rsidRPr="009703BB" w:rsidRDefault="004E456B" w:rsidP="00F15D44">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 xml:space="preserve">i) </w:t>
            </w:r>
            <w:r w:rsidR="00F15D44">
              <w:rPr>
                <w:rFonts w:eastAsia="Arial"/>
                <w:color w:val="000000"/>
                <w:sz w:val="16"/>
                <w:szCs w:val="16"/>
                <w:bdr w:val="nil"/>
              </w:rPr>
              <w:t>Formar al personal de los CATI, y a otras partes interesadas, en las bases de datos de publicaciones científicas y de patentes;  y ii) evaluar el cumplimiento por el CATI de los requisitos de sostenibilidad de nivel 1</w:t>
            </w:r>
            <w:r>
              <w:rPr>
                <w:rFonts w:eastAsia="Arial"/>
                <w:color w:val="000000"/>
                <w:sz w:val="16"/>
                <w:szCs w:val="16"/>
                <w:bdr w:val="nil"/>
              </w:rPr>
              <w:t>.</w:t>
            </w:r>
          </w:p>
        </w:tc>
      </w:tr>
      <w:tr w:rsidR="004E456B" w:rsidRPr="008466AF" w:rsidTr="00F15D44">
        <w:trPr>
          <w:cantSplit/>
          <w:trHeight w:val="315"/>
        </w:trPr>
        <w:tc>
          <w:tcPr>
            <w:tcW w:w="9072" w:type="dxa"/>
            <w:gridSpan w:val="4"/>
            <w:tcBorders>
              <w:top w:val="nil"/>
              <w:left w:val="nil"/>
              <w:bottom w:val="nil"/>
              <w:right w:val="nil"/>
            </w:tcBorders>
            <w:shd w:val="clear" w:color="auto" w:fill="C6D9F1" w:themeFill="text2" w:themeFillTint="33"/>
          </w:tcPr>
          <w:p w:rsidR="004E456B" w:rsidRPr="00FC07B1" w:rsidRDefault="004E456B" w:rsidP="00027A9C">
            <w:pPr>
              <w:keepNext/>
              <w:keepLines/>
              <w:tabs>
                <w:tab w:val="left" w:pos="1740"/>
              </w:tabs>
              <w:spacing w:before="120" w:after="120" w:line="276" w:lineRule="auto"/>
              <w:ind w:left="1740" w:hanging="1740"/>
              <w:rPr>
                <w:rFonts w:eastAsiaTheme="minorHAnsi"/>
                <w:b/>
                <w:bCs/>
                <w:sz w:val="16"/>
                <w:szCs w:val="16"/>
              </w:rPr>
            </w:pPr>
            <w:r w:rsidRPr="00FC07B1">
              <w:rPr>
                <w:rFonts w:eastAsia="Arial"/>
                <w:b/>
                <w:bCs/>
                <w:sz w:val="16"/>
                <w:szCs w:val="16"/>
                <w:bdr w:val="nil"/>
              </w:rPr>
              <w:t>RESULTADO:</w:t>
            </w:r>
            <w:r w:rsidRPr="00FC07B1">
              <w:rPr>
                <w:rFonts w:eastAsia="Arial"/>
                <w:b/>
                <w:bCs/>
                <w:sz w:val="16"/>
                <w:szCs w:val="16"/>
                <w:bdr w:val="nil"/>
              </w:rPr>
              <w:tab/>
            </w:r>
            <w:r w:rsidRPr="00FC07B1">
              <w:rPr>
                <w:rFonts w:eastAsia="Arial"/>
                <w:sz w:val="16"/>
                <w:szCs w:val="16"/>
                <w:bdr w:val="nil"/>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r>
      <w:tr w:rsidR="004E456B" w:rsidTr="00F15D44">
        <w:trPr>
          <w:cantSplit/>
          <w:trHeight w:val="315"/>
        </w:trPr>
        <w:tc>
          <w:tcPr>
            <w:tcW w:w="1788" w:type="dxa"/>
            <w:tcBorders>
              <w:top w:val="nil"/>
              <w:left w:val="nil"/>
              <w:bottom w:val="nil"/>
              <w:right w:val="nil"/>
            </w:tcBorders>
            <w:vAlign w:val="center"/>
          </w:tcPr>
          <w:p w:rsidR="004E456B" w:rsidRPr="00FC07B1" w:rsidRDefault="004E456B" w:rsidP="00027A9C">
            <w:pPr>
              <w:keepNext/>
              <w:keepLines/>
              <w:spacing w:before="120" w:line="276" w:lineRule="auto"/>
              <w:rPr>
                <w:rFonts w:eastAsiaTheme="minorHAnsi"/>
                <w:b/>
                <w:bCs/>
                <w:sz w:val="16"/>
                <w:szCs w:val="16"/>
              </w:rPr>
            </w:pPr>
            <w:r w:rsidRPr="00FC07B1">
              <w:rPr>
                <w:rFonts w:eastAsia="Arial"/>
                <w:b/>
                <w:bCs/>
                <w:sz w:val="16"/>
                <w:szCs w:val="16"/>
                <w:bdr w:val="nil"/>
              </w:rPr>
              <w:t>Actividad</w:t>
            </w:r>
          </w:p>
        </w:tc>
        <w:tc>
          <w:tcPr>
            <w:tcW w:w="1104" w:type="dxa"/>
            <w:tcBorders>
              <w:top w:val="nil"/>
              <w:left w:val="nil"/>
              <w:bottom w:val="nil"/>
              <w:right w:val="nil"/>
            </w:tcBorders>
            <w:vAlign w:val="center"/>
          </w:tcPr>
          <w:p w:rsidR="004E456B" w:rsidRPr="00FC07B1" w:rsidRDefault="004E456B" w:rsidP="00027A9C">
            <w:pPr>
              <w:keepNext/>
              <w:keepLines/>
              <w:spacing w:before="120" w:line="276" w:lineRule="auto"/>
              <w:rPr>
                <w:rFonts w:eastAsiaTheme="minorHAnsi"/>
                <w:sz w:val="16"/>
                <w:szCs w:val="16"/>
              </w:rPr>
            </w:pPr>
            <w:r w:rsidRPr="00FC07B1">
              <w:rPr>
                <w:rFonts w:eastAsia="Arial"/>
                <w:b/>
                <w:bCs/>
                <w:sz w:val="16"/>
                <w:szCs w:val="16"/>
                <w:bdr w:val="nil"/>
              </w:rPr>
              <w:t>Fecha</w:t>
            </w:r>
          </w:p>
        </w:tc>
        <w:tc>
          <w:tcPr>
            <w:tcW w:w="1926" w:type="dxa"/>
            <w:tcBorders>
              <w:top w:val="nil"/>
              <w:left w:val="nil"/>
              <w:bottom w:val="nil"/>
              <w:right w:val="nil"/>
            </w:tcBorders>
            <w:vAlign w:val="center"/>
          </w:tcPr>
          <w:p w:rsidR="004E456B" w:rsidRPr="00FC07B1" w:rsidRDefault="004E456B" w:rsidP="00027A9C">
            <w:pPr>
              <w:keepNext/>
              <w:keepLines/>
              <w:spacing w:before="120" w:line="276" w:lineRule="auto"/>
              <w:rPr>
                <w:rFonts w:eastAsiaTheme="minorHAnsi"/>
                <w:sz w:val="16"/>
                <w:szCs w:val="16"/>
              </w:rPr>
            </w:pPr>
            <w:r w:rsidRPr="00FC07B1">
              <w:rPr>
                <w:rFonts w:eastAsia="Arial"/>
                <w:b/>
                <w:bCs/>
                <w:sz w:val="16"/>
                <w:szCs w:val="16"/>
                <w:bdr w:val="nil"/>
              </w:rPr>
              <w:t>País anfitrión / Beneficiarios</w:t>
            </w:r>
          </w:p>
        </w:tc>
        <w:tc>
          <w:tcPr>
            <w:tcW w:w="4254" w:type="dxa"/>
            <w:tcBorders>
              <w:top w:val="nil"/>
              <w:left w:val="nil"/>
              <w:bottom w:val="nil"/>
              <w:right w:val="nil"/>
            </w:tcBorders>
            <w:vAlign w:val="center"/>
          </w:tcPr>
          <w:p w:rsidR="004E456B" w:rsidRPr="00FC07B1" w:rsidRDefault="004E456B" w:rsidP="00027A9C">
            <w:pPr>
              <w:keepNext/>
              <w:keepLines/>
              <w:spacing w:before="120" w:line="276" w:lineRule="auto"/>
              <w:rPr>
                <w:rFonts w:eastAsiaTheme="minorHAnsi"/>
                <w:sz w:val="16"/>
                <w:szCs w:val="16"/>
              </w:rPr>
            </w:pPr>
            <w:r w:rsidRPr="00FC07B1">
              <w:rPr>
                <w:rFonts w:eastAsia="Arial"/>
                <w:b/>
                <w:bCs/>
                <w:sz w:val="16"/>
                <w:szCs w:val="16"/>
                <w:bdr w:val="nil"/>
              </w:rPr>
              <w:t>Propósito(s)/Descripción</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sz w:val="16"/>
                <w:szCs w:val="16"/>
              </w:rPr>
            </w:pPr>
            <w:r>
              <w:rPr>
                <w:rFonts w:eastAsia="Arial"/>
                <w:sz w:val="16"/>
                <w:szCs w:val="16"/>
                <w:bdr w:val="nil"/>
              </w:rPr>
              <w:t>Proyecto de recopilación de datos del Registro nigeriano de marcas, patentes y diseños</w:t>
            </w:r>
          </w:p>
        </w:tc>
        <w:tc>
          <w:tcPr>
            <w:tcW w:w="1104" w:type="dxa"/>
            <w:tcBorders>
              <w:top w:val="nil"/>
              <w:left w:val="nil"/>
              <w:bottom w:val="nil"/>
              <w:right w:val="nil"/>
            </w:tcBorders>
          </w:tcPr>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Enero a diciembre de 2016</w:t>
            </w:r>
          </w:p>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(en curso)</w:t>
            </w:r>
          </w:p>
        </w:tc>
        <w:tc>
          <w:tcPr>
            <w:tcW w:w="1926"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Nigeria</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sz w:val="16"/>
                <w:szCs w:val="16"/>
              </w:rPr>
            </w:pPr>
            <w:r>
              <w:rPr>
                <w:rFonts w:eastAsia="Arial"/>
                <w:sz w:val="16"/>
                <w:szCs w:val="16"/>
                <w:bdr w:val="nil"/>
              </w:rPr>
              <w:t>Dar asistencia a la Oficina en la recopilación de sus datos bibliográficos correspondientes a marcas, patentes y diseños registrados y activos, con el fin de pasarlos del papel al formato digital, con la asistencia de un proveedor local especializado.</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sz w:val="16"/>
                <w:szCs w:val="16"/>
              </w:rPr>
            </w:pPr>
            <w:r>
              <w:rPr>
                <w:rFonts w:eastAsia="Arial"/>
                <w:sz w:val="16"/>
                <w:szCs w:val="16"/>
                <w:bdr w:val="nil"/>
              </w:rPr>
              <w:t>Digitalización de los expedientes de P.I. en la OAPI</w:t>
            </w:r>
          </w:p>
        </w:tc>
        <w:tc>
          <w:tcPr>
            <w:tcW w:w="1104" w:type="dxa"/>
            <w:tcBorders>
              <w:top w:val="nil"/>
              <w:left w:val="nil"/>
              <w:bottom w:val="nil"/>
              <w:right w:val="nil"/>
            </w:tcBorders>
          </w:tcPr>
          <w:p w:rsidR="004E456B" w:rsidRDefault="004E456B" w:rsidP="00027A9C">
            <w:pPr>
              <w:spacing w:before="120" w:after="120" w:line="276" w:lineRule="auto"/>
              <w:rPr>
                <w:rFonts w:eastAsia="Arial"/>
                <w:sz w:val="16"/>
                <w:szCs w:val="16"/>
                <w:bdr w:val="nil"/>
              </w:rPr>
            </w:pPr>
            <w:r w:rsidRPr="00412CA9">
              <w:rPr>
                <w:rFonts w:eastAsia="Arial"/>
                <w:sz w:val="16"/>
                <w:szCs w:val="16"/>
                <w:bdr w:val="nil"/>
              </w:rPr>
              <w:t>Enero a diciembre de 2016</w:t>
            </w:r>
          </w:p>
          <w:p w:rsidR="00F15D44" w:rsidRPr="00412CA9" w:rsidRDefault="00F15D44" w:rsidP="00027A9C">
            <w:pPr>
              <w:spacing w:before="120" w:after="120" w:line="276" w:lineRule="auto"/>
              <w:rPr>
                <w:rFonts w:eastAsiaTheme="minorHAnsi"/>
                <w:sz w:val="16"/>
                <w:szCs w:val="16"/>
              </w:rPr>
            </w:pPr>
            <w:r>
              <w:rPr>
                <w:rFonts w:eastAsia="Arial"/>
                <w:sz w:val="16"/>
                <w:szCs w:val="16"/>
                <w:bdr w:val="nil"/>
              </w:rPr>
              <w:t>(en curso)</w:t>
            </w:r>
          </w:p>
          <w:p w:rsidR="004E456B" w:rsidRPr="00412CA9" w:rsidRDefault="004E456B" w:rsidP="00027A9C">
            <w:pPr>
              <w:spacing w:before="120" w:after="120" w:line="276" w:lineRule="auto"/>
              <w:rPr>
                <w:rFonts w:eastAsiaTheme="minorHAnsi"/>
                <w:sz w:val="16"/>
                <w:szCs w:val="16"/>
              </w:rPr>
            </w:pPr>
          </w:p>
        </w:tc>
        <w:tc>
          <w:tcPr>
            <w:tcW w:w="1926"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OAPI</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sz w:val="16"/>
                <w:szCs w:val="16"/>
              </w:rPr>
            </w:pPr>
            <w:r>
              <w:rPr>
                <w:rFonts w:eastAsia="Arial"/>
                <w:sz w:val="16"/>
                <w:szCs w:val="16"/>
                <w:bdr w:val="nil"/>
              </w:rPr>
              <w:t>i) Reducir la carga que supone el procedimiento de introducción de datos de la documentación relacionada con la P.I. (es decir, los formularios de solicitud, las descripciones y los documentos citados), así como optimizar dicho procedimiento; y ii) tratar de forma eficaz y eficiente la sobrecarga en la digitalización que ya debería haber sido realizada.</w:t>
            </w:r>
          </w:p>
        </w:tc>
      </w:tr>
      <w:tr w:rsidR="004E456B" w:rsidRPr="008466AF" w:rsidTr="00F15D44">
        <w:trPr>
          <w:cantSplit/>
          <w:trHeight w:val="315"/>
        </w:trPr>
        <w:tc>
          <w:tcPr>
            <w:tcW w:w="1788"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lastRenderedPageBreak/>
              <w:t>Digitalización de documentos de P.I. para ARIPO</w:t>
            </w:r>
          </w:p>
        </w:tc>
        <w:tc>
          <w:tcPr>
            <w:tcW w:w="1104" w:type="dxa"/>
            <w:tcBorders>
              <w:top w:val="nil"/>
              <w:left w:val="nil"/>
              <w:bottom w:val="nil"/>
              <w:right w:val="nil"/>
            </w:tcBorders>
          </w:tcPr>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Enero a diciembre de 2016</w:t>
            </w:r>
          </w:p>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(en curso)</w:t>
            </w:r>
          </w:p>
        </w:tc>
        <w:tc>
          <w:tcPr>
            <w:tcW w:w="1926"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ARIPO</w:t>
            </w:r>
          </w:p>
        </w:tc>
        <w:tc>
          <w:tcPr>
            <w:tcW w:w="4254"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i) Facilitar los procedimientos de examen y procesamiento de solicitudes y registros;  ii) asegurar y preservar los archivos de P.I. mediante su disponibilidad en formato físico y digital;  iii) facilitar el intercambio de datos de P.I. a nivel tanto nacional como internacional;  y iv) mejorar la gobernanza, la transparencia y la rendición de cuentas en el proceso de la P.I.</w:t>
            </w:r>
          </w:p>
        </w:tc>
      </w:tr>
      <w:tr w:rsidR="004E456B" w:rsidRPr="008466AF" w:rsidTr="00F15D44">
        <w:trPr>
          <w:cantSplit/>
          <w:trHeight w:val="315"/>
        </w:trPr>
        <w:tc>
          <w:tcPr>
            <w:tcW w:w="1788"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Digitalización de documentos de P.I. para el Instituto de Propiedad Industrial de Kenya (KIPI)</w:t>
            </w:r>
          </w:p>
        </w:tc>
        <w:tc>
          <w:tcPr>
            <w:tcW w:w="1104" w:type="dxa"/>
            <w:tcBorders>
              <w:top w:val="nil"/>
              <w:left w:val="nil"/>
              <w:bottom w:val="nil"/>
              <w:right w:val="nil"/>
            </w:tcBorders>
          </w:tcPr>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Enero a diciembre de 2016</w:t>
            </w:r>
          </w:p>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(en curso)</w:t>
            </w:r>
          </w:p>
        </w:tc>
        <w:tc>
          <w:tcPr>
            <w:tcW w:w="1926"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Kenya</w:t>
            </w:r>
          </w:p>
        </w:tc>
        <w:tc>
          <w:tcPr>
            <w:tcW w:w="4254"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i) Facilitar los procedimientos de examen y procesamiento de solicitudes y registros;  ii) asegurar y preservar los archivos de P.I. mediante su disponibilidad en formato físico y digital;  iii) facilitar el intercambio de datos de P.I. a nivel tanto nacional como internacional;  y iv) mejorar la gobernanza, la transparencia y la rendición de cuentas en el proceso de la P.I.</w:t>
            </w:r>
          </w:p>
        </w:tc>
      </w:tr>
      <w:tr w:rsidR="004E456B" w:rsidRPr="008466AF" w:rsidTr="00F15D44">
        <w:trPr>
          <w:cantSplit/>
          <w:trHeight w:val="315"/>
        </w:trPr>
        <w:tc>
          <w:tcPr>
            <w:tcW w:w="1788"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Proyecto de digitalización de patentes y marcas para la Oficina de Propiedad Intelectual de Zimbabwe</w:t>
            </w:r>
          </w:p>
        </w:tc>
        <w:tc>
          <w:tcPr>
            <w:tcW w:w="1104" w:type="dxa"/>
            <w:tcBorders>
              <w:top w:val="nil"/>
              <w:left w:val="nil"/>
              <w:bottom w:val="nil"/>
              <w:right w:val="nil"/>
            </w:tcBorders>
          </w:tcPr>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Enero a junio de 2016</w:t>
            </w:r>
          </w:p>
        </w:tc>
        <w:tc>
          <w:tcPr>
            <w:tcW w:w="1926"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Zimbabwe</w:t>
            </w:r>
          </w:p>
        </w:tc>
        <w:tc>
          <w:tcPr>
            <w:tcW w:w="4254"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i) Crear expedientes electrónicos de todas las patentes y marcas;  ii) acelerar los procesos de administración y examen en la oficina de P.I.;  iii) mejorar la accesibilidad a la información sobre P.I.;  y iv) mejorar la gobernanza, la transparencia y la rendición de cuentas garantizando que toda la información sea fácilmente accesible y esté disponible en formato digital.</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sz w:val="16"/>
                <w:szCs w:val="16"/>
              </w:rPr>
            </w:pPr>
            <w:r>
              <w:rPr>
                <w:rFonts w:eastAsia="Arial"/>
                <w:sz w:val="16"/>
                <w:szCs w:val="16"/>
                <w:bdr w:val="nil"/>
              </w:rPr>
              <w:t>Puesta en marcha del Sistema de gestión de documentos electrónicos IPAS en Uganda</w:t>
            </w:r>
          </w:p>
        </w:tc>
        <w:tc>
          <w:tcPr>
            <w:tcW w:w="1104" w:type="dxa"/>
            <w:tcBorders>
              <w:top w:val="nil"/>
              <w:left w:val="nil"/>
              <w:bottom w:val="nil"/>
              <w:right w:val="nil"/>
            </w:tcBorders>
          </w:tcPr>
          <w:p w:rsidR="004E456B" w:rsidRPr="00412CA9" w:rsidRDefault="004E456B" w:rsidP="00027A9C">
            <w:pPr>
              <w:spacing w:before="120" w:after="120" w:line="276" w:lineRule="auto"/>
              <w:rPr>
                <w:rFonts w:eastAsiaTheme="minorHAnsi"/>
                <w:sz w:val="16"/>
                <w:szCs w:val="16"/>
              </w:rPr>
            </w:pPr>
            <w:r w:rsidRPr="00412CA9">
              <w:rPr>
                <w:rFonts w:eastAsia="Arial"/>
                <w:sz w:val="16"/>
                <w:szCs w:val="16"/>
                <w:bdr w:val="nil"/>
              </w:rPr>
              <w:t>24 de octubre a 4 de noviembre de 2016</w:t>
            </w:r>
          </w:p>
        </w:tc>
        <w:tc>
          <w:tcPr>
            <w:tcW w:w="1926" w:type="dxa"/>
            <w:tcBorders>
              <w:top w:val="nil"/>
              <w:left w:val="nil"/>
              <w:bottom w:val="nil"/>
              <w:right w:val="nil"/>
            </w:tcBorders>
          </w:tcPr>
          <w:p w:rsidR="004E456B" w:rsidRPr="00412CA9" w:rsidRDefault="004E456B" w:rsidP="00027A9C">
            <w:pPr>
              <w:autoSpaceDE w:val="0"/>
              <w:autoSpaceDN w:val="0"/>
              <w:adjustRightInd w:val="0"/>
              <w:spacing w:before="120" w:after="120" w:line="276" w:lineRule="auto"/>
              <w:rPr>
                <w:rFonts w:eastAsiaTheme="minorHAnsi"/>
                <w:sz w:val="16"/>
                <w:szCs w:val="16"/>
              </w:rPr>
            </w:pPr>
            <w:r w:rsidRPr="00412CA9">
              <w:rPr>
                <w:rFonts w:eastAsia="Arial"/>
                <w:sz w:val="16"/>
                <w:szCs w:val="16"/>
                <w:bdr w:val="nil"/>
              </w:rPr>
              <w:t>Uganda</w:t>
            </w:r>
          </w:p>
        </w:tc>
        <w:tc>
          <w:tcPr>
            <w:tcW w:w="4254" w:type="dxa"/>
            <w:tcBorders>
              <w:top w:val="nil"/>
              <w:left w:val="nil"/>
              <w:bottom w:val="nil"/>
              <w:right w:val="nil"/>
            </w:tcBorders>
          </w:tcPr>
          <w:p w:rsidR="004E456B" w:rsidRPr="009703BB" w:rsidRDefault="004E456B" w:rsidP="007B5E22">
            <w:pPr>
              <w:autoSpaceDE w:val="0"/>
              <w:autoSpaceDN w:val="0"/>
              <w:adjustRightInd w:val="0"/>
              <w:spacing w:before="120" w:line="276" w:lineRule="auto"/>
              <w:rPr>
                <w:rFonts w:eastAsiaTheme="minorHAnsi"/>
                <w:sz w:val="16"/>
                <w:szCs w:val="16"/>
              </w:rPr>
            </w:pPr>
            <w:r>
              <w:rPr>
                <w:rFonts w:eastAsia="Arial"/>
                <w:sz w:val="16"/>
                <w:szCs w:val="16"/>
                <w:bdr w:val="nil"/>
              </w:rPr>
              <w:t>i) Crear una infraestructura lógica para el almacenamiento y gestión de imágenes escaneadas (e-dossiers); ii) transferir competencias y fortalecer la capacidad para la captura y la digitalización de los documentos creados diariamente por la oficina; y iii) abrir las puertas a los servicios en línea para la Oficina de P.I. de Uganda.</w:t>
            </w:r>
          </w:p>
        </w:tc>
      </w:tr>
      <w:tr w:rsidR="004E456B" w:rsidRPr="008466AF" w:rsidTr="00F15D44">
        <w:trPr>
          <w:cantSplit/>
          <w:trHeight w:val="31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sz w:val="16"/>
                <w:szCs w:val="16"/>
              </w:rPr>
            </w:pPr>
            <w:r>
              <w:rPr>
                <w:rFonts w:eastAsia="Arial"/>
                <w:sz w:val="16"/>
                <w:szCs w:val="16"/>
                <w:bdr w:val="nil"/>
              </w:rPr>
              <w:t>Taller regional de formación de la OMPI sobre los Sistemas de Automatización de la Propiedad Industrial (IPAS) - Gestión de calidad e intercambio de datos y servicios en línea</w:t>
            </w:r>
          </w:p>
        </w:tc>
        <w:tc>
          <w:tcPr>
            <w:tcW w:w="1104" w:type="dxa"/>
            <w:tcBorders>
              <w:top w:val="nil"/>
              <w:left w:val="nil"/>
              <w:bottom w:val="nil"/>
              <w:right w:val="nil"/>
            </w:tcBorders>
          </w:tcPr>
          <w:p w:rsidR="004E456B" w:rsidRPr="00AD7B57" w:rsidRDefault="004E456B" w:rsidP="00027A9C">
            <w:pPr>
              <w:spacing w:before="120" w:after="120" w:line="276" w:lineRule="auto"/>
              <w:rPr>
                <w:rFonts w:eastAsiaTheme="minorHAnsi"/>
                <w:color w:val="808080"/>
                <w:sz w:val="16"/>
                <w:szCs w:val="16"/>
              </w:rPr>
            </w:pPr>
            <w:r w:rsidRPr="00AC6A76">
              <w:rPr>
                <w:rFonts w:eastAsia="Arial"/>
                <w:sz w:val="16"/>
                <w:szCs w:val="16"/>
                <w:bdr w:val="nil"/>
              </w:rPr>
              <w:t>11 a 15 de julio de 2016</w:t>
            </w:r>
          </w:p>
        </w:tc>
        <w:tc>
          <w:tcPr>
            <w:tcW w:w="1926" w:type="dxa"/>
            <w:tcBorders>
              <w:top w:val="nil"/>
              <w:left w:val="nil"/>
              <w:bottom w:val="nil"/>
              <w:right w:val="nil"/>
            </w:tcBorders>
          </w:tcPr>
          <w:p w:rsidR="004E456B" w:rsidRPr="000B20DD" w:rsidRDefault="004E456B" w:rsidP="00027A9C">
            <w:pPr>
              <w:autoSpaceDE w:val="0"/>
              <w:autoSpaceDN w:val="0"/>
              <w:adjustRightInd w:val="0"/>
              <w:spacing w:before="120" w:after="120" w:line="276" w:lineRule="auto"/>
              <w:rPr>
                <w:rFonts w:eastAsiaTheme="minorHAnsi"/>
                <w:color w:val="000000"/>
                <w:sz w:val="16"/>
                <w:szCs w:val="16"/>
              </w:rPr>
            </w:pPr>
            <w:r w:rsidRPr="00412CA9">
              <w:rPr>
                <w:rFonts w:eastAsia="Arial"/>
                <w:sz w:val="16"/>
                <w:szCs w:val="16"/>
                <w:bdr w:val="nil"/>
              </w:rPr>
              <w:t>Mozambique/ 33 participantes de Botswana, Etiopía, Gambia, Ghana, Kenya, Lesotho, Madagascar, Malawi, Mauricio, Mozambique, Namibia, Seychelles, Swazilandia, Tanzania, Uganda, Zambia, Zimbabwe, ARIPO, OAPI</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sz w:val="16"/>
                <w:szCs w:val="16"/>
              </w:rPr>
            </w:pPr>
            <w:r>
              <w:rPr>
                <w:rFonts w:eastAsia="Arial"/>
                <w:sz w:val="16"/>
                <w:szCs w:val="16"/>
                <w:bdr w:val="nil"/>
              </w:rPr>
              <w:t>i) Presentar a los participantes las normas y mejores prácticas de la OMPI sobre la gestión de calidad de los datos de P.I.; ii) transferir conocimientos sobre las herramientas de automatización disponibles para la verificación y validación de datos; y iii) fortalecer las capacidades sobre las funciones y herramientas para la supervisión de la calidad de los datos de P.I., nuevos módulos para los servicios en línea y el intercambio de datos.</w:t>
            </w:r>
          </w:p>
        </w:tc>
      </w:tr>
      <w:tr w:rsidR="004E456B" w:rsidRPr="008466AF" w:rsidTr="00F15D44">
        <w:trPr>
          <w:cantSplit/>
          <w:trHeight w:val="315"/>
        </w:trPr>
        <w:tc>
          <w:tcPr>
            <w:tcW w:w="9072" w:type="dxa"/>
            <w:gridSpan w:val="4"/>
            <w:tcBorders>
              <w:top w:val="nil"/>
              <w:left w:val="nil"/>
              <w:bottom w:val="nil"/>
              <w:right w:val="nil"/>
            </w:tcBorders>
            <w:shd w:val="clear" w:color="auto" w:fill="C6D9F1" w:themeFill="text2" w:themeFillTint="33"/>
          </w:tcPr>
          <w:p w:rsidR="004E456B" w:rsidRPr="00412CA9" w:rsidRDefault="004E456B" w:rsidP="00027A9C">
            <w:pPr>
              <w:keepNext/>
              <w:keepLines/>
              <w:tabs>
                <w:tab w:val="left" w:pos="1740"/>
              </w:tabs>
              <w:spacing w:before="120" w:after="120" w:line="276" w:lineRule="auto"/>
              <w:ind w:left="1740" w:hanging="1740"/>
              <w:rPr>
                <w:rFonts w:eastAsiaTheme="minorHAnsi"/>
                <w:sz w:val="16"/>
                <w:szCs w:val="16"/>
              </w:rPr>
            </w:pPr>
            <w:r w:rsidRPr="00412CA9">
              <w:rPr>
                <w:rFonts w:eastAsia="Arial"/>
                <w:b/>
                <w:bCs/>
                <w:sz w:val="16"/>
                <w:szCs w:val="16"/>
                <w:bdr w:val="nil"/>
              </w:rPr>
              <w:t>RESULTADO:</w:t>
            </w:r>
            <w:r w:rsidRPr="00412CA9">
              <w:rPr>
                <w:rFonts w:eastAsia="Arial"/>
                <w:b/>
                <w:bCs/>
                <w:sz w:val="16"/>
                <w:szCs w:val="16"/>
                <w:bdr w:val="nil"/>
              </w:rPr>
              <w:tab/>
            </w:r>
            <w:r w:rsidRPr="00412CA9">
              <w:rPr>
                <w:rFonts w:eastAsia="Arial"/>
                <w:sz w:val="16"/>
                <w:szCs w:val="16"/>
                <w:bdr w:val="nil"/>
              </w:rPr>
              <w:t>V.1  Mayor y mejor utilización de la información estadística de la OMPI en materia de P.I.</w:t>
            </w:r>
          </w:p>
        </w:tc>
      </w:tr>
      <w:tr w:rsidR="004E456B" w:rsidTr="00F15D44">
        <w:trPr>
          <w:cantSplit/>
          <w:trHeight w:val="315"/>
        </w:trPr>
        <w:tc>
          <w:tcPr>
            <w:tcW w:w="1788" w:type="dxa"/>
            <w:tcBorders>
              <w:top w:val="nil"/>
              <w:left w:val="nil"/>
              <w:bottom w:val="nil"/>
              <w:right w:val="nil"/>
            </w:tcBorders>
            <w:vAlign w:val="center"/>
          </w:tcPr>
          <w:p w:rsidR="004E456B" w:rsidRPr="00AC6A76" w:rsidRDefault="004E456B" w:rsidP="00027A9C">
            <w:pPr>
              <w:keepNext/>
              <w:keepLines/>
              <w:spacing w:before="120" w:line="276" w:lineRule="auto"/>
              <w:rPr>
                <w:rFonts w:eastAsiaTheme="minorHAnsi"/>
                <w:b/>
                <w:bCs/>
                <w:sz w:val="16"/>
                <w:szCs w:val="16"/>
              </w:rPr>
            </w:pPr>
            <w:r w:rsidRPr="00AC6A76">
              <w:rPr>
                <w:rFonts w:eastAsia="Arial"/>
                <w:b/>
                <w:bCs/>
                <w:sz w:val="16"/>
                <w:szCs w:val="16"/>
                <w:bdr w:val="nil"/>
              </w:rPr>
              <w:t>Actividad</w:t>
            </w:r>
          </w:p>
        </w:tc>
        <w:tc>
          <w:tcPr>
            <w:tcW w:w="1104" w:type="dxa"/>
            <w:tcBorders>
              <w:top w:val="nil"/>
              <w:left w:val="nil"/>
              <w:bottom w:val="nil"/>
              <w:right w:val="nil"/>
            </w:tcBorders>
            <w:vAlign w:val="center"/>
          </w:tcPr>
          <w:p w:rsidR="004E456B" w:rsidRPr="00AC6A76" w:rsidRDefault="004E456B" w:rsidP="00027A9C">
            <w:pPr>
              <w:keepNext/>
              <w:keepLines/>
              <w:spacing w:before="120" w:line="276" w:lineRule="auto"/>
              <w:rPr>
                <w:rFonts w:eastAsiaTheme="minorHAnsi"/>
                <w:sz w:val="16"/>
                <w:szCs w:val="16"/>
              </w:rPr>
            </w:pPr>
            <w:r w:rsidRPr="00AC6A76">
              <w:rPr>
                <w:rFonts w:eastAsia="Arial"/>
                <w:b/>
                <w:bCs/>
                <w:sz w:val="16"/>
                <w:szCs w:val="16"/>
                <w:bdr w:val="nil"/>
              </w:rPr>
              <w:t>Fecha</w:t>
            </w:r>
          </w:p>
        </w:tc>
        <w:tc>
          <w:tcPr>
            <w:tcW w:w="1926" w:type="dxa"/>
            <w:tcBorders>
              <w:top w:val="nil"/>
              <w:left w:val="nil"/>
              <w:bottom w:val="nil"/>
              <w:right w:val="nil"/>
            </w:tcBorders>
            <w:vAlign w:val="center"/>
          </w:tcPr>
          <w:p w:rsidR="004E456B" w:rsidRPr="00AC6A76" w:rsidRDefault="004E456B" w:rsidP="00027A9C">
            <w:pPr>
              <w:keepNext/>
              <w:keepLines/>
              <w:spacing w:before="120" w:line="276" w:lineRule="auto"/>
              <w:rPr>
                <w:rFonts w:eastAsiaTheme="minorHAnsi"/>
                <w:sz w:val="16"/>
                <w:szCs w:val="16"/>
              </w:rPr>
            </w:pPr>
            <w:r w:rsidRPr="00AC6A76">
              <w:rPr>
                <w:rFonts w:eastAsia="Arial"/>
                <w:b/>
                <w:bCs/>
                <w:sz w:val="16"/>
                <w:szCs w:val="16"/>
                <w:bdr w:val="nil"/>
              </w:rPr>
              <w:t>País anfitrión / Beneficiarios</w:t>
            </w:r>
          </w:p>
        </w:tc>
        <w:tc>
          <w:tcPr>
            <w:tcW w:w="4254" w:type="dxa"/>
            <w:tcBorders>
              <w:top w:val="nil"/>
              <w:left w:val="nil"/>
              <w:bottom w:val="nil"/>
              <w:right w:val="nil"/>
            </w:tcBorders>
            <w:vAlign w:val="center"/>
          </w:tcPr>
          <w:p w:rsidR="004E456B" w:rsidRPr="00412CA9" w:rsidRDefault="004E456B" w:rsidP="00027A9C">
            <w:pPr>
              <w:keepNext/>
              <w:keepLines/>
              <w:spacing w:before="120" w:line="276" w:lineRule="auto"/>
              <w:rPr>
                <w:rFonts w:eastAsiaTheme="minorHAnsi"/>
                <w:sz w:val="16"/>
                <w:szCs w:val="16"/>
              </w:rPr>
            </w:pPr>
            <w:r w:rsidRPr="00412CA9">
              <w:rPr>
                <w:rFonts w:eastAsia="Arial"/>
                <w:b/>
                <w:bCs/>
                <w:sz w:val="16"/>
                <w:szCs w:val="16"/>
                <w:bdr w:val="nil"/>
              </w:rPr>
              <w:t>Propósito(s)/Descripción</w:t>
            </w:r>
          </w:p>
        </w:tc>
      </w:tr>
      <w:tr w:rsidR="004E456B" w:rsidRPr="008466AF" w:rsidTr="00F15D44">
        <w:trPr>
          <w:cantSplit/>
          <w:trHeight w:val="315"/>
        </w:trPr>
        <w:tc>
          <w:tcPr>
            <w:tcW w:w="1788" w:type="dxa"/>
            <w:tcBorders>
              <w:top w:val="nil"/>
              <w:left w:val="nil"/>
              <w:bottom w:val="nil"/>
              <w:right w:val="nil"/>
            </w:tcBorders>
          </w:tcPr>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Taller subregional de la OMPI sobre el desarrollo y el uso efectivo de las estadísticas de la propiedad intelectual para los Estados miembros de ARIPO</w:t>
            </w:r>
          </w:p>
        </w:tc>
        <w:tc>
          <w:tcPr>
            <w:tcW w:w="1104" w:type="dxa"/>
            <w:tcBorders>
              <w:top w:val="nil"/>
              <w:left w:val="nil"/>
              <w:bottom w:val="nil"/>
              <w:right w:val="nil"/>
            </w:tcBorders>
          </w:tcPr>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14 a 16 de septiembre de 2016</w:t>
            </w:r>
          </w:p>
        </w:tc>
        <w:tc>
          <w:tcPr>
            <w:tcW w:w="1926" w:type="dxa"/>
            <w:tcBorders>
              <w:top w:val="nil"/>
              <w:left w:val="nil"/>
              <w:bottom w:val="nil"/>
              <w:right w:val="nil"/>
            </w:tcBorders>
          </w:tcPr>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Zimbabwe/ 25 participantes de Botswana, Gambia, Ghana, Kenya, Malawi, Mozambique, Namibia, Rwanda, Tanzania, Uganda, Zambia y Zimbabwe</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 xml:space="preserve">i) Concienciar a los participantes sobre la importancia de las estadísticas de P.I.; ii) intercambiar información, </w:t>
            </w:r>
            <w:r>
              <w:rPr>
                <w:rFonts w:eastAsia="Arial"/>
                <w:iCs/>
                <w:color w:val="000000"/>
                <w:sz w:val="16"/>
                <w:szCs w:val="16"/>
                <w:bdr w:val="nil"/>
              </w:rPr>
              <w:t>por ejemplo</w:t>
            </w:r>
            <w:r w:rsidRPr="00AC6A76">
              <w:rPr>
                <w:rFonts w:eastAsia="Arial"/>
                <w:color w:val="000000"/>
                <w:sz w:val="16"/>
                <w:szCs w:val="16"/>
                <w:bdr w:val="nil"/>
              </w:rPr>
              <w:t>,</w:t>
            </w:r>
            <w:r>
              <w:rPr>
                <w:rFonts w:eastAsia="Arial"/>
                <w:color w:val="000000"/>
                <w:sz w:val="16"/>
                <w:szCs w:val="16"/>
                <w:bdr w:val="nil"/>
              </w:rPr>
              <w:t xml:space="preserve"> sobre las mejores prácticas y la identificación de problemas y soluciones comunes, entre las oficinas de P.I. de África; iii) ayudar a las oficinas de P.I. de África a desarrollar una infraestructura estadística (p. ej., a través del fortalecimiento de la capacidad); y iv) sensibilizar a los participantes sobre la utilidad de usar un sitio web como plataforma para facilitar información, incluida la información estadística, a los usuarios del sistema de P.I.</w:t>
            </w:r>
          </w:p>
        </w:tc>
      </w:tr>
      <w:tr w:rsidR="004E456B" w:rsidRPr="008466AF" w:rsidTr="00F15D44">
        <w:trPr>
          <w:cantSplit/>
          <w:trHeight w:val="315"/>
        </w:trPr>
        <w:tc>
          <w:tcPr>
            <w:tcW w:w="9072" w:type="dxa"/>
            <w:gridSpan w:val="4"/>
            <w:tcBorders>
              <w:top w:val="nil"/>
              <w:left w:val="nil"/>
              <w:bottom w:val="nil"/>
              <w:right w:val="nil"/>
            </w:tcBorders>
            <w:shd w:val="clear" w:color="auto" w:fill="C6D9F1" w:themeFill="text2" w:themeFillTint="33"/>
          </w:tcPr>
          <w:p w:rsidR="004E456B" w:rsidRPr="00AC6A76" w:rsidRDefault="004E456B" w:rsidP="00027A9C">
            <w:pPr>
              <w:keepNext/>
              <w:keepLines/>
              <w:tabs>
                <w:tab w:val="left" w:pos="1740"/>
              </w:tabs>
              <w:spacing w:before="120" w:after="120" w:line="276" w:lineRule="auto"/>
              <w:ind w:left="1740" w:hanging="1740"/>
              <w:rPr>
                <w:rFonts w:eastAsiaTheme="minorHAnsi"/>
                <w:sz w:val="16"/>
                <w:szCs w:val="16"/>
              </w:rPr>
            </w:pPr>
            <w:r w:rsidRPr="00AC6A76">
              <w:rPr>
                <w:rFonts w:eastAsia="Arial"/>
                <w:b/>
                <w:bCs/>
                <w:sz w:val="16"/>
                <w:szCs w:val="16"/>
                <w:bdr w:val="nil"/>
              </w:rPr>
              <w:lastRenderedPageBreak/>
              <w:t>RESULTADO:</w:t>
            </w:r>
            <w:r w:rsidRPr="00AC6A76">
              <w:rPr>
                <w:rFonts w:eastAsia="Arial"/>
                <w:b/>
                <w:bCs/>
                <w:sz w:val="16"/>
                <w:szCs w:val="16"/>
                <w:bdr w:val="nil"/>
              </w:rPr>
              <w:tab/>
            </w:r>
            <w:r w:rsidRPr="00AC6A76">
              <w:rPr>
                <w:rFonts w:eastAsia="Arial"/>
                <w:sz w:val="16"/>
                <w:szCs w:val="16"/>
                <w:bdr w:val="nil"/>
              </w:rPr>
              <w:t>VII.2  Plataformas y herramientas de P.I. utilizadas para la transferencia de conocimientos y la difusión y adaptación de tecnología de los países desarrollados a los países en desarrollo, en particular, a los menos adelantados, con el fin de atender los desafíos mundiales</w:t>
            </w:r>
          </w:p>
        </w:tc>
      </w:tr>
      <w:tr w:rsidR="004E456B" w:rsidTr="00F15D44">
        <w:trPr>
          <w:cantSplit/>
          <w:trHeight w:val="315"/>
        </w:trPr>
        <w:tc>
          <w:tcPr>
            <w:tcW w:w="1788" w:type="dxa"/>
            <w:tcBorders>
              <w:top w:val="nil"/>
              <w:left w:val="nil"/>
              <w:bottom w:val="nil"/>
              <w:right w:val="nil"/>
            </w:tcBorders>
            <w:vAlign w:val="center"/>
          </w:tcPr>
          <w:p w:rsidR="004E456B" w:rsidRPr="00AC6A76" w:rsidRDefault="004E456B" w:rsidP="00027A9C">
            <w:pPr>
              <w:keepNext/>
              <w:keepLines/>
              <w:spacing w:before="120" w:line="276" w:lineRule="auto"/>
              <w:rPr>
                <w:rFonts w:eastAsiaTheme="minorHAnsi"/>
                <w:b/>
                <w:bCs/>
                <w:sz w:val="16"/>
                <w:szCs w:val="16"/>
              </w:rPr>
            </w:pPr>
            <w:r w:rsidRPr="00AC6A76">
              <w:rPr>
                <w:rFonts w:eastAsia="Arial"/>
                <w:b/>
                <w:bCs/>
                <w:sz w:val="16"/>
                <w:szCs w:val="16"/>
                <w:bdr w:val="nil"/>
              </w:rPr>
              <w:t>Actividad</w:t>
            </w:r>
          </w:p>
        </w:tc>
        <w:tc>
          <w:tcPr>
            <w:tcW w:w="1104" w:type="dxa"/>
            <w:tcBorders>
              <w:top w:val="nil"/>
              <w:left w:val="nil"/>
              <w:bottom w:val="nil"/>
              <w:right w:val="nil"/>
            </w:tcBorders>
            <w:vAlign w:val="center"/>
          </w:tcPr>
          <w:p w:rsidR="004E456B" w:rsidRPr="00AC6A76" w:rsidRDefault="004E456B" w:rsidP="00027A9C">
            <w:pPr>
              <w:keepNext/>
              <w:keepLines/>
              <w:spacing w:before="120" w:line="276" w:lineRule="auto"/>
              <w:rPr>
                <w:rFonts w:eastAsiaTheme="minorHAnsi"/>
                <w:sz w:val="16"/>
                <w:szCs w:val="16"/>
              </w:rPr>
            </w:pPr>
            <w:r w:rsidRPr="00AC6A76">
              <w:rPr>
                <w:rFonts w:eastAsia="Arial"/>
                <w:b/>
                <w:bCs/>
                <w:sz w:val="16"/>
                <w:szCs w:val="16"/>
                <w:bdr w:val="nil"/>
              </w:rPr>
              <w:t>Fecha</w:t>
            </w:r>
          </w:p>
        </w:tc>
        <w:tc>
          <w:tcPr>
            <w:tcW w:w="1926" w:type="dxa"/>
            <w:tcBorders>
              <w:top w:val="nil"/>
              <w:left w:val="nil"/>
              <w:bottom w:val="nil"/>
              <w:right w:val="nil"/>
            </w:tcBorders>
            <w:vAlign w:val="center"/>
          </w:tcPr>
          <w:p w:rsidR="004E456B" w:rsidRPr="00AC6A76" w:rsidRDefault="004E456B" w:rsidP="00027A9C">
            <w:pPr>
              <w:keepNext/>
              <w:keepLines/>
              <w:spacing w:before="120" w:line="276" w:lineRule="auto"/>
              <w:rPr>
                <w:rFonts w:eastAsiaTheme="minorHAnsi"/>
                <w:sz w:val="16"/>
                <w:szCs w:val="16"/>
              </w:rPr>
            </w:pPr>
            <w:r w:rsidRPr="00AC6A76">
              <w:rPr>
                <w:rFonts w:eastAsia="Arial"/>
                <w:b/>
                <w:bCs/>
                <w:sz w:val="16"/>
                <w:szCs w:val="16"/>
                <w:bdr w:val="nil"/>
              </w:rPr>
              <w:t>País anfitrión / Beneficiarios</w:t>
            </w:r>
          </w:p>
        </w:tc>
        <w:tc>
          <w:tcPr>
            <w:tcW w:w="4254" w:type="dxa"/>
            <w:tcBorders>
              <w:top w:val="nil"/>
              <w:left w:val="nil"/>
              <w:bottom w:val="nil"/>
              <w:right w:val="nil"/>
            </w:tcBorders>
            <w:vAlign w:val="center"/>
          </w:tcPr>
          <w:p w:rsidR="004E456B" w:rsidRPr="00AC6A76" w:rsidRDefault="004E456B" w:rsidP="00027A9C">
            <w:pPr>
              <w:keepNext/>
              <w:keepLines/>
              <w:spacing w:before="120" w:line="276" w:lineRule="auto"/>
              <w:rPr>
                <w:rFonts w:eastAsiaTheme="minorHAnsi"/>
                <w:sz w:val="16"/>
                <w:szCs w:val="16"/>
              </w:rPr>
            </w:pPr>
            <w:r w:rsidRPr="00AC6A76">
              <w:rPr>
                <w:rFonts w:eastAsia="Arial"/>
                <w:b/>
                <w:bCs/>
                <w:sz w:val="16"/>
                <w:szCs w:val="16"/>
                <w:bdr w:val="nil"/>
              </w:rPr>
              <w:t>Propósito(s)/Descripción</w:t>
            </w:r>
          </w:p>
        </w:tc>
      </w:tr>
      <w:tr w:rsidR="004E456B" w:rsidRPr="008466AF" w:rsidTr="00F15D44">
        <w:trPr>
          <w:cantSplit/>
          <w:trHeight w:val="315"/>
        </w:trPr>
        <w:tc>
          <w:tcPr>
            <w:tcW w:w="1788" w:type="dxa"/>
            <w:tcBorders>
              <w:top w:val="nil"/>
              <w:left w:val="nil"/>
              <w:bottom w:val="nil"/>
              <w:right w:val="nil"/>
            </w:tcBorders>
          </w:tcPr>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Estudio de caso sobre las necesidades y oportunidades en materia de tecnologías del agua y la agricultura para realizar pruebas de concepto dentro del programa WIPO GREEN</w:t>
            </w:r>
          </w:p>
        </w:tc>
        <w:tc>
          <w:tcPr>
            <w:tcW w:w="1104" w:type="dxa"/>
            <w:tcBorders>
              <w:top w:val="nil"/>
              <w:left w:val="nil"/>
              <w:bottom w:val="nil"/>
              <w:right w:val="nil"/>
            </w:tcBorders>
          </w:tcPr>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5 a 8 de abril de 2016</w:t>
            </w:r>
          </w:p>
        </w:tc>
        <w:tc>
          <w:tcPr>
            <w:tcW w:w="1926" w:type="dxa"/>
            <w:tcBorders>
              <w:top w:val="nil"/>
              <w:left w:val="nil"/>
              <w:bottom w:val="nil"/>
              <w:right w:val="nil"/>
            </w:tcBorders>
          </w:tcPr>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Kenya/ unos 250 participantes locales</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i) Señalar las necesidades específicas de los países seleccionados en materia de tecnologías del agua y de la agricultura; ii) describir y formular las necesidades para cargarlas en la base de datos de WIPO GREEN; y iii) poner de manifiesto las oportunidades de colaboración acerca de las necesidades señaladas haciendo hincapié en la capacidad nacional.</w:t>
            </w:r>
          </w:p>
        </w:tc>
      </w:tr>
      <w:tr w:rsidR="004E456B" w:rsidRPr="008466AF" w:rsidTr="00F15D44">
        <w:trPr>
          <w:cantSplit/>
          <w:trHeight w:val="545"/>
        </w:trPr>
        <w:tc>
          <w:tcPr>
            <w:tcW w:w="1788"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Producción de una película que muestre el éxito de WIPO Re:Search</w:t>
            </w:r>
          </w:p>
        </w:tc>
        <w:tc>
          <w:tcPr>
            <w:tcW w:w="1104" w:type="dxa"/>
            <w:tcBorders>
              <w:top w:val="nil"/>
              <w:left w:val="nil"/>
              <w:bottom w:val="nil"/>
              <w:right w:val="nil"/>
            </w:tcBorders>
          </w:tcPr>
          <w:p w:rsidR="004E456B" w:rsidRPr="00AC6A76" w:rsidRDefault="004E456B" w:rsidP="00027A9C">
            <w:pPr>
              <w:spacing w:before="120" w:after="120" w:line="276" w:lineRule="auto"/>
              <w:rPr>
                <w:rFonts w:eastAsiaTheme="minorHAnsi"/>
                <w:sz w:val="16"/>
                <w:szCs w:val="16"/>
              </w:rPr>
            </w:pPr>
            <w:r w:rsidRPr="00AC6A76">
              <w:rPr>
                <w:rFonts w:eastAsia="Arial"/>
                <w:sz w:val="16"/>
                <w:szCs w:val="16"/>
                <w:bdr w:val="nil"/>
              </w:rPr>
              <w:t>Agosto a diciembre de 2016</w:t>
            </w:r>
          </w:p>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(en curso)</w:t>
            </w:r>
          </w:p>
        </w:tc>
        <w:tc>
          <w:tcPr>
            <w:tcW w:w="1926" w:type="dxa"/>
            <w:tcBorders>
              <w:top w:val="nil"/>
              <w:left w:val="nil"/>
              <w:bottom w:val="nil"/>
              <w:right w:val="nil"/>
            </w:tcBorders>
          </w:tcPr>
          <w:p w:rsidR="004E456B" w:rsidRPr="00AC6A76" w:rsidRDefault="004E456B" w:rsidP="00027A9C">
            <w:pPr>
              <w:autoSpaceDE w:val="0"/>
              <w:autoSpaceDN w:val="0"/>
              <w:adjustRightInd w:val="0"/>
              <w:spacing w:before="120" w:after="120" w:line="276" w:lineRule="auto"/>
              <w:rPr>
                <w:rFonts w:eastAsiaTheme="minorHAnsi"/>
                <w:sz w:val="16"/>
                <w:szCs w:val="16"/>
              </w:rPr>
            </w:pPr>
            <w:r w:rsidRPr="00AC6A76">
              <w:rPr>
                <w:rFonts w:eastAsia="Arial"/>
                <w:sz w:val="16"/>
                <w:szCs w:val="16"/>
                <w:bdr w:val="nil"/>
              </w:rPr>
              <w:t>Ghana</w:t>
            </w:r>
          </w:p>
        </w:tc>
        <w:tc>
          <w:tcPr>
            <w:tcW w:w="4254" w:type="dxa"/>
            <w:tcBorders>
              <w:top w:val="nil"/>
              <w:left w:val="nil"/>
              <w:bottom w:val="nil"/>
              <w:right w:val="nil"/>
            </w:tcBorders>
          </w:tcPr>
          <w:p w:rsidR="004E456B" w:rsidRPr="009703BB" w:rsidRDefault="004E456B" w:rsidP="00027A9C">
            <w:pPr>
              <w:autoSpaceDE w:val="0"/>
              <w:autoSpaceDN w:val="0"/>
              <w:adjustRightInd w:val="0"/>
              <w:spacing w:before="120" w:after="120" w:line="276" w:lineRule="auto"/>
              <w:rPr>
                <w:rFonts w:eastAsiaTheme="minorHAnsi"/>
                <w:color w:val="000000"/>
                <w:sz w:val="16"/>
                <w:szCs w:val="16"/>
              </w:rPr>
            </w:pPr>
            <w:r>
              <w:rPr>
                <w:rFonts w:eastAsia="Arial"/>
                <w:color w:val="000000"/>
                <w:sz w:val="16"/>
                <w:szCs w:val="16"/>
                <w:bdr w:val="nil"/>
              </w:rPr>
              <w:t>Presentar los distintos elementos de WIPO Re:Search y a las personas que participan en el proyecto.</w:t>
            </w:r>
          </w:p>
        </w:tc>
      </w:tr>
    </w:tbl>
    <w:p w:rsidR="004E456B" w:rsidRPr="00F15D44" w:rsidRDefault="004E456B" w:rsidP="00F15D44">
      <w:pPr>
        <w:rPr>
          <w:sz w:val="20"/>
        </w:rPr>
      </w:pPr>
    </w:p>
    <w:p w:rsidR="004E456B" w:rsidRPr="00AC6A76" w:rsidRDefault="004E456B" w:rsidP="00027A9C">
      <w:pPr>
        <w:spacing w:line="276" w:lineRule="auto"/>
        <w:rPr>
          <w:rFonts w:asciiTheme="minorBidi" w:eastAsiaTheme="minorHAnsi" w:hAnsiTheme="minorBidi" w:cstheme="minorBidi"/>
          <w:b/>
          <w:bCs/>
          <w:sz w:val="20"/>
        </w:rPr>
      </w:pPr>
      <w:r w:rsidRPr="00AC6A76">
        <w:rPr>
          <w:rFonts w:eastAsia="Arial"/>
          <w:b/>
          <w:bCs/>
          <w:sz w:val="20"/>
          <w:bdr w:val="nil"/>
        </w:rPr>
        <w:t>JAPÓN – P.I. / ÁFRICA–PMA – Contribuciones del donante y gastos en 2016</w:t>
      </w:r>
    </w:p>
    <w:p w:rsidR="004E456B" w:rsidRPr="00AC6A76" w:rsidRDefault="004E456B" w:rsidP="00027A9C">
      <w:pPr>
        <w:spacing w:line="276" w:lineRule="auto"/>
        <w:rPr>
          <w:rFonts w:asciiTheme="minorBidi" w:eastAsiaTheme="minorHAnsi" w:hAnsiTheme="minorBidi" w:cstheme="minorBidi"/>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AC6A76" w:rsidRDefault="004E456B" w:rsidP="00027A9C">
            <w:pPr>
              <w:jc w:val="center"/>
              <w:rPr>
                <w:b/>
                <w:bCs/>
                <w:sz w:val="16"/>
                <w:szCs w:val="16"/>
              </w:rPr>
            </w:pPr>
            <w:r w:rsidRPr="00AC6A76">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AC6A76" w:rsidRDefault="004E456B" w:rsidP="00027A9C">
            <w:pPr>
              <w:jc w:val="center"/>
              <w:rPr>
                <w:b/>
                <w:bCs/>
                <w:sz w:val="16"/>
                <w:szCs w:val="16"/>
              </w:rPr>
            </w:pPr>
            <w:r w:rsidRPr="00AC6A76">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AC6A76" w:rsidRDefault="004E456B" w:rsidP="00027A9C">
            <w:pPr>
              <w:jc w:val="center"/>
              <w:rPr>
                <w:b/>
                <w:bCs/>
                <w:sz w:val="16"/>
                <w:szCs w:val="16"/>
              </w:rPr>
            </w:pPr>
            <w:r w:rsidRPr="00AC6A76">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AC6A76" w:rsidRDefault="004E456B" w:rsidP="00027A9C">
            <w:pPr>
              <w:jc w:val="center"/>
              <w:rPr>
                <w:b/>
                <w:bCs/>
                <w:sz w:val="16"/>
                <w:szCs w:val="16"/>
              </w:rPr>
            </w:pPr>
            <w:r w:rsidRPr="00AC6A76">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AC6A76" w:rsidRDefault="004E456B" w:rsidP="00027A9C">
            <w:pPr>
              <w:jc w:val="center"/>
              <w:rPr>
                <w:b/>
                <w:bCs/>
                <w:sz w:val="16"/>
                <w:szCs w:val="16"/>
              </w:rPr>
            </w:pPr>
            <w:r w:rsidRPr="00AC6A76">
              <w:rPr>
                <w:rFonts w:eastAsia="Arial"/>
                <w:b/>
                <w:bCs/>
                <w:sz w:val="16"/>
                <w:szCs w:val="16"/>
                <w:bdr w:val="nil"/>
              </w:rPr>
              <w:t>Saldo al 31 de diciembre de 2016</w:t>
            </w:r>
          </w:p>
        </w:tc>
      </w:tr>
      <w:tr w:rsidR="004E456B" w:rsidRPr="00AC6A76" w:rsidTr="00027A9C">
        <w:trPr>
          <w:trHeight w:val="357"/>
        </w:trPr>
        <w:tc>
          <w:tcPr>
            <w:tcW w:w="1814" w:type="dxa"/>
            <w:tcBorders>
              <w:top w:val="nil"/>
              <w:left w:val="nil"/>
              <w:bottom w:val="nil"/>
              <w:right w:val="nil"/>
            </w:tcBorders>
            <w:shd w:val="clear" w:color="auto" w:fill="auto"/>
            <w:noWrap/>
            <w:vAlign w:val="bottom"/>
            <w:hideMark/>
          </w:tcPr>
          <w:p w:rsidR="004E456B" w:rsidRPr="00AC6A76" w:rsidRDefault="004E456B" w:rsidP="00027A9C">
            <w:pPr>
              <w:jc w:val="center"/>
              <w:rPr>
                <w:sz w:val="16"/>
                <w:szCs w:val="16"/>
              </w:rPr>
            </w:pPr>
            <w:r w:rsidRPr="00AC6A76">
              <w:rPr>
                <w:sz w:val="16"/>
                <w:szCs w:val="16"/>
              </w:rPr>
              <w:t>1.651.640</w:t>
            </w:r>
          </w:p>
        </w:tc>
        <w:tc>
          <w:tcPr>
            <w:tcW w:w="1814" w:type="dxa"/>
            <w:tcBorders>
              <w:top w:val="nil"/>
              <w:left w:val="nil"/>
              <w:bottom w:val="nil"/>
              <w:right w:val="nil"/>
            </w:tcBorders>
            <w:shd w:val="clear" w:color="auto" w:fill="auto"/>
            <w:noWrap/>
            <w:vAlign w:val="bottom"/>
            <w:hideMark/>
          </w:tcPr>
          <w:p w:rsidR="004E456B" w:rsidRPr="00AC6A76" w:rsidRDefault="004E456B" w:rsidP="00027A9C">
            <w:pPr>
              <w:jc w:val="center"/>
              <w:rPr>
                <w:sz w:val="16"/>
                <w:szCs w:val="16"/>
              </w:rPr>
            </w:pPr>
            <w:r w:rsidRPr="00AC6A76">
              <w:rPr>
                <w:sz w:val="16"/>
                <w:szCs w:val="16"/>
              </w:rPr>
              <w:t>1.599.634</w:t>
            </w:r>
          </w:p>
        </w:tc>
        <w:tc>
          <w:tcPr>
            <w:tcW w:w="1815" w:type="dxa"/>
            <w:tcBorders>
              <w:top w:val="nil"/>
              <w:left w:val="nil"/>
              <w:bottom w:val="nil"/>
              <w:right w:val="nil"/>
            </w:tcBorders>
            <w:shd w:val="clear" w:color="auto" w:fill="auto"/>
            <w:noWrap/>
            <w:vAlign w:val="bottom"/>
            <w:hideMark/>
          </w:tcPr>
          <w:p w:rsidR="004E456B" w:rsidRPr="00AC6A76" w:rsidRDefault="004E456B" w:rsidP="00027A9C">
            <w:pPr>
              <w:jc w:val="center"/>
              <w:rPr>
                <w:sz w:val="16"/>
                <w:szCs w:val="16"/>
              </w:rPr>
            </w:pPr>
            <w:r w:rsidRPr="00AC6A76">
              <w:rPr>
                <w:sz w:val="16"/>
                <w:szCs w:val="16"/>
              </w:rPr>
              <w:t>1.688.605</w:t>
            </w:r>
          </w:p>
        </w:tc>
        <w:tc>
          <w:tcPr>
            <w:tcW w:w="1814" w:type="dxa"/>
            <w:tcBorders>
              <w:top w:val="nil"/>
              <w:left w:val="nil"/>
              <w:bottom w:val="nil"/>
              <w:right w:val="nil"/>
            </w:tcBorders>
            <w:shd w:val="clear" w:color="auto" w:fill="auto"/>
            <w:noWrap/>
            <w:vAlign w:val="bottom"/>
            <w:hideMark/>
          </w:tcPr>
          <w:p w:rsidR="004E456B" w:rsidRPr="00AC6A76" w:rsidRDefault="004E456B" w:rsidP="00027A9C">
            <w:pPr>
              <w:jc w:val="center"/>
              <w:rPr>
                <w:sz w:val="16"/>
                <w:szCs w:val="16"/>
              </w:rPr>
            </w:pPr>
            <w:r w:rsidRPr="00AC6A76">
              <w:rPr>
                <w:sz w:val="16"/>
                <w:szCs w:val="16"/>
              </w:rPr>
              <w:t>-</w:t>
            </w:r>
          </w:p>
        </w:tc>
        <w:tc>
          <w:tcPr>
            <w:tcW w:w="1815" w:type="dxa"/>
            <w:tcBorders>
              <w:top w:val="nil"/>
              <w:left w:val="nil"/>
              <w:bottom w:val="nil"/>
              <w:right w:val="nil"/>
            </w:tcBorders>
            <w:shd w:val="clear" w:color="auto" w:fill="auto"/>
            <w:noWrap/>
            <w:vAlign w:val="bottom"/>
            <w:hideMark/>
          </w:tcPr>
          <w:p w:rsidR="004E456B" w:rsidRPr="00AC6A76" w:rsidRDefault="004E456B" w:rsidP="00027A9C">
            <w:pPr>
              <w:jc w:val="center"/>
              <w:rPr>
                <w:sz w:val="16"/>
                <w:szCs w:val="16"/>
              </w:rPr>
            </w:pPr>
            <w:r w:rsidRPr="00AC6A76">
              <w:rPr>
                <w:sz w:val="16"/>
                <w:szCs w:val="16"/>
              </w:rPr>
              <w:t>1.562.669</w:t>
            </w:r>
          </w:p>
        </w:tc>
      </w:tr>
    </w:tbl>
    <w:p w:rsidR="004E456B" w:rsidRPr="00AC6A76" w:rsidRDefault="004E456B" w:rsidP="00027A9C">
      <w:pPr>
        <w:rPr>
          <w:sz w:val="20"/>
        </w:rPr>
      </w:pPr>
    </w:p>
    <w:p w:rsidR="004E456B" w:rsidRPr="000B20DD" w:rsidRDefault="004E456B" w:rsidP="00027A9C">
      <w:pPr>
        <w:rPr>
          <w:b/>
          <w:sz w:val="20"/>
          <w:szCs w:val="24"/>
        </w:rPr>
      </w:pPr>
    </w:p>
    <w:p w:rsidR="004E456B" w:rsidRPr="00AC6A76" w:rsidRDefault="004E456B" w:rsidP="00027A9C">
      <w:pPr>
        <w:keepNext/>
        <w:keepLines/>
        <w:rPr>
          <w:b/>
          <w:sz w:val="20"/>
          <w:szCs w:val="24"/>
        </w:rPr>
      </w:pPr>
      <w:r w:rsidRPr="00AC6A76">
        <w:rPr>
          <w:rFonts w:eastAsia="Arial"/>
          <w:b/>
          <w:bCs/>
          <w:sz w:val="20"/>
          <w:bdr w:val="nil"/>
        </w:rPr>
        <w:t>MÉXICO</w:t>
      </w:r>
    </w:p>
    <w:p w:rsidR="004E456B" w:rsidRPr="00AC6A76" w:rsidRDefault="004E456B" w:rsidP="00027A9C">
      <w:pPr>
        <w:keepNext/>
        <w:keepLines/>
        <w:rPr>
          <w:b/>
          <w:sz w:val="16"/>
          <w:szCs w:val="16"/>
        </w:rPr>
      </w:pPr>
    </w:p>
    <w:tbl>
      <w:tblPr>
        <w:tblW w:w="9072" w:type="dxa"/>
        <w:tblInd w:w="108" w:type="dxa"/>
        <w:tblLayout w:type="fixed"/>
        <w:tblLook w:val="0000" w:firstRow="0" w:lastRow="0" w:firstColumn="0" w:lastColumn="0" w:noHBand="0" w:noVBand="0"/>
      </w:tblPr>
      <w:tblGrid>
        <w:gridCol w:w="1789"/>
        <w:gridCol w:w="1240"/>
        <w:gridCol w:w="1924"/>
        <w:gridCol w:w="4119"/>
      </w:tblGrid>
      <w:tr w:rsidR="004E456B" w:rsidRPr="008466AF" w:rsidTr="00027A9C">
        <w:trPr>
          <w:cantSplit/>
        </w:trPr>
        <w:tc>
          <w:tcPr>
            <w:tcW w:w="9360" w:type="dxa"/>
            <w:gridSpan w:val="4"/>
            <w:shd w:val="clear" w:color="auto" w:fill="C6D9F1"/>
            <w:vAlign w:val="center"/>
          </w:tcPr>
          <w:p w:rsidR="004E456B" w:rsidRPr="00AC6A76" w:rsidRDefault="004E456B" w:rsidP="00027A9C">
            <w:pPr>
              <w:keepNext/>
              <w:keepLines/>
              <w:tabs>
                <w:tab w:val="left" w:pos="1740"/>
              </w:tabs>
              <w:spacing w:before="120" w:after="120"/>
              <w:ind w:left="1740" w:hanging="1740"/>
              <w:rPr>
                <w:b/>
                <w:bCs/>
                <w:sz w:val="16"/>
                <w:szCs w:val="16"/>
              </w:rPr>
            </w:pPr>
            <w:r w:rsidRPr="00AC6A76">
              <w:rPr>
                <w:rFonts w:eastAsia="Arial"/>
                <w:b/>
                <w:bCs/>
                <w:sz w:val="16"/>
                <w:szCs w:val="16"/>
                <w:bdr w:val="nil"/>
              </w:rPr>
              <w:t>RESULTADO:</w:t>
            </w:r>
            <w:r w:rsidRPr="00AC6A76">
              <w:rPr>
                <w:rFonts w:eastAsia="Arial"/>
                <w:b/>
                <w:bCs/>
                <w:sz w:val="16"/>
                <w:szCs w:val="16"/>
                <w:bdr w:val="nil"/>
              </w:rPr>
              <w:tab/>
            </w:r>
            <w:r w:rsidRPr="00AC6A76">
              <w:rPr>
                <w:rFonts w:eastAsia="Arial"/>
                <w:sz w:val="16"/>
                <w:szCs w:val="16"/>
                <w:bdr w:val="nil"/>
              </w:rPr>
              <w:t>III.1  Estrategias y planes nacionales de P.I. que estén en sintonía con los objetivos nacionales de desarrollo</w:t>
            </w:r>
          </w:p>
        </w:tc>
      </w:tr>
      <w:tr w:rsidR="004E456B" w:rsidRPr="00AC6A76" w:rsidTr="00027A9C">
        <w:trPr>
          <w:cantSplit/>
        </w:trPr>
        <w:tc>
          <w:tcPr>
            <w:tcW w:w="1843" w:type="dxa"/>
            <w:vAlign w:val="center"/>
          </w:tcPr>
          <w:p w:rsidR="004E456B" w:rsidRPr="00AC6A76" w:rsidRDefault="004E456B" w:rsidP="00027A9C">
            <w:pPr>
              <w:keepNext/>
              <w:keepLines/>
              <w:rPr>
                <w:b/>
                <w:bCs/>
                <w:sz w:val="16"/>
                <w:szCs w:val="16"/>
              </w:rPr>
            </w:pPr>
            <w:r w:rsidRPr="00AC6A76">
              <w:rPr>
                <w:rFonts w:eastAsia="Arial"/>
                <w:b/>
                <w:bCs/>
                <w:sz w:val="16"/>
                <w:szCs w:val="16"/>
                <w:bdr w:val="nil"/>
              </w:rPr>
              <w:t>Actividad</w:t>
            </w:r>
          </w:p>
        </w:tc>
        <w:tc>
          <w:tcPr>
            <w:tcW w:w="1276" w:type="dxa"/>
            <w:tcMar>
              <w:top w:w="110" w:type="dxa"/>
            </w:tcMar>
            <w:vAlign w:val="center"/>
          </w:tcPr>
          <w:p w:rsidR="004E456B" w:rsidRPr="00AC6A76" w:rsidRDefault="004E456B" w:rsidP="00027A9C">
            <w:pPr>
              <w:keepNext/>
              <w:keepLines/>
              <w:rPr>
                <w:sz w:val="16"/>
                <w:szCs w:val="16"/>
              </w:rPr>
            </w:pPr>
            <w:r w:rsidRPr="00AC6A76">
              <w:rPr>
                <w:rFonts w:eastAsia="Arial"/>
                <w:b/>
                <w:bCs/>
                <w:sz w:val="16"/>
                <w:szCs w:val="16"/>
                <w:bdr w:val="nil"/>
              </w:rPr>
              <w:t>Fecha</w:t>
            </w:r>
          </w:p>
        </w:tc>
        <w:tc>
          <w:tcPr>
            <w:tcW w:w="1984" w:type="dxa"/>
            <w:tcMar>
              <w:top w:w="110" w:type="dxa"/>
            </w:tcMar>
            <w:vAlign w:val="center"/>
          </w:tcPr>
          <w:p w:rsidR="004E456B" w:rsidRPr="00AC6A76" w:rsidRDefault="004E456B" w:rsidP="00027A9C">
            <w:pPr>
              <w:keepNext/>
              <w:keepLines/>
              <w:rPr>
                <w:sz w:val="16"/>
                <w:szCs w:val="16"/>
              </w:rPr>
            </w:pPr>
            <w:r w:rsidRPr="00AC6A76">
              <w:rPr>
                <w:rFonts w:eastAsia="Arial"/>
                <w:b/>
                <w:bCs/>
                <w:sz w:val="16"/>
                <w:szCs w:val="16"/>
                <w:bdr w:val="nil"/>
              </w:rPr>
              <w:t>País anfitrión / Beneficiarios</w:t>
            </w:r>
          </w:p>
        </w:tc>
        <w:tc>
          <w:tcPr>
            <w:tcW w:w="4257" w:type="dxa"/>
            <w:shd w:val="clear" w:color="auto" w:fill="FFFFFF"/>
            <w:tcMar>
              <w:top w:w="110" w:type="dxa"/>
            </w:tcMar>
            <w:vAlign w:val="center"/>
          </w:tcPr>
          <w:p w:rsidR="004E456B" w:rsidRPr="00AC6A76" w:rsidRDefault="004E456B" w:rsidP="00027A9C">
            <w:pPr>
              <w:keepNext/>
              <w:keepLines/>
              <w:rPr>
                <w:sz w:val="16"/>
                <w:szCs w:val="16"/>
              </w:rPr>
            </w:pPr>
            <w:r w:rsidRPr="00AC6A76">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Financiar un profesor titular para los cursos de verano sobre propiedad intelectual (P.I.) organizados por la Academia de la OMPI en cooperación con el Instituto Mexicano de la Propiedad Intelectual (IMPI) y el Instituto Tecnológico Autónomo de México</w:t>
            </w:r>
            <w:r>
              <w:rPr>
                <w:rFonts w:eastAsia="Arial"/>
                <w:i/>
                <w:iCs/>
                <w:color w:val="000000"/>
                <w:sz w:val="16"/>
                <w:szCs w:val="16"/>
                <w:bdr w:val="nil"/>
              </w:rPr>
              <w:t xml:space="preserve"> </w:t>
            </w:r>
            <w:r>
              <w:rPr>
                <w:rFonts w:eastAsia="Arial"/>
                <w:color w:val="000000"/>
                <w:sz w:val="16"/>
                <w:szCs w:val="16"/>
                <w:bdr w:val="nil"/>
              </w:rPr>
              <w:t>(ITAM)</w:t>
            </w:r>
          </w:p>
        </w:tc>
        <w:tc>
          <w:tcPr>
            <w:tcW w:w="1276" w:type="dxa"/>
          </w:tcPr>
          <w:p w:rsidR="004E456B" w:rsidRPr="00533778" w:rsidRDefault="004E456B" w:rsidP="00027A9C">
            <w:pPr>
              <w:autoSpaceDE w:val="0"/>
              <w:autoSpaceDN w:val="0"/>
              <w:adjustRightInd w:val="0"/>
              <w:spacing w:before="120" w:after="120"/>
              <w:rPr>
                <w:sz w:val="16"/>
                <w:szCs w:val="16"/>
              </w:rPr>
            </w:pPr>
            <w:r w:rsidRPr="00533778">
              <w:rPr>
                <w:rFonts w:eastAsia="Arial"/>
                <w:sz w:val="16"/>
                <w:szCs w:val="16"/>
                <w:bdr w:val="nil"/>
              </w:rPr>
              <w:t>30 de mayo a 10 de junio de 2016</w:t>
            </w:r>
          </w:p>
        </w:tc>
        <w:tc>
          <w:tcPr>
            <w:tcW w:w="1984" w:type="dxa"/>
          </w:tcPr>
          <w:p w:rsidR="004E456B" w:rsidRPr="00533778" w:rsidRDefault="004E456B" w:rsidP="00027A9C">
            <w:pPr>
              <w:autoSpaceDE w:val="0"/>
              <w:autoSpaceDN w:val="0"/>
              <w:adjustRightInd w:val="0"/>
              <w:spacing w:before="120" w:after="120"/>
              <w:rPr>
                <w:sz w:val="16"/>
                <w:szCs w:val="16"/>
              </w:rPr>
            </w:pPr>
            <w:r w:rsidRPr="00533778">
              <w:rPr>
                <w:rFonts w:eastAsia="Arial"/>
                <w:sz w:val="16"/>
                <w:szCs w:val="16"/>
                <w:bdr w:val="nil"/>
              </w:rPr>
              <w:t>México</w:t>
            </w:r>
          </w:p>
        </w:tc>
        <w:tc>
          <w:tcPr>
            <w:tcW w:w="4257"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Financiada la participación de un orador (jefe de la Unidad de Delitos de P.I. de la Policía Nacional de Madrid, España) para impartir clases en los Cursos de verano de la OMPI.</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lastRenderedPageBreak/>
              <w:t xml:space="preserve">Seminario regional para promover el uso de la propiedad industrial por parte de las pymes: formar a empresarios futuros o potenciales, organizado por la Oficina Española de Patentes y Marcas (OEPM) y el Instituto Mexicano de la Propiedad Intelectual (IMPI), con el apoyo de la OMPI </w:t>
            </w:r>
          </w:p>
        </w:tc>
        <w:tc>
          <w:tcPr>
            <w:tcW w:w="1276" w:type="dxa"/>
          </w:tcPr>
          <w:p w:rsidR="004E456B" w:rsidRPr="00533778" w:rsidRDefault="004E456B" w:rsidP="00027A9C">
            <w:pPr>
              <w:autoSpaceDE w:val="0"/>
              <w:autoSpaceDN w:val="0"/>
              <w:adjustRightInd w:val="0"/>
              <w:spacing w:before="120" w:after="120"/>
              <w:rPr>
                <w:sz w:val="16"/>
                <w:szCs w:val="16"/>
              </w:rPr>
            </w:pPr>
            <w:r w:rsidRPr="00533778">
              <w:rPr>
                <w:rFonts w:eastAsia="Arial"/>
                <w:sz w:val="16"/>
                <w:szCs w:val="16"/>
                <w:bdr w:val="nil"/>
              </w:rPr>
              <w:t>19 y 20 de octubre de 2016</w:t>
            </w:r>
          </w:p>
        </w:tc>
        <w:tc>
          <w:tcPr>
            <w:tcW w:w="1984" w:type="dxa"/>
          </w:tcPr>
          <w:p w:rsidR="004E456B" w:rsidRPr="00533778" w:rsidRDefault="004E456B" w:rsidP="00027A9C">
            <w:pPr>
              <w:autoSpaceDE w:val="0"/>
              <w:autoSpaceDN w:val="0"/>
              <w:adjustRightInd w:val="0"/>
              <w:spacing w:before="120" w:after="120"/>
              <w:rPr>
                <w:rFonts w:cs="Times New Roman"/>
                <w:sz w:val="16"/>
                <w:szCs w:val="16"/>
              </w:rPr>
            </w:pPr>
            <w:r w:rsidRPr="00533778">
              <w:rPr>
                <w:rFonts w:eastAsia="Arial"/>
                <w:sz w:val="16"/>
                <w:szCs w:val="16"/>
                <w:bdr w:val="nil"/>
              </w:rPr>
              <w:t>México/ Todos los países de América Latina</w:t>
            </w:r>
          </w:p>
        </w:tc>
        <w:tc>
          <w:tcPr>
            <w:tcW w:w="4257"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Asistir a las oficinas de P.I. en sus esfuerzos por crear servicios y programas para respaldar a las pymes. </w:t>
            </w:r>
          </w:p>
        </w:tc>
      </w:tr>
      <w:tr w:rsidR="004E456B" w:rsidRPr="008466AF" w:rsidTr="00027A9C">
        <w:tblPrEx>
          <w:tblLook w:val="04A0" w:firstRow="1" w:lastRow="0" w:firstColumn="1" w:lastColumn="0" w:noHBand="0" w:noVBand="1"/>
        </w:tblPrEx>
        <w:trPr>
          <w:cantSplit/>
          <w:trHeight w:val="473"/>
        </w:trPr>
        <w:tc>
          <w:tcPr>
            <w:tcW w:w="1843" w:type="dxa"/>
          </w:tcPr>
          <w:p w:rsidR="004E456B" w:rsidRPr="009703BB" w:rsidRDefault="004E456B" w:rsidP="00027A9C">
            <w:pPr>
              <w:autoSpaceDE w:val="0"/>
              <w:autoSpaceDN w:val="0"/>
              <w:adjustRightInd w:val="0"/>
              <w:spacing w:before="120" w:after="120"/>
              <w:rPr>
                <w:rFonts w:cs="Times New Roman"/>
                <w:color w:val="000000"/>
                <w:sz w:val="16"/>
                <w:szCs w:val="16"/>
              </w:rPr>
            </w:pPr>
            <w:r>
              <w:rPr>
                <w:rFonts w:eastAsia="Arial"/>
                <w:i/>
                <w:iCs/>
                <w:color w:val="000000"/>
                <w:sz w:val="16"/>
                <w:szCs w:val="16"/>
                <w:bdr w:val="nil"/>
              </w:rPr>
              <w:t>Jornada de sensibilización</w:t>
            </w:r>
            <w:r>
              <w:rPr>
                <w:rFonts w:eastAsia="Arial"/>
                <w:color w:val="000000"/>
                <w:sz w:val="16"/>
                <w:szCs w:val="16"/>
                <w:bdr w:val="nil"/>
              </w:rPr>
              <w:t xml:space="preserve"> con la Cámara de Comercio de España en México, organizada conjuntamente por la Oficina Española de Patentes y Marcas (OEPM) y el Instituto Mexicano de la Propiedad Intelectual (IMPI), con el apoyo de la OMPI</w:t>
            </w:r>
          </w:p>
        </w:tc>
        <w:tc>
          <w:tcPr>
            <w:tcW w:w="1276" w:type="dxa"/>
          </w:tcPr>
          <w:p w:rsidR="004E456B" w:rsidRPr="00533778" w:rsidRDefault="004E456B" w:rsidP="00027A9C">
            <w:pPr>
              <w:autoSpaceDE w:val="0"/>
              <w:autoSpaceDN w:val="0"/>
              <w:adjustRightInd w:val="0"/>
              <w:spacing w:before="120" w:after="120"/>
              <w:rPr>
                <w:rFonts w:cs="Times New Roman"/>
                <w:sz w:val="16"/>
                <w:szCs w:val="16"/>
              </w:rPr>
            </w:pPr>
            <w:r w:rsidRPr="00533778">
              <w:rPr>
                <w:rFonts w:eastAsia="Arial"/>
                <w:sz w:val="16"/>
                <w:szCs w:val="16"/>
                <w:bdr w:val="nil"/>
              </w:rPr>
              <w:t>21 de octubre de 2016</w:t>
            </w:r>
          </w:p>
        </w:tc>
        <w:tc>
          <w:tcPr>
            <w:tcW w:w="1984" w:type="dxa"/>
          </w:tcPr>
          <w:p w:rsidR="004E456B" w:rsidRPr="00533778" w:rsidRDefault="004E456B" w:rsidP="00027A9C">
            <w:pPr>
              <w:autoSpaceDE w:val="0"/>
              <w:autoSpaceDN w:val="0"/>
              <w:adjustRightInd w:val="0"/>
              <w:spacing w:before="120" w:after="120"/>
              <w:rPr>
                <w:rFonts w:cs="Times New Roman"/>
                <w:sz w:val="16"/>
                <w:szCs w:val="16"/>
              </w:rPr>
            </w:pPr>
            <w:r w:rsidRPr="00533778">
              <w:rPr>
                <w:rFonts w:eastAsia="Arial"/>
                <w:sz w:val="16"/>
                <w:szCs w:val="16"/>
                <w:bdr w:val="nil"/>
              </w:rPr>
              <w:t>México/ Todos los países de América Latina</w:t>
            </w:r>
          </w:p>
        </w:tc>
        <w:tc>
          <w:tcPr>
            <w:tcW w:w="4257" w:type="dxa"/>
          </w:tcPr>
          <w:p w:rsidR="004E456B" w:rsidRPr="009703BB" w:rsidRDefault="004E456B" w:rsidP="00027A9C">
            <w:pPr>
              <w:autoSpaceDE w:val="0"/>
              <w:autoSpaceDN w:val="0"/>
              <w:adjustRightInd w:val="0"/>
              <w:spacing w:before="120" w:after="120"/>
              <w:rPr>
                <w:rFonts w:cs="Times New Roman"/>
                <w:color w:val="000000"/>
                <w:sz w:val="16"/>
                <w:szCs w:val="16"/>
              </w:rPr>
            </w:pPr>
            <w:r>
              <w:rPr>
                <w:rFonts w:eastAsia="Arial"/>
                <w:color w:val="000000"/>
                <w:sz w:val="16"/>
                <w:szCs w:val="16"/>
                <w:bdr w:val="nil"/>
              </w:rPr>
              <w:t>Debatir la pertinencia de la protección y gestión de la P.I. para la competitividad industrial en el sector privado.</w:t>
            </w:r>
          </w:p>
        </w:tc>
      </w:tr>
      <w:tr w:rsidR="004E456B" w:rsidRPr="008466AF" w:rsidTr="00027A9C">
        <w:tblPrEx>
          <w:tblLook w:val="04A0" w:firstRow="1" w:lastRow="0" w:firstColumn="1" w:lastColumn="0" w:noHBand="0" w:noVBand="1"/>
        </w:tblPrEx>
        <w:trPr>
          <w:cantSplit/>
          <w:trHeight w:val="650"/>
        </w:trPr>
        <w:tc>
          <w:tcPr>
            <w:tcW w:w="1843" w:type="dxa"/>
          </w:tcPr>
          <w:p w:rsidR="004E456B" w:rsidRPr="009703BB" w:rsidRDefault="004E456B" w:rsidP="00027A9C">
            <w:pPr>
              <w:autoSpaceDE w:val="0"/>
              <w:autoSpaceDN w:val="0"/>
              <w:adjustRightInd w:val="0"/>
              <w:spacing w:before="120" w:after="100" w:afterAutospacing="1"/>
              <w:rPr>
                <w:rFonts w:cs="Times New Roman"/>
                <w:color w:val="000000"/>
                <w:sz w:val="16"/>
                <w:szCs w:val="16"/>
              </w:rPr>
            </w:pPr>
            <w:r>
              <w:rPr>
                <w:rFonts w:eastAsia="Arial"/>
                <w:color w:val="000000"/>
                <w:sz w:val="16"/>
                <w:szCs w:val="16"/>
                <w:bdr w:val="nil"/>
              </w:rPr>
              <w:t xml:space="preserve">Actividad paralela del IMPI en el contexto de las Asambleas Generales de la OMPI </w:t>
            </w:r>
          </w:p>
        </w:tc>
        <w:tc>
          <w:tcPr>
            <w:tcW w:w="1276" w:type="dxa"/>
          </w:tcPr>
          <w:p w:rsidR="004E456B" w:rsidRPr="00533778" w:rsidRDefault="004E456B" w:rsidP="00027A9C">
            <w:pPr>
              <w:autoSpaceDE w:val="0"/>
              <w:autoSpaceDN w:val="0"/>
              <w:adjustRightInd w:val="0"/>
              <w:spacing w:before="120" w:after="120"/>
              <w:rPr>
                <w:rFonts w:cs="Times New Roman"/>
                <w:sz w:val="16"/>
                <w:szCs w:val="16"/>
              </w:rPr>
            </w:pPr>
            <w:r w:rsidRPr="00533778">
              <w:rPr>
                <w:rFonts w:eastAsia="Arial"/>
                <w:sz w:val="16"/>
                <w:szCs w:val="16"/>
                <w:bdr w:val="nil"/>
              </w:rPr>
              <w:t>7 de octubre de 2016</w:t>
            </w:r>
          </w:p>
        </w:tc>
        <w:tc>
          <w:tcPr>
            <w:tcW w:w="1984" w:type="dxa"/>
          </w:tcPr>
          <w:p w:rsidR="004E456B" w:rsidRPr="00533778" w:rsidRDefault="004E456B" w:rsidP="00027A9C">
            <w:pPr>
              <w:autoSpaceDE w:val="0"/>
              <w:autoSpaceDN w:val="0"/>
              <w:adjustRightInd w:val="0"/>
              <w:spacing w:before="120" w:after="120"/>
              <w:rPr>
                <w:rFonts w:cs="Times New Roman"/>
                <w:sz w:val="16"/>
                <w:szCs w:val="16"/>
              </w:rPr>
            </w:pPr>
            <w:r w:rsidRPr="00533778">
              <w:rPr>
                <w:rFonts w:eastAsia="Arial"/>
                <w:sz w:val="16"/>
                <w:szCs w:val="16"/>
                <w:bdr w:val="nil"/>
              </w:rPr>
              <w:t>Ginebra/ Todos los países de América Latina</w:t>
            </w:r>
          </w:p>
        </w:tc>
        <w:tc>
          <w:tcPr>
            <w:tcW w:w="4257" w:type="dxa"/>
          </w:tcPr>
          <w:p w:rsidR="004E456B" w:rsidRPr="009703BB" w:rsidRDefault="004E456B" w:rsidP="00027A9C">
            <w:pPr>
              <w:autoSpaceDE w:val="0"/>
              <w:autoSpaceDN w:val="0"/>
              <w:adjustRightInd w:val="0"/>
              <w:spacing w:before="120" w:after="120"/>
              <w:rPr>
                <w:rFonts w:cs="Times New Roman"/>
                <w:color w:val="000000"/>
                <w:sz w:val="16"/>
                <w:szCs w:val="16"/>
              </w:rPr>
            </w:pPr>
            <w:r>
              <w:rPr>
                <w:rFonts w:eastAsia="Arial"/>
                <w:color w:val="000000"/>
                <w:sz w:val="16"/>
                <w:szCs w:val="16"/>
                <w:bdr w:val="nil"/>
              </w:rPr>
              <w:t>Presentar la iniciativa mexicana CADOPAT</w:t>
            </w:r>
            <w:r>
              <w:rPr>
                <w:rStyle w:val="FootnoteReference"/>
                <w:rFonts w:cs="Times New Roman"/>
                <w:color w:val="000000"/>
                <w:sz w:val="16"/>
                <w:szCs w:val="16"/>
              </w:rPr>
              <w:footnoteReference w:id="112"/>
            </w:r>
            <w:r>
              <w:rPr>
                <w:rFonts w:eastAsia="Arial"/>
                <w:color w:val="000000"/>
                <w:sz w:val="16"/>
                <w:szCs w:val="16"/>
                <w:bdr w:val="nil"/>
              </w:rPr>
              <w:t>, una iniciativa de cooperación horizontal para el examen de patentes</w:t>
            </w:r>
          </w:p>
        </w:tc>
      </w:tr>
    </w:tbl>
    <w:p w:rsidR="004E456B" w:rsidRPr="009703BB" w:rsidRDefault="004E456B" w:rsidP="00027A9C">
      <w:pPr>
        <w:rPr>
          <w:sz w:val="20"/>
          <w:szCs w:val="24"/>
        </w:rPr>
      </w:pPr>
    </w:p>
    <w:p w:rsidR="004E456B" w:rsidRPr="00533778" w:rsidRDefault="004E456B" w:rsidP="00027A9C">
      <w:pPr>
        <w:keepNext/>
        <w:keepLines/>
        <w:rPr>
          <w:sz w:val="20"/>
          <w:szCs w:val="24"/>
        </w:rPr>
      </w:pPr>
      <w:r w:rsidRPr="00533778">
        <w:rPr>
          <w:rFonts w:eastAsia="Arial"/>
          <w:b/>
          <w:bCs/>
          <w:sz w:val="20"/>
          <w:bdr w:val="nil"/>
        </w:rPr>
        <w:t>MÉXICO – Contribuciones del donante y gastos en 2016</w:t>
      </w:r>
      <w:r w:rsidRPr="00533778">
        <w:rPr>
          <w:rFonts w:eastAsia="Arial"/>
          <w:sz w:val="20"/>
          <w:bdr w:val="nil"/>
        </w:rPr>
        <w:t xml:space="preserve"> </w:t>
      </w:r>
    </w:p>
    <w:p w:rsidR="004E456B" w:rsidRPr="00533778" w:rsidRDefault="004E456B" w:rsidP="00027A9C">
      <w:pPr>
        <w:keepNext/>
        <w:keepLines/>
        <w:rPr>
          <w:sz w:val="20"/>
          <w:szCs w:val="24"/>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bottom"/>
            <w:hideMark/>
          </w:tcPr>
          <w:p w:rsidR="004E456B" w:rsidRPr="00533778" w:rsidRDefault="004E456B" w:rsidP="00027A9C">
            <w:pPr>
              <w:jc w:val="center"/>
              <w:rPr>
                <w:b/>
                <w:bCs/>
                <w:sz w:val="16"/>
                <w:szCs w:val="16"/>
              </w:rPr>
            </w:pPr>
            <w:r w:rsidRPr="00533778">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bottom"/>
            <w:hideMark/>
          </w:tcPr>
          <w:p w:rsidR="004E456B" w:rsidRPr="00533778" w:rsidRDefault="004E456B" w:rsidP="00027A9C">
            <w:pPr>
              <w:jc w:val="center"/>
              <w:rPr>
                <w:b/>
                <w:bCs/>
                <w:sz w:val="16"/>
                <w:szCs w:val="16"/>
              </w:rPr>
            </w:pPr>
            <w:r w:rsidRPr="00533778">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bottom"/>
            <w:hideMark/>
          </w:tcPr>
          <w:p w:rsidR="004E456B" w:rsidRPr="00533778" w:rsidRDefault="004E456B" w:rsidP="00027A9C">
            <w:pPr>
              <w:jc w:val="center"/>
              <w:rPr>
                <w:b/>
                <w:bCs/>
                <w:sz w:val="16"/>
                <w:szCs w:val="16"/>
              </w:rPr>
            </w:pPr>
            <w:r w:rsidRPr="00533778">
              <w:rPr>
                <w:rFonts w:eastAsia="Arial"/>
                <w:b/>
                <w:bCs/>
                <w:sz w:val="16"/>
                <w:szCs w:val="16"/>
                <w:bdr w:val="nil"/>
              </w:rPr>
              <w:t>Gastos en 2016</w:t>
            </w:r>
          </w:p>
        </w:tc>
        <w:tc>
          <w:tcPr>
            <w:tcW w:w="1814" w:type="dxa"/>
            <w:tcBorders>
              <w:top w:val="nil"/>
              <w:left w:val="nil"/>
              <w:bottom w:val="nil"/>
              <w:right w:val="nil"/>
            </w:tcBorders>
            <w:shd w:val="clear" w:color="000000" w:fill="C5D9F1"/>
            <w:noWrap/>
            <w:vAlign w:val="bottom"/>
            <w:hideMark/>
          </w:tcPr>
          <w:p w:rsidR="004E456B" w:rsidRPr="00533778" w:rsidRDefault="004E456B" w:rsidP="00027A9C">
            <w:pPr>
              <w:jc w:val="center"/>
              <w:rPr>
                <w:b/>
                <w:bCs/>
                <w:sz w:val="16"/>
                <w:szCs w:val="16"/>
              </w:rPr>
            </w:pPr>
            <w:r w:rsidRPr="00533778">
              <w:rPr>
                <w:rFonts w:eastAsia="Arial"/>
                <w:b/>
                <w:bCs/>
                <w:sz w:val="16"/>
                <w:szCs w:val="16"/>
                <w:bdr w:val="nil"/>
              </w:rPr>
              <w:t>Reembolsos</w:t>
            </w:r>
          </w:p>
        </w:tc>
        <w:tc>
          <w:tcPr>
            <w:tcW w:w="1815" w:type="dxa"/>
            <w:tcBorders>
              <w:top w:val="nil"/>
              <w:left w:val="nil"/>
              <w:bottom w:val="nil"/>
              <w:right w:val="nil"/>
            </w:tcBorders>
            <w:shd w:val="clear" w:color="000000" w:fill="C5D9F1"/>
            <w:vAlign w:val="bottom"/>
            <w:hideMark/>
          </w:tcPr>
          <w:p w:rsidR="004E456B" w:rsidRPr="00533778" w:rsidRDefault="004E456B" w:rsidP="00027A9C">
            <w:pPr>
              <w:jc w:val="center"/>
              <w:rPr>
                <w:b/>
                <w:bCs/>
                <w:sz w:val="16"/>
                <w:szCs w:val="16"/>
              </w:rPr>
            </w:pPr>
            <w:r w:rsidRPr="00533778">
              <w:rPr>
                <w:rFonts w:eastAsia="Arial"/>
                <w:b/>
                <w:bCs/>
                <w:sz w:val="16"/>
                <w:szCs w:val="16"/>
                <w:bdr w:val="nil"/>
              </w:rPr>
              <w:t>Saldo al 31 de diciembre de 2016</w:t>
            </w:r>
          </w:p>
        </w:tc>
      </w:tr>
      <w:tr w:rsidR="004E456B" w:rsidRPr="00533778" w:rsidTr="00027A9C">
        <w:trPr>
          <w:trHeight w:val="357"/>
        </w:trPr>
        <w:tc>
          <w:tcPr>
            <w:tcW w:w="1814" w:type="dxa"/>
            <w:tcBorders>
              <w:top w:val="nil"/>
              <w:left w:val="nil"/>
              <w:bottom w:val="nil"/>
              <w:right w:val="nil"/>
            </w:tcBorders>
            <w:shd w:val="clear" w:color="auto" w:fill="auto"/>
            <w:noWrap/>
            <w:vAlign w:val="bottom"/>
            <w:hideMark/>
          </w:tcPr>
          <w:p w:rsidR="004E456B" w:rsidRPr="00533778" w:rsidRDefault="004E456B" w:rsidP="00027A9C">
            <w:pPr>
              <w:jc w:val="center"/>
              <w:rPr>
                <w:sz w:val="16"/>
                <w:szCs w:val="16"/>
              </w:rPr>
            </w:pPr>
            <w:r w:rsidRPr="00533778">
              <w:rPr>
                <w:sz w:val="16"/>
                <w:szCs w:val="16"/>
              </w:rPr>
              <w:t>144.426</w:t>
            </w:r>
          </w:p>
        </w:tc>
        <w:tc>
          <w:tcPr>
            <w:tcW w:w="1814" w:type="dxa"/>
            <w:tcBorders>
              <w:top w:val="nil"/>
              <w:left w:val="nil"/>
              <w:bottom w:val="nil"/>
              <w:right w:val="nil"/>
            </w:tcBorders>
            <w:shd w:val="clear" w:color="auto" w:fill="auto"/>
            <w:noWrap/>
            <w:vAlign w:val="bottom"/>
            <w:hideMark/>
          </w:tcPr>
          <w:p w:rsidR="004E456B" w:rsidRPr="00533778" w:rsidRDefault="004E456B" w:rsidP="00027A9C">
            <w:pPr>
              <w:jc w:val="center"/>
              <w:rPr>
                <w:sz w:val="16"/>
                <w:szCs w:val="16"/>
              </w:rPr>
            </w:pPr>
            <w:r w:rsidRPr="00533778">
              <w:rPr>
                <w:sz w:val="16"/>
                <w:szCs w:val="16"/>
              </w:rPr>
              <w:t>98.765</w:t>
            </w:r>
          </w:p>
        </w:tc>
        <w:tc>
          <w:tcPr>
            <w:tcW w:w="1815" w:type="dxa"/>
            <w:tcBorders>
              <w:top w:val="nil"/>
              <w:left w:val="nil"/>
              <w:bottom w:val="nil"/>
              <w:right w:val="nil"/>
            </w:tcBorders>
            <w:shd w:val="clear" w:color="auto" w:fill="auto"/>
            <w:noWrap/>
            <w:vAlign w:val="bottom"/>
            <w:hideMark/>
          </w:tcPr>
          <w:p w:rsidR="004E456B" w:rsidRPr="00533778" w:rsidRDefault="004E456B" w:rsidP="00027A9C">
            <w:pPr>
              <w:jc w:val="center"/>
              <w:rPr>
                <w:sz w:val="16"/>
                <w:szCs w:val="16"/>
              </w:rPr>
            </w:pPr>
            <w:r w:rsidRPr="00533778">
              <w:rPr>
                <w:sz w:val="16"/>
                <w:szCs w:val="16"/>
              </w:rPr>
              <w:t>27.752</w:t>
            </w:r>
          </w:p>
        </w:tc>
        <w:tc>
          <w:tcPr>
            <w:tcW w:w="1814" w:type="dxa"/>
            <w:tcBorders>
              <w:top w:val="nil"/>
              <w:left w:val="nil"/>
              <w:bottom w:val="nil"/>
              <w:right w:val="nil"/>
            </w:tcBorders>
            <w:shd w:val="clear" w:color="auto" w:fill="auto"/>
            <w:noWrap/>
            <w:vAlign w:val="bottom"/>
            <w:hideMark/>
          </w:tcPr>
          <w:p w:rsidR="004E456B" w:rsidRPr="00533778" w:rsidRDefault="004E456B" w:rsidP="00027A9C">
            <w:pPr>
              <w:jc w:val="center"/>
              <w:rPr>
                <w:sz w:val="16"/>
                <w:szCs w:val="16"/>
              </w:rPr>
            </w:pPr>
            <w:r w:rsidRPr="00533778">
              <w:rPr>
                <w:sz w:val="16"/>
                <w:szCs w:val="16"/>
              </w:rPr>
              <w:t>-</w:t>
            </w:r>
          </w:p>
        </w:tc>
        <w:tc>
          <w:tcPr>
            <w:tcW w:w="1815" w:type="dxa"/>
            <w:tcBorders>
              <w:top w:val="nil"/>
              <w:left w:val="nil"/>
              <w:bottom w:val="nil"/>
              <w:right w:val="nil"/>
            </w:tcBorders>
            <w:shd w:val="clear" w:color="auto" w:fill="auto"/>
            <w:noWrap/>
            <w:vAlign w:val="bottom"/>
            <w:hideMark/>
          </w:tcPr>
          <w:p w:rsidR="004E456B" w:rsidRPr="00533778" w:rsidRDefault="004E456B" w:rsidP="00027A9C">
            <w:pPr>
              <w:jc w:val="center"/>
              <w:rPr>
                <w:sz w:val="16"/>
                <w:szCs w:val="16"/>
              </w:rPr>
            </w:pPr>
            <w:r w:rsidRPr="00533778">
              <w:rPr>
                <w:sz w:val="16"/>
                <w:szCs w:val="16"/>
              </w:rPr>
              <w:t>215.439</w:t>
            </w:r>
          </w:p>
        </w:tc>
      </w:tr>
    </w:tbl>
    <w:p w:rsidR="00F15D44" w:rsidRDefault="00F15D44" w:rsidP="00027A9C">
      <w:pPr>
        <w:keepNext/>
        <w:keepLines/>
        <w:rPr>
          <w:rFonts w:eastAsia="Arial"/>
          <w:b/>
          <w:bCs/>
          <w:sz w:val="20"/>
          <w:bdr w:val="nil"/>
        </w:rPr>
      </w:pPr>
    </w:p>
    <w:p w:rsidR="00F15D44" w:rsidRDefault="00F15D44" w:rsidP="00027A9C">
      <w:pPr>
        <w:keepNext/>
        <w:keepLines/>
        <w:rPr>
          <w:rFonts w:eastAsia="Arial"/>
          <w:b/>
          <w:bCs/>
          <w:sz w:val="20"/>
          <w:bdr w:val="nil"/>
        </w:rPr>
      </w:pPr>
    </w:p>
    <w:p w:rsidR="004E456B" w:rsidRPr="00533778" w:rsidRDefault="004E456B" w:rsidP="00027A9C">
      <w:pPr>
        <w:keepNext/>
        <w:keepLines/>
        <w:rPr>
          <w:b/>
          <w:sz w:val="20"/>
        </w:rPr>
      </w:pPr>
      <w:r w:rsidRPr="00533778">
        <w:rPr>
          <w:rFonts w:eastAsia="Arial"/>
          <w:b/>
          <w:bCs/>
          <w:sz w:val="20"/>
          <w:bdr w:val="nil"/>
        </w:rPr>
        <w:t>REPÚBLICA DE COREA / FOMENTAR EL RESPETO POR LA PROPIEDAD INTELECTUAL</w:t>
      </w:r>
    </w:p>
    <w:p w:rsidR="004E456B" w:rsidRPr="00533778" w:rsidRDefault="004E456B" w:rsidP="00027A9C">
      <w:pPr>
        <w:keepNext/>
        <w:keepLines/>
        <w:rPr>
          <w:b/>
          <w:sz w:val="20"/>
        </w:rPr>
      </w:pPr>
    </w:p>
    <w:tbl>
      <w:tblPr>
        <w:tblW w:w="9072" w:type="dxa"/>
        <w:tblInd w:w="108" w:type="dxa"/>
        <w:tblLayout w:type="fixed"/>
        <w:tblLook w:val="0000" w:firstRow="0" w:lastRow="0" w:firstColumn="0" w:lastColumn="0" w:noHBand="0" w:noVBand="0"/>
      </w:tblPr>
      <w:tblGrid>
        <w:gridCol w:w="1788"/>
        <w:gridCol w:w="1103"/>
        <w:gridCol w:w="1788"/>
        <w:gridCol w:w="4393"/>
      </w:tblGrid>
      <w:tr w:rsidR="004E456B" w:rsidRPr="008466AF" w:rsidTr="00027A9C">
        <w:tc>
          <w:tcPr>
            <w:tcW w:w="9360" w:type="dxa"/>
            <w:gridSpan w:val="4"/>
            <w:shd w:val="clear" w:color="auto" w:fill="C6D9F1" w:themeFill="text2" w:themeFillTint="33"/>
            <w:vAlign w:val="center"/>
          </w:tcPr>
          <w:p w:rsidR="004E456B" w:rsidRPr="00533778" w:rsidRDefault="004E456B" w:rsidP="00027A9C">
            <w:pPr>
              <w:keepNext/>
              <w:keepLines/>
              <w:spacing w:before="120" w:after="60"/>
              <w:ind w:left="1701" w:hanging="1701"/>
              <w:rPr>
                <w:bCs/>
                <w:sz w:val="16"/>
                <w:szCs w:val="16"/>
              </w:rPr>
            </w:pPr>
            <w:r w:rsidRPr="00533778">
              <w:rPr>
                <w:rFonts w:eastAsia="Arial"/>
                <w:b/>
                <w:bCs/>
                <w:sz w:val="16"/>
                <w:szCs w:val="16"/>
                <w:bdr w:val="nil"/>
              </w:rPr>
              <w:t>RESULTADO:</w:t>
            </w:r>
            <w:r w:rsidRPr="00533778">
              <w:rPr>
                <w:rFonts w:eastAsia="Arial"/>
                <w:b/>
                <w:bCs/>
                <w:sz w:val="16"/>
                <w:szCs w:val="16"/>
                <w:bdr w:val="nil"/>
              </w:rPr>
              <w:tab/>
            </w:r>
            <w:r w:rsidRPr="00533778">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Tr="00027A9C">
        <w:trPr>
          <w:trHeight w:val="438"/>
        </w:trPr>
        <w:tc>
          <w:tcPr>
            <w:tcW w:w="1843" w:type="dxa"/>
            <w:vAlign w:val="center"/>
          </w:tcPr>
          <w:p w:rsidR="004E456B" w:rsidRPr="00533778" w:rsidRDefault="004E456B" w:rsidP="00027A9C">
            <w:pPr>
              <w:keepNext/>
              <w:keepLines/>
              <w:rPr>
                <w:b/>
                <w:bCs/>
                <w:sz w:val="16"/>
                <w:szCs w:val="16"/>
              </w:rPr>
            </w:pPr>
            <w:r w:rsidRPr="00533778">
              <w:rPr>
                <w:rFonts w:eastAsia="Arial"/>
                <w:b/>
                <w:bCs/>
                <w:sz w:val="16"/>
                <w:szCs w:val="16"/>
                <w:bdr w:val="nil"/>
              </w:rPr>
              <w:t>Actividad</w:t>
            </w:r>
          </w:p>
        </w:tc>
        <w:tc>
          <w:tcPr>
            <w:tcW w:w="1134" w:type="dxa"/>
            <w:shd w:val="clear" w:color="auto" w:fill="auto"/>
            <w:tcMar>
              <w:top w:w="110" w:type="dxa"/>
            </w:tcMar>
            <w:vAlign w:val="center"/>
          </w:tcPr>
          <w:p w:rsidR="004E456B" w:rsidRPr="00533778" w:rsidRDefault="004E456B" w:rsidP="00027A9C">
            <w:pPr>
              <w:keepNext/>
              <w:keepLines/>
              <w:rPr>
                <w:b/>
                <w:bCs/>
                <w:sz w:val="16"/>
                <w:szCs w:val="16"/>
              </w:rPr>
            </w:pPr>
            <w:r w:rsidRPr="00533778">
              <w:rPr>
                <w:rFonts w:eastAsia="Arial"/>
                <w:b/>
                <w:bCs/>
                <w:sz w:val="16"/>
                <w:szCs w:val="16"/>
                <w:bdr w:val="nil"/>
              </w:rPr>
              <w:t>Fecha</w:t>
            </w:r>
          </w:p>
        </w:tc>
        <w:tc>
          <w:tcPr>
            <w:tcW w:w="1843" w:type="dxa"/>
            <w:shd w:val="clear" w:color="auto" w:fill="auto"/>
            <w:tcMar>
              <w:top w:w="110" w:type="dxa"/>
            </w:tcMar>
            <w:vAlign w:val="center"/>
          </w:tcPr>
          <w:p w:rsidR="004E456B" w:rsidRPr="00533778" w:rsidRDefault="004E456B" w:rsidP="00027A9C">
            <w:pPr>
              <w:keepNext/>
              <w:keepLines/>
              <w:rPr>
                <w:sz w:val="16"/>
                <w:szCs w:val="16"/>
              </w:rPr>
            </w:pPr>
            <w:r w:rsidRPr="00533778">
              <w:rPr>
                <w:rFonts w:eastAsia="Arial"/>
                <w:b/>
                <w:bCs/>
                <w:sz w:val="16"/>
                <w:szCs w:val="16"/>
                <w:bdr w:val="nil"/>
              </w:rPr>
              <w:t>País anfitrión / Beneficiarios</w:t>
            </w:r>
          </w:p>
        </w:tc>
        <w:tc>
          <w:tcPr>
            <w:tcW w:w="4540" w:type="dxa"/>
            <w:shd w:val="clear" w:color="auto" w:fill="FFFFFF"/>
            <w:tcMar>
              <w:top w:w="110" w:type="dxa"/>
            </w:tcMar>
            <w:vAlign w:val="center"/>
          </w:tcPr>
          <w:p w:rsidR="004E456B" w:rsidRPr="00533778" w:rsidRDefault="004E456B" w:rsidP="00027A9C">
            <w:pPr>
              <w:keepNext/>
              <w:keepLines/>
              <w:rPr>
                <w:sz w:val="16"/>
                <w:szCs w:val="16"/>
              </w:rPr>
            </w:pPr>
            <w:r w:rsidRPr="00533778">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trHeight w:val="473"/>
        </w:trPr>
        <w:tc>
          <w:tcPr>
            <w:tcW w:w="1843" w:type="dxa"/>
          </w:tcPr>
          <w:p w:rsidR="004E456B" w:rsidRPr="009703BB" w:rsidRDefault="004E456B" w:rsidP="00027A9C">
            <w:pPr>
              <w:autoSpaceDE w:val="0"/>
              <w:autoSpaceDN w:val="0"/>
              <w:adjustRightInd w:val="0"/>
              <w:spacing w:after="120"/>
              <w:rPr>
                <w:color w:val="000000"/>
                <w:sz w:val="16"/>
                <w:szCs w:val="16"/>
              </w:rPr>
            </w:pPr>
            <w:r>
              <w:rPr>
                <w:rFonts w:eastAsia="Arial"/>
                <w:bCs/>
                <w:sz w:val="16"/>
                <w:szCs w:val="16"/>
                <w:bdr w:val="nil"/>
              </w:rPr>
              <w:t>Taller interregional sobre la observancia del derecho de autor, organizado por la OMPI, el Ministerio surcoreano de Cultura, Deporte y Turismo (MCST) y la Comisión Surcoreana de Derecho de Autor (KCC)</w:t>
            </w:r>
          </w:p>
        </w:tc>
        <w:tc>
          <w:tcPr>
            <w:tcW w:w="1134" w:type="dxa"/>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5 a 9 de diciembre de 2016</w:t>
            </w:r>
          </w:p>
        </w:tc>
        <w:tc>
          <w:tcPr>
            <w:tcW w:w="1843" w:type="dxa"/>
          </w:tcPr>
          <w:p w:rsidR="004E456B" w:rsidRPr="004A52F2" w:rsidRDefault="004E456B" w:rsidP="00027A9C">
            <w:pPr>
              <w:autoSpaceDE w:val="0"/>
              <w:autoSpaceDN w:val="0"/>
              <w:adjustRightInd w:val="0"/>
              <w:spacing w:after="120"/>
              <w:rPr>
                <w:bCs/>
                <w:kern w:val="36"/>
                <w:sz w:val="16"/>
                <w:szCs w:val="16"/>
                <w:lang w:eastAsia="ko-KR"/>
              </w:rPr>
            </w:pPr>
            <w:r w:rsidRPr="004A52F2">
              <w:rPr>
                <w:rFonts w:eastAsia="Arial"/>
                <w:bCs/>
                <w:kern w:val="36"/>
                <w:sz w:val="16"/>
                <w:szCs w:val="16"/>
                <w:bdr w:val="nil"/>
                <w:lang w:eastAsia="ko-KR"/>
              </w:rPr>
              <w:t>República de Corea/ 20 participantes extranjeros de 10 países</w:t>
            </w:r>
          </w:p>
        </w:tc>
        <w:tc>
          <w:tcPr>
            <w:tcW w:w="4540" w:type="dxa"/>
          </w:tcPr>
          <w:p w:rsidR="004E456B" w:rsidRPr="004A52F2" w:rsidRDefault="004E456B" w:rsidP="00027A9C">
            <w:pPr>
              <w:tabs>
                <w:tab w:val="left" w:pos="664"/>
              </w:tabs>
              <w:rPr>
                <w:sz w:val="16"/>
                <w:szCs w:val="16"/>
              </w:rPr>
            </w:pPr>
            <w:r w:rsidRPr="004A52F2">
              <w:rPr>
                <w:rFonts w:eastAsia="Arial"/>
                <w:sz w:val="16"/>
                <w:szCs w:val="16"/>
                <w:bdr w:val="nil"/>
              </w:rPr>
              <w:t>i) Examinar el valor de la protección y la observancia del derecho de autor y los derechos conexos para el desarrollo social, económico y cultural de los países participantes;  ii) impartir formación básica sobre las vías de recurso y las medidas de observancia del derecho de autor y los derechos conexos, centrando la atención, en particular, en el entorno digital;  iii) examinar diversas cuestiones relacionadas con el fomento del respeto por el derecho de autor y los derechos conexos;  y iv) concebir estrategias nacionales y transnacionales de cooperación eficaz para fomentar el respeto por el derecho de autor.</w:t>
            </w:r>
            <w:r w:rsidRPr="004A52F2">
              <w:rPr>
                <w:rFonts w:eastAsia="Arial"/>
                <w:sz w:val="16"/>
                <w:szCs w:val="16"/>
                <w:bdr w:val="nil"/>
              </w:rPr>
              <w:br/>
            </w:r>
          </w:p>
        </w:tc>
      </w:tr>
      <w:tr w:rsidR="004E456B" w:rsidRPr="008466AF" w:rsidTr="00027A9C">
        <w:tblPrEx>
          <w:tblLook w:val="04A0" w:firstRow="1" w:lastRow="0" w:firstColumn="1" w:lastColumn="0" w:noHBand="0" w:noVBand="1"/>
        </w:tblPrEx>
        <w:trPr>
          <w:trHeight w:val="473"/>
        </w:trPr>
        <w:tc>
          <w:tcPr>
            <w:tcW w:w="1843" w:type="dxa"/>
          </w:tcPr>
          <w:p w:rsidR="004E456B" w:rsidRPr="009703BB" w:rsidRDefault="004E456B" w:rsidP="00027A9C">
            <w:pPr>
              <w:autoSpaceDE w:val="0"/>
              <w:autoSpaceDN w:val="0"/>
              <w:adjustRightInd w:val="0"/>
              <w:spacing w:after="120"/>
              <w:rPr>
                <w:bCs/>
                <w:sz w:val="16"/>
                <w:szCs w:val="16"/>
              </w:rPr>
            </w:pPr>
            <w:r>
              <w:rPr>
                <w:rFonts w:eastAsia="Arial"/>
                <w:color w:val="000000"/>
                <w:sz w:val="16"/>
                <w:szCs w:val="16"/>
                <w:bdr w:val="nil"/>
              </w:rPr>
              <w:t xml:space="preserve">Adaptación y traducción de </w:t>
            </w:r>
            <w:r>
              <w:rPr>
                <w:rFonts w:eastAsia="Arial"/>
                <w:sz w:val="16"/>
                <w:szCs w:val="16"/>
                <w:bdr w:val="nil"/>
              </w:rPr>
              <w:t xml:space="preserve">material didáctico </w:t>
            </w:r>
            <w:r>
              <w:rPr>
                <w:rFonts w:eastAsia="Arial"/>
                <w:sz w:val="16"/>
                <w:szCs w:val="16"/>
                <w:bdr w:val="nil"/>
              </w:rPr>
              <w:lastRenderedPageBreak/>
              <w:t>sobre el respeto por el derecho de autor, de la OMPI y el Ministerio surcoreano de Cultura, Deporte y Turismo (MCST)</w:t>
            </w:r>
          </w:p>
        </w:tc>
        <w:tc>
          <w:tcPr>
            <w:tcW w:w="1134" w:type="dxa"/>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lastRenderedPageBreak/>
              <w:t xml:space="preserve">23 de junio a 31 de diciembre </w:t>
            </w:r>
            <w:r w:rsidRPr="004A52F2">
              <w:rPr>
                <w:rFonts w:eastAsia="Arial"/>
                <w:sz w:val="16"/>
                <w:szCs w:val="16"/>
                <w:bdr w:val="nil"/>
              </w:rPr>
              <w:lastRenderedPageBreak/>
              <w:t xml:space="preserve">de 2016 </w:t>
            </w:r>
          </w:p>
          <w:p w:rsidR="004E456B" w:rsidRPr="004A52F2" w:rsidRDefault="004E456B" w:rsidP="00027A9C">
            <w:pPr>
              <w:autoSpaceDE w:val="0"/>
              <w:autoSpaceDN w:val="0"/>
              <w:adjustRightInd w:val="0"/>
              <w:spacing w:before="120" w:after="120"/>
              <w:rPr>
                <w:sz w:val="16"/>
                <w:szCs w:val="16"/>
              </w:rPr>
            </w:pPr>
            <w:r w:rsidRPr="004A52F2">
              <w:rPr>
                <w:rFonts w:eastAsia="Arial"/>
                <w:sz w:val="16"/>
                <w:szCs w:val="16"/>
                <w:bdr w:val="nil"/>
              </w:rPr>
              <w:t>(en curso)</w:t>
            </w:r>
          </w:p>
        </w:tc>
        <w:tc>
          <w:tcPr>
            <w:tcW w:w="1843" w:type="dxa"/>
          </w:tcPr>
          <w:p w:rsidR="004E456B" w:rsidRPr="004A52F2" w:rsidRDefault="004E456B" w:rsidP="00027A9C">
            <w:pPr>
              <w:autoSpaceDE w:val="0"/>
              <w:autoSpaceDN w:val="0"/>
              <w:adjustRightInd w:val="0"/>
              <w:spacing w:after="120"/>
              <w:rPr>
                <w:bCs/>
                <w:sz w:val="16"/>
                <w:szCs w:val="16"/>
              </w:rPr>
            </w:pPr>
            <w:r w:rsidRPr="004A52F2">
              <w:rPr>
                <w:rFonts w:eastAsia="Arial"/>
                <w:bCs/>
                <w:sz w:val="16"/>
                <w:szCs w:val="16"/>
                <w:bdr w:val="nil"/>
              </w:rPr>
              <w:lastRenderedPageBreak/>
              <w:t>Todos los Estados miembros de la OMPI</w:t>
            </w:r>
          </w:p>
        </w:tc>
        <w:tc>
          <w:tcPr>
            <w:tcW w:w="4540" w:type="dxa"/>
          </w:tcPr>
          <w:p w:rsidR="004E456B" w:rsidRPr="009703BB" w:rsidRDefault="004E456B" w:rsidP="00027A9C">
            <w:pPr>
              <w:tabs>
                <w:tab w:val="left" w:pos="664"/>
              </w:tabs>
              <w:rPr>
                <w:bCs/>
                <w:sz w:val="16"/>
                <w:szCs w:val="16"/>
              </w:rPr>
            </w:pPr>
            <w:r>
              <w:rPr>
                <w:rFonts w:eastAsia="Arial"/>
                <w:color w:val="000000"/>
                <w:sz w:val="16"/>
                <w:szCs w:val="16"/>
                <w:bdr w:val="nil"/>
              </w:rPr>
              <w:t xml:space="preserve">Adaptación al francés, español y árabe del material didáctico existente en inglés sobre el derecho de autor a fin de fomentar el respeto por el derecho de autor en los </w:t>
            </w:r>
            <w:r>
              <w:rPr>
                <w:rFonts w:eastAsia="Arial"/>
                <w:color w:val="000000"/>
                <w:sz w:val="16"/>
                <w:szCs w:val="16"/>
                <w:bdr w:val="nil"/>
              </w:rPr>
              <w:lastRenderedPageBreak/>
              <w:t>países hispanohablantes, francófonos y árabes mediante la promoción de una mayor sensibilización del público en general y, en especial, de los jóvenes sobre el sistema del derecho de autor y la observancia de dicho derecho.</w:t>
            </w:r>
          </w:p>
        </w:tc>
      </w:tr>
      <w:tr w:rsidR="004E456B" w:rsidRPr="008466AF" w:rsidTr="00027A9C">
        <w:tblPrEx>
          <w:tblLook w:val="04A0" w:firstRow="1" w:lastRow="0" w:firstColumn="1" w:lastColumn="0" w:noHBand="0" w:noVBand="1"/>
        </w:tblPrEx>
        <w:trPr>
          <w:trHeight w:val="473"/>
        </w:trPr>
        <w:tc>
          <w:tcPr>
            <w:tcW w:w="1843" w:type="dxa"/>
          </w:tcPr>
          <w:p w:rsidR="004E456B" w:rsidRPr="009703BB" w:rsidRDefault="004E456B" w:rsidP="00027A9C">
            <w:pPr>
              <w:autoSpaceDE w:val="0"/>
              <w:autoSpaceDN w:val="0"/>
              <w:adjustRightInd w:val="0"/>
              <w:spacing w:after="120"/>
              <w:rPr>
                <w:color w:val="000000"/>
                <w:sz w:val="16"/>
                <w:szCs w:val="16"/>
              </w:rPr>
            </w:pPr>
            <w:r>
              <w:rPr>
                <w:rFonts w:eastAsia="Arial"/>
                <w:color w:val="000000"/>
                <w:sz w:val="16"/>
                <w:szCs w:val="16"/>
                <w:bdr w:val="nil"/>
              </w:rPr>
              <w:lastRenderedPageBreak/>
              <w:t>Elaboración de un conjunto de herramientas de estudio para la evaluación de las actitudes de los consumidores</w:t>
            </w:r>
          </w:p>
        </w:tc>
        <w:tc>
          <w:tcPr>
            <w:tcW w:w="1134" w:type="dxa"/>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7 de septiembre a 22 de diciembre de 2016</w:t>
            </w:r>
          </w:p>
        </w:tc>
        <w:tc>
          <w:tcPr>
            <w:tcW w:w="1843" w:type="dxa"/>
            <w:shd w:val="clear" w:color="auto" w:fill="auto"/>
          </w:tcPr>
          <w:p w:rsidR="004E456B" w:rsidRPr="004A52F2" w:rsidRDefault="004E456B" w:rsidP="00027A9C">
            <w:pPr>
              <w:tabs>
                <w:tab w:val="left" w:pos="664"/>
              </w:tabs>
              <w:rPr>
                <w:sz w:val="16"/>
                <w:szCs w:val="16"/>
              </w:rPr>
            </w:pPr>
            <w:r w:rsidRPr="004A52F2">
              <w:rPr>
                <w:rFonts w:eastAsia="Arial"/>
                <w:sz w:val="16"/>
                <w:szCs w:val="16"/>
                <w:bdr w:val="nil"/>
              </w:rPr>
              <w:t>Todos los Estados miembros de la OMPI</w:t>
            </w:r>
          </w:p>
        </w:tc>
        <w:tc>
          <w:tcPr>
            <w:tcW w:w="4540" w:type="dxa"/>
          </w:tcPr>
          <w:p w:rsidR="004E456B" w:rsidRPr="009703BB" w:rsidRDefault="004E456B" w:rsidP="00027A9C">
            <w:pPr>
              <w:tabs>
                <w:tab w:val="left" w:pos="664"/>
              </w:tabs>
              <w:rPr>
                <w:szCs w:val="22"/>
              </w:rPr>
            </w:pPr>
            <w:r>
              <w:rPr>
                <w:rFonts w:eastAsia="Arial"/>
                <w:color w:val="000000"/>
                <w:sz w:val="16"/>
                <w:szCs w:val="16"/>
                <w:bdr w:val="nil"/>
              </w:rPr>
              <w:t>Dar asistencia a las oficinas de P.I. y otras entidades que realizan actividades de sensibilización acerca del respeto por la P.I. con el fin de que obtengan unos criterios objetivos para planificar y evaluar las estrategias de comunicación destinadas a fomentar el respeto.</w:t>
            </w:r>
          </w:p>
        </w:tc>
      </w:tr>
    </w:tbl>
    <w:p w:rsidR="004E456B" w:rsidRPr="009703BB" w:rsidRDefault="004E456B" w:rsidP="00027A9C">
      <w:pPr>
        <w:rPr>
          <w:sz w:val="20"/>
        </w:rPr>
      </w:pPr>
    </w:p>
    <w:p w:rsidR="004E456B" w:rsidRPr="004A52F2" w:rsidRDefault="004E456B" w:rsidP="00027A9C">
      <w:pPr>
        <w:rPr>
          <w:b/>
          <w:bCs/>
          <w:sz w:val="20"/>
        </w:rPr>
      </w:pPr>
      <w:r w:rsidRPr="004A52F2">
        <w:rPr>
          <w:rFonts w:eastAsia="Arial"/>
          <w:b/>
          <w:bCs/>
          <w:sz w:val="20"/>
          <w:bdr w:val="nil"/>
        </w:rPr>
        <w:t>REPÚBLICA DE COREA / FOMENTAR EL RESPETO POR LA PROPIEDAD INTELECTUAL - Contribuciones del donante y gastos en 2016</w:t>
      </w:r>
    </w:p>
    <w:p w:rsidR="004E456B" w:rsidRPr="004A52F2" w:rsidRDefault="004E456B" w:rsidP="00027A9C">
      <w:pPr>
        <w:rPr>
          <w:b/>
          <w:bCs/>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4A52F2" w:rsidRDefault="004E456B" w:rsidP="00027A9C">
            <w:pPr>
              <w:jc w:val="center"/>
              <w:rPr>
                <w:b/>
                <w:bCs/>
                <w:sz w:val="16"/>
                <w:szCs w:val="16"/>
              </w:rPr>
            </w:pPr>
            <w:r w:rsidRPr="004A52F2">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4A52F2" w:rsidRDefault="004E456B" w:rsidP="00027A9C">
            <w:pPr>
              <w:jc w:val="center"/>
              <w:rPr>
                <w:b/>
                <w:bCs/>
                <w:sz w:val="16"/>
                <w:szCs w:val="16"/>
              </w:rPr>
            </w:pPr>
            <w:r w:rsidRPr="004A52F2">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4A52F2" w:rsidRDefault="004E456B" w:rsidP="00027A9C">
            <w:pPr>
              <w:jc w:val="center"/>
              <w:rPr>
                <w:b/>
                <w:bCs/>
                <w:sz w:val="16"/>
                <w:szCs w:val="16"/>
              </w:rPr>
            </w:pPr>
            <w:r w:rsidRPr="004A52F2">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4A52F2" w:rsidRDefault="004E456B" w:rsidP="00027A9C">
            <w:pPr>
              <w:jc w:val="center"/>
              <w:rPr>
                <w:b/>
                <w:bCs/>
                <w:sz w:val="16"/>
                <w:szCs w:val="16"/>
              </w:rPr>
            </w:pPr>
            <w:r w:rsidRPr="004A52F2">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4A52F2" w:rsidRDefault="004E456B" w:rsidP="00027A9C">
            <w:pPr>
              <w:jc w:val="center"/>
              <w:rPr>
                <w:b/>
                <w:bCs/>
                <w:sz w:val="16"/>
                <w:szCs w:val="16"/>
              </w:rPr>
            </w:pPr>
            <w:r w:rsidRPr="004A52F2">
              <w:rPr>
                <w:rFonts w:eastAsia="Arial"/>
                <w:b/>
                <w:bCs/>
                <w:sz w:val="16"/>
                <w:szCs w:val="16"/>
                <w:bdr w:val="nil"/>
              </w:rPr>
              <w:t>Saldo al 31 de diciembre de 2016</w:t>
            </w:r>
          </w:p>
        </w:tc>
      </w:tr>
      <w:tr w:rsidR="004E456B" w:rsidRPr="004A52F2" w:rsidTr="00027A9C">
        <w:trPr>
          <w:trHeight w:val="357"/>
        </w:trPr>
        <w:tc>
          <w:tcPr>
            <w:tcW w:w="1814" w:type="dxa"/>
            <w:tcBorders>
              <w:top w:val="nil"/>
              <w:left w:val="nil"/>
              <w:bottom w:val="nil"/>
              <w:right w:val="nil"/>
            </w:tcBorders>
            <w:shd w:val="clear" w:color="auto" w:fill="auto"/>
            <w:noWrap/>
            <w:vAlign w:val="bottom"/>
            <w:hideMark/>
          </w:tcPr>
          <w:p w:rsidR="004E456B" w:rsidRPr="004A52F2" w:rsidRDefault="004E456B" w:rsidP="00027A9C">
            <w:pPr>
              <w:jc w:val="center"/>
              <w:rPr>
                <w:sz w:val="16"/>
                <w:szCs w:val="16"/>
              </w:rPr>
            </w:pPr>
            <w:r w:rsidRPr="004A52F2">
              <w:rPr>
                <w:sz w:val="16"/>
                <w:szCs w:val="16"/>
              </w:rPr>
              <w:t>50.475</w:t>
            </w:r>
          </w:p>
        </w:tc>
        <w:tc>
          <w:tcPr>
            <w:tcW w:w="1814" w:type="dxa"/>
            <w:tcBorders>
              <w:top w:val="nil"/>
              <w:left w:val="nil"/>
              <w:bottom w:val="nil"/>
              <w:right w:val="nil"/>
            </w:tcBorders>
            <w:shd w:val="clear" w:color="auto" w:fill="auto"/>
            <w:noWrap/>
            <w:vAlign w:val="bottom"/>
            <w:hideMark/>
          </w:tcPr>
          <w:p w:rsidR="004E456B" w:rsidRPr="004A52F2" w:rsidRDefault="004E456B" w:rsidP="00027A9C">
            <w:pPr>
              <w:jc w:val="center"/>
              <w:rPr>
                <w:sz w:val="16"/>
                <w:szCs w:val="16"/>
              </w:rPr>
            </w:pPr>
            <w:r w:rsidRPr="004A52F2">
              <w:rPr>
                <w:sz w:val="16"/>
                <w:szCs w:val="16"/>
              </w:rPr>
              <w:t>126.336</w:t>
            </w:r>
          </w:p>
        </w:tc>
        <w:tc>
          <w:tcPr>
            <w:tcW w:w="1815" w:type="dxa"/>
            <w:tcBorders>
              <w:top w:val="nil"/>
              <w:left w:val="nil"/>
              <w:bottom w:val="nil"/>
              <w:right w:val="nil"/>
            </w:tcBorders>
            <w:shd w:val="clear" w:color="auto" w:fill="auto"/>
            <w:noWrap/>
            <w:vAlign w:val="bottom"/>
            <w:hideMark/>
          </w:tcPr>
          <w:p w:rsidR="004E456B" w:rsidRPr="004A52F2" w:rsidRDefault="004E456B" w:rsidP="00027A9C">
            <w:pPr>
              <w:jc w:val="center"/>
              <w:rPr>
                <w:sz w:val="16"/>
                <w:szCs w:val="16"/>
              </w:rPr>
            </w:pPr>
            <w:r w:rsidRPr="004A52F2">
              <w:rPr>
                <w:sz w:val="16"/>
                <w:szCs w:val="16"/>
              </w:rPr>
              <w:t>118.462</w:t>
            </w:r>
          </w:p>
        </w:tc>
        <w:tc>
          <w:tcPr>
            <w:tcW w:w="1814" w:type="dxa"/>
            <w:tcBorders>
              <w:top w:val="nil"/>
              <w:left w:val="nil"/>
              <w:bottom w:val="nil"/>
              <w:right w:val="nil"/>
            </w:tcBorders>
            <w:shd w:val="clear" w:color="auto" w:fill="auto"/>
            <w:noWrap/>
            <w:vAlign w:val="bottom"/>
            <w:hideMark/>
          </w:tcPr>
          <w:p w:rsidR="004E456B" w:rsidRPr="004A52F2" w:rsidRDefault="004E456B" w:rsidP="00027A9C">
            <w:pPr>
              <w:jc w:val="center"/>
              <w:rPr>
                <w:sz w:val="16"/>
                <w:szCs w:val="16"/>
              </w:rPr>
            </w:pPr>
            <w:r w:rsidRPr="004A52F2">
              <w:rPr>
                <w:sz w:val="16"/>
                <w:szCs w:val="16"/>
              </w:rPr>
              <w:t>-</w:t>
            </w:r>
          </w:p>
        </w:tc>
        <w:tc>
          <w:tcPr>
            <w:tcW w:w="1815" w:type="dxa"/>
            <w:tcBorders>
              <w:top w:val="nil"/>
              <w:left w:val="nil"/>
              <w:bottom w:val="nil"/>
              <w:right w:val="nil"/>
            </w:tcBorders>
            <w:shd w:val="clear" w:color="auto" w:fill="auto"/>
            <w:noWrap/>
            <w:vAlign w:val="bottom"/>
            <w:hideMark/>
          </w:tcPr>
          <w:p w:rsidR="004E456B" w:rsidRPr="004A52F2" w:rsidRDefault="004E456B" w:rsidP="00027A9C">
            <w:pPr>
              <w:jc w:val="center"/>
              <w:rPr>
                <w:sz w:val="16"/>
                <w:szCs w:val="16"/>
              </w:rPr>
            </w:pPr>
            <w:r w:rsidRPr="004A52F2">
              <w:rPr>
                <w:sz w:val="16"/>
                <w:szCs w:val="16"/>
              </w:rPr>
              <w:t>58.349</w:t>
            </w:r>
          </w:p>
        </w:tc>
      </w:tr>
    </w:tbl>
    <w:p w:rsidR="004E456B" w:rsidRPr="004A52F2" w:rsidRDefault="004E456B" w:rsidP="00027A9C">
      <w:pPr>
        <w:rPr>
          <w:b/>
          <w:sz w:val="20"/>
          <w:lang w:val="es-ES_tradnl"/>
        </w:rPr>
      </w:pPr>
    </w:p>
    <w:p w:rsidR="004E456B" w:rsidRPr="004A52F2" w:rsidRDefault="004E456B" w:rsidP="00027A9C">
      <w:pPr>
        <w:rPr>
          <w:b/>
          <w:sz w:val="20"/>
          <w:lang w:val="es-ES_tradnl"/>
        </w:rPr>
      </w:pPr>
    </w:p>
    <w:p w:rsidR="004E456B" w:rsidRPr="004A52F2" w:rsidRDefault="004E456B" w:rsidP="00027A9C">
      <w:pPr>
        <w:keepNext/>
        <w:keepLines/>
        <w:rPr>
          <w:b/>
          <w:sz w:val="20"/>
        </w:rPr>
      </w:pPr>
      <w:r w:rsidRPr="004A52F2">
        <w:rPr>
          <w:rFonts w:eastAsia="Arial"/>
          <w:b/>
          <w:bCs/>
          <w:sz w:val="20"/>
          <w:bdr w:val="nil"/>
        </w:rPr>
        <w:t>REPÚBLICA DE COREA / DERECHO DE AUTOR</w:t>
      </w:r>
    </w:p>
    <w:p w:rsidR="004E456B" w:rsidRPr="004A52F2" w:rsidRDefault="004E456B" w:rsidP="00027A9C">
      <w:pPr>
        <w:keepNext/>
        <w:keepLines/>
        <w:rPr>
          <w:b/>
          <w:sz w:val="20"/>
        </w:rPr>
      </w:pPr>
    </w:p>
    <w:tbl>
      <w:tblPr>
        <w:tblW w:w="9072" w:type="dxa"/>
        <w:tblInd w:w="78" w:type="dxa"/>
        <w:tblLayout w:type="fixed"/>
        <w:tblLook w:val="0000" w:firstRow="0" w:lastRow="0" w:firstColumn="0" w:lastColumn="0" w:noHBand="0" w:noVBand="0"/>
      </w:tblPr>
      <w:tblGrid>
        <w:gridCol w:w="1812"/>
        <w:gridCol w:w="1101"/>
        <w:gridCol w:w="1920"/>
        <w:gridCol w:w="4239"/>
      </w:tblGrid>
      <w:tr w:rsidR="004E456B" w:rsidRPr="008466AF" w:rsidTr="00027A9C">
        <w:trPr>
          <w:trHeight w:val="755"/>
        </w:trPr>
        <w:tc>
          <w:tcPr>
            <w:tcW w:w="9386" w:type="dxa"/>
            <w:gridSpan w:val="4"/>
            <w:shd w:val="clear" w:color="auto" w:fill="C6D9F1" w:themeFill="text2" w:themeFillTint="33"/>
            <w:vAlign w:val="center"/>
          </w:tcPr>
          <w:p w:rsidR="004E456B" w:rsidRPr="004A52F2" w:rsidRDefault="004E456B" w:rsidP="00027A9C">
            <w:pPr>
              <w:keepNext/>
              <w:keepLines/>
              <w:spacing w:before="120" w:after="60"/>
              <w:ind w:left="1701" w:hanging="1701"/>
              <w:rPr>
                <w:bCs/>
                <w:sz w:val="16"/>
                <w:szCs w:val="16"/>
              </w:rPr>
            </w:pPr>
            <w:r w:rsidRPr="004A52F2">
              <w:rPr>
                <w:rFonts w:eastAsia="Arial"/>
                <w:b/>
                <w:bCs/>
                <w:sz w:val="16"/>
                <w:szCs w:val="16"/>
                <w:bdr w:val="nil"/>
              </w:rPr>
              <w:t>RESULTADO:</w:t>
            </w:r>
            <w:r w:rsidRPr="004A52F2">
              <w:rPr>
                <w:rFonts w:eastAsia="Arial"/>
                <w:b/>
                <w:bCs/>
                <w:sz w:val="16"/>
                <w:szCs w:val="16"/>
                <w:bdr w:val="nil"/>
              </w:rPr>
              <w:tab/>
            </w:r>
            <w:r w:rsidRPr="004A52F2">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Tr="00027A9C">
        <w:trPr>
          <w:trHeight w:val="457"/>
        </w:trPr>
        <w:tc>
          <w:tcPr>
            <w:tcW w:w="1873" w:type="dxa"/>
            <w:vAlign w:val="center"/>
          </w:tcPr>
          <w:p w:rsidR="004E456B" w:rsidRPr="004A52F2" w:rsidRDefault="004E456B" w:rsidP="00027A9C">
            <w:pPr>
              <w:keepNext/>
              <w:keepLines/>
              <w:rPr>
                <w:b/>
                <w:bCs/>
                <w:sz w:val="16"/>
                <w:szCs w:val="16"/>
              </w:rPr>
            </w:pPr>
            <w:r w:rsidRPr="004A52F2">
              <w:rPr>
                <w:rFonts w:eastAsia="Arial"/>
                <w:b/>
                <w:bCs/>
                <w:sz w:val="16"/>
                <w:szCs w:val="16"/>
                <w:bdr w:val="nil"/>
              </w:rPr>
              <w:t>Actividad</w:t>
            </w:r>
          </w:p>
        </w:tc>
        <w:tc>
          <w:tcPr>
            <w:tcW w:w="1134" w:type="dxa"/>
            <w:shd w:val="clear" w:color="auto" w:fill="auto"/>
            <w:tcMar>
              <w:top w:w="110" w:type="dxa"/>
            </w:tcMar>
            <w:vAlign w:val="center"/>
          </w:tcPr>
          <w:p w:rsidR="004E456B" w:rsidRPr="004A52F2" w:rsidRDefault="004E456B" w:rsidP="00027A9C">
            <w:pPr>
              <w:keepNext/>
              <w:keepLines/>
              <w:rPr>
                <w:b/>
                <w:bCs/>
                <w:sz w:val="16"/>
                <w:szCs w:val="16"/>
              </w:rPr>
            </w:pPr>
            <w:r w:rsidRPr="004A52F2">
              <w:rPr>
                <w:rFonts w:eastAsia="Arial"/>
                <w:b/>
                <w:bCs/>
                <w:sz w:val="16"/>
                <w:szCs w:val="16"/>
                <w:bdr w:val="nil"/>
              </w:rPr>
              <w:t>Fecha</w:t>
            </w:r>
          </w:p>
        </w:tc>
        <w:tc>
          <w:tcPr>
            <w:tcW w:w="1985" w:type="dxa"/>
            <w:shd w:val="clear" w:color="auto" w:fill="auto"/>
            <w:tcMar>
              <w:top w:w="110" w:type="dxa"/>
            </w:tcMar>
            <w:vAlign w:val="center"/>
          </w:tcPr>
          <w:p w:rsidR="004E456B" w:rsidRPr="004A52F2" w:rsidRDefault="004E456B" w:rsidP="00027A9C">
            <w:pPr>
              <w:keepNext/>
              <w:keepLines/>
              <w:rPr>
                <w:sz w:val="16"/>
                <w:szCs w:val="16"/>
              </w:rPr>
            </w:pPr>
            <w:r w:rsidRPr="004A52F2">
              <w:rPr>
                <w:rFonts w:eastAsia="Arial"/>
                <w:b/>
                <w:bCs/>
                <w:sz w:val="16"/>
                <w:szCs w:val="16"/>
                <w:bdr w:val="nil"/>
              </w:rPr>
              <w:t>País anfitrión / Beneficiarios</w:t>
            </w:r>
          </w:p>
        </w:tc>
        <w:tc>
          <w:tcPr>
            <w:tcW w:w="4394" w:type="dxa"/>
            <w:shd w:val="clear" w:color="auto" w:fill="FFFFFF"/>
            <w:tcMar>
              <w:top w:w="110" w:type="dxa"/>
            </w:tcMar>
            <w:vAlign w:val="center"/>
          </w:tcPr>
          <w:p w:rsidR="004E456B" w:rsidRPr="004A52F2" w:rsidRDefault="004E456B" w:rsidP="00027A9C">
            <w:pPr>
              <w:keepNext/>
              <w:keepLines/>
              <w:rPr>
                <w:sz w:val="16"/>
                <w:szCs w:val="16"/>
              </w:rPr>
            </w:pPr>
            <w:r w:rsidRPr="004A52F2">
              <w:rPr>
                <w:rFonts w:eastAsia="Arial"/>
                <w:b/>
                <w:bCs/>
                <w:sz w:val="16"/>
                <w:szCs w:val="16"/>
                <w:bdr w:val="nil"/>
              </w:rPr>
              <w:t>Propósito(s)/Descripción</w:t>
            </w:r>
          </w:p>
        </w:tc>
      </w:tr>
      <w:tr w:rsidR="004E456B" w:rsidRPr="008466AF" w:rsidTr="00027A9C">
        <w:trPr>
          <w:trHeight w:val="547"/>
        </w:trPr>
        <w:tc>
          <w:tcPr>
            <w:tcW w:w="1873" w:type="dxa"/>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Taller nacional sobre el derecho de autor y los derechos conexos</w:t>
            </w:r>
          </w:p>
        </w:tc>
        <w:tc>
          <w:tcPr>
            <w:tcW w:w="1134"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13 a 15 de diciembre de 2016</w:t>
            </w:r>
          </w:p>
        </w:tc>
        <w:tc>
          <w:tcPr>
            <w:tcW w:w="1985"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 xml:space="preserve">Viet Nam / 200 (unos 100 participantes locales por taller) </w:t>
            </w:r>
          </w:p>
        </w:tc>
        <w:tc>
          <w:tcPr>
            <w:tcW w:w="4394" w:type="dxa"/>
            <w:shd w:val="clear" w:color="auto" w:fill="FFFFFF"/>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Fomentar la sensibilización de los encargados de formular políticas y de los principales sectores interesados acerca de la importancia del derecho de autor y los derechos conexos.</w:t>
            </w:r>
          </w:p>
        </w:tc>
      </w:tr>
      <w:tr w:rsidR="004E456B" w:rsidRPr="008466AF" w:rsidTr="00027A9C">
        <w:trPr>
          <w:trHeight w:val="820"/>
        </w:trPr>
        <w:tc>
          <w:tcPr>
            <w:tcW w:w="1873" w:type="dxa"/>
          </w:tcPr>
          <w:p w:rsidR="004E456B" w:rsidRPr="004A52F2" w:rsidRDefault="004E456B" w:rsidP="00027A9C">
            <w:pPr>
              <w:autoSpaceDE w:val="0"/>
              <w:autoSpaceDN w:val="0"/>
              <w:adjustRightInd w:val="0"/>
              <w:spacing w:after="120"/>
              <w:rPr>
                <w:b/>
                <w:bCs/>
                <w:sz w:val="16"/>
                <w:szCs w:val="16"/>
              </w:rPr>
            </w:pPr>
            <w:r w:rsidRPr="004A52F2">
              <w:rPr>
                <w:rFonts w:eastAsia="Arial"/>
                <w:sz w:val="16"/>
                <w:szCs w:val="16"/>
                <w:bdr w:val="nil"/>
              </w:rPr>
              <w:t xml:space="preserve">Proyecto nacional de aumento de la concienciación sobre el derecho de autor y los derechos conexos </w:t>
            </w:r>
          </w:p>
        </w:tc>
        <w:tc>
          <w:tcPr>
            <w:tcW w:w="1134"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Mayo a diciembre de 2016</w:t>
            </w:r>
          </w:p>
          <w:p w:rsidR="004E456B" w:rsidRPr="004A52F2" w:rsidRDefault="004E456B" w:rsidP="00027A9C">
            <w:pPr>
              <w:spacing w:before="120"/>
              <w:rPr>
                <w:sz w:val="16"/>
                <w:szCs w:val="16"/>
              </w:rPr>
            </w:pPr>
            <w:r w:rsidRPr="004A52F2">
              <w:rPr>
                <w:rFonts w:eastAsia="Arial"/>
                <w:sz w:val="16"/>
                <w:szCs w:val="16"/>
                <w:bdr w:val="nil"/>
              </w:rPr>
              <w:t>(en curso)</w:t>
            </w:r>
          </w:p>
        </w:tc>
        <w:tc>
          <w:tcPr>
            <w:tcW w:w="1985"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Malawi</w:t>
            </w:r>
          </w:p>
        </w:tc>
        <w:tc>
          <w:tcPr>
            <w:tcW w:w="4394" w:type="dxa"/>
            <w:shd w:val="clear" w:color="auto" w:fill="FFFFFF"/>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Ayudar a Malawi en sus esfuerzos por crear una infraestructura viable de derecho de autor y fortalecer la capacidad del país para llevar a cabo programas de concienciación pública en el ámbito del derecho de autor y los derechos conexos.</w:t>
            </w:r>
          </w:p>
        </w:tc>
      </w:tr>
      <w:tr w:rsidR="004E456B" w:rsidRPr="008466AF" w:rsidTr="00027A9C">
        <w:trPr>
          <w:trHeight w:val="820"/>
        </w:trPr>
        <w:tc>
          <w:tcPr>
            <w:tcW w:w="1873" w:type="dxa"/>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Proyecto nacional de aumento de la concientización sobre el derecho de autor y los derechos conexos</w:t>
            </w:r>
          </w:p>
        </w:tc>
        <w:tc>
          <w:tcPr>
            <w:tcW w:w="1134"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Marzo de a diciembre de 2016</w:t>
            </w:r>
          </w:p>
          <w:p w:rsidR="004E456B" w:rsidRPr="004A52F2" w:rsidRDefault="004E456B" w:rsidP="00027A9C">
            <w:pPr>
              <w:spacing w:before="120"/>
              <w:rPr>
                <w:sz w:val="16"/>
                <w:szCs w:val="16"/>
              </w:rPr>
            </w:pPr>
            <w:r w:rsidRPr="004A52F2">
              <w:rPr>
                <w:rFonts w:eastAsia="Arial"/>
                <w:sz w:val="16"/>
                <w:szCs w:val="16"/>
                <w:bdr w:val="nil"/>
              </w:rPr>
              <w:t>(en curso)</w:t>
            </w:r>
          </w:p>
        </w:tc>
        <w:tc>
          <w:tcPr>
            <w:tcW w:w="1985"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 xml:space="preserve">Botswana / 5 institutos de enseñanza (4 escuelas secundarias y una institución para jóvenes) </w:t>
            </w:r>
          </w:p>
        </w:tc>
        <w:tc>
          <w:tcPr>
            <w:tcW w:w="4394" w:type="dxa"/>
            <w:shd w:val="clear" w:color="auto" w:fill="FFFFFF"/>
            <w:tcMar>
              <w:top w:w="110" w:type="dxa"/>
            </w:tcMar>
          </w:tcPr>
          <w:p w:rsidR="004E456B" w:rsidRPr="009703BB" w:rsidRDefault="004E456B" w:rsidP="00027A9C">
            <w:pPr>
              <w:rPr>
                <w:sz w:val="16"/>
                <w:szCs w:val="16"/>
              </w:rPr>
            </w:pPr>
            <w:r>
              <w:rPr>
                <w:rFonts w:eastAsia="Arial"/>
                <w:sz w:val="16"/>
                <w:szCs w:val="16"/>
                <w:bdr w:val="nil"/>
              </w:rPr>
              <w:t>Dar asistencia a Botswana en la realización de un proyecto de educación en materia de derecho de autor para los jóvenes con objeto de concientizar sobre el derecho de autor y establecer un entorno propicio para el uso y la protección eficaces del derecho de autor y los derechos conexos.</w:t>
            </w:r>
          </w:p>
        </w:tc>
      </w:tr>
      <w:tr w:rsidR="004E456B" w:rsidRPr="008466AF" w:rsidTr="00027A9C">
        <w:trPr>
          <w:trHeight w:val="604"/>
        </w:trPr>
        <w:tc>
          <w:tcPr>
            <w:tcW w:w="1873" w:type="dxa"/>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Proyecto nacional de aumento de la concienciación sobre el derecho de autor y los derechos conexos</w:t>
            </w:r>
          </w:p>
        </w:tc>
        <w:tc>
          <w:tcPr>
            <w:tcW w:w="1134"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Diciembre de 2016</w:t>
            </w:r>
          </w:p>
          <w:p w:rsidR="004E456B" w:rsidRPr="004A52F2" w:rsidRDefault="004E456B" w:rsidP="00027A9C">
            <w:pPr>
              <w:spacing w:before="120"/>
              <w:rPr>
                <w:sz w:val="16"/>
                <w:szCs w:val="16"/>
              </w:rPr>
            </w:pPr>
            <w:r w:rsidRPr="004A52F2">
              <w:rPr>
                <w:rFonts w:eastAsia="Arial"/>
                <w:sz w:val="16"/>
                <w:szCs w:val="16"/>
                <w:bdr w:val="nil"/>
              </w:rPr>
              <w:t>(en curso)</w:t>
            </w:r>
          </w:p>
        </w:tc>
        <w:tc>
          <w:tcPr>
            <w:tcW w:w="1985"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Kenya / 77 participantes en un curso de formación en Mombasa;  92 participantes en un curso en Bomet</w:t>
            </w:r>
          </w:p>
        </w:tc>
        <w:tc>
          <w:tcPr>
            <w:tcW w:w="4394" w:type="dxa"/>
            <w:shd w:val="clear" w:color="auto" w:fill="FFFFFF"/>
            <w:tcMar>
              <w:top w:w="110" w:type="dxa"/>
            </w:tcMar>
          </w:tcPr>
          <w:p w:rsidR="004E456B" w:rsidRPr="00931F05" w:rsidRDefault="004E456B" w:rsidP="00027A9C">
            <w:pPr>
              <w:rPr>
                <w:sz w:val="16"/>
                <w:szCs w:val="16"/>
              </w:rPr>
            </w:pPr>
            <w:r w:rsidRPr="004A52F2">
              <w:rPr>
                <w:rFonts w:eastAsia="Arial"/>
                <w:sz w:val="16"/>
                <w:szCs w:val="16"/>
                <w:bdr w:val="nil"/>
              </w:rPr>
              <w:t>Mejorar la capacidad de Kenya para llevar a cabo programas de divulgación pública, creando así el ambiente propicio para la utilización y protección eficaz del derecho de autor y los derechos conexos.</w:t>
            </w:r>
            <w:r w:rsidRPr="004A52F2">
              <w:rPr>
                <w:rFonts w:eastAsia="Arial"/>
                <w:sz w:val="20"/>
                <w:bdr w:val="nil"/>
              </w:rPr>
              <w:t xml:space="preserve"> </w:t>
            </w:r>
          </w:p>
        </w:tc>
      </w:tr>
      <w:tr w:rsidR="004E456B" w:rsidRPr="008466AF" w:rsidTr="00027A9C">
        <w:trPr>
          <w:trHeight w:val="842"/>
        </w:trPr>
        <w:tc>
          <w:tcPr>
            <w:tcW w:w="1873" w:type="dxa"/>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 xml:space="preserve">Proyecto del Consorcio de Libros Accesibles (ABC) </w:t>
            </w:r>
          </w:p>
        </w:tc>
        <w:tc>
          <w:tcPr>
            <w:tcW w:w="1134"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 xml:space="preserve">Enero a diciembre de 2016 </w:t>
            </w:r>
          </w:p>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(en curso)</w:t>
            </w:r>
          </w:p>
        </w:tc>
        <w:tc>
          <w:tcPr>
            <w:tcW w:w="1985" w:type="dxa"/>
            <w:shd w:val="clear" w:color="auto" w:fill="auto"/>
            <w:tcMar>
              <w:top w:w="110" w:type="dxa"/>
            </w:tcMar>
          </w:tcPr>
          <w:p w:rsidR="004E456B" w:rsidRPr="004A52F2" w:rsidRDefault="004E456B" w:rsidP="00027A9C">
            <w:pPr>
              <w:autoSpaceDE w:val="0"/>
              <w:autoSpaceDN w:val="0"/>
              <w:adjustRightInd w:val="0"/>
              <w:spacing w:after="120"/>
              <w:rPr>
                <w:sz w:val="16"/>
                <w:szCs w:val="16"/>
              </w:rPr>
            </w:pPr>
            <w:r w:rsidRPr="004A52F2">
              <w:rPr>
                <w:rFonts w:eastAsia="Arial"/>
                <w:sz w:val="16"/>
                <w:szCs w:val="16"/>
                <w:bdr w:val="nil"/>
              </w:rPr>
              <w:t xml:space="preserve">India </w:t>
            </w:r>
          </w:p>
        </w:tc>
        <w:tc>
          <w:tcPr>
            <w:tcW w:w="4394" w:type="dxa"/>
            <w:shd w:val="clear" w:color="auto" w:fill="FFFFFF"/>
            <w:tcMar>
              <w:top w:w="110" w:type="dxa"/>
            </w:tcMar>
          </w:tcPr>
          <w:p w:rsidR="004E456B" w:rsidRPr="009703BB" w:rsidRDefault="004E456B" w:rsidP="00027A9C">
            <w:pPr>
              <w:autoSpaceDE w:val="0"/>
              <w:autoSpaceDN w:val="0"/>
              <w:adjustRightInd w:val="0"/>
              <w:spacing w:after="120"/>
              <w:rPr>
                <w:color w:val="000000"/>
                <w:sz w:val="16"/>
                <w:szCs w:val="16"/>
              </w:rPr>
            </w:pPr>
            <w:r>
              <w:rPr>
                <w:rFonts w:eastAsia="Arial"/>
                <w:color w:val="000000"/>
                <w:sz w:val="16"/>
                <w:szCs w:val="16"/>
                <w:bdr w:val="nil"/>
              </w:rPr>
              <w:t>i) Poner fin al hambre de libros que padecen los estudiantes de secundaria con dificultades para acceder al texto impreso en Uttar Pradesh, Punjab y Rajastán (India), prestando asistencia a la producción de libros en formatos accesibles; ii) respaldar el acceso de los estudiantes a los libros digitales proporcionando dispositivos de lectura y enseñado a los estudiantes cómo usarlos; y iii) fortalecer la capacidad de las editoriales estatales de libros de texto para que los libros que se produzcan en el futuro sean accesibles.</w:t>
            </w:r>
          </w:p>
        </w:tc>
      </w:tr>
      <w:tr w:rsidR="004E456B" w:rsidRPr="008466AF" w:rsidTr="00027A9C">
        <w:tc>
          <w:tcPr>
            <w:tcW w:w="9386" w:type="dxa"/>
            <w:gridSpan w:val="4"/>
            <w:shd w:val="clear" w:color="auto" w:fill="C6D9F1" w:themeFill="text2" w:themeFillTint="33"/>
            <w:vAlign w:val="center"/>
          </w:tcPr>
          <w:p w:rsidR="004E456B" w:rsidRPr="002918FA" w:rsidRDefault="004E456B" w:rsidP="00027A9C">
            <w:pPr>
              <w:keepNext/>
              <w:keepLines/>
              <w:tabs>
                <w:tab w:val="left" w:pos="2082"/>
              </w:tabs>
              <w:spacing w:before="120" w:after="120"/>
              <w:ind w:left="1765" w:hanging="1765"/>
              <w:rPr>
                <w:bCs/>
                <w:sz w:val="16"/>
                <w:szCs w:val="16"/>
              </w:rPr>
            </w:pPr>
            <w:r w:rsidRPr="002918FA">
              <w:rPr>
                <w:rFonts w:eastAsia="Arial"/>
                <w:b/>
                <w:bCs/>
                <w:sz w:val="16"/>
                <w:szCs w:val="16"/>
                <w:bdr w:val="nil"/>
                <w:shd w:val="clear" w:color="auto" w:fill="C6D9F1"/>
              </w:rPr>
              <w:lastRenderedPageBreak/>
              <w:t>RESULTADO:</w:t>
            </w:r>
            <w:r w:rsidRPr="002918FA">
              <w:rPr>
                <w:rFonts w:eastAsia="Arial"/>
                <w:b/>
                <w:bCs/>
                <w:sz w:val="16"/>
                <w:szCs w:val="16"/>
                <w:bdr w:val="nil"/>
                <w:shd w:val="clear" w:color="auto" w:fill="C6D9F1"/>
              </w:rPr>
              <w:tab/>
            </w:r>
            <w:r w:rsidRPr="002918FA">
              <w:rPr>
                <w:rFonts w:eastAsia="Arial"/>
                <w:sz w:val="16"/>
                <w:szCs w:val="16"/>
                <w:bdr w:val="nil"/>
              </w:rPr>
              <w:t xml:space="preserve">IV.4  Mejora de la infraestructura técnica y de conocimientos de las Oficinas y demás instituciones de P.I. que les permita prestar mejores servicios (más baratos, más rápidos y de mejor calidad) a los sectores interesados y mejores resultados en la administración de la P.I. </w:t>
            </w:r>
          </w:p>
        </w:tc>
      </w:tr>
      <w:tr w:rsidR="004E456B" w:rsidTr="00027A9C">
        <w:tc>
          <w:tcPr>
            <w:tcW w:w="1873" w:type="dxa"/>
            <w:vAlign w:val="center"/>
          </w:tcPr>
          <w:p w:rsidR="004E456B" w:rsidRPr="002918FA" w:rsidRDefault="004E456B" w:rsidP="00027A9C">
            <w:pPr>
              <w:keepNext/>
              <w:keepLines/>
              <w:rPr>
                <w:b/>
                <w:bCs/>
                <w:sz w:val="16"/>
                <w:szCs w:val="16"/>
              </w:rPr>
            </w:pPr>
            <w:r w:rsidRPr="002918FA">
              <w:rPr>
                <w:rFonts w:eastAsia="Arial"/>
                <w:b/>
                <w:bCs/>
                <w:sz w:val="16"/>
                <w:szCs w:val="16"/>
                <w:bdr w:val="nil"/>
              </w:rPr>
              <w:t>Actividad</w:t>
            </w:r>
          </w:p>
        </w:tc>
        <w:tc>
          <w:tcPr>
            <w:tcW w:w="1134" w:type="dxa"/>
            <w:shd w:val="clear" w:color="auto" w:fill="auto"/>
            <w:tcMar>
              <w:top w:w="110" w:type="dxa"/>
            </w:tcMar>
            <w:vAlign w:val="center"/>
          </w:tcPr>
          <w:p w:rsidR="004E456B" w:rsidRPr="002918FA" w:rsidRDefault="004E456B" w:rsidP="00027A9C">
            <w:pPr>
              <w:keepNext/>
              <w:keepLines/>
              <w:rPr>
                <w:sz w:val="16"/>
                <w:szCs w:val="16"/>
              </w:rPr>
            </w:pPr>
            <w:r w:rsidRPr="002918FA">
              <w:rPr>
                <w:rFonts w:eastAsia="Arial"/>
                <w:b/>
                <w:bCs/>
                <w:sz w:val="16"/>
                <w:szCs w:val="16"/>
                <w:bdr w:val="nil"/>
              </w:rPr>
              <w:t>Fecha</w:t>
            </w:r>
          </w:p>
        </w:tc>
        <w:tc>
          <w:tcPr>
            <w:tcW w:w="1985" w:type="dxa"/>
            <w:shd w:val="clear" w:color="auto" w:fill="auto"/>
            <w:tcMar>
              <w:top w:w="110" w:type="dxa"/>
            </w:tcMar>
            <w:vAlign w:val="center"/>
          </w:tcPr>
          <w:p w:rsidR="004E456B" w:rsidRPr="002918FA" w:rsidRDefault="004E456B" w:rsidP="00027A9C">
            <w:pPr>
              <w:keepNext/>
              <w:keepLines/>
              <w:rPr>
                <w:sz w:val="16"/>
                <w:szCs w:val="16"/>
              </w:rPr>
            </w:pPr>
            <w:r w:rsidRPr="002918FA">
              <w:rPr>
                <w:rFonts w:eastAsia="Arial"/>
                <w:b/>
                <w:bCs/>
                <w:sz w:val="16"/>
                <w:szCs w:val="16"/>
                <w:bdr w:val="nil"/>
              </w:rPr>
              <w:t>País anfitrión / Beneficiarios</w:t>
            </w:r>
          </w:p>
        </w:tc>
        <w:tc>
          <w:tcPr>
            <w:tcW w:w="4394" w:type="dxa"/>
            <w:shd w:val="clear" w:color="auto" w:fill="FFFFFF"/>
            <w:tcMar>
              <w:top w:w="110" w:type="dxa"/>
            </w:tcMar>
            <w:vAlign w:val="center"/>
          </w:tcPr>
          <w:p w:rsidR="004E456B" w:rsidRPr="002918FA" w:rsidRDefault="004E456B" w:rsidP="00027A9C">
            <w:pPr>
              <w:keepNext/>
              <w:keepLines/>
              <w:rPr>
                <w:sz w:val="16"/>
                <w:szCs w:val="16"/>
              </w:rPr>
            </w:pPr>
            <w:r w:rsidRPr="002918FA">
              <w:rPr>
                <w:rFonts w:eastAsia="Arial"/>
                <w:b/>
                <w:bCs/>
                <w:sz w:val="16"/>
                <w:szCs w:val="16"/>
                <w:bdr w:val="nil"/>
              </w:rPr>
              <w:t>Propósito(s)/Descripción</w:t>
            </w:r>
          </w:p>
        </w:tc>
      </w:tr>
      <w:tr w:rsidR="004E456B" w:rsidRPr="008466AF" w:rsidTr="00027A9C">
        <w:trPr>
          <w:trHeight w:val="1549"/>
        </w:trPr>
        <w:tc>
          <w:tcPr>
            <w:tcW w:w="1873" w:type="dxa"/>
          </w:tcPr>
          <w:p w:rsidR="004E456B" w:rsidRPr="002918FA" w:rsidRDefault="004E456B" w:rsidP="00027A9C">
            <w:pPr>
              <w:autoSpaceDE w:val="0"/>
              <w:autoSpaceDN w:val="0"/>
              <w:adjustRightInd w:val="0"/>
              <w:spacing w:after="120"/>
              <w:rPr>
                <w:sz w:val="16"/>
                <w:szCs w:val="16"/>
              </w:rPr>
            </w:pPr>
            <w:r w:rsidRPr="002918FA">
              <w:rPr>
                <w:rFonts w:eastAsia="Arial"/>
                <w:sz w:val="16"/>
                <w:szCs w:val="16"/>
                <w:bdr w:val="nil"/>
              </w:rPr>
              <w:t>Taller interregional sobre fortalecimiento de capacidades en materia de derecho de autor</w:t>
            </w:r>
          </w:p>
        </w:tc>
        <w:tc>
          <w:tcPr>
            <w:tcW w:w="1134" w:type="dxa"/>
            <w:shd w:val="clear" w:color="auto" w:fill="auto"/>
            <w:tcMar>
              <w:top w:w="110" w:type="dxa"/>
            </w:tcMar>
          </w:tcPr>
          <w:p w:rsidR="004E456B" w:rsidRPr="002918FA" w:rsidRDefault="004E456B" w:rsidP="00027A9C">
            <w:pPr>
              <w:autoSpaceDE w:val="0"/>
              <w:autoSpaceDN w:val="0"/>
              <w:adjustRightInd w:val="0"/>
              <w:spacing w:after="120"/>
              <w:rPr>
                <w:sz w:val="16"/>
                <w:szCs w:val="16"/>
              </w:rPr>
            </w:pPr>
            <w:r w:rsidRPr="002918FA">
              <w:rPr>
                <w:rFonts w:eastAsia="Arial"/>
                <w:sz w:val="16"/>
                <w:szCs w:val="16"/>
                <w:bdr w:val="nil"/>
              </w:rPr>
              <w:t>21 a 24 de marzo de 2016</w:t>
            </w:r>
          </w:p>
        </w:tc>
        <w:tc>
          <w:tcPr>
            <w:tcW w:w="1985" w:type="dxa"/>
            <w:shd w:val="clear" w:color="auto" w:fill="auto"/>
            <w:tcMar>
              <w:top w:w="28" w:type="dxa"/>
            </w:tcMar>
          </w:tcPr>
          <w:p w:rsidR="004E456B" w:rsidRPr="002918FA" w:rsidRDefault="004E456B" w:rsidP="00027A9C">
            <w:pPr>
              <w:autoSpaceDE w:val="0"/>
              <w:autoSpaceDN w:val="0"/>
              <w:adjustRightInd w:val="0"/>
              <w:spacing w:after="120"/>
              <w:rPr>
                <w:sz w:val="16"/>
                <w:szCs w:val="16"/>
              </w:rPr>
            </w:pPr>
            <w:r w:rsidRPr="002918FA">
              <w:rPr>
                <w:rFonts w:eastAsia="Arial"/>
                <w:sz w:val="16"/>
                <w:szCs w:val="16"/>
                <w:bdr w:val="nil"/>
              </w:rPr>
              <w:t>República de Corea/ 15 participantes, de Angola, Argentina, China, Dominica, Ecuador, Egipto, Federación de Rusia, Guatemala, India, Indonesia, Myanmar, Nepal, Nigeria, Sri Lanka, Uganda</w:t>
            </w:r>
          </w:p>
        </w:tc>
        <w:tc>
          <w:tcPr>
            <w:tcW w:w="4394" w:type="dxa"/>
            <w:shd w:val="clear" w:color="auto" w:fill="FFFFFF"/>
            <w:tcMar>
              <w:top w:w="110" w:type="dxa"/>
            </w:tcMar>
          </w:tcPr>
          <w:p w:rsidR="004E456B" w:rsidRPr="002918FA" w:rsidRDefault="004E456B" w:rsidP="00027A9C">
            <w:pPr>
              <w:tabs>
                <w:tab w:val="center" w:pos="4536"/>
                <w:tab w:val="right" w:pos="9072"/>
              </w:tabs>
              <w:spacing w:after="120"/>
              <w:rPr>
                <w:rFonts w:eastAsiaTheme="minorEastAsia"/>
                <w:kern w:val="2"/>
                <w:sz w:val="16"/>
                <w:szCs w:val="16"/>
                <w:lang w:eastAsia="ko-KR"/>
              </w:rPr>
            </w:pPr>
            <w:r w:rsidRPr="002918FA">
              <w:rPr>
                <w:rFonts w:eastAsia="Arial"/>
                <w:sz w:val="16"/>
                <w:szCs w:val="16"/>
                <w:bdr w:val="nil"/>
                <w:lang w:eastAsia="ko-KR"/>
              </w:rPr>
              <w:t xml:space="preserve">Actualizar conocimientos, compartir experiencias sobre fortalecimiento de capacidades en materia de derecho de autor, intercambiar opiniones sobre las metodologías aplicadas en diversos programas de fortalecimiento de capacidades en esta materia, y debatir sobre el modo de mejorar estos programas a nivel nacional, regional e internacional. </w:t>
            </w:r>
          </w:p>
        </w:tc>
      </w:tr>
      <w:tr w:rsidR="004E456B" w:rsidRPr="008466AF" w:rsidTr="00027A9C">
        <w:trPr>
          <w:trHeight w:val="32"/>
        </w:trPr>
        <w:tc>
          <w:tcPr>
            <w:tcW w:w="1873" w:type="dxa"/>
          </w:tcPr>
          <w:p w:rsidR="004E456B" w:rsidRPr="009703BB" w:rsidRDefault="004E456B" w:rsidP="00027A9C">
            <w:pPr>
              <w:autoSpaceDE w:val="0"/>
              <w:autoSpaceDN w:val="0"/>
              <w:adjustRightInd w:val="0"/>
              <w:spacing w:after="120"/>
              <w:rPr>
                <w:color w:val="000000"/>
                <w:sz w:val="16"/>
                <w:szCs w:val="16"/>
              </w:rPr>
            </w:pPr>
            <w:r>
              <w:rPr>
                <w:rFonts w:eastAsia="Arial"/>
                <w:color w:val="000000"/>
                <w:sz w:val="16"/>
                <w:szCs w:val="16"/>
                <w:bdr w:val="nil"/>
              </w:rPr>
              <w:t>Taller regional sobre nuevas cuestiones en materia de derecho de autor y derechos conexos</w:t>
            </w:r>
          </w:p>
        </w:tc>
        <w:tc>
          <w:tcPr>
            <w:tcW w:w="1134" w:type="dxa"/>
            <w:shd w:val="clear" w:color="auto" w:fill="auto"/>
            <w:tcMar>
              <w:top w:w="110" w:type="dxa"/>
            </w:tcMar>
          </w:tcPr>
          <w:p w:rsidR="004E456B" w:rsidRPr="00E07512" w:rsidRDefault="004E456B" w:rsidP="00027A9C">
            <w:pPr>
              <w:autoSpaceDE w:val="0"/>
              <w:autoSpaceDN w:val="0"/>
              <w:adjustRightInd w:val="0"/>
              <w:spacing w:after="120"/>
              <w:rPr>
                <w:sz w:val="16"/>
                <w:szCs w:val="16"/>
              </w:rPr>
            </w:pPr>
            <w:r w:rsidRPr="00E07512">
              <w:rPr>
                <w:rFonts w:eastAsia="Arial"/>
                <w:sz w:val="16"/>
                <w:szCs w:val="16"/>
                <w:bdr w:val="nil"/>
              </w:rPr>
              <w:t>23 a 25 de mayo de 2016</w:t>
            </w:r>
          </w:p>
        </w:tc>
        <w:tc>
          <w:tcPr>
            <w:tcW w:w="1985" w:type="dxa"/>
            <w:shd w:val="clear" w:color="auto" w:fill="auto"/>
            <w:tcMar>
              <w:top w:w="57" w:type="dxa"/>
            </w:tcMar>
          </w:tcPr>
          <w:p w:rsidR="004E456B" w:rsidRPr="00E07512" w:rsidRDefault="004E456B" w:rsidP="00027A9C">
            <w:pPr>
              <w:autoSpaceDE w:val="0"/>
              <w:autoSpaceDN w:val="0"/>
              <w:adjustRightInd w:val="0"/>
              <w:spacing w:after="120"/>
              <w:rPr>
                <w:sz w:val="16"/>
                <w:szCs w:val="16"/>
              </w:rPr>
            </w:pPr>
            <w:r w:rsidRPr="00E07512">
              <w:rPr>
                <w:rFonts w:eastAsia="Arial"/>
                <w:sz w:val="16"/>
                <w:szCs w:val="16"/>
                <w:bdr w:val="nil"/>
              </w:rPr>
              <w:t>China/ 14 participantes, de Bangladesh, Bhután, Camboya, China, Filipinas, Indonesia, Malasia, Mongolia, Nepal, Pakistán, Sri Lanka, Viet Nam y 70 participantes locales</w:t>
            </w:r>
          </w:p>
        </w:tc>
        <w:tc>
          <w:tcPr>
            <w:tcW w:w="4394" w:type="dxa"/>
            <w:shd w:val="clear" w:color="auto" w:fill="FFFFFF"/>
            <w:tcMar>
              <w:top w:w="110" w:type="dxa"/>
            </w:tcMar>
          </w:tcPr>
          <w:p w:rsidR="004E456B" w:rsidRPr="009703BB" w:rsidRDefault="004E456B" w:rsidP="00027A9C">
            <w:pPr>
              <w:spacing w:after="120"/>
              <w:rPr>
                <w:sz w:val="16"/>
                <w:szCs w:val="16"/>
                <w:lang w:eastAsia="ko-KR"/>
              </w:rPr>
            </w:pPr>
            <w:r>
              <w:rPr>
                <w:rFonts w:eastAsia="Arial"/>
                <w:sz w:val="16"/>
                <w:szCs w:val="16"/>
                <w:bdr w:val="nil"/>
                <w:lang w:eastAsia="ko-KR"/>
              </w:rPr>
              <w:t xml:space="preserve"> i) Brindar la oportunidad a los funcionarios encargados del derecho de autor en Asia y el Pacífico de compartir información sobre cuestiones, desafíos y novedades en materia de derecho de autor y derechos conexos a nivel nacional e internacional y actualizar sus conocimientos; ii) intercambiar opiniones sobre cuestiones y desafíos; y iii) analizar la manera de mejorar el sistema de derecho de autor a nivel nacional</w:t>
            </w:r>
          </w:p>
        </w:tc>
      </w:tr>
      <w:tr w:rsidR="004E456B" w:rsidRPr="008466AF" w:rsidTr="00027A9C">
        <w:trPr>
          <w:trHeight w:val="32"/>
        </w:trPr>
        <w:tc>
          <w:tcPr>
            <w:tcW w:w="1873" w:type="dxa"/>
          </w:tcPr>
          <w:p w:rsidR="004E456B" w:rsidRPr="00E07512" w:rsidRDefault="004E456B" w:rsidP="00027A9C">
            <w:pPr>
              <w:autoSpaceDE w:val="0"/>
              <w:autoSpaceDN w:val="0"/>
              <w:adjustRightInd w:val="0"/>
              <w:spacing w:after="120"/>
              <w:rPr>
                <w:sz w:val="16"/>
                <w:szCs w:val="16"/>
              </w:rPr>
            </w:pPr>
            <w:r w:rsidRPr="00E07512">
              <w:rPr>
                <w:rFonts w:eastAsia="Arial"/>
                <w:sz w:val="16"/>
                <w:szCs w:val="16"/>
                <w:bdr w:val="nil"/>
              </w:rPr>
              <w:t>Taller subregional sobre cooperación en materia de derecho de autor y derechos conexos</w:t>
            </w:r>
          </w:p>
        </w:tc>
        <w:tc>
          <w:tcPr>
            <w:tcW w:w="1134" w:type="dxa"/>
            <w:shd w:val="clear" w:color="auto" w:fill="auto"/>
            <w:tcMar>
              <w:top w:w="110" w:type="dxa"/>
            </w:tcMar>
          </w:tcPr>
          <w:p w:rsidR="004E456B" w:rsidRPr="00E07512" w:rsidRDefault="004E456B" w:rsidP="00027A9C">
            <w:pPr>
              <w:autoSpaceDE w:val="0"/>
              <w:autoSpaceDN w:val="0"/>
              <w:adjustRightInd w:val="0"/>
              <w:spacing w:after="120"/>
              <w:rPr>
                <w:sz w:val="16"/>
                <w:szCs w:val="16"/>
              </w:rPr>
            </w:pPr>
            <w:r w:rsidRPr="00E07512">
              <w:rPr>
                <w:rFonts w:eastAsia="Arial"/>
                <w:sz w:val="16"/>
                <w:szCs w:val="16"/>
                <w:bdr w:val="nil"/>
              </w:rPr>
              <w:t>28 a 30 de junio de 2016</w:t>
            </w:r>
          </w:p>
        </w:tc>
        <w:tc>
          <w:tcPr>
            <w:tcW w:w="1985" w:type="dxa"/>
            <w:shd w:val="clear" w:color="auto" w:fill="auto"/>
            <w:tcMar>
              <w:top w:w="110" w:type="dxa"/>
            </w:tcMar>
          </w:tcPr>
          <w:p w:rsidR="004E456B" w:rsidRPr="00E07512" w:rsidRDefault="004E456B" w:rsidP="00027A9C">
            <w:pPr>
              <w:autoSpaceDE w:val="0"/>
              <w:autoSpaceDN w:val="0"/>
              <w:adjustRightInd w:val="0"/>
              <w:spacing w:after="120"/>
              <w:rPr>
                <w:sz w:val="16"/>
                <w:szCs w:val="16"/>
              </w:rPr>
            </w:pPr>
            <w:r w:rsidRPr="00E07512">
              <w:rPr>
                <w:rFonts w:eastAsia="Arial"/>
                <w:sz w:val="16"/>
                <w:szCs w:val="16"/>
                <w:bdr w:val="nil"/>
              </w:rPr>
              <w:t xml:space="preserve">Federación de Rusia/ 11 participantes, de China, Mongolia, República de Corea, y varios participantes locales </w:t>
            </w:r>
          </w:p>
        </w:tc>
        <w:tc>
          <w:tcPr>
            <w:tcW w:w="4394" w:type="dxa"/>
            <w:shd w:val="clear" w:color="auto" w:fill="FFFFFF"/>
            <w:tcMar>
              <w:top w:w="110" w:type="dxa"/>
            </w:tcMar>
          </w:tcPr>
          <w:p w:rsidR="004E456B" w:rsidRPr="00E07512" w:rsidRDefault="004E456B" w:rsidP="00027A9C">
            <w:pPr>
              <w:spacing w:after="120"/>
              <w:rPr>
                <w:sz w:val="16"/>
                <w:szCs w:val="16"/>
                <w:lang w:eastAsia="ko-KR"/>
              </w:rPr>
            </w:pPr>
            <w:r w:rsidRPr="00E07512">
              <w:rPr>
                <w:rFonts w:eastAsia="Arial"/>
                <w:sz w:val="16"/>
                <w:szCs w:val="16"/>
                <w:bdr w:val="nil"/>
                <w:lang w:eastAsia="ko-KR"/>
              </w:rPr>
              <w:t xml:space="preserve">i) Intercambiar información y experiencias entre los países participantes en relación con el desarrollo del sistema de derecho de autor;   y ii) explorar nuevas oportunidades de incrementar la cooperación entre dichos países en el ámbito del derecho de autor y los derechos conexos. </w:t>
            </w:r>
          </w:p>
        </w:tc>
      </w:tr>
      <w:tr w:rsidR="004E456B" w:rsidRPr="008466AF" w:rsidTr="00027A9C">
        <w:trPr>
          <w:trHeight w:val="1330"/>
        </w:trPr>
        <w:tc>
          <w:tcPr>
            <w:tcW w:w="1873" w:type="dxa"/>
          </w:tcPr>
          <w:p w:rsidR="004E456B" w:rsidRPr="00E07512" w:rsidRDefault="004E456B" w:rsidP="00027A9C">
            <w:pPr>
              <w:autoSpaceDE w:val="0"/>
              <w:autoSpaceDN w:val="0"/>
              <w:adjustRightInd w:val="0"/>
              <w:spacing w:after="120"/>
              <w:rPr>
                <w:sz w:val="16"/>
                <w:szCs w:val="16"/>
              </w:rPr>
            </w:pPr>
            <w:r w:rsidRPr="00E07512">
              <w:rPr>
                <w:rFonts w:eastAsia="Arial"/>
                <w:sz w:val="16"/>
                <w:szCs w:val="16"/>
                <w:bdr w:val="nil"/>
              </w:rPr>
              <w:t>Visita de estudio a la Comisión de Derecho de Autor de la República de Corea</w:t>
            </w:r>
          </w:p>
        </w:tc>
        <w:tc>
          <w:tcPr>
            <w:tcW w:w="1134" w:type="dxa"/>
            <w:shd w:val="clear" w:color="auto" w:fill="auto"/>
            <w:tcMar>
              <w:top w:w="110" w:type="dxa"/>
            </w:tcMar>
          </w:tcPr>
          <w:p w:rsidR="004E456B" w:rsidRPr="00E07512" w:rsidRDefault="004E456B" w:rsidP="00027A9C">
            <w:pPr>
              <w:autoSpaceDE w:val="0"/>
              <w:autoSpaceDN w:val="0"/>
              <w:adjustRightInd w:val="0"/>
              <w:spacing w:after="120"/>
              <w:rPr>
                <w:sz w:val="16"/>
                <w:szCs w:val="16"/>
              </w:rPr>
            </w:pPr>
            <w:r w:rsidRPr="00E07512">
              <w:rPr>
                <w:rFonts w:eastAsia="Arial"/>
                <w:sz w:val="16"/>
                <w:szCs w:val="16"/>
                <w:bdr w:val="nil"/>
              </w:rPr>
              <w:t>17 a 20 de octubre de 2016</w:t>
            </w:r>
          </w:p>
        </w:tc>
        <w:tc>
          <w:tcPr>
            <w:tcW w:w="1985" w:type="dxa"/>
            <w:shd w:val="clear" w:color="auto" w:fill="auto"/>
            <w:tcMar>
              <w:top w:w="110" w:type="dxa"/>
            </w:tcMar>
          </w:tcPr>
          <w:p w:rsidR="004E456B" w:rsidRPr="00E07512" w:rsidRDefault="004E456B" w:rsidP="00F15D44">
            <w:pPr>
              <w:autoSpaceDE w:val="0"/>
              <w:autoSpaceDN w:val="0"/>
              <w:adjustRightInd w:val="0"/>
              <w:spacing w:after="120"/>
              <w:rPr>
                <w:sz w:val="16"/>
                <w:szCs w:val="16"/>
              </w:rPr>
            </w:pPr>
            <w:r w:rsidRPr="00E07512">
              <w:rPr>
                <w:rFonts w:eastAsia="Arial"/>
                <w:sz w:val="16"/>
                <w:szCs w:val="16"/>
                <w:bdr w:val="nil"/>
              </w:rPr>
              <w:t xml:space="preserve">República de Corea/ 10 participantes, de Bhután, Colombia, Indonesia, Irán (República Islámica del), Maldivas, Nicaragua, </w:t>
            </w:r>
            <w:r w:rsidR="00F15D44">
              <w:rPr>
                <w:rFonts w:eastAsia="Arial"/>
                <w:sz w:val="16"/>
                <w:szCs w:val="16"/>
                <w:bdr w:val="nil"/>
              </w:rPr>
              <w:t xml:space="preserve">Palestina, </w:t>
            </w:r>
            <w:r w:rsidRPr="00E07512">
              <w:rPr>
                <w:rFonts w:eastAsia="Arial"/>
                <w:sz w:val="16"/>
                <w:szCs w:val="16"/>
                <w:bdr w:val="nil"/>
              </w:rPr>
              <w:t>República Unida de Tanzanía</w:t>
            </w:r>
            <w:r w:rsidRPr="00E07512">
              <w:rPr>
                <w:rFonts w:eastAsia="Arial"/>
                <w:szCs w:val="22"/>
                <w:bdr w:val="nil"/>
              </w:rPr>
              <w:t>,</w:t>
            </w:r>
            <w:r w:rsidRPr="00E07512">
              <w:rPr>
                <w:rFonts w:eastAsia="Arial"/>
                <w:sz w:val="16"/>
                <w:szCs w:val="16"/>
                <w:bdr w:val="nil"/>
              </w:rPr>
              <w:t xml:space="preserve"> Santa Lucía, Tailandia</w:t>
            </w:r>
          </w:p>
        </w:tc>
        <w:tc>
          <w:tcPr>
            <w:tcW w:w="4394" w:type="dxa"/>
            <w:shd w:val="clear" w:color="auto" w:fill="FFFFFF"/>
            <w:tcMar>
              <w:top w:w="110" w:type="dxa"/>
            </w:tcMar>
          </w:tcPr>
          <w:p w:rsidR="004E456B" w:rsidRPr="00E07512" w:rsidRDefault="004E456B" w:rsidP="00027A9C">
            <w:pPr>
              <w:rPr>
                <w:sz w:val="16"/>
                <w:szCs w:val="16"/>
              </w:rPr>
            </w:pPr>
            <w:r w:rsidRPr="00E07512">
              <w:rPr>
                <w:rFonts w:eastAsia="Arial"/>
                <w:sz w:val="16"/>
                <w:szCs w:val="16"/>
                <w:bdr w:val="nil"/>
                <w:lang w:eastAsia="ko-KR"/>
              </w:rPr>
              <w:t>i) Compartir la experiencia de la República de Corea en la administración del derecho de autor y los derechos conexos;  ii) fortalecer la capacidad de los participantes de formular políticas en materia de derecho de autor;  iii) modernizar los marcos legislativo y administrativo;  y iv) mejorar el funcionamiento de las organizaciones de derecho de autor en sus respectivos países</w:t>
            </w:r>
          </w:p>
        </w:tc>
      </w:tr>
    </w:tbl>
    <w:p w:rsidR="004E456B" w:rsidRPr="00A05BF3" w:rsidRDefault="004E456B" w:rsidP="00027A9C">
      <w:pPr>
        <w:rPr>
          <w:sz w:val="20"/>
        </w:rPr>
      </w:pPr>
    </w:p>
    <w:p w:rsidR="004E456B" w:rsidRPr="00E07512" w:rsidRDefault="004E456B" w:rsidP="00027A9C">
      <w:pPr>
        <w:keepNext/>
        <w:keepLines/>
        <w:rPr>
          <w:b/>
          <w:bCs/>
          <w:sz w:val="20"/>
        </w:rPr>
      </w:pPr>
      <w:r w:rsidRPr="00E07512">
        <w:rPr>
          <w:rFonts w:eastAsia="Arial"/>
          <w:b/>
          <w:bCs/>
          <w:sz w:val="20"/>
          <w:bdr w:val="nil"/>
        </w:rPr>
        <w:t>REPÚBLICA DE COREA / DERECHO DE AUTOR – Contribuciones del donante y gastos en 2016</w:t>
      </w:r>
    </w:p>
    <w:p w:rsidR="004E456B" w:rsidRPr="00E07512" w:rsidRDefault="004E456B" w:rsidP="00027A9C">
      <w:pPr>
        <w:keepNext/>
        <w:keepLines/>
        <w:rPr>
          <w:b/>
          <w:bCs/>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E07512" w:rsidRDefault="004E456B" w:rsidP="00027A9C">
            <w:pPr>
              <w:keepNext/>
              <w:keepLines/>
              <w:jc w:val="center"/>
              <w:rPr>
                <w:b/>
                <w:bCs/>
                <w:sz w:val="16"/>
                <w:szCs w:val="16"/>
              </w:rPr>
            </w:pPr>
            <w:r w:rsidRPr="00E07512">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E07512" w:rsidRDefault="004E456B" w:rsidP="00027A9C">
            <w:pPr>
              <w:keepNext/>
              <w:keepLines/>
              <w:jc w:val="center"/>
              <w:rPr>
                <w:b/>
                <w:bCs/>
                <w:sz w:val="16"/>
                <w:szCs w:val="16"/>
              </w:rPr>
            </w:pPr>
            <w:r w:rsidRPr="00E07512">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E07512" w:rsidRDefault="004E456B" w:rsidP="00027A9C">
            <w:pPr>
              <w:keepNext/>
              <w:keepLines/>
              <w:jc w:val="center"/>
              <w:rPr>
                <w:b/>
                <w:bCs/>
                <w:sz w:val="16"/>
                <w:szCs w:val="16"/>
              </w:rPr>
            </w:pPr>
            <w:r w:rsidRPr="00E07512">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E07512" w:rsidRDefault="004E456B" w:rsidP="00027A9C">
            <w:pPr>
              <w:keepNext/>
              <w:keepLines/>
              <w:jc w:val="center"/>
              <w:rPr>
                <w:b/>
                <w:bCs/>
                <w:sz w:val="16"/>
                <w:szCs w:val="16"/>
              </w:rPr>
            </w:pPr>
            <w:r w:rsidRPr="00E07512">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E07512" w:rsidRDefault="004E456B" w:rsidP="00027A9C">
            <w:pPr>
              <w:keepNext/>
              <w:keepLines/>
              <w:jc w:val="center"/>
              <w:rPr>
                <w:b/>
                <w:bCs/>
                <w:sz w:val="16"/>
                <w:szCs w:val="16"/>
              </w:rPr>
            </w:pPr>
            <w:r w:rsidRPr="00E07512">
              <w:rPr>
                <w:rFonts w:eastAsia="Arial"/>
                <w:b/>
                <w:bCs/>
                <w:sz w:val="16"/>
                <w:szCs w:val="16"/>
                <w:bdr w:val="nil"/>
              </w:rPr>
              <w:t>Saldo al 31 de diciembre de 2016</w:t>
            </w:r>
          </w:p>
        </w:tc>
      </w:tr>
      <w:tr w:rsidR="004E456B" w:rsidRPr="00E07512" w:rsidTr="00027A9C">
        <w:trPr>
          <w:trHeight w:val="357"/>
        </w:trPr>
        <w:tc>
          <w:tcPr>
            <w:tcW w:w="1814" w:type="dxa"/>
            <w:tcBorders>
              <w:top w:val="nil"/>
              <w:left w:val="nil"/>
              <w:bottom w:val="nil"/>
              <w:right w:val="nil"/>
            </w:tcBorders>
            <w:shd w:val="clear" w:color="auto" w:fill="auto"/>
            <w:noWrap/>
            <w:vAlign w:val="bottom"/>
            <w:hideMark/>
          </w:tcPr>
          <w:p w:rsidR="004E456B" w:rsidRPr="00E07512" w:rsidRDefault="004E456B" w:rsidP="00027A9C">
            <w:pPr>
              <w:keepNext/>
              <w:keepLines/>
              <w:jc w:val="center"/>
              <w:rPr>
                <w:sz w:val="16"/>
                <w:szCs w:val="16"/>
              </w:rPr>
            </w:pPr>
            <w:r w:rsidRPr="00E07512">
              <w:rPr>
                <w:sz w:val="16"/>
                <w:szCs w:val="16"/>
              </w:rPr>
              <w:t xml:space="preserve">529.652 </w:t>
            </w:r>
          </w:p>
        </w:tc>
        <w:tc>
          <w:tcPr>
            <w:tcW w:w="1814" w:type="dxa"/>
            <w:tcBorders>
              <w:top w:val="nil"/>
              <w:left w:val="nil"/>
              <w:bottom w:val="nil"/>
              <w:right w:val="nil"/>
            </w:tcBorders>
            <w:shd w:val="clear" w:color="auto" w:fill="auto"/>
            <w:noWrap/>
            <w:vAlign w:val="bottom"/>
            <w:hideMark/>
          </w:tcPr>
          <w:p w:rsidR="004E456B" w:rsidRPr="00E07512" w:rsidRDefault="004E456B" w:rsidP="00027A9C">
            <w:pPr>
              <w:keepNext/>
              <w:keepLines/>
              <w:jc w:val="center"/>
              <w:rPr>
                <w:sz w:val="16"/>
                <w:szCs w:val="16"/>
              </w:rPr>
            </w:pPr>
            <w:r w:rsidRPr="00E07512">
              <w:rPr>
                <w:sz w:val="16"/>
                <w:szCs w:val="16"/>
              </w:rPr>
              <w:t xml:space="preserve">336.852 </w:t>
            </w:r>
          </w:p>
        </w:tc>
        <w:tc>
          <w:tcPr>
            <w:tcW w:w="1815" w:type="dxa"/>
            <w:tcBorders>
              <w:top w:val="nil"/>
              <w:left w:val="nil"/>
              <w:bottom w:val="nil"/>
              <w:right w:val="nil"/>
            </w:tcBorders>
            <w:shd w:val="clear" w:color="auto" w:fill="auto"/>
            <w:noWrap/>
            <w:vAlign w:val="bottom"/>
            <w:hideMark/>
          </w:tcPr>
          <w:p w:rsidR="004E456B" w:rsidRPr="00E07512" w:rsidRDefault="004E456B" w:rsidP="00027A9C">
            <w:pPr>
              <w:keepNext/>
              <w:keepLines/>
              <w:jc w:val="center"/>
              <w:rPr>
                <w:sz w:val="16"/>
                <w:szCs w:val="16"/>
              </w:rPr>
            </w:pPr>
            <w:r w:rsidRPr="00E07512">
              <w:rPr>
                <w:sz w:val="16"/>
                <w:szCs w:val="16"/>
              </w:rPr>
              <w:t xml:space="preserve">362.837 </w:t>
            </w:r>
          </w:p>
        </w:tc>
        <w:tc>
          <w:tcPr>
            <w:tcW w:w="1814" w:type="dxa"/>
            <w:tcBorders>
              <w:top w:val="nil"/>
              <w:left w:val="nil"/>
              <w:bottom w:val="nil"/>
              <w:right w:val="nil"/>
            </w:tcBorders>
            <w:shd w:val="clear" w:color="auto" w:fill="auto"/>
            <w:noWrap/>
            <w:vAlign w:val="bottom"/>
            <w:hideMark/>
          </w:tcPr>
          <w:p w:rsidR="004E456B" w:rsidRPr="00E07512" w:rsidRDefault="004E456B" w:rsidP="00027A9C">
            <w:pPr>
              <w:keepNext/>
              <w:keepLines/>
              <w:jc w:val="center"/>
              <w:rPr>
                <w:sz w:val="16"/>
                <w:szCs w:val="16"/>
              </w:rPr>
            </w:pPr>
            <w:r w:rsidRPr="00E07512">
              <w:rPr>
                <w:sz w:val="16"/>
                <w:szCs w:val="16"/>
              </w:rPr>
              <w:t>-</w:t>
            </w:r>
          </w:p>
        </w:tc>
        <w:tc>
          <w:tcPr>
            <w:tcW w:w="1815" w:type="dxa"/>
            <w:tcBorders>
              <w:top w:val="nil"/>
              <w:left w:val="nil"/>
              <w:bottom w:val="nil"/>
              <w:right w:val="nil"/>
            </w:tcBorders>
            <w:shd w:val="clear" w:color="auto" w:fill="auto"/>
            <w:noWrap/>
            <w:vAlign w:val="bottom"/>
            <w:hideMark/>
          </w:tcPr>
          <w:p w:rsidR="004E456B" w:rsidRPr="00E07512" w:rsidRDefault="004E456B" w:rsidP="00027A9C">
            <w:pPr>
              <w:keepNext/>
              <w:keepLines/>
              <w:jc w:val="center"/>
              <w:rPr>
                <w:sz w:val="16"/>
                <w:szCs w:val="16"/>
              </w:rPr>
            </w:pPr>
            <w:r w:rsidRPr="00E07512">
              <w:rPr>
                <w:sz w:val="16"/>
                <w:szCs w:val="16"/>
              </w:rPr>
              <w:t xml:space="preserve">503.667 </w:t>
            </w:r>
          </w:p>
        </w:tc>
      </w:tr>
    </w:tbl>
    <w:p w:rsidR="004E456B" w:rsidRPr="00E07512" w:rsidRDefault="004E456B" w:rsidP="00027A9C">
      <w:pPr>
        <w:rPr>
          <w:rFonts w:asciiTheme="minorBidi" w:eastAsiaTheme="minorHAnsi" w:hAnsiTheme="minorBidi" w:cstheme="minorBidi"/>
          <w:b/>
          <w:sz w:val="20"/>
        </w:rPr>
      </w:pPr>
    </w:p>
    <w:p w:rsidR="004E456B" w:rsidRPr="00E07512" w:rsidRDefault="004E456B" w:rsidP="00027A9C">
      <w:pPr>
        <w:rPr>
          <w:rFonts w:asciiTheme="minorBidi" w:eastAsiaTheme="minorHAnsi" w:hAnsiTheme="minorBidi" w:cstheme="minorBidi"/>
          <w:b/>
          <w:sz w:val="20"/>
        </w:rPr>
      </w:pPr>
    </w:p>
    <w:p w:rsidR="004E456B" w:rsidRPr="00E07512" w:rsidRDefault="004E456B" w:rsidP="00027A9C">
      <w:pPr>
        <w:rPr>
          <w:rFonts w:asciiTheme="minorBidi" w:eastAsiaTheme="minorHAnsi" w:hAnsiTheme="minorBidi" w:cstheme="minorBidi"/>
          <w:b/>
          <w:sz w:val="20"/>
        </w:rPr>
      </w:pPr>
      <w:r w:rsidRPr="00E07512">
        <w:rPr>
          <w:rFonts w:eastAsia="Arial"/>
          <w:b/>
          <w:bCs/>
          <w:sz w:val="20"/>
          <w:bdr w:val="nil"/>
        </w:rPr>
        <w:t>REPÚBLICA DE COREA (EDUCACIÓN) – Becas en P.I. (Academia)</w:t>
      </w:r>
    </w:p>
    <w:p w:rsidR="004E456B" w:rsidRPr="00E07512" w:rsidRDefault="004E456B" w:rsidP="00027A9C">
      <w:pPr>
        <w:rPr>
          <w:rFonts w:asciiTheme="minorBidi" w:eastAsiaTheme="minorHAnsi" w:hAnsiTheme="minorBidi" w:cstheme="minorBidi"/>
          <w:b/>
          <w:sz w:val="20"/>
        </w:rPr>
      </w:pPr>
    </w:p>
    <w:tbl>
      <w:tblPr>
        <w:tblW w:w="9072" w:type="dxa"/>
        <w:tblInd w:w="108" w:type="dxa"/>
        <w:tblLayout w:type="fixed"/>
        <w:tblLook w:val="0000" w:firstRow="0" w:lastRow="0" w:firstColumn="0" w:lastColumn="0" w:noHBand="0" w:noVBand="0"/>
      </w:tblPr>
      <w:tblGrid>
        <w:gridCol w:w="1789"/>
        <w:gridCol w:w="1103"/>
        <w:gridCol w:w="2261"/>
        <w:gridCol w:w="3919"/>
      </w:tblGrid>
      <w:tr w:rsidR="004E456B" w:rsidRPr="008466AF" w:rsidTr="00027A9C">
        <w:tc>
          <w:tcPr>
            <w:tcW w:w="9360" w:type="dxa"/>
            <w:gridSpan w:val="4"/>
            <w:shd w:val="clear" w:color="auto" w:fill="C6D9F1" w:themeFill="text2" w:themeFillTint="33"/>
            <w:vAlign w:val="center"/>
          </w:tcPr>
          <w:p w:rsidR="004E456B" w:rsidRPr="00E07512" w:rsidRDefault="004E456B" w:rsidP="00027A9C">
            <w:pPr>
              <w:tabs>
                <w:tab w:val="left" w:pos="1740"/>
              </w:tabs>
              <w:spacing w:before="120" w:after="120" w:line="276" w:lineRule="auto"/>
              <w:ind w:left="1740" w:hanging="1740"/>
              <w:rPr>
                <w:rFonts w:eastAsiaTheme="minorHAnsi"/>
                <w:b/>
                <w:bCs/>
                <w:sz w:val="16"/>
                <w:szCs w:val="16"/>
              </w:rPr>
            </w:pPr>
            <w:r w:rsidRPr="00E07512">
              <w:rPr>
                <w:rFonts w:eastAsia="Arial"/>
                <w:b/>
                <w:bCs/>
                <w:sz w:val="16"/>
                <w:szCs w:val="16"/>
                <w:bdr w:val="nil"/>
              </w:rPr>
              <w:t>RESULTADO:</w:t>
            </w:r>
            <w:r w:rsidRPr="00E07512">
              <w:rPr>
                <w:rFonts w:eastAsia="Arial"/>
                <w:b/>
                <w:bCs/>
                <w:sz w:val="16"/>
                <w:szCs w:val="16"/>
                <w:bdr w:val="nil"/>
              </w:rPr>
              <w:tab/>
            </w:r>
            <w:r w:rsidRPr="00E07512">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RPr="00E07512" w:rsidTr="00027A9C">
        <w:tc>
          <w:tcPr>
            <w:tcW w:w="1843" w:type="dxa"/>
            <w:vAlign w:val="center"/>
          </w:tcPr>
          <w:p w:rsidR="004E456B" w:rsidRPr="00E07512" w:rsidRDefault="004E456B" w:rsidP="00027A9C">
            <w:pPr>
              <w:spacing w:after="200" w:line="276" w:lineRule="auto"/>
              <w:rPr>
                <w:rFonts w:eastAsiaTheme="minorHAnsi"/>
                <w:b/>
                <w:bCs/>
                <w:sz w:val="16"/>
                <w:szCs w:val="16"/>
              </w:rPr>
            </w:pPr>
            <w:r w:rsidRPr="00E07512">
              <w:rPr>
                <w:rFonts w:eastAsia="Arial"/>
                <w:b/>
                <w:bCs/>
                <w:sz w:val="16"/>
                <w:szCs w:val="16"/>
                <w:bdr w:val="nil"/>
              </w:rPr>
              <w:t>Actividad</w:t>
            </w:r>
          </w:p>
        </w:tc>
        <w:tc>
          <w:tcPr>
            <w:tcW w:w="1134" w:type="dxa"/>
            <w:shd w:val="clear" w:color="auto" w:fill="auto"/>
            <w:tcMar>
              <w:top w:w="110" w:type="dxa"/>
            </w:tcMar>
            <w:vAlign w:val="center"/>
          </w:tcPr>
          <w:p w:rsidR="004E456B" w:rsidRPr="00E07512" w:rsidRDefault="004E456B" w:rsidP="00027A9C">
            <w:pPr>
              <w:keepNext/>
              <w:keepLines/>
              <w:spacing w:after="200" w:line="276" w:lineRule="auto"/>
              <w:rPr>
                <w:rFonts w:eastAsiaTheme="minorHAnsi"/>
                <w:sz w:val="16"/>
                <w:szCs w:val="16"/>
              </w:rPr>
            </w:pPr>
            <w:r w:rsidRPr="00E07512">
              <w:rPr>
                <w:rFonts w:eastAsia="Arial"/>
                <w:b/>
                <w:bCs/>
                <w:sz w:val="16"/>
                <w:szCs w:val="16"/>
                <w:bdr w:val="nil"/>
              </w:rPr>
              <w:t>Fecha</w:t>
            </w:r>
          </w:p>
        </w:tc>
        <w:tc>
          <w:tcPr>
            <w:tcW w:w="2333" w:type="dxa"/>
            <w:shd w:val="clear" w:color="auto" w:fill="auto"/>
            <w:tcMar>
              <w:top w:w="110" w:type="dxa"/>
            </w:tcMar>
            <w:vAlign w:val="center"/>
          </w:tcPr>
          <w:p w:rsidR="004E456B" w:rsidRPr="00E07512" w:rsidRDefault="004E456B" w:rsidP="00027A9C">
            <w:pPr>
              <w:keepNext/>
              <w:keepLines/>
              <w:spacing w:after="200" w:line="276" w:lineRule="auto"/>
              <w:rPr>
                <w:rFonts w:eastAsiaTheme="minorHAnsi"/>
                <w:sz w:val="16"/>
                <w:szCs w:val="16"/>
              </w:rPr>
            </w:pPr>
            <w:r w:rsidRPr="00E07512">
              <w:rPr>
                <w:rFonts w:eastAsia="Arial"/>
                <w:b/>
                <w:bCs/>
                <w:sz w:val="16"/>
                <w:szCs w:val="16"/>
                <w:bdr w:val="nil"/>
              </w:rPr>
              <w:t>País anfitrión / Beneficiarios</w:t>
            </w:r>
          </w:p>
        </w:tc>
        <w:tc>
          <w:tcPr>
            <w:tcW w:w="4050" w:type="dxa"/>
            <w:shd w:val="clear" w:color="auto" w:fill="FFFFFF"/>
            <w:tcMar>
              <w:top w:w="110" w:type="dxa"/>
            </w:tcMar>
            <w:vAlign w:val="center"/>
          </w:tcPr>
          <w:p w:rsidR="004E456B" w:rsidRPr="00E07512" w:rsidRDefault="004E456B" w:rsidP="00027A9C">
            <w:pPr>
              <w:keepNext/>
              <w:keepLines/>
              <w:spacing w:after="200" w:line="276" w:lineRule="auto"/>
              <w:rPr>
                <w:rFonts w:eastAsiaTheme="minorHAnsi"/>
                <w:sz w:val="16"/>
                <w:szCs w:val="16"/>
              </w:rPr>
            </w:pPr>
            <w:r w:rsidRPr="00E07512">
              <w:rPr>
                <w:rFonts w:eastAsia="Arial"/>
                <w:b/>
                <w:bCs/>
                <w:sz w:val="16"/>
                <w:szCs w:val="16"/>
                <w:bdr w:val="nil"/>
              </w:rPr>
              <w:t>Propósito(s)/Descripción</w:t>
            </w:r>
          </w:p>
        </w:tc>
      </w:tr>
      <w:tr w:rsidR="004E456B" w:rsidRPr="008466AF" w:rsidTr="00027A9C">
        <w:tc>
          <w:tcPr>
            <w:tcW w:w="1843" w:type="dxa"/>
            <w:vAlign w:val="center"/>
          </w:tcPr>
          <w:p w:rsidR="004E456B" w:rsidRPr="00E07512" w:rsidRDefault="004E456B" w:rsidP="00027A9C">
            <w:pPr>
              <w:spacing w:before="100" w:beforeAutospacing="1"/>
              <w:rPr>
                <w:rFonts w:eastAsiaTheme="minorHAnsi"/>
                <w:b/>
                <w:bCs/>
                <w:sz w:val="16"/>
                <w:szCs w:val="16"/>
              </w:rPr>
            </w:pPr>
            <w:r w:rsidRPr="00E07512">
              <w:rPr>
                <w:rFonts w:eastAsia="Arial"/>
                <w:bCs/>
                <w:sz w:val="16"/>
                <w:szCs w:val="16"/>
                <w:bdr w:val="nil"/>
                <w:lang w:eastAsia="ko-KR"/>
              </w:rPr>
              <w:t>Participación</w:t>
            </w:r>
            <w:r w:rsidRPr="00E07512">
              <w:rPr>
                <w:rFonts w:eastAsia="Arial"/>
                <w:sz w:val="16"/>
                <w:szCs w:val="16"/>
                <w:bdr w:val="nil"/>
                <w:lang w:eastAsia="ko-KR"/>
              </w:rPr>
              <w:t xml:space="preserve"> en la Maestría en Derecho OMPI -</w:t>
            </w:r>
            <w:r w:rsidRPr="00E07512">
              <w:rPr>
                <w:rFonts w:eastAsia="Arial"/>
                <w:i/>
                <w:iCs/>
                <w:sz w:val="16"/>
                <w:szCs w:val="16"/>
                <w:bdr w:val="nil"/>
                <w:lang w:eastAsia="ko-KR"/>
              </w:rPr>
              <w:t>Queensland University of Technology</w:t>
            </w:r>
            <w:r w:rsidRPr="00E07512">
              <w:rPr>
                <w:rFonts w:eastAsia="Arial"/>
                <w:sz w:val="16"/>
                <w:szCs w:val="16"/>
                <w:bdr w:val="nil"/>
                <w:lang w:eastAsia="ko-KR"/>
              </w:rPr>
              <w:t xml:space="preserve"> (QUT)</w:t>
            </w:r>
            <w:r>
              <w:rPr>
                <w:rFonts w:eastAsia="Arial"/>
                <w:sz w:val="16"/>
                <w:szCs w:val="16"/>
                <w:bdr w:val="nil"/>
                <w:lang w:eastAsia="ko-KR"/>
              </w:rPr>
              <w:br/>
            </w:r>
          </w:p>
        </w:tc>
        <w:tc>
          <w:tcPr>
            <w:tcW w:w="1134" w:type="dxa"/>
            <w:shd w:val="clear" w:color="auto" w:fill="auto"/>
            <w:tcMar>
              <w:top w:w="110" w:type="dxa"/>
            </w:tcMar>
            <w:vAlign w:val="center"/>
          </w:tcPr>
          <w:p w:rsidR="004E456B" w:rsidRPr="00E07512" w:rsidRDefault="004E456B" w:rsidP="00027A9C">
            <w:pPr>
              <w:spacing w:before="100" w:beforeAutospacing="1"/>
              <w:rPr>
                <w:rFonts w:eastAsiaTheme="minorHAnsi"/>
                <w:bCs/>
                <w:sz w:val="16"/>
                <w:szCs w:val="16"/>
                <w:lang w:eastAsia="ko-KR"/>
              </w:rPr>
            </w:pPr>
            <w:r w:rsidRPr="00E07512">
              <w:rPr>
                <w:rFonts w:eastAsia="Arial"/>
                <w:bCs/>
                <w:sz w:val="16"/>
                <w:szCs w:val="16"/>
                <w:bdr w:val="nil"/>
                <w:lang w:eastAsia="ko-KR"/>
              </w:rPr>
              <w:t>29 de febrero a 28 de octubre de 2016</w:t>
            </w:r>
            <w:r>
              <w:rPr>
                <w:rFonts w:eastAsia="Arial"/>
                <w:bCs/>
                <w:sz w:val="16"/>
                <w:szCs w:val="16"/>
                <w:bdr w:val="nil"/>
                <w:lang w:eastAsia="ko-KR"/>
              </w:rPr>
              <w:br/>
            </w:r>
            <w:r w:rsidRPr="00E07512">
              <w:rPr>
                <w:rFonts w:eastAsia="Arial"/>
                <w:bCs/>
                <w:sz w:val="16"/>
                <w:szCs w:val="16"/>
                <w:bdr w:val="nil"/>
                <w:lang w:eastAsia="ko-KR"/>
              </w:rPr>
              <w:br/>
            </w:r>
          </w:p>
        </w:tc>
        <w:tc>
          <w:tcPr>
            <w:tcW w:w="2333" w:type="dxa"/>
            <w:shd w:val="clear" w:color="auto" w:fill="auto"/>
            <w:tcMar>
              <w:top w:w="110" w:type="dxa"/>
            </w:tcMar>
            <w:vAlign w:val="center"/>
          </w:tcPr>
          <w:p w:rsidR="004E456B" w:rsidRPr="00E07512" w:rsidRDefault="004E456B" w:rsidP="00027A9C">
            <w:pPr>
              <w:spacing w:before="100" w:beforeAutospacing="1"/>
              <w:rPr>
                <w:rFonts w:eastAsiaTheme="minorHAnsi"/>
                <w:bCs/>
                <w:sz w:val="16"/>
                <w:szCs w:val="16"/>
                <w:lang w:eastAsia="ko-KR"/>
              </w:rPr>
            </w:pPr>
            <w:r w:rsidRPr="00E07512">
              <w:rPr>
                <w:rFonts w:eastAsia="Arial"/>
                <w:bCs/>
                <w:sz w:val="16"/>
                <w:szCs w:val="16"/>
                <w:bdr w:val="nil"/>
                <w:lang w:eastAsia="ko-KR"/>
              </w:rPr>
              <w:t>Australia/ Bhután, Camboya, Fiji, República de Corea</w:t>
            </w:r>
            <w:r w:rsidRPr="00E07512">
              <w:rPr>
                <w:rFonts w:eastAsia="Arial"/>
                <w:bCs/>
                <w:sz w:val="16"/>
                <w:szCs w:val="16"/>
                <w:bdr w:val="nil"/>
                <w:lang w:eastAsia="ko-KR"/>
              </w:rPr>
              <w:br/>
            </w:r>
            <w:r>
              <w:rPr>
                <w:rFonts w:eastAsiaTheme="minorHAnsi"/>
                <w:bCs/>
                <w:sz w:val="16"/>
                <w:szCs w:val="16"/>
                <w:lang w:eastAsia="ko-KR"/>
              </w:rPr>
              <w:br/>
            </w:r>
            <w:r>
              <w:rPr>
                <w:rFonts w:eastAsiaTheme="minorHAnsi"/>
                <w:bCs/>
                <w:sz w:val="16"/>
                <w:szCs w:val="16"/>
                <w:lang w:eastAsia="ko-KR"/>
              </w:rPr>
              <w:br/>
            </w:r>
            <w:r>
              <w:rPr>
                <w:rFonts w:eastAsiaTheme="minorHAnsi"/>
                <w:bCs/>
                <w:sz w:val="16"/>
                <w:szCs w:val="16"/>
                <w:lang w:eastAsia="ko-KR"/>
              </w:rPr>
              <w:br/>
            </w:r>
          </w:p>
        </w:tc>
        <w:tc>
          <w:tcPr>
            <w:tcW w:w="4050" w:type="dxa"/>
            <w:shd w:val="clear" w:color="auto" w:fill="FFFFFF"/>
            <w:tcMar>
              <w:top w:w="110" w:type="dxa"/>
            </w:tcMar>
            <w:vAlign w:val="center"/>
          </w:tcPr>
          <w:p w:rsidR="004E456B" w:rsidRPr="009703BB" w:rsidRDefault="004E456B" w:rsidP="002C37EA">
            <w:pPr>
              <w:spacing w:before="100" w:beforeAutospacing="1"/>
              <w:rPr>
                <w:rFonts w:eastAsiaTheme="minorHAnsi"/>
                <w:b/>
                <w:bCs/>
                <w:sz w:val="16"/>
                <w:szCs w:val="16"/>
              </w:rPr>
            </w:pPr>
            <w:r>
              <w:rPr>
                <w:rFonts w:eastAsia="Arial"/>
                <w:bCs/>
                <w:sz w:val="16"/>
                <w:szCs w:val="16"/>
                <w:bdr w:val="nil"/>
                <w:lang w:eastAsia="ko-KR"/>
              </w:rPr>
              <w:t xml:space="preserve">Proporcionar estudios superiores a expertos en P.I., incluidos los funcionarios gubernamentales, de modo que mejoren su capacidad para administrar derechos de P.I. e incrementen el uso de la P.I. para fomentar la innovación, a través del Programa de Maestría en derecho de P.I. de la Academia de </w:t>
            </w:r>
            <w:r>
              <w:rPr>
                <w:rFonts w:eastAsia="Arial"/>
                <w:bCs/>
                <w:sz w:val="16"/>
                <w:szCs w:val="16"/>
                <w:bdr w:val="nil"/>
                <w:lang w:eastAsia="ko-KR"/>
              </w:rPr>
              <w:lastRenderedPageBreak/>
              <w:t>la OMPI – </w:t>
            </w:r>
            <w:r w:rsidRPr="00CE38A2">
              <w:rPr>
                <w:rFonts w:eastAsia="Arial"/>
                <w:bCs/>
                <w:i/>
                <w:sz w:val="16"/>
                <w:szCs w:val="16"/>
                <w:bdr w:val="nil"/>
                <w:lang w:eastAsia="ko-KR"/>
              </w:rPr>
              <w:t>Queensland University of Technology</w:t>
            </w:r>
            <w:r>
              <w:rPr>
                <w:rFonts w:eastAsia="Arial"/>
                <w:bCs/>
                <w:sz w:val="16"/>
                <w:szCs w:val="16"/>
                <w:bdr w:val="nil"/>
                <w:lang w:eastAsia="ko-KR"/>
              </w:rPr>
              <w:t xml:space="preserve"> (OMPI-QUT). </w:t>
            </w:r>
          </w:p>
        </w:tc>
      </w:tr>
      <w:tr w:rsidR="004E456B" w:rsidRPr="008466AF" w:rsidTr="00027A9C">
        <w:tc>
          <w:tcPr>
            <w:tcW w:w="1843" w:type="dxa"/>
            <w:vAlign w:val="center"/>
          </w:tcPr>
          <w:p w:rsidR="004E456B" w:rsidRPr="00CE38A2" w:rsidRDefault="004E456B" w:rsidP="00027A9C">
            <w:pPr>
              <w:spacing w:before="100" w:beforeAutospacing="1"/>
              <w:rPr>
                <w:rFonts w:eastAsiaTheme="minorHAnsi"/>
                <w:bCs/>
                <w:sz w:val="16"/>
                <w:szCs w:val="16"/>
                <w:lang w:eastAsia="ko-KR"/>
              </w:rPr>
            </w:pPr>
            <w:r w:rsidRPr="00CE38A2">
              <w:rPr>
                <w:rFonts w:eastAsia="Arial"/>
                <w:bCs/>
                <w:sz w:val="16"/>
                <w:szCs w:val="16"/>
                <w:bdr w:val="nil"/>
                <w:lang w:eastAsia="ko-KR"/>
              </w:rPr>
              <w:lastRenderedPageBreak/>
              <w:t>Participación en la Maestría en Propiedad Intelectual OMPI -</w:t>
            </w:r>
            <w:r>
              <w:rPr>
                <w:rFonts w:eastAsia="Arial"/>
                <w:bCs/>
                <w:sz w:val="16"/>
                <w:szCs w:val="16"/>
                <w:bdr w:val="nil"/>
                <w:lang w:eastAsia="ko-KR"/>
              </w:rPr>
              <w:t xml:space="preserve"> </w:t>
            </w:r>
            <w:r w:rsidRPr="00C8249F">
              <w:rPr>
                <w:rFonts w:eastAsia="Arial"/>
                <w:bCs/>
                <w:iCs/>
                <w:sz w:val="16"/>
                <w:szCs w:val="16"/>
                <w:bdr w:val="nil"/>
                <w:lang w:eastAsia="ko-KR"/>
              </w:rPr>
              <w:t>Universidad Nacional de Seúl</w:t>
            </w:r>
            <w:r w:rsidRPr="00C8249F">
              <w:rPr>
                <w:rFonts w:eastAsia="Arial"/>
                <w:bCs/>
                <w:sz w:val="16"/>
                <w:szCs w:val="16"/>
                <w:bdr w:val="nil"/>
                <w:lang w:eastAsia="ko-KR"/>
              </w:rPr>
              <w:t xml:space="preserve"> </w:t>
            </w:r>
            <w:r w:rsidRPr="00CE38A2">
              <w:rPr>
                <w:rFonts w:eastAsia="Arial"/>
                <w:bCs/>
                <w:sz w:val="16"/>
                <w:szCs w:val="16"/>
                <w:bdr w:val="nil"/>
                <w:lang w:eastAsia="ko-KR"/>
              </w:rPr>
              <w:t>(SNU)</w:t>
            </w:r>
            <w:r>
              <w:rPr>
                <w:rFonts w:eastAsia="Arial"/>
                <w:bCs/>
                <w:sz w:val="16"/>
                <w:szCs w:val="16"/>
                <w:bdr w:val="nil"/>
                <w:lang w:eastAsia="ko-KR"/>
              </w:rPr>
              <w:br/>
            </w:r>
            <w:r>
              <w:rPr>
                <w:rFonts w:eastAsia="Arial"/>
                <w:bCs/>
                <w:sz w:val="16"/>
                <w:szCs w:val="16"/>
                <w:bdr w:val="nil"/>
                <w:lang w:eastAsia="ko-KR"/>
              </w:rPr>
              <w:br/>
            </w:r>
          </w:p>
        </w:tc>
        <w:tc>
          <w:tcPr>
            <w:tcW w:w="1134" w:type="dxa"/>
            <w:shd w:val="clear" w:color="auto" w:fill="auto"/>
            <w:tcMar>
              <w:top w:w="110" w:type="dxa"/>
            </w:tcMar>
            <w:vAlign w:val="center"/>
          </w:tcPr>
          <w:p w:rsidR="004E456B" w:rsidRPr="00CE38A2" w:rsidRDefault="004E456B" w:rsidP="00027A9C">
            <w:pPr>
              <w:keepNext/>
              <w:keepLines/>
              <w:spacing w:after="200" w:line="276" w:lineRule="auto"/>
              <w:rPr>
                <w:rFonts w:eastAsiaTheme="minorHAnsi"/>
                <w:bCs/>
                <w:sz w:val="16"/>
                <w:szCs w:val="16"/>
                <w:lang w:eastAsia="ko-KR"/>
              </w:rPr>
            </w:pPr>
            <w:r w:rsidRPr="00CE38A2">
              <w:rPr>
                <w:rFonts w:eastAsia="Arial"/>
                <w:bCs/>
                <w:sz w:val="16"/>
                <w:szCs w:val="16"/>
                <w:bdr w:val="nil"/>
                <w:lang w:eastAsia="ko-KR"/>
              </w:rPr>
              <w:t>2 de marzo a 16 de diciembre de 2016</w:t>
            </w:r>
            <w:r w:rsidRPr="00CE38A2">
              <w:rPr>
                <w:rFonts w:eastAsia="Arial"/>
                <w:bCs/>
                <w:sz w:val="16"/>
                <w:szCs w:val="16"/>
                <w:bdr w:val="nil"/>
                <w:lang w:eastAsia="ko-KR"/>
              </w:rPr>
              <w:br/>
            </w:r>
            <w:r w:rsidRPr="00CE38A2">
              <w:rPr>
                <w:rFonts w:eastAsia="Arial"/>
                <w:bCs/>
                <w:sz w:val="16"/>
                <w:szCs w:val="16"/>
                <w:bdr w:val="nil"/>
                <w:lang w:eastAsia="ko-KR"/>
              </w:rPr>
              <w:br/>
            </w:r>
          </w:p>
        </w:tc>
        <w:tc>
          <w:tcPr>
            <w:tcW w:w="2333" w:type="dxa"/>
            <w:shd w:val="clear" w:color="auto" w:fill="auto"/>
            <w:tcMar>
              <w:top w:w="110" w:type="dxa"/>
            </w:tcMar>
            <w:vAlign w:val="center"/>
          </w:tcPr>
          <w:p w:rsidR="004E456B" w:rsidRPr="00CE38A2" w:rsidRDefault="004E456B" w:rsidP="00027A9C">
            <w:pPr>
              <w:keepNext/>
              <w:keepLines/>
              <w:spacing w:after="200" w:line="276" w:lineRule="auto"/>
              <w:rPr>
                <w:rFonts w:eastAsiaTheme="minorHAnsi"/>
                <w:bCs/>
                <w:sz w:val="16"/>
                <w:szCs w:val="16"/>
                <w:lang w:eastAsia="ko-KR"/>
              </w:rPr>
            </w:pPr>
            <w:r w:rsidRPr="00CE38A2">
              <w:rPr>
                <w:rFonts w:eastAsia="Arial"/>
                <w:bCs/>
                <w:sz w:val="16"/>
                <w:szCs w:val="16"/>
                <w:bdr w:val="nil"/>
                <w:lang w:eastAsia="ko-KR"/>
              </w:rPr>
              <w:t xml:space="preserve">República de Corea </w:t>
            </w:r>
          </w:p>
          <w:p w:rsidR="004E456B" w:rsidRPr="00CE38A2" w:rsidRDefault="004E456B" w:rsidP="00027A9C">
            <w:pPr>
              <w:keepNext/>
              <w:keepLines/>
              <w:spacing w:after="200" w:line="276" w:lineRule="auto"/>
              <w:rPr>
                <w:rFonts w:eastAsiaTheme="minorHAnsi"/>
                <w:bCs/>
                <w:sz w:val="16"/>
                <w:szCs w:val="16"/>
                <w:lang w:eastAsia="ko-KR"/>
              </w:rPr>
            </w:pPr>
            <w:r w:rsidRPr="00CE38A2">
              <w:rPr>
                <w:rFonts w:eastAsia="Arial"/>
                <w:bCs/>
                <w:sz w:val="16"/>
                <w:szCs w:val="16"/>
                <w:bdr w:val="nil"/>
                <w:lang w:eastAsia="ko-KR"/>
              </w:rPr>
              <w:t>India, Pakistán</w:t>
            </w:r>
            <w:r w:rsidRPr="00CE38A2">
              <w:rPr>
                <w:rFonts w:eastAsia="Arial"/>
                <w:bCs/>
                <w:sz w:val="16"/>
                <w:szCs w:val="16"/>
                <w:bdr w:val="nil"/>
                <w:lang w:eastAsia="ko-KR"/>
              </w:rPr>
              <w:br/>
            </w:r>
            <w:r w:rsidRPr="00CE38A2">
              <w:rPr>
                <w:rFonts w:eastAsia="Arial"/>
                <w:bCs/>
                <w:sz w:val="16"/>
                <w:szCs w:val="16"/>
                <w:bdr w:val="nil"/>
                <w:lang w:eastAsia="ko-KR"/>
              </w:rPr>
              <w:br/>
            </w:r>
            <w:r w:rsidRPr="00CE38A2">
              <w:rPr>
                <w:rFonts w:eastAsia="Arial"/>
                <w:bCs/>
                <w:sz w:val="16"/>
                <w:szCs w:val="16"/>
                <w:bdr w:val="nil"/>
                <w:lang w:eastAsia="ko-KR"/>
              </w:rPr>
              <w:br/>
            </w:r>
          </w:p>
        </w:tc>
        <w:tc>
          <w:tcPr>
            <w:tcW w:w="4050" w:type="dxa"/>
            <w:shd w:val="clear" w:color="auto" w:fill="FFFFFF"/>
            <w:tcMar>
              <w:top w:w="110" w:type="dxa"/>
            </w:tcMar>
            <w:vAlign w:val="center"/>
          </w:tcPr>
          <w:p w:rsidR="004E456B" w:rsidRPr="009703BB" w:rsidRDefault="004E456B" w:rsidP="00027A9C">
            <w:pPr>
              <w:spacing w:before="100" w:beforeAutospacing="1"/>
              <w:rPr>
                <w:rFonts w:eastAsiaTheme="minorHAnsi"/>
                <w:bCs/>
                <w:sz w:val="16"/>
                <w:szCs w:val="16"/>
              </w:rPr>
            </w:pPr>
            <w:r>
              <w:rPr>
                <w:rFonts w:eastAsia="Arial"/>
                <w:bCs/>
                <w:sz w:val="16"/>
                <w:szCs w:val="16"/>
                <w:bdr w:val="nil"/>
                <w:lang w:eastAsia="ko-KR"/>
              </w:rPr>
              <w:t xml:space="preserve">Proporcionar estudios superiores a expertos en P.I., incluidos los funcionarios gubernamentales, de modo que mejoren su capacidad para administrar derechos </w:t>
            </w:r>
            <w:r w:rsidR="002C37EA">
              <w:rPr>
                <w:rFonts w:eastAsia="Arial"/>
                <w:bCs/>
                <w:sz w:val="16"/>
                <w:szCs w:val="16"/>
                <w:bdr w:val="nil"/>
                <w:lang w:eastAsia="ko-KR"/>
              </w:rPr>
              <w:t>de P.I. e incrementen el uso de</w:t>
            </w:r>
            <w:r>
              <w:rPr>
                <w:rFonts w:eastAsia="Arial"/>
                <w:bCs/>
                <w:sz w:val="16"/>
                <w:szCs w:val="16"/>
                <w:bdr w:val="nil"/>
                <w:lang w:eastAsia="ko-KR"/>
              </w:rPr>
              <w:t xml:space="preserve"> la P.I. para fomentar la innovación, a través del Programa de Maestría de P.I. de la Academia de la OMPI – Universidad Nacional de Seúl (SNU).</w:t>
            </w:r>
          </w:p>
        </w:tc>
      </w:tr>
      <w:tr w:rsidR="004E456B" w:rsidRPr="008466AF" w:rsidTr="00027A9C">
        <w:tc>
          <w:tcPr>
            <w:tcW w:w="1843" w:type="dxa"/>
            <w:vAlign w:val="center"/>
          </w:tcPr>
          <w:p w:rsidR="004E456B" w:rsidRPr="00CE38A2" w:rsidRDefault="004E456B" w:rsidP="00027A9C">
            <w:pPr>
              <w:spacing w:before="100" w:beforeAutospacing="1"/>
              <w:rPr>
                <w:rFonts w:eastAsiaTheme="minorHAnsi"/>
                <w:bCs/>
                <w:sz w:val="16"/>
                <w:szCs w:val="16"/>
              </w:rPr>
            </w:pPr>
            <w:r w:rsidRPr="00CE38A2">
              <w:rPr>
                <w:rFonts w:eastAsia="Arial"/>
                <w:bCs/>
                <w:sz w:val="16"/>
                <w:szCs w:val="16"/>
                <w:bdr w:val="nil"/>
                <w:lang w:eastAsia="ko-KR"/>
              </w:rPr>
              <w:t>Participación en el curso de verano de la OMPI en la República de Corea</w:t>
            </w:r>
            <w:r w:rsidRPr="00CE38A2">
              <w:rPr>
                <w:rFonts w:eastAsia="Arial"/>
                <w:bCs/>
                <w:sz w:val="16"/>
                <w:szCs w:val="16"/>
                <w:bdr w:val="nil"/>
                <w:lang w:eastAsia="ko-KR"/>
              </w:rPr>
              <w:br/>
            </w:r>
          </w:p>
        </w:tc>
        <w:tc>
          <w:tcPr>
            <w:tcW w:w="1134" w:type="dxa"/>
            <w:shd w:val="clear" w:color="auto" w:fill="auto"/>
            <w:tcMar>
              <w:top w:w="110" w:type="dxa"/>
            </w:tcMar>
            <w:vAlign w:val="center"/>
          </w:tcPr>
          <w:p w:rsidR="004E456B" w:rsidRPr="00CE38A2" w:rsidRDefault="004E456B" w:rsidP="00027A9C">
            <w:pPr>
              <w:keepNext/>
              <w:keepLines/>
              <w:spacing w:after="200" w:line="276" w:lineRule="auto"/>
              <w:rPr>
                <w:rFonts w:eastAsiaTheme="minorHAnsi"/>
                <w:bCs/>
                <w:sz w:val="16"/>
                <w:szCs w:val="16"/>
                <w:lang w:eastAsia="ko-KR"/>
              </w:rPr>
            </w:pPr>
            <w:r w:rsidRPr="00CE38A2">
              <w:rPr>
                <w:rFonts w:eastAsia="Arial"/>
                <w:bCs/>
                <w:sz w:val="16"/>
                <w:szCs w:val="16"/>
                <w:bdr w:val="nil"/>
                <w:lang w:eastAsia="ko-KR"/>
              </w:rPr>
              <w:t>11 a 22 de julio de 2016</w:t>
            </w:r>
            <w:r w:rsidRPr="00CE38A2">
              <w:rPr>
                <w:rFonts w:eastAsia="Arial"/>
                <w:bCs/>
                <w:sz w:val="16"/>
                <w:szCs w:val="16"/>
                <w:bdr w:val="nil"/>
                <w:lang w:eastAsia="ko-KR"/>
              </w:rPr>
              <w:br/>
            </w:r>
          </w:p>
        </w:tc>
        <w:tc>
          <w:tcPr>
            <w:tcW w:w="2333" w:type="dxa"/>
            <w:shd w:val="clear" w:color="auto" w:fill="auto"/>
            <w:tcMar>
              <w:top w:w="110" w:type="dxa"/>
            </w:tcMar>
            <w:vAlign w:val="center"/>
          </w:tcPr>
          <w:p w:rsidR="004E456B" w:rsidRPr="00CE38A2" w:rsidRDefault="004E456B" w:rsidP="00027A9C">
            <w:pPr>
              <w:spacing w:before="100" w:beforeAutospacing="1"/>
              <w:rPr>
                <w:rFonts w:eastAsiaTheme="minorHAnsi"/>
                <w:bCs/>
                <w:sz w:val="16"/>
                <w:szCs w:val="16"/>
                <w:lang w:eastAsia="ko-KR"/>
              </w:rPr>
            </w:pPr>
            <w:r w:rsidRPr="00CE38A2">
              <w:rPr>
                <w:rFonts w:eastAsia="Arial"/>
                <w:bCs/>
                <w:sz w:val="16"/>
                <w:szCs w:val="16"/>
                <w:bdr w:val="nil"/>
                <w:lang w:eastAsia="ko-KR"/>
              </w:rPr>
              <w:t>República de Corea/ Brasil, Camerún, India, Indonesia, Lesotho, Malawi, Polonia</w:t>
            </w:r>
            <w:r w:rsidRPr="00CE38A2">
              <w:rPr>
                <w:rFonts w:eastAsia="Arial"/>
                <w:bCs/>
                <w:sz w:val="16"/>
                <w:szCs w:val="16"/>
                <w:bdr w:val="nil"/>
                <w:lang w:eastAsia="ko-KR"/>
              </w:rPr>
              <w:br/>
            </w:r>
            <w:r w:rsidRPr="00CE38A2">
              <w:rPr>
                <w:rFonts w:eastAsia="Arial"/>
                <w:bCs/>
                <w:sz w:val="16"/>
                <w:szCs w:val="16"/>
                <w:bdr w:val="nil"/>
                <w:lang w:eastAsia="ko-KR"/>
              </w:rPr>
              <w:br/>
            </w:r>
          </w:p>
        </w:tc>
        <w:tc>
          <w:tcPr>
            <w:tcW w:w="4050" w:type="dxa"/>
            <w:shd w:val="clear" w:color="auto" w:fill="FFFFFF"/>
            <w:tcMar>
              <w:top w:w="110" w:type="dxa"/>
            </w:tcMar>
            <w:vAlign w:val="center"/>
          </w:tcPr>
          <w:p w:rsidR="004E456B" w:rsidRPr="009703BB" w:rsidRDefault="004E456B" w:rsidP="00027A9C">
            <w:pPr>
              <w:spacing w:before="100" w:beforeAutospacing="1"/>
              <w:rPr>
                <w:rFonts w:eastAsiaTheme="minorEastAsia"/>
                <w:bCs/>
                <w:sz w:val="16"/>
                <w:szCs w:val="16"/>
                <w:lang w:eastAsia="ko-KR"/>
              </w:rPr>
            </w:pPr>
            <w:r>
              <w:rPr>
                <w:rFonts w:eastAsia="Arial"/>
                <w:bCs/>
                <w:sz w:val="16"/>
                <w:szCs w:val="16"/>
                <w:bdr w:val="nil"/>
                <w:lang w:eastAsia="ko-KR"/>
              </w:rPr>
              <w:t>Proporcionar a los estudiantes universitarios avanzados y los jóvenes profesionales unos conocimientos más exhaustivos respecto a cada ámbito de la P.I. y acerca del papel y la función del sistema de P.I., mediante conferencias, estudios de caso, ejercicios y debates en grupo.</w:t>
            </w:r>
          </w:p>
        </w:tc>
      </w:tr>
    </w:tbl>
    <w:p w:rsidR="004E456B" w:rsidRPr="009703BB" w:rsidRDefault="004E456B" w:rsidP="00027A9C">
      <w:pPr>
        <w:rPr>
          <w:rFonts w:eastAsiaTheme="minorHAnsi"/>
          <w:sz w:val="20"/>
        </w:rPr>
      </w:pPr>
    </w:p>
    <w:p w:rsidR="004E456B" w:rsidRPr="00CE38A2" w:rsidRDefault="004E456B" w:rsidP="00027A9C">
      <w:pPr>
        <w:rPr>
          <w:rFonts w:eastAsiaTheme="minorHAnsi"/>
          <w:sz w:val="20"/>
        </w:rPr>
      </w:pPr>
      <w:r w:rsidRPr="00CE38A2">
        <w:rPr>
          <w:rFonts w:eastAsia="Arial"/>
          <w:b/>
          <w:bCs/>
          <w:sz w:val="20"/>
          <w:bdr w:val="nil"/>
        </w:rPr>
        <w:t>REPÚBLICA DE COREA (EDUCACIÓN) – Becas en P.I. (Academia) – Contribuciones del donante y gastos en 2016</w:t>
      </w:r>
    </w:p>
    <w:p w:rsidR="004E456B" w:rsidRPr="00CE38A2" w:rsidRDefault="004E456B" w:rsidP="00027A9C">
      <w:pPr>
        <w:rPr>
          <w:rFonts w:eastAsiaTheme="minorHAnsi"/>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CE38A2" w:rsidRDefault="004E456B" w:rsidP="00027A9C">
            <w:pPr>
              <w:jc w:val="center"/>
              <w:rPr>
                <w:b/>
                <w:bCs/>
                <w:sz w:val="16"/>
                <w:szCs w:val="16"/>
              </w:rPr>
            </w:pPr>
            <w:r w:rsidRPr="00CE38A2">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CE38A2" w:rsidRDefault="004E456B" w:rsidP="00027A9C">
            <w:pPr>
              <w:jc w:val="center"/>
              <w:rPr>
                <w:b/>
                <w:bCs/>
                <w:sz w:val="16"/>
                <w:szCs w:val="16"/>
              </w:rPr>
            </w:pPr>
            <w:r w:rsidRPr="00CE38A2">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CE38A2" w:rsidRDefault="004E456B" w:rsidP="00027A9C">
            <w:pPr>
              <w:jc w:val="center"/>
              <w:rPr>
                <w:b/>
                <w:bCs/>
                <w:sz w:val="16"/>
                <w:szCs w:val="16"/>
              </w:rPr>
            </w:pPr>
            <w:r w:rsidRPr="00CE38A2">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CE38A2" w:rsidRDefault="004E456B" w:rsidP="00027A9C">
            <w:pPr>
              <w:jc w:val="center"/>
              <w:rPr>
                <w:b/>
                <w:bCs/>
                <w:sz w:val="16"/>
                <w:szCs w:val="16"/>
              </w:rPr>
            </w:pPr>
            <w:r w:rsidRPr="00CE38A2">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CE38A2" w:rsidRDefault="004E456B" w:rsidP="00027A9C">
            <w:pPr>
              <w:jc w:val="center"/>
              <w:rPr>
                <w:b/>
                <w:bCs/>
                <w:sz w:val="16"/>
                <w:szCs w:val="16"/>
              </w:rPr>
            </w:pPr>
            <w:r w:rsidRPr="00CE38A2">
              <w:rPr>
                <w:rFonts w:eastAsia="Arial"/>
                <w:b/>
                <w:bCs/>
                <w:sz w:val="16"/>
                <w:szCs w:val="16"/>
                <w:bdr w:val="nil"/>
              </w:rPr>
              <w:t>Saldo al 31 de diciembre de 2016</w:t>
            </w:r>
          </w:p>
        </w:tc>
      </w:tr>
      <w:tr w:rsidR="004E456B" w:rsidRPr="00CE38A2" w:rsidTr="00027A9C">
        <w:trPr>
          <w:trHeight w:val="357"/>
        </w:trPr>
        <w:tc>
          <w:tcPr>
            <w:tcW w:w="1814" w:type="dxa"/>
            <w:tcBorders>
              <w:top w:val="nil"/>
              <w:left w:val="nil"/>
              <w:bottom w:val="nil"/>
              <w:right w:val="nil"/>
            </w:tcBorders>
            <w:shd w:val="clear" w:color="auto" w:fill="auto"/>
            <w:noWrap/>
            <w:vAlign w:val="bottom"/>
            <w:hideMark/>
          </w:tcPr>
          <w:p w:rsidR="004E456B" w:rsidRPr="00CE38A2" w:rsidRDefault="004E456B" w:rsidP="00027A9C">
            <w:pPr>
              <w:jc w:val="center"/>
              <w:rPr>
                <w:sz w:val="16"/>
                <w:szCs w:val="16"/>
              </w:rPr>
            </w:pPr>
            <w:r w:rsidRPr="00CE38A2">
              <w:rPr>
                <w:sz w:val="16"/>
                <w:szCs w:val="16"/>
              </w:rPr>
              <w:t>317.318</w:t>
            </w:r>
          </w:p>
        </w:tc>
        <w:tc>
          <w:tcPr>
            <w:tcW w:w="1814" w:type="dxa"/>
            <w:tcBorders>
              <w:top w:val="nil"/>
              <w:left w:val="nil"/>
              <w:bottom w:val="nil"/>
              <w:right w:val="nil"/>
            </w:tcBorders>
            <w:shd w:val="clear" w:color="auto" w:fill="auto"/>
            <w:noWrap/>
            <w:vAlign w:val="bottom"/>
            <w:hideMark/>
          </w:tcPr>
          <w:p w:rsidR="004E456B" w:rsidRPr="00CE38A2" w:rsidRDefault="004E456B" w:rsidP="00027A9C">
            <w:pPr>
              <w:jc w:val="center"/>
              <w:rPr>
                <w:sz w:val="16"/>
                <w:szCs w:val="16"/>
              </w:rPr>
            </w:pPr>
            <w:r w:rsidRPr="00CE38A2">
              <w:rPr>
                <w:sz w:val="16"/>
                <w:szCs w:val="16"/>
              </w:rPr>
              <w:t>334.567</w:t>
            </w:r>
          </w:p>
        </w:tc>
        <w:tc>
          <w:tcPr>
            <w:tcW w:w="1815" w:type="dxa"/>
            <w:tcBorders>
              <w:top w:val="nil"/>
              <w:left w:val="nil"/>
              <w:bottom w:val="nil"/>
              <w:right w:val="nil"/>
            </w:tcBorders>
            <w:shd w:val="clear" w:color="auto" w:fill="auto"/>
            <w:noWrap/>
            <w:vAlign w:val="bottom"/>
            <w:hideMark/>
          </w:tcPr>
          <w:p w:rsidR="004E456B" w:rsidRPr="00CE38A2" w:rsidRDefault="004E456B" w:rsidP="00027A9C">
            <w:pPr>
              <w:jc w:val="center"/>
              <w:rPr>
                <w:sz w:val="16"/>
                <w:szCs w:val="16"/>
              </w:rPr>
            </w:pPr>
            <w:r w:rsidRPr="00CE38A2">
              <w:rPr>
                <w:sz w:val="16"/>
                <w:szCs w:val="16"/>
              </w:rPr>
              <w:t>148.105</w:t>
            </w:r>
          </w:p>
        </w:tc>
        <w:tc>
          <w:tcPr>
            <w:tcW w:w="1814" w:type="dxa"/>
            <w:tcBorders>
              <w:top w:val="nil"/>
              <w:left w:val="nil"/>
              <w:bottom w:val="nil"/>
              <w:right w:val="nil"/>
            </w:tcBorders>
            <w:shd w:val="clear" w:color="auto" w:fill="auto"/>
            <w:noWrap/>
            <w:vAlign w:val="bottom"/>
            <w:hideMark/>
          </w:tcPr>
          <w:p w:rsidR="004E456B" w:rsidRPr="00CE38A2" w:rsidRDefault="004E456B" w:rsidP="00027A9C">
            <w:pPr>
              <w:jc w:val="center"/>
              <w:rPr>
                <w:sz w:val="16"/>
                <w:szCs w:val="16"/>
              </w:rPr>
            </w:pPr>
            <w:r w:rsidRPr="00CE38A2">
              <w:rPr>
                <w:sz w:val="16"/>
                <w:szCs w:val="16"/>
              </w:rPr>
              <w:t>-</w:t>
            </w:r>
          </w:p>
        </w:tc>
        <w:tc>
          <w:tcPr>
            <w:tcW w:w="1815" w:type="dxa"/>
            <w:tcBorders>
              <w:top w:val="nil"/>
              <w:left w:val="nil"/>
              <w:bottom w:val="nil"/>
              <w:right w:val="nil"/>
            </w:tcBorders>
            <w:shd w:val="clear" w:color="auto" w:fill="auto"/>
            <w:noWrap/>
            <w:vAlign w:val="bottom"/>
            <w:hideMark/>
          </w:tcPr>
          <w:p w:rsidR="004E456B" w:rsidRPr="00CE38A2" w:rsidRDefault="004E456B" w:rsidP="00027A9C">
            <w:pPr>
              <w:jc w:val="center"/>
              <w:rPr>
                <w:sz w:val="16"/>
                <w:szCs w:val="16"/>
              </w:rPr>
            </w:pPr>
            <w:r w:rsidRPr="00CE38A2">
              <w:rPr>
                <w:sz w:val="16"/>
                <w:szCs w:val="16"/>
              </w:rPr>
              <w:t>503.781</w:t>
            </w:r>
          </w:p>
        </w:tc>
      </w:tr>
    </w:tbl>
    <w:p w:rsidR="004E456B" w:rsidRPr="00CE38A2" w:rsidRDefault="004E456B" w:rsidP="00027A9C">
      <w:pPr>
        <w:rPr>
          <w:b/>
          <w:sz w:val="20"/>
        </w:rPr>
      </w:pPr>
    </w:p>
    <w:p w:rsidR="004E456B" w:rsidRPr="00CE38A2" w:rsidRDefault="004E456B" w:rsidP="00027A9C">
      <w:pPr>
        <w:rPr>
          <w:b/>
          <w:sz w:val="20"/>
        </w:rPr>
      </w:pPr>
    </w:p>
    <w:p w:rsidR="004E456B" w:rsidRPr="00CE38A2" w:rsidRDefault="004E456B" w:rsidP="00027A9C">
      <w:pPr>
        <w:rPr>
          <w:sz w:val="20"/>
        </w:rPr>
      </w:pPr>
      <w:r w:rsidRPr="00CE38A2">
        <w:rPr>
          <w:rFonts w:eastAsia="Arial"/>
          <w:b/>
          <w:bCs/>
          <w:sz w:val="20"/>
          <w:bdr w:val="nil"/>
        </w:rPr>
        <w:t>REPÚBLICA DE COREA – PROPIEDAD INDUSTRIAL</w:t>
      </w:r>
    </w:p>
    <w:p w:rsidR="004E456B" w:rsidRPr="00CE38A2" w:rsidRDefault="004E456B" w:rsidP="00027A9C">
      <w:pPr>
        <w:rPr>
          <w:sz w:val="20"/>
        </w:rPr>
      </w:pPr>
    </w:p>
    <w:tbl>
      <w:tblPr>
        <w:tblW w:w="9072" w:type="dxa"/>
        <w:tblInd w:w="108" w:type="dxa"/>
        <w:tblLayout w:type="fixed"/>
        <w:tblLook w:val="04A0" w:firstRow="1" w:lastRow="0" w:firstColumn="1" w:lastColumn="0" w:noHBand="0" w:noVBand="1"/>
      </w:tblPr>
      <w:tblGrid>
        <w:gridCol w:w="1773"/>
        <w:gridCol w:w="1174"/>
        <w:gridCol w:w="1773"/>
        <w:gridCol w:w="4352"/>
      </w:tblGrid>
      <w:tr w:rsidR="004E456B" w:rsidRPr="008466AF" w:rsidTr="00027A9C">
        <w:trPr>
          <w:trHeight w:val="527"/>
        </w:trPr>
        <w:tc>
          <w:tcPr>
            <w:tcW w:w="9443" w:type="dxa"/>
            <w:gridSpan w:val="4"/>
            <w:shd w:val="clear" w:color="auto" w:fill="C6D9F1" w:themeFill="text2" w:themeFillTint="33"/>
            <w:vAlign w:val="center"/>
            <w:hideMark/>
          </w:tcPr>
          <w:p w:rsidR="004E456B" w:rsidRPr="00CE38A2" w:rsidRDefault="004E456B" w:rsidP="00027A9C">
            <w:pPr>
              <w:spacing w:before="120" w:after="60"/>
              <w:ind w:left="1701" w:hanging="1701"/>
              <w:rPr>
                <w:bCs/>
                <w:sz w:val="16"/>
                <w:szCs w:val="16"/>
              </w:rPr>
            </w:pPr>
            <w:r w:rsidRPr="00CE38A2">
              <w:rPr>
                <w:rFonts w:eastAsia="Arial"/>
                <w:b/>
                <w:bCs/>
                <w:sz w:val="16"/>
                <w:szCs w:val="16"/>
                <w:bdr w:val="nil"/>
              </w:rPr>
              <w:t>RESULTADO:</w:t>
            </w:r>
            <w:r w:rsidRPr="00CE38A2">
              <w:rPr>
                <w:rFonts w:eastAsia="Arial"/>
                <w:b/>
                <w:bCs/>
                <w:sz w:val="16"/>
                <w:szCs w:val="16"/>
                <w:bdr w:val="nil"/>
              </w:rPr>
              <w:tab/>
            </w:r>
            <w:r w:rsidRPr="00CE38A2">
              <w:rPr>
                <w:rFonts w:eastAsia="Arial"/>
                <w:sz w:val="16"/>
                <w:szCs w:val="16"/>
                <w:bdr w:val="nil"/>
              </w:rPr>
              <w:t>III.1  Estrategias y planes nacionales de P.I. que estén en sintonía con los objetivos nacionales de desarrollo</w:t>
            </w:r>
          </w:p>
        </w:tc>
      </w:tr>
      <w:tr w:rsidR="004E456B" w:rsidRPr="00CE38A2" w:rsidTr="00027A9C">
        <w:trPr>
          <w:trHeight w:val="438"/>
        </w:trPr>
        <w:tc>
          <w:tcPr>
            <w:tcW w:w="1843" w:type="dxa"/>
            <w:vAlign w:val="center"/>
            <w:hideMark/>
          </w:tcPr>
          <w:p w:rsidR="004E456B" w:rsidRPr="00CE38A2" w:rsidRDefault="004E456B" w:rsidP="00027A9C">
            <w:pPr>
              <w:rPr>
                <w:b/>
                <w:bCs/>
                <w:sz w:val="16"/>
                <w:szCs w:val="16"/>
              </w:rPr>
            </w:pPr>
            <w:r w:rsidRPr="00CE38A2">
              <w:rPr>
                <w:rFonts w:eastAsia="Arial"/>
                <w:b/>
                <w:bCs/>
                <w:sz w:val="16"/>
                <w:szCs w:val="16"/>
                <w:bdr w:val="nil"/>
              </w:rPr>
              <w:t>Actividad</w:t>
            </w:r>
          </w:p>
        </w:tc>
        <w:tc>
          <w:tcPr>
            <w:tcW w:w="1217" w:type="dxa"/>
            <w:tcMar>
              <w:top w:w="110" w:type="dxa"/>
              <w:left w:w="108" w:type="dxa"/>
              <w:bottom w:w="0" w:type="dxa"/>
              <w:right w:w="108" w:type="dxa"/>
            </w:tcMar>
            <w:vAlign w:val="center"/>
            <w:hideMark/>
          </w:tcPr>
          <w:p w:rsidR="004E456B" w:rsidRPr="00CE38A2" w:rsidRDefault="004E456B" w:rsidP="00027A9C">
            <w:pPr>
              <w:rPr>
                <w:b/>
                <w:bCs/>
                <w:sz w:val="16"/>
                <w:szCs w:val="16"/>
              </w:rPr>
            </w:pPr>
            <w:r w:rsidRPr="00CE38A2">
              <w:rPr>
                <w:rFonts w:eastAsia="Arial"/>
                <w:b/>
                <w:bCs/>
                <w:sz w:val="16"/>
                <w:szCs w:val="16"/>
                <w:bdr w:val="nil"/>
              </w:rPr>
              <w:t>Fecha</w:t>
            </w:r>
          </w:p>
        </w:tc>
        <w:tc>
          <w:tcPr>
            <w:tcW w:w="1843" w:type="dxa"/>
            <w:tcMar>
              <w:top w:w="110" w:type="dxa"/>
              <w:left w:w="108" w:type="dxa"/>
              <w:bottom w:w="0" w:type="dxa"/>
              <w:right w:w="108" w:type="dxa"/>
            </w:tcMar>
            <w:vAlign w:val="center"/>
            <w:hideMark/>
          </w:tcPr>
          <w:p w:rsidR="004E456B" w:rsidRPr="00CE38A2" w:rsidRDefault="004E456B" w:rsidP="00027A9C">
            <w:pPr>
              <w:rPr>
                <w:sz w:val="16"/>
                <w:szCs w:val="16"/>
              </w:rPr>
            </w:pPr>
            <w:r w:rsidRPr="00CE38A2">
              <w:rPr>
                <w:rFonts w:eastAsia="Arial"/>
                <w:b/>
                <w:bCs/>
                <w:sz w:val="16"/>
                <w:szCs w:val="16"/>
                <w:bdr w:val="nil"/>
              </w:rPr>
              <w:t>País anfitrión / Beneficiarios</w:t>
            </w:r>
          </w:p>
        </w:tc>
        <w:tc>
          <w:tcPr>
            <w:tcW w:w="4540" w:type="dxa"/>
            <w:shd w:val="clear" w:color="auto" w:fill="FFFFFF"/>
            <w:tcMar>
              <w:top w:w="110" w:type="dxa"/>
              <w:left w:w="108" w:type="dxa"/>
              <w:bottom w:w="0" w:type="dxa"/>
              <w:right w:w="108" w:type="dxa"/>
            </w:tcMar>
            <w:vAlign w:val="center"/>
            <w:hideMark/>
          </w:tcPr>
          <w:p w:rsidR="004E456B" w:rsidRPr="00CE38A2" w:rsidRDefault="004E456B" w:rsidP="00027A9C">
            <w:pPr>
              <w:rPr>
                <w:sz w:val="16"/>
                <w:szCs w:val="16"/>
              </w:rPr>
            </w:pPr>
            <w:r w:rsidRPr="00CE38A2">
              <w:rPr>
                <w:rFonts w:eastAsia="Arial"/>
                <w:b/>
                <w:bCs/>
                <w:sz w:val="16"/>
                <w:szCs w:val="16"/>
                <w:bdr w:val="nil"/>
              </w:rPr>
              <w:t>Propósito(s)/Descripción</w:t>
            </w:r>
          </w:p>
        </w:tc>
      </w:tr>
      <w:tr w:rsidR="004E456B" w:rsidRPr="008466AF" w:rsidTr="00027A9C">
        <w:trPr>
          <w:trHeight w:val="473"/>
        </w:trPr>
        <w:tc>
          <w:tcPr>
            <w:tcW w:w="1843"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Visita de estudio de una delegación de la República Dominicana a Seúl y Daejeon (República de Corea)</w:t>
            </w:r>
          </w:p>
        </w:tc>
        <w:tc>
          <w:tcPr>
            <w:tcW w:w="1217"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1 a 4 de noviembre de 2016</w:t>
            </w:r>
          </w:p>
        </w:tc>
        <w:tc>
          <w:tcPr>
            <w:tcW w:w="1843"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República de Corea/ 8 participantes de la República Dominicana</w:t>
            </w:r>
          </w:p>
        </w:tc>
        <w:tc>
          <w:tcPr>
            <w:tcW w:w="4540"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i) Ampliar los conocimientos de los responsables de políticas del sector público y privado que participan en la elaboración de una estrategia nacional de P.I. para que planifiquen y apliquen su estrategia de P.I. con mayor eficacia; ii) mejorar sus conocimientos acerca de la promoción de la innovación nacional mediante un mejor acceso a la literatura de patentes; y iii) proporcionar conocimientos de primera mano y analizar la manera en que la economía surcoreana ha conseguido una amplia presencia de la P.I. a través de sus principales industrias. </w:t>
            </w:r>
          </w:p>
        </w:tc>
      </w:tr>
      <w:tr w:rsidR="004E456B" w:rsidRPr="008466AF" w:rsidTr="00027A9C">
        <w:tc>
          <w:tcPr>
            <w:tcW w:w="9443" w:type="dxa"/>
            <w:gridSpan w:val="4"/>
            <w:shd w:val="clear" w:color="auto" w:fill="C6D9F1" w:themeFill="text2" w:themeFillTint="33"/>
            <w:vAlign w:val="center"/>
            <w:hideMark/>
          </w:tcPr>
          <w:p w:rsidR="004E456B" w:rsidRPr="00206ECC" w:rsidRDefault="004E456B" w:rsidP="00027A9C">
            <w:pPr>
              <w:spacing w:before="120" w:after="60"/>
              <w:ind w:left="1701" w:hanging="1701"/>
              <w:rPr>
                <w:bCs/>
                <w:sz w:val="16"/>
                <w:szCs w:val="16"/>
              </w:rPr>
            </w:pPr>
            <w:r w:rsidRPr="00206ECC">
              <w:rPr>
                <w:rFonts w:eastAsia="Arial"/>
                <w:b/>
                <w:bCs/>
                <w:sz w:val="16"/>
                <w:szCs w:val="16"/>
                <w:bdr w:val="nil"/>
              </w:rPr>
              <w:t>RESULTADO:</w:t>
            </w:r>
            <w:r w:rsidRPr="00206ECC">
              <w:rPr>
                <w:rFonts w:eastAsia="Arial"/>
                <w:b/>
                <w:bCs/>
                <w:sz w:val="16"/>
                <w:szCs w:val="16"/>
                <w:bdr w:val="nil"/>
              </w:rPr>
              <w:tab/>
            </w:r>
            <w:r w:rsidRPr="00206ECC">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Tr="00027A9C">
        <w:trPr>
          <w:trHeight w:val="438"/>
        </w:trPr>
        <w:tc>
          <w:tcPr>
            <w:tcW w:w="1843" w:type="dxa"/>
            <w:vAlign w:val="center"/>
            <w:hideMark/>
          </w:tcPr>
          <w:p w:rsidR="004E456B" w:rsidRPr="00206ECC" w:rsidRDefault="004E456B" w:rsidP="00027A9C">
            <w:pPr>
              <w:keepNext/>
              <w:keepLines/>
              <w:rPr>
                <w:b/>
                <w:bCs/>
                <w:sz w:val="16"/>
                <w:szCs w:val="16"/>
              </w:rPr>
            </w:pPr>
            <w:r w:rsidRPr="00206ECC">
              <w:rPr>
                <w:rFonts w:eastAsia="Arial"/>
                <w:b/>
                <w:bCs/>
                <w:sz w:val="16"/>
                <w:szCs w:val="16"/>
                <w:bdr w:val="nil"/>
              </w:rPr>
              <w:t>Actividad</w:t>
            </w:r>
          </w:p>
        </w:tc>
        <w:tc>
          <w:tcPr>
            <w:tcW w:w="1217" w:type="dxa"/>
            <w:tcMar>
              <w:top w:w="110" w:type="dxa"/>
              <w:left w:w="108" w:type="dxa"/>
              <w:bottom w:w="0" w:type="dxa"/>
              <w:right w:w="108" w:type="dxa"/>
            </w:tcMar>
            <w:vAlign w:val="center"/>
            <w:hideMark/>
          </w:tcPr>
          <w:p w:rsidR="004E456B" w:rsidRPr="00206ECC" w:rsidRDefault="004E456B" w:rsidP="00027A9C">
            <w:pPr>
              <w:keepNext/>
              <w:keepLines/>
              <w:rPr>
                <w:b/>
                <w:bCs/>
                <w:sz w:val="16"/>
                <w:szCs w:val="16"/>
              </w:rPr>
            </w:pPr>
            <w:r w:rsidRPr="00206ECC">
              <w:rPr>
                <w:rFonts w:eastAsia="Arial"/>
                <w:b/>
                <w:bCs/>
                <w:sz w:val="16"/>
                <w:szCs w:val="16"/>
                <w:bdr w:val="nil"/>
              </w:rPr>
              <w:t>Fecha</w:t>
            </w:r>
          </w:p>
        </w:tc>
        <w:tc>
          <w:tcPr>
            <w:tcW w:w="1843" w:type="dxa"/>
            <w:tcMar>
              <w:top w:w="110" w:type="dxa"/>
              <w:left w:w="108" w:type="dxa"/>
              <w:bottom w:w="0" w:type="dxa"/>
              <w:right w:w="108" w:type="dxa"/>
            </w:tcMar>
            <w:vAlign w:val="center"/>
            <w:hideMark/>
          </w:tcPr>
          <w:p w:rsidR="004E456B" w:rsidRPr="00206ECC" w:rsidRDefault="004E456B" w:rsidP="00027A9C">
            <w:pPr>
              <w:keepNext/>
              <w:keepLines/>
              <w:rPr>
                <w:sz w:val="16"/>
                <w:szCs w:val="16"/>
              </w:rPr>
            </w:pPr>
            <w:r w:rsidRPr="00206ECC">
              <w:rPr>
                <w:rFonts w:eastAsia="Arial"/>
                <w:b/>
                <w:bCs/>
                <w:sz w:val="16"/>
                <w:szCs w:val="16"/>
                <w:bdr w:val="nil"/>
              </w:rPr>
              <w:t>País anfitrión / Beneficiarios</w:t>
            </w:r>
          </w:p>
        </w:tc>
        <w:tc>
          <w:tcPr>
            <w:tcW w:w="4540" w:type="dxa"/>
            <w:shd w:val="clear" w:color="auto" w:fill="FFFFFF"/>
            <w:tcMar>
              <w:top w:w="110" w:type="dxa"/>
              <w:left w:w="108" w:type="dxa"/>
              <w:bottom w:w="0" w:type="dxa"/>
              <w:right w:w="108" w:type="dxa"/>
            </w:tcMar>
            <w:vAlign w:val="center"/>
            <w:hideMark/>
          </w:tcPr>
          <w:p w:rsidR="004E456B" w:rsidRPr="00206ECC" w:rsidRDefault="004E456B" w:rsidP="00027A9C">
            <w:pPr>
              <w:keepNext/>
              <w:keepLines/>
              <w:rPr>
                <w:sz w:val="16"/>
                <w:szCs w:val="16"/>
              </w:rPr>
            </w:pPr>
            <w:r w:rsidRPr="00206ECC">
              <w:rPr>
                <w:rFonts w:eastAsia="Arial"/>
                <w:b/>
                <w:bCs/>
                <w:sz w:val="16"/>
                <w:szCs w:val="16"/>
                <w:bdr w:val="nil"/>
              </w:rPr>
              <w:t>Propósito(s)/Descripción</w:t>
            </w:r>
          </w:p>
        </w:tc>
      </w:tr>
      <w:tr w:rsidR="004E456B" w:rsidRPr="008466AF" w:rsidTr="00027A9C">
        <w:trPr>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Talleres sobre el Derecho y el examen de patentes y programa piloto de formación en el lugar de trabajo </w:t>
            </w:r>
          </w:p>
        </w:tc>
        <w:tc>
          <w:tcPr>
            <w:tcW w:w="1217"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23 de marzo a 1 de abril de 2016</w:t>
            </w:r>
          </w:p>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4 a 8 de abril de 2016</w:t>
            </w:r>
          </w:p>
        </w:tc>
        <w:tc>
          <w:tcPr>
            <w:tcW w:w="1843"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 xml:space="preserve">República de Corea/ 19 participantes, de Bangladesh, Colombia, Egipto, Kazakstán, Kenya, Mongolia </w:t>
            </w:r>
            <w:r w:rsidRPr="00206ECC">
              <w:rPr>
                <w:rFonts w:eastAsia="Arial"/>
                <w:i/>
                <w:iCs/>
                <w:sz w:val="16"/>
                <w:szCs w:val="16"/>
                <w:bdr w:val="nil"/>
              </w:rPr>
              <w:t>(ambos programas)</w:t>
            </w:r>
            <w:r w:rsidRPr="00206ECC">
              <w:rPr>
                <w:rFonts w:eastAsia="Arial"/>
                <w:sz w:val="16"/>
                <w:szCs w:val="16"/>
                <w:bdr w:val="nil"/>
              </w:rPr>
              <w:t>, Myanmar, Pakistán, Perú, Uzbekistán, Viet Nam, ARIPO</w:t>
            </w:r>
          </w:p>
        </w:tc>
        <w:tc>
          <w:tcPr>
            <w:tcW w:w="4540" w:type="dxa"/>
          </w:tcPr>
          <w:p w:rsidR="004E456B" w:rsidRPr="009703BB" w:rsidRDefault="004E456B" w:rsidP="00027A9C">
            <w:pPr>
              <w:autoSpaceDE w:val="0"/>
              <w:autoSpaceDN w:val="0"/>
              <w:adjustRightInd w:val="0"/>
              <w:spacing w:before="120" w:after="120"/>
              <w:rPr>
                <w:color w:val="000000"/>
                <w:sz w:val="16"/>
                <w:szCs w:val="16"/>
              </w:rPr>
            </w:pPr>
            <w:r>
              <w:rPr>
                <w:rFonts w:eastAsia="Arial"/>
                <w:sz w:val="16"/>
                <w:szCs w:val="16"/>
                <w:bdr w:val="nil"/>
                <w:lang w:eastAsia="ko-KR"/>
              </w:rPr>
              <w:t xml:space="preserve">En los talleres i) se hizo hincapié en mejorar el conocimiento y las competencias de los examinadores de patentes acerca de los procedimientos de examen; ii) se celebraron sesiones prácticas sobre el acceso a los resultados de examen en el extranjero y su utilización, y sobre la comprensión de las notificaciones transmitidas; iii) se celebró una sesión especial para que los participantes compartieran opiniones y descubrieran las diferencias y similitudes que existen en la práctica entre las Oficinas de patentes nacionales respecto al examen sustantivo de patentes; y iv) se celebraron sesiones sobre el control de calidad de las patentes con objeto de aumentar la credibilidad del examen de patentes. </w:t>
            </w:r>
          </w:p>
        </w:tc>
      </w:tr>
      <w:tr w:rsidR="004E456B" w:rsidRPr="008466AF" w:rsidTr="00027A9C">
        <w:trPr>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Talleres sobre el Derecho y el examen de marcas y programa piloto de formación en el lugar </w:t>
            </w:r>
            <w:r>
              <w:rPr>
                <w:rFonts w:eastAsia="Arial"/>
                <w:color w:val="000000"/>
                <w:sz w:val="16"/>
                <w:szCs w:val="16"/>
                <w:bdr w:val="nil"/>
              </w:rPr>
              <w:lastRenderedPageBreak/>
              <w:t xml:space="preserve">de trabajo </w:t>
            </w:r>
          </w:p>
        </w:tc>
        <w:tc>
          <w:tcPr>
            <w:tcW w:w="1217"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lastRenderedPageBreak/>
              <w:t>10 a 17 de mayo de 2016</w:t>
            </w:r>
          </w:p>
          <w:p w:rsidR="004E456B" w:rsidRPr="00206ECC" w:rsidRDefault="005E315A" w:rsidP="00027A9C">
            <w:pPr>
              <w:autoSpaceDE w:val="0"/>
              <w:autoSpaceDN w:val="0"/>
              <w:adjustRightInd w:val="0"/>
              <w:spacing w:before="120" w:after="120"/>
              <w:rPr>
                <w:sz w:val="16"/>
                <w:szCs w:val="16"/>
              </w:rPr>
            </w:pPr>
            <w:r>
              <w:rPr>
                <w:rFonts w:eastAsia="Arial"/>
                <w:sz w:val="16"/>
                <w:szCs w:val="16"/>
                <w:bdr w:val="nil"/>
              </w:rPr>
              <w:br/>
            </w:r>
            <w:r w:rsidR="004E456B" w:rsidRPr="00206ECC">
              <w:rPr>
                <w:rFonts w:eastAsia="Arial"/>
                <w:sz w:val="16"/>
                <w:szCs w:val="16"/>
                <w:bdr w:val="nil"/>
              </w:rPr>
              <w:lastRenderedPageBreak/>
              <w:t>18 a 20 de mayo de 2016</w:t>
            </w:r>
          </w:p>
        </w:tc>
        <w:tc>
          <w:tcPr>
            <w:tcW w:w="1843"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lastRenderedPageBreak/>
              <w:t xml:space="preserve">República de Corea/ 20 participantes, de Kazakstán, Kirguistán, Mozambique, Papua </w:t>
            </w:r>
            <w:r w:rsidRPr="00206ECC">
              <w:rPr>
                <w:rFonts w:eastAsia="Arial"/>
                <w:sz w:val="16"/>
                <w:szCs w:val="16"/>
                <w:bdr w:val="nil"/>
              </w:rPr>
              <w:lastRenderedPageBreak/>
              <w:t xml:space="preserve">Nueva Guinea, Paraguay, Sri Lanka, Tailandia, Uzbekistán </w:t>
            </w:r>
            <w:r w:rsidRPr="00206ECC">
              <w:rPr>
                <w:rFonts w:eastAsia="Arial"/>
                <w:i/>
                <w:iCs/>
                <w:sz w:val="16"/>
                <w:szCs w:val="16"/>
                <w:bdr w:val="nil"/>
              </w:rPr>
              <w:t>(ambos programas)</w:t>
            </w:r>
            <w:r w:rsidRPr="00206ECC">
              <w:rPr>
                <w:rFonts w:eastAsia="Arial"/>
                <w:sz w:val="16"/>
                <w:szCs w:val="16"/>
                <w:bdr w:val="nil"/>
              </w:rPr>
              <w:t>, Viet Nam</w:t>
            </w:r>
          </w:p>
        </w:tc>
        <w:tc>
          <w:tcPr>
            <w:tcW w:w="4540" w:type="dxa"/>
          </w:tcPr>
          <w:p w:rsidR="004E456B" w:rsidRPr="009703BB" w:rsidRDefault="004E456B" w:rsidP="00027A9C">
            <w:pPr>
              <w:autoSpaceDE w:val="0"/>
              <w:autoSpaceDN w:val="0"/>
              <w:adjustRightInd w:val="0"/>
              <w:spacing w:before="120" w:after="120"/>
              <w:rPr>
                <w:color w:val="000000"/>
                <w:sz w:val="16"/>
                <w:szCs w:val="16"/>
                <w:lang w:eastAsia="ko-KR"/>
              </w:rPr>
            </w:pPr>
            <w:r>
              <w:rPr>
                <w:rFonts w:eastAsia="Arial"/>
                <w:color w:val="000000"/>
                <w:sz w:val="16"/>
                <w:szCs w:val="16"/>
                <w:bdr w:val="nil"/>
              </w:rPr>
              <w:lastRenderedPageBreak/>
              <w:t xml:space="preserve">i) Mejorar el conocimiento de los examinadores de marcas acerca de los principios del Derecho de marcas y los procedimientos de examen de marcas; ii) aumentar sus competencias en cuanto al examen real de las solicitudes de marca; iii) brindar la oportunidad de </w:t>
            </w:r>
            <w:r>
              <w:rPr>
                <w:rFonts w:eastAsia="Arial"/>
                <w:color w:val="000000"/>
                <w:sz w:val="16"/>
                <w:szCs w:val="16"/>
                <w:bdr w:val="nil"/>
              </w:rPr>
              <w:lastRenderedPageBreak/>
              <w:t>intercambiar puntos de vista sobre los sistemas nacionales de marcas y los problemas planteados en el examen de las marcas; y iv) aumentar la comprensión y la utilización del Sistema de Madrid</w:t>
            </w:r>
            <w:r>
              <w:rPr>
                <w:rFonts w:eastAsia="Arial"/>
                <w:sz w:val="16"/>
                <w:szCs w:val="16"/>
                <w:bdr w:val="nil"/>
              </w:rPr>
              <w:t>.</w:t>
            </w:r>
          </w:p>
        </w:tc>
      </w:tr>
      <w:tr w:rsidR="004E456B" w:rsidRPr="008466AF" w:rsidTr="00027A9C">
        <w:trPr>
          <w:trHeight w:val="473"/>
        </w:trPr>
        <w:tc>
          <w:tcPr>
            <w:tcW w:w="1843"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lastRenderedPageBreak/>
              <w:t>Seminario sobre la solución extrajudicial de controversias en materia de P.I. y tecnología</w:t>
            </w:r>
          </w:p>
        </w:tc>
        <w:tc>
          <w:tcPr>
            <w:tcW w:w="1217"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11 de marzo de 2016</w:t>
            </w:r>
          </w:p>
        </w:tc>
        <w:tc>
          <w:tcPr>
            <w:tcW w:w="1843" w:type="dxa"/>
          </w:tcPr>
          <w:p w:rsidR="004E456B" w:rsidRPr="00206ECC" w:rsidRDefault="004E456B" w:rsidP="00027A9C">
            <w:pPr>
              <w:autoSpaceDE w:val="0"/>
              <w:autoSpaceDN w:val="0"/>
              <w:adjustRightInd w:val="0"/>
              <w:spacing w:before="120" w:after="120"/>
              <w:rPr>
                <w:sz w:val="16"/>
                <w:szCs w:val="16"/>
                <w:lang w:eastAsia="ko-KR"/>
              </w:rPr>
            </w:pPr>
            <w:r w:rsidRPr="00206ECC">
              <w:rPr>
                <w:rFonts w:eastAsia="Arial"/>
                <w:sz w:val="16"/>
                <w:szCs w:val="16"/>
                <w:bdr w:val="nil"/>
              </w:rPr>
              <w:t>República de Corea/ unos 170 participantes surcoreanos</w:t>
            </w:r>
          </w:p>
        </w:tc>
        <w:tc>
          <w:tcPr>
            <w:tcW w:w="4540"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i) Mejorar la comprensión de los procedimientos de solución extrajudicial de controversias en litigios sobre P.I.;  ii) compartir con las autoridades nacionales en la materia la experiencia del Centro de Arbitraje y Mediación de la OMPI en la solución extrajudicial de controversias;  y iii) alentar a los países en desarrollo a elaborar y aplicar procedimientos adecuados de solución extrajudicial de controversias.</w:t>
            </w:r>
          </w:p>
        </w:tc>
      </w:tr>
      <w:tr w:rsidR="004E456B" w:rsidRPr="008466AF" w:rsidTr="00027A9C">
        <w:trPr>
          <w:trHeight w:val="473"/>
        </w:trPr>
        <w:tc>
          <w:tcPr>
            <w:tcW w:w="1843"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Seminario sobre el arbitraje y la mediación relacionados con la propiedad intelectual</w:t>
            </w:r>
          </w:p>
        </w:tc>
        <w:tc>
          <w:tcPr>
            <w:tcW w:w="1217"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17 a 22 de noviembre de 2016</w:t>
            </w:r>
          </w:p>
        </w:tc>
        <w:tc>
          <w:tcPr>
            <w:tcW w:w="1843" w:type="dxa"/>
          </w:tcPr>
          <w:p w:rsidR="004E456B" w:rsidRPr="00206ECC" w:rsidRDefault="004E456B" w:rsidP="00027A9C">
            <w:pPr>
              <w:autoSpaceDE w:val="0"/>
              <w:autoSpaceDN w:val="0"/>
              <w:adjustRightInd w:val="0"/>
              <w:spacing w:before="120" w:after="120"/>
              <w:rPr>
                <w:sz w:val="16"/>
                <w:szCs w:val="16"/>
                <w:lang w:eastAsia="ko-KR"/>
              </w:rPr>
            </w:pPr>
            <w:r w:rsidRPr="00206ECC">
              <w:rPr>
                <w:rFonts w:eastAsia="Arial"/>
                <w:sz w:val="16"/>
                <w:szCs w:val="16"/>
                <w:bdr w:val="nil"/>
                <w:lang w:eastAsia="ko-KR"/>
              </w:rPr>
              <w:t>Cuba, El Salvador y México/ unos 50 participantes de Cuba, 136 de El Salvador, y 100 de México</w:t>
            </w:r>
          </w:p>
        </w:tc>
        <w:tc>
          <w:tcPr>
            <w:tcW w:w="4540" w:type="dxa"/>
          </w:tcPr>
          <w:p w:rsidR="004E456B" w:rsidRPr="00206ECC" w:rsidRDefault="004E456B" w:rsidP="00027A9C">
            <w:pPr>
              <w:autoSpaceDE w:val="0"/>
              <w:autoSpaceDN w:val="0"/>
              <w:adjustRightInd w:val="0"/>
              <w:spacing w:before="120" w:after="120"/>
              <w:rPr>
                <w:sz w:val="16"/>
                <w:szCs w:val="16"/>
              </w:rPr>
            </w:pPr>
            <w:r w:rsidRPr="00206ECC">
              <w:rPr>
                <w:rFonts w:eastAsia="Arial"/>
                <w:sz w:val="16"/>
                <w:szCs w:val="16"/>
                <w:bdr w:val="nil"/>
              </w:rPr>
              <w:t>i) Mejorar la comprensión de los procedimientos de solución extrajudicial de controversias en litigios sobre P.I.;  ii) compartir con las autoridades nacionales en la materia la experiencia del Centro de Arbitraje y Mediación de la OMPI en la solución extrajudicial de controversias;  y iii) alentar a los países en desarrollo a elaborar y aplicar procedimientos adecuados de solución extrajudicial de controversias.</w:t>
            </w:r>
          </w:p>
        </w:tc>
      </w:tr>
      <w:tr w:rsidR="004E456B" w:rsidRPr="008466AF" w:rsidTr="00027A9C">
        <w:trPr>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El Proyecto Seed:  Programa educativo internacional sobre ideas, invención, innovación y P.I.</w:t>
            </w:r>
          </w:p>
        </w:tc>
        <w:tc>
          <w:tcPr>
            <w:tcW w:w="1217"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16 a 20 de mayo de 2016</w:t>
            </w:r>
          </w:p>
        </w:tc>
        <w:tc>
          <w:tcPr>
            <w:tcW w:w="1843"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República de Corea/ 15 participantes de Filipinas, Malasia, Mongolia, Turquía, Viet Nam</w:t>
            </w:r>
          </w:p>
        </w:tc>
        <w:tc>
          <w:tcPr>
            <w:tcW w:w="4540"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El proyecto tiene por objetivos: i) Ampliar los conocimientos de los participantes acerca del proceso de invención, la protección de las invenciones y la gestión de los derechos de P.I.;  ii) transmitir las experiencias realizadas con un método de enseñanza que la República de Corea ha podido recabar a través de varios proyectos y programas educativos, con objeto de que los participantes puedan difundir los conocimientos y las competencias a nivel nacional.</w:t>
            </w:r>
          </w:p>
        </w:tc>
      </w:tr>
      <w:tr w:rsidR="004E456B" w:rsidRPr="008466AF" w:rsidTr="00027A9C">
        <w:trPr>
          <w:trHeight w:val="473"/>
        </w:trPr>
        <w:tc>
          <w:tcPr>
            <w:tcW w:w="1843"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Producción del DVD y la guía del dibujo animado “Póroro” (en inglés, francés y español)</w:t>
            </w:r>
          </w:p>
        </w:tc>
        <w:tc>
          <w:tcPr>
            <w:tcW w:w="1217"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Enero a diciembre de 2016</w:t>
            </w:r>
          </w:p>
        </w:tc>
        <w:tc>
          <w:tcPr>
            <w:tcW w:w="1843"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República de Corea</w:t>
            </w:r>
          </w:p>
        </w:tc>
        <w:tc>
          <w:tcPr>
            <w:tcW w:w="4540"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i) Elaborar material educativo sobre propiedad intelectual que resulte accesible para los no expertos en la materia;  ii) estimular el interés del público en cuestiones relacionadas con la P.I.;  y iii) ayudar a los colegios y otros centros educativos a elaborar planes de estudios que estimulen la creatividad;  y (iv) mejorar el acceso de los usuarios de P.I. a materiales en idiomas locales.</w:t>
            </w:r>
          </w:p>
        </w:tc>
      </w:tr>
      <w:tr w:rsidR="004E456B" w:rsidRPr="008466AF" w:rsidTr="00027A9C">
        <w:trPr>
          <w:trHeight w:val="473"/>
        </w:trPr>
        <w:tc>
          <w:tcPr>
            <w:tcW w:w="1843" w:type="dxa"/>
          </w:tcPr>
          <w:p w:rsidR="004E456B" w:rsidRPr="008D1C78" w:rsidRDefault="004E456B" w:rsidP="00027A9C">
            <w:pPr>
              <w:keepNext/>
              <w:keepLines/>
              <w:autoSpaceDE w:val="0"/>
              <w:autoSpaceDN w:val="0"/>
              <w:adjustRightInd w:val="0"/>
              <w:spacing w:before="120" w:after="120"/>
              <w:rPr>
                <w:sz w:val="16"/>
                <w:szCs w:val="16"/>
                <w:lang w:eastAsia="ko-KR"/>
              </w:rPr>
            </w:pPr>
            <w:r w:rsidRPr="008D1C78">
              <w:rPr>
                <w:rFonts w:eastAsia="Arial"/>
                <w:sz w:val="16"/>
                <w:szCs w:val="16"/>
                <w:bdr w:val="nil"/>
              </w:rPr>
              <w:t>Producción de un DVD (CD) y una guía (cuaderno didáctico) de la versión doblada del dibujo animado "Póroro" en árabe</w:t>
            </w:r>
          </w:p>
        </w:tc>
        <w:tc>
          <w:tcPr>
            <w:tcW w:w="1217" w:type="dxa"/>
          </w:tcPr>
          <w:p w:rsidR="004E456B" w:rsidRPr="008D1C78" w:rsidRDefault="004E456B" w:rsidP="00027A9C">
            <w:pPr>
              <w:keepNext/>
              <w:keepLines/>
              <w:autoSpaceDE w:val="0"/>
              <w:autoSpaceDN w:val="0"/>
              <w:adjustRightInd w:val="0"/>
              <w:spacing w:before="120" w:after="120"/>
              <w:rPr>
                <w:sz w:val="16"/>
                <w:szCs w:val="16"/>
                <w:lang w:eastAsia="ko-KR"/>
              </w:rPr>
            </w:pPr>
            <w:r w:rsidRPr="008D1C78">
              <w:rPr>
                <w:rFonts w:eastAsia="Arial"/>
                <w:sz w:val="16"/>
                <w:szCs w:val="16"/>
                <w:bdr w:val="nil"/>
                <w:lang w:eastAsia="ko-KR"/>
              </w:rPr>
              <w:t>Enero a diciembre de 2016</w:t>
            </w:r>
          </w:p>
        </w:tc>
        <w:tc>
          <w:tcPr>
            <w:tcW w:w="1843" w:type="dxa"/>
          </w:tcPr>
          <w:p w:rsidR="004E456B" w:rsidRPr="008D1C78" w:rsidRDefault="004E456B" w:rsidP="00027A9C">
            <w:pPr>
              <w:keepNext/>
              <w:keepLines/>
              <w:autoSpaceDE w:val="0"/>
              <w:autoSpaceDN w:val="0"/>
              <w:adjustRightInd w:val="0"/>
              <w:spacing w:before="120" w:after="120"/>
              <w:rPr>
                <w:sz w:val="16"/>
                <w:szCs w:val="16"/>
              </w:rPr>
            </w:pPr>
            <w:r w:rsidRPr="008D1C78">
              <w:rPr>
                <w:rFonts w:eastAsia="Arial"/>
                <w:sz w:val="16"/>
                <w:szCs w:val="16"/>
                <w:bdr w:val="nil"/>
              </w:rPr>
              <w:t>República de Corea</w:t>
            </w:r>
          </w:p>
        </w:tc>
        <w:tc>
          <w:tcPr>
            <w:tcW w:w="4540" w:type="dxa"/>
          </w:tcPr>
          <w:p w:rsidR="004E456B" w:rsidRPr="008D1C78" w:rsidRDefault="004E456B" w:rsidP="00027A9C">
            <w:pPr>
              <w:keepNext/>
              <w:keepLines/>
              <w:autoSpaceDE w:val="0"/>
              <w:autoSpaceDN w:val="0"/>
              <w:adjustRightInd w:val="0"/>
              <w:spacing w:before="120" w:after="120"/>
              <w:rPr>
                <w:sz w:val="16"/>
                <w:szCs w:val="16"/>
                <w:lang w:eastAsia="ko-KR"/>
              </w:rPr>
            </w:pPr>
            <w:r w:rsidRPr="008D1C78">
              <w:rPr>
                <w:rFonts w:eastAsia="Arial"/>
                <w:sz w:val="16"/>
                <w:szCs w:val="16"/>
                <w:bdr w:val="nil"/>
                <w:lang w:eastAsia="ko-KR"/>
              </w:rPr>
              <w:t>i) Elaborar material educativo sobre propiedad intelectual que resulte accesible para los no expertos en la materia;  ii) estimular el interés del público en cuestiones relacionadas con la P.I.;  y iii) ayudar a los colegios y otros centros educativos a elaborar planes de estudios que estimulen la creatividad;  y (iv) mejorar el acceso de los usuarios de P.I. a materiales en idiomas locales.</w:t>
            </w:r>
          </w:p>
        </w:tc>
      </w:tr>
      <w:tr w:rsidR="004E456B" w:rsidRPr="008466AF" w:rsidTr="00027A9C">
        <w:trPr>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lang w:eastAsia="ko-KR"/>
              </w:rPr>
              <w:t>Producción de un nuevo tema (“Diseño industrial”) del material de animación de "Póroro"</w:t>
            </w:r>
          </w:p>
        </w:tc>
        <w:tc>
          <w:tcPr>
            <w:tcW w:w="1217" w:type="dxa"/>
          </w:tcPr>
          <w:p w:rsidR="004E456B" w:rsidRPr="008D1C78" w:rsidRDefault="004E456B" w:rsidP="00027A9C">
            <w:pPr>
              <w:autoSpaceDE w:val="0"/>
              <w:autoSpaceDN w:val="0"/>
              <w:adjustRightInd w:val="0"/>
              <w:spacing w:before="120" w:after="120"/>
              <w:rPr>
                <w:sz w:val="16"/>
                <w:szCs w:val="16"/>
                <w:lang w:eastAsia="ko-KR"/>
              </w:rPr>
            </w:pPr>
            <w:r w:rsidRPr="008D1C78">
              <w:rPr>
                <w:rFonts w:eastAsia="Arial"/>
                <w:sz w:val="16"/>
                <w:szCs w:val="16"/>
                <w:bdr w:val="nil"/>
                <w:lang w:eastAsia="ko-KR"/>
              </w:rPr>
              <w:t>Desde diciembre de 2016</w:t>
            </w:r>
          </w:p>
        </w:tc>
        <w:tc>
          <w:tcPr>
            <w:tcW w:w="1843"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República de Corea</w:t>
            </w:r>
          </w:p>
        </w:tc>
        <w:tc>
          <w:tcPr>
            <w:tcW w:w="4540" w:type="dxa"/>
          </w:tcPr>
          <w:p w:rsidR="004E456B" w:rsidRPr="008D1C78" w:rsidRDefault="004E456B" w:rsidP="00027A9C">
            <w:pPr>
              <w:autoSpaceDE w:val="0"/>
              <w:autoSpaceDN w:val="0"/>
              <w:adjustRightInd w:val="0"/>
              <w:spacing w:before="120" w:after="120"/>
              <w:rPr>
                <w:sz w:val="16"/>
                <w:szCs w:val="16"/>
                <w:lang w:eastAsia="ko-KR"/>
              </w:rPr>
            </w:pPr>
            <w:r w:rsidRPr="008D1C78">
              <w:rPr>
                <w:rFonts w:eastAsia="Arial"/>
                <w:sz w:val="16"/>
                <w:szCs w:val="16"/>
                <w:bdr w:val="nil"/>
                <w:lang w:eastAsia="ko-KR"/>
              </w:rPr>
              <w:t>i) Elaborar material educativo sobre propiedad intelectual que resulte accesible para los no expertos en la materia;  ii) estimular el interés del público en cuestiones relacionadas con la P.I.;  y iii) ayudar a los colegios y otros centros educativos a elaborar planes de estudios que estimulen la creatividad;  y (iv) mejorar el acceso de los usuarios de P.I. a materiales en idiomas locales.</w:t>
            </w:r>
          </w:p>
        </w:tc>
      </w:tr>
      <w:tr w:rsidR="004E456B" w:rsidRPr="008466AF" w:rsidTr="00027A9C">
        <w:trPr>
          <w:trHeight w:val="473"/>
        </w:trPr>
        <w:tc>
          <w:tcPr>
            <w:tcW w:w="1843" w:type="dxa"/>
          </w:tcPr>
          <w:p w:rsidR="004E456B" w:rsidRPr="009703BB" w:rsidRDefault="004E456B" w:rsidP="00027A9C">
            <w:pPr>
              <w:autoSpaceDE w:val="0"/>
              <w:autoSpaceDN w:val="0"/>
              <w:adjustRightInd w:val="0"/>
              <w:spacing w:before="120" w:after="120"/>
              <w:rPr>
                <w:color w:val="000000"/>
                <w:sz w:val="16"/>
                <w:szCs w:val="16"/>
                <w:lang w:eastAsia="ko-KR"/>
              </w:rPr>
            </w:pPr>
            <w:r>
              <w:rPr>
                <w:rFonts w:eastAsia="Arial"/>
                <w:color w:val="000000"/>
                <w:sz w:val="16"/>
                <w:szCs w:val="16"/>
                <w:bdr w:val="nil"/>
              </w:rPr>
              <w:t>Producción de un conjunto de herramientas didácticas electrónicas de carácter lúdico (CD y cuaderno didáctico)</w:t>
            </w:r>
          </w:p>
        </w:tc>
        <w:tc>
          <w:tcPr>
            <w:tcW w:w="1217" w:type="dxa"/>
          </w:tcPr>
          <w:p w:rsidR="004E456B" w:rsidRPr="008D1C78" w:rsidRDefault="004E456B" w:rsidP="00027A9C">
            <w:pPr>
              <w:autoSpaceDE w:val="0"/>
              <w:autoSpaceDN w:val="0"/>
              <w:adjustRightInd w:val="0"/>
              <w:spacing w:before="120" w:after="120"/>
              <w:rPr>
                <w:sz w:val="16"/>
                <w:szCs w:val="16"/>
                <w:lang w:eastAsia="ko-KR"/>
              </w:rPr>
            </w:pPr>
            <w:r w:rsidRPr="008D1C78">
              <w:rPr>
                <w:rFonts w:eastAsia="Arial"/>
                <w:sz w:val="16"/>
                <w:szCs w:val="16"/>
                <w:bdr w:val="nil"/>
                <w:lang w:eastAsia="ko-KR"/>
              </w:rPr>
              <w:t>Julio de 2016</w:t>
            </w:r>
          </w:p>
        </w:tc>
        <w:tc>
          <w:tcPr>
            <w:tcW w:w="1843" w:type="dxa"/>
          </w:tcPr>
          <w:p w:rsidR="004E456B" w:rsidRPr="008D1C78" w:rsidRDefault="004E456B" w:rsidP="00027A9C">
            <w:pPr>
              <w:autoSpaceDE w:val="0"/>
              <w:autoSpaceDN w:val="0"/>
              <w:adjustRightInd w:val="0"/>
              <w:spacing w:before="120" w:after="120"/>
              <w:rPr>
                <w:sz w:val="16"/>
                <w:szCs w:val="16"/>
              </w:rPr>
            </w:pPr>
            <w:r w:rsidRPr="008D1C78">
              <w:rPr>
                <w:rFonts w:eastAsia="Arial"/>
                <w:sz w:val="16"/>
                <w:szCs w:val="16"/>
                <w:bdr w:val="nil"/>
              </w:rPr>
              <w:t>República de Corea</w:t>
            </w:r>
          </w:p>
        </w:tc>
        <w:tc>
          <w:tcPr>
            <w:tcW w:w="4540" w:type="dxa"/>
          </w:tcPr>
          <w:p w:rsidR="004E456B" w:rsidRPr="009703BB" w:rsidRDefault="004E456B" w:rsidP="00027A9C">
            <w:pPr>
              <w:autoSpaceDE w:val="0"/>
              <w:autoSpaceDN w:val="0"/>
              <w:adjustRightInd w:val="0"/>
              <w:spacing w:before="120" w:after="120"/>
              <w:rPr>
                <w:sz w:val="16"/>
                <w:szCs w:val="16"/>
                <w:lang w:eastAsia="ko-KR"/>
              </w:rPr>
            </w:pPr>
            <w:r>
              <w:rPr>
                <w:rFonts w:eastAsia="Arial"/>
                <w:sz w:val="16"/>
                <w:szCs w:val="16"/>
                <w:bdr w:val="nil"/>
                <w:lang w:eastAsia="ko-KR"/>
              </w:rPr>
              <w:t xml:space="preserve">i) Alentar el interés del público, especialmente de los jóvenes, por las cuestiones relacionadas con la P.I. de una forma más fácil y entretenida; ii) promover de manera eficaz la concienciación sobre la P.I. entre los Estados miembros de la OMPI;  y iii) proporcionar un método adecuado de aprendizaje de la P.I. para los que están familiarizados con los servicios digitales (nacidos en la era digital). </w:t>
            </w:r>
          </w:p>
        </w:tc>
      </w:tr>
      <w:tr w:rsidR="004E456B" w:rsidRPr="008466AF" w:rsidTr="00027A9C">
        <w:tc>
          <w:tcPr>
            <w:tcW w:w="9443" w:type="dxa"/>
            <w:gridSpan w:val="4"/>
            <w:shd w:val="clear" w:color="auto" w:fill="C6D9F1" w:themeFill="text2" w:themeFillTint="33"/>
            <w:vAlign w:val="center"/>
            <w:hideMark/>
          </w:tcPr>
          <w:p w:rsidR="004E456B" w:rsidRPr="008D1C78" w:rsidRDefault="004E456B" w:rsidP="00027A9C">
            <w:pPr>
              <w:keepNext/>
              <w:keepLines/>
              <w:spacing w:before="120" w:after="60"/>
              <w:ind w:left="1701" w:hanging="1701"/>
              <w:rPr>
                <w:bCs/>
                <w:sz w:val="16"/>
                <w:szCs w:val="16"/>
              </w:rPr>
            </w:pPr>
            <w:r w:rsidRPr="008D1C78">
              <w:rPr>
                <w:rFonts w:eastAsia="Arial"/>
                <w:b/>
                <w:bCs/>
                <w:sz w:val="16"/>
                <w:szCs w:val="16"/>
                <w:bdr w:val="nil"/>
              </w:rPr>
              <w:lastRenderedPageBreak/>
              <w:t>RESULTADO:</w:t>
            </w:r>
            <w:r w:rsidRPr="008D1C78">
              <w:rPr>
                <w:rFonts w:eastAsia="Arial"/>
                <w:b/>
                <w:bCs/>
                <w:sz w:val="16"/>
                <w:szCs w:val="16"/>
                <w:bdr w:val="nil"/>
              </w:rPr>
              <w:tab/>
            </w:r>
            <w:r w:rsidRPr="008D1C78">
              <w:rPr>
                <w:rFonts w:eastAsia="Arial"/>
                <w:sz w:val="16"/>
                <w:szCs w:val="16"/>
                <w:bdr w:val="nil"/>
              </w:rPr>
              <w:t>IV.2  Mejora del acceso y uso de información de P.I. por parte de instituciones de P.I. y el público para fomentar la innovación y la creatividad</w:t>
            </w:r>
          </w:p>
        </w:tc>
      </w:tr>
      <w:tr w:rsidR="004E456B" w:rsidTr="00027A9C">
        <w:trPr>
          <w:trHeight w:val="438"/>
        </w:trPr>
        <w:tc>
          <w:tcPr>
            <w:tcW w:w="1843" w:type="dxa"/>
            <w:vAlign w:val="center"/>
            <w:hideMark/>
          </w:tcPr>
          <w:p w:rsidR="004E456B" w:rsidRPr="008D1C78" w:rsidRDefault="004E456B" w:rsidP="00027A9C">
            <w:pPr>
              <w:keepNext/>
              <w:keepLines/>
              <w:rPr>
                <w:b/>
                <w:bCs/>
                <w:sz w:val="16"/>
                <w:szCs w:val="16"/>
              </w:rPr>
            </w:pPr>
            <w:r w:rsidRPr="008D1C78">
              <w:rPr>
                <w:rFonts w:eastAsia="Arial"/>
                <w:b/>
                <w:bCs/>
                <w:sz w:val="16"/>
                <w:szCs w:val="16"/>
                <w:bdr w:val="nil"/>
              </w:rPr>
              <w:t>Actividad</w:t>
            </w:r>
          </w:p>
        </w:tc>
        <w:tc>
          <w:tcPr>
            <w:tcW w:w="1217" w:type="dxa"/>
            <w:tcMar>
              <w:top w:w="110" w:type="dxa"/>
              <w:left w:w="108" w:type="dxa"/>
              <w:bottom w:w="0" w:type="dxa"/>
              <w:right w:w="108" w:type="dxa"/>
            </w:tcMar>
            <w:vAlign w:val="center"/>
            <w:hideMark/>
          </w:tcPr>
          <w:p w:rsidR="004E456B" w:rsidRPr="008D1C78" w:rsidRDefault="004E456B" w:rsidP="00027A9C">
            <w:pPr>
              <w:keepNext/>
              <w:keepLines/>
              <w:rPr>
                <w:b/>
                <w:bCs/>
                <w:sz w:val="16"/>
                <w:szCs w:val="16"/>
              </w:rPr>
            </w:pPr>
            <w:r w:rsidRPr="008D1C78">
              <w:rPr>
                <w:rFonts w:eastAsia="Arial"/>
                <w:b/>
                <w:bCs/>
                <w:sz w:val="16"/>
                <w:szCs w:val="16"/>
                <w:bdr w:val="nil"/>
              </w:rPr>
              <w:t>Fecha</w:t>
            </w:r>
          </w:p>
        </w:tc>
        <w:tc>
          <w:tcPr>
            <w:tcW w:w="1843" w:type="dxa"/>
            <w:tcMar>
              <w:top w:w="110" w:type="dxa"/>
              <w:left w:w="108" w:type="dxa"/>
              <w:bottom w:w="0" w:type="dxa"/>
              <w:right w:w="108" w:type="dxa"/>
            </w:tcMar>
            <w:vAlign w:val="center"/>
            <w:hideMark/>
          </w:tcPr>
          <w:p w:rsidR="004E456B" w:rsidRPr="008D1C78" w:rsidRDefault="004E456B" w:rsidP="00027A9C">
            <w:pPr>
              <w:keepNext/>
              <w:keepLines/>
              <w:rPr>
                <w:sz w:val="16"/>
                <w:szCs w:val="16"/>
              </w:rPr>
            </w:pPr>
            <w:r w:rsidRPr="008D1C78">
              <w:rPr>
                <w:rFonts w:eastAsia="Arial"/>
                <w:b/>
                <w:bCs/>
                <w:sz w:val="16"/>
                <w:szCs w:val="16"/>
                <w:bdr w:val="nil"/>
              </w:rPr>
              <w:t>País anfitrión / Beneficiarios</w:t>
            </w:r>
          </w:p>
        </w:tc>
        <w:tc>
          <w:tcPr>
            <w:tcW w:w="4540" w:type="dxa"/>
            <w:shd w:val="clear" w:color="auto" w:fill="FFFFFF"/>
            <w:tcMar>
              <w:top w:w="110" w:type="dxa"/>
              <w:left w:w="108" w:type="dxa"/>
              <w:bottom w:w="0" w:type="dxa"/>
              <w:right w:w="108" w:type="dxa"/>
            </w:tcMar>
            <w:vAlign w:val="center"/>
            <w:hideMark/>
          </w:tcPr>
          <w:p w:rsidR="004E456B" w:rsidRPr="008D1C78" w:rsidRDefault="004E456B" w:rsidP="00027A9C">
            <w:pPr>
              <w:keepNext/>
              <w:keepLines/>
              <w:rPr>
                <w:sz w:val="16"/>
                <w:szCs w:val="16"/>
              </w:rPr>
            </w:pPr>
            <w:r w:rsidRPr="008D1C78">
              <w:rPr>
                <w:rFonts w:eastAsia="Arial"/>
                <w:b/>
                <w:bCs/>
                <w:sz w:val="16"/>
                <w:szCs w:val="16"/>
                <w:bdr w:val="nil"/>
              </w:rPr>
              <w:t>Propósito(s)/Descripción</w:t>
            </w:r>
          </w:p>
        </w:tc>
      </w:tr>
      <w:tr w:rsidR="004E456B" w:rsidRPr="008466AF" w:rsidTr="00027A9C">
        <w:trPr>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Proyecto sobre el uso de la propiedad intelectual para el desarrollo y la utilización de tecnologías apropiadas:  Concurso final y ceremonia de entrega de premios y taller final</w:t>
            </w:r>
          </w:p>
        </w:tc>
        <w:tc>
          <w:tcPr>
            <w:tcW w:w="1217" w:type="dxa"/>
          </w:tcPr>
          <w:p w:rsidR="004E456B" w:rsidRPr="000D0B91" w:rsidRDefault="004E456B" w:rsidP="00027A9C">
            <w:pPr>
              <w:autoSpaceDE w:val="0"/>
              <w:autoSpaceDN w:val="0"/>
              <w:adjustRightInd w:val="0"/>
              <w:spacing w:before="120" w:after="120"/>
              <w:rPr>
                <w:sz w:val="16"/>
                <w:szCs w:val="16"/>
              </w:rPr>
            </w:pPr>
            <w:r w:rsidRPr="000D0B91">
              <w:rPr>
                <w:rFonts w:eastAsia="Arial"/>
                <w:sz w:val="16"/>
                <w:szCs w:val="16"/>
                <w:bdr w:val="nil"/>
              </w:rPr>
              <w:t>20 a 22 de abril de 2016</w:t>
            </w:r>
          </w:p>
        </w:tc>
        <w:tc>
          <w:tcPr>
            <w:tcW w:w="1843" w:type="dxa"/>
          </w:tcPr>
          <w:p w:rsidR="004E456B" w:rsidRPr="000D0B91" w:rsidRDefault="004E456B" w:rsidP="00027A9C">
            <w:pPr>
              <w:autoSpaceDE w:val="0"/>
              <w:autoSpaceDN w:val="0"/>
              <w:adjustRightInd w:val="0"/>
              <w:spacing w:before="120" w:after="120"/>
              <w:rPr>
                <w:sz w:val="16"/>
                <w:szCs w:val="16"/>
              </w:rPr>
            </w:pPr>
            <w:r w:rsidRPr="000D0B91">
              <w:rPr>
                <w:rFonts w:eastAsia="Arial"/>
                <w:sz w:val="16"/>
                <w:szCs w:val="16"/>
                <w:bdr w:val="nil"/>
              </w:rPr>
              <w:t>República Dominicana/ unos 200 participantes de la República Dominicana</w:t>
            </w:r>
          </w:p>
        </w:tc>
        <w:tc>
          <w:tcPr>
            <w:tcW w:w="4540" w:type="dxa"/>
          </w:tcPr>
          <w:p w:rsidR="004E456B" w:rsidRPr="00931F05" w:rsidRDefault="004E456B" w:rsidP="00027A9C">
            <w:pPr>
              <w:autoSpaceDE w:val="0"/>
              <w:autoSpaceDN w:val="0"/>
              <w:adjustRightInd w:val="0"/>
              <w:spacing w:before="120" w:after="120"/>
              <w:rPr>
                <w:color w:val="000000"/>
                <w:sz w:val="16"/>
                <w:szCs w:val="16"/>
                <w:lang w:eastAsia="ko-KR"/>
              </w:rPr>
            </w:pPr>
            <w:r>
              <w:rPr>
                <w:rFonts w:eastAsia="Arial"/>
                <w:sz w:val="16"/>
                <w:szCs w:val="16"/>
                <w:bdr w:val="nil"/>
              </w:rPr>
              <w:t>El concurso tenía por objetivo promover y premiar la excelencia en la invención de tecnologías apropiadas en al ámbito de la agricultura que puedan ser utilizadas de manera sencilla y económica por las comunidades locales para satisfacer sus necesidades y con miras a su desarrollo sostenible</w:t>
            </w:r>
            <w:r w:rsidRPr="000D0B91">
              <w:rPr>
                <w:rFonts w:eastAsia="Arial"/>
                <w:sz w:val="16"/>
                <w:szCs w:val="16"/>
                <w:bdr w:val="nil"/>
              </w:rPr>
              <w:t>.  La utilización eficaz de la información contenida en las patentes para diseñar las soluciones constituyó un elemento fundamental del concurso.</w:t>
            </w:r>
          </w:p>
        </w:tc>
      </w:tr>
      <w:tr w:rsidR="004E456B" w:rsidRPr="008466AF" w:rsidTr="00027A9C">
        <w:trPr>
          <w:trHeight w:val="2875"/>
        </w:trPr>
        <w:tc>
          <w:tcPr>
            <w:tcW w:w="1843" w:type="dxa"/>
          </w:tcPr>
          <w:p w:rsidR="004E456B" w:rsidRPr="009703BB" w:rsidRDefault="004E456B" w:rsidP="00027A9C">
            <w:pPr>
              <w:autoSpaceDE w:val="0"/>
              <w:autoSpaceDN w:val="0"/>
              <w:adjustRightInd w:val="0"/>
              <w:rPr>
                <w:color w:val="000000"/>
                <w:sz w:val="16"/>
                <w:szCs w:val="16"/>
              </w:rPr>
            </w:pPr>
            <w:r>
              <w:rPr>
                <w:rFonts w:eastAsia="Arial"/>
                <w:color w:val="000000"/>
                <w:sz w:val="16"/>
                <w:szCs w:val="16"/>
                <w:bdr w:val="nil"/>
              </w:rPr>
              <w:t>Proyecto sobre el uso de la propiedad intelectual para el desarrollo y la utilización de tecnologías apropiadas:</w:t>
            </w:r>
          </w:p>
          <w:p w:rsidR="004E456B" w:rsidRPr="009703BB" w:rsidRDefault="004E456B" w:rsidP="00027A9C">
            <w:pPr>
              <w:autoSpaceDE w:val="0"/>
              <w:autoSpaceDN w:val="0"/>
              <w:adjustRightInd w:val="0"/>
              <w:rPr>
                <w:color w:val="000000"/>
                <w:sz w:val="16"/>
                <w:szCs w:val="16"/>
              </w:rPr>
            </w:pPr>
            <w:r>
              <w:rPr>
                <w:rFonts w:eastAsia="Arial"/>
                <w:color w:val="000000"/>
                <w:sz w:val="16"/>
                <w:szCs w:val="16"/>
                <w:bdr w:val="nil"/>
              </w:rPr>
              <w:t>(1) Reuniones de consulta</w:t>
            </w:r>
          </w:p>
          <w:p w:rsidR="004E456B" w:rsidRPr="009703BB" w:rsidRDefault="004E456B" w:rsidP="00027A9C">
            <w:pPr>
              <w:autoSpaceDE w:val="0"/>
              <w:autoSpaceDN w:val="0"/>
              <w:adjustRightInd w:val="0"/>
              <w:rPr>
                <w:color w:val="000000"/>
                <w:sz w:val="16"/>
                <w:szCs w:val="16"/>
              </w:rPr>
            </w:pPr>
            <w:r>
              <w:rPr>
                <w:rFonts w:eastAsia="Arial"/>
                <w:color w:val="000000"/>
                <w:sz w:val="16"/>
                <w:szCs w:val="16"/>
                <w:bdr w:val="nil"/>
              </w:rPr>
              <w:t>(2) Taller de orientación - Taller de búsqueda avanzada de patentes</w:t>
            </w:r>
          </w:p>
          <w:p w:rsidR="004E456B" w:rsidRPr="009703BB" w:rsidRDefault="004E456B" w:rsidP="00027A9C">
            <w:pPr>
              <w:autoSpaceDE w:val="0"/>
              <w:autoSpaceDN w:val="0"/>
              <w:adjustRightInd w:val="0"/>
              <w:rPr>
                <w:color w:val="000000"/>
                <w:sz w:val="16"/>
                <w:szCs w:val="16"/>
              </w:rPr>
            </w:pPr>
            <w:r>
              <w:rPr>
                <w:rFonts w:eastAsia="Arial"/>
                <w:color w:val="000000"/>
                <w:sz w:val="16"/>
                <w:szCs w:val="16"/>
                <w:bdr w:val="nil"/>
              </w:rPr>
              <w:t>(3) Concurso final y ceremonia de entrega de premios y taller final</w:t>
            </w:r>
            <w:r>
              <w:rPr>
                <w:rFonts w:eastAsia="Arial"/>
                <w:color w:val="000000"/>
                <w:sz w:val="16"/>
                <w:szCs w:val="16"/>
                <w:bdr w:val="nil"/>
              </w:rPr>
              <w:br/>
            </w:r>
          </w:p>
        </w:tc>
        <w:tc>
          <w:tcPr>
            <w:tcW w:w="1217" w:type="dxa"/>
          </w:tcPr>
          <w:p w:rsidR="004E456B" w:rsidRPr="000D0B91" w:rsidRDefault="004E456B" w:rsidP="00027A9C">
            <w:pPr>
              <w:autoSpaceDE w:val="0"/>
              <w:autoSpaceDN w:val="0"/>
              <w:adjustRightInd w:val="0"/>
              <w:rPr>
                <w:sz w:val="16"/>
                <w:szCs w:val="16"/>
              </w:rPr>
            </w:pPr>
            <w:r w:rsidRPr="000D0B91">
              <w:rPr>
                <w:rFonts w:eastAsia="Arial"/>
                <w:sz w:val="16"/>
                <w:szCs w:val="16"/>
                <w:bdr w:val="nil"/>
              </w:rPr>
              <w:t>(1) 8 a 10 de febrero de 2016</w:t>
            </w: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ind w:right="-108"/>
              <w:rPr>
                <w:sz w:val="16"/>
                <w:szCs w:val="16"/>
              </w:rPr>
            </w:pPr>
            <w:r w:rsidRPr="000D0B91">
              <w:rPr>
                <w:rFonts w:eastAsia="Arial"/>
                <w:sz w:val="16"/>
                <w:szCs w:val="16"/>
                <w:bdr w:val="nil"/>
              </w:rPr>
              <w:t>(2) 7 y 8 de septiembre de 2016</w:t>
            </w: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rPr>
                <w:sz w:val="10"/>
                <w:szCs w:val="10"/>
              </w:rPr>
            </w:pPr>
          </w:p>
          <w:p w:rsidR="004E456B" w:rsidRPr="000D0B91" w:rsidRDefault="004E456B" w:rsidP="00027A9C">
            <w:pPr>
              <w:autoSpaceDE w:val="0"/>
              <w:autoSpaceDN w:val="0"/>
              <w:adjustRightInd w:val="0"/>
              <w:rPr>
                <w:sz w:val="16"/>
                <w:szCs w:val="16"/>
              </w:rPr>
            </w:pPr>
            <w:r w:rsidRPr="000D0B91">
              <w:rPr>
                <w:rFonts w:eastAsia="Arial"/>
                <w:sz w:val="16"/>
                <w:szCs w:val="16"/>
                <w:bdr w:val="nil"/>
              </w:rPr>
              <w:t>(3) 9 y 10 de noviembre de 2016</w:t>
            </w:r>
          </w:p>
        </w:tc>
        <w:tc>
          <w:tcPr>
            <w:tcW w:w="1843" w:type="dxa"/>
          </w:tcPr>
          <w:p w:rsidR="004E456B" w:rsidRPr="000D0B91" w:rsidRDefault="004E456B" w:rsidP="00027A9C">
            <w:pPr>
              <w:autoSpaceDE w:val="0"/>
              <w:autoSpaceDN w:val="0"/>
              <w:adjustRightInd w:val="0"/>
              <w:rPr>
                <w:sz w:val="16"/>
                <w:szCs w:val="16"/>
              </w:rPr>
            </w:pPr>
            <w:r w:rsidRPr="000D0B91">
              <w:rPr>
                <w:rFonts w:eastAsia="Arial"/>
                <w:sz w:val="16"/>
                <w:szCs w:val="16"/>
                <w:bdr w:val="nil"/>
              </w:rPr>
              <w:t>Tailandia</w:t>
            </w: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spacing w:after="120"/>
              <w:rPr>
                <w:sz w:val="16"/>
                <w:szCs w:val="16"/>
              </w:rPr>
            </w:pPr>
            <w:r w:rsidRPr="000D0B91">
              <w:rPr>
                <w:rFonts w:eastAsia="Arial"/>
                <w:sz w:val="16"/>
                <w:szCs w:val="16"/>
                <w:bdr w:val="nil"/>
              </w:rPr>
              <w:t>Tailandia/ unos 80 participantes tailandeses</w:t>
            </w:r>
          </w:p>
          <w:p w:rsidR="004E456B" w:rsidRPr="000D0B91" w:rsidRDefault="004E456B" w:rsidP="00027A9C">
            <w:pPr>
              <w:autoSpaceDE w:val="0"/>
              <w:autoSpaceDN w:val="0"/>
              <w:adjustRightInd w:val="0"/>
              <w:spacing w:after="120"/>
              <w:rPr>
                <w:sz w:val="16"/>
                <w:szCs w:val="16"/>
              </w:rPr>
            </w:pPr>
            <w:r w:rsidRPr="000D0B91">
              <w:rPr>
                <w:rFonts w:eastAsia="Arial"/>
                <w:sz w:val="16"/>
                <w:szCs w:val="16"/>
                <w:bdr w:val="nil"/>
              </w:rPr>
              <w:t>Tailandia/ unos 250 participantes tailandeses</w:t>
            </w:r>
          </w:p>
        </w:tc>
        <w:tc>
          <w:tcPr>
            <w:tcW w:w="4540" w:type="dxa"/>
          </w:tcPr>
          <w:p w:rsidR="004E456B" w:rsidRPr="00931F05" w:rsidRDefault="004E456B" w:rsidP="00027A9C">
            <w:pPr>
              <w:autoSpaceDE w:val="0"/>
              <w:autoSpaceDN w:val="0"/>
              <w:adjustRightInd w:val="0"/>
              <w:spacing w:after="120"/>
              <w:rPr>
                <w:color w:val="000000"/>
                <w:sz w:val="16"/>
                <w:szCs w:val="16"/>
              </w:rPr>
            </w:pPr>
            <w:r w:rsidRPr="000D0B91">
              <w:rPr>
                <w:rFonts w:eastAsia="Arial"/>
                <w:sz w:val="16"/>
                <w:szCs w:val="16"/>
                <w:bdr w:val="nil"/>
              </w:rPr>
              <w:t>El concurso tenía por objetivo promover y premiar la excelencia en la invención de tecnologías apropiadas en al ámbito de la agricultura que puedan ser utilizadas de manera sencilla y económica por las comunidades locales para satisfacer sus necesidades y con miras a su desarrollo sostenible. La utilización de la información contenida en las patentes para diseñar las soluciones constituyó un elemento fundamental del concurso</w:t>
            </w:r>
          </w:p>
        </w:tc>
      </w:tr>
      <w:tr w:rsidR="004E456B" w:rsidRPr="008466AF" w:rsidTr="00027A9C">
        <w:trPr>
          <w:trHeight w:val="1951"/>
        </w:trPr>
        <w:tc>
          <w:tcPr>
            <w:tcW w:w="1843" w:type="dxa"/>
          </w:tcPr>
          <w:p w:rsidR="004E456B" w:rsidRPr="009703BB" w:rsidRDefault="004E456B" w:rsidP="00027A9C">
            <w:pPr>
              <w:autoSpaceDE w:val="0"/>
              <w:autoSpaceDN w:val="0"/>
              <w:adjustRightInd w:val="0"/>
              <w:rPr>
                <w:color w:val="000000"/>
                <w:sz w:val="16"/>
                <w:szCs w:val="16"/>
              </w:rPr>
            </w:pPr>
            <w:r>
              <w:rPr>
                <w:rFonts w:eastAsia="Arial"/>
                <w:color w:val="000000"/>
                <w:sz w:val="16"/>
                <w:szCs w:val="16"/>
                <w:bdr w:val="nil"/>
              </w:rPr>
              <w:t>Proyecto sobre el uso de la propiedad intelectual para el desarrollo y la utilización de tecnologías apropiadas:</w:t>
            </w:r>
          </w:p>
          <w:p w:rsidR="004E456B" w:rsidRPr="009703BB" w:rsidRDefault="004E456B" w:rsidP="00027A9C">
            <w:pPr>
              <w:autoSpaceDE w:val="0"/>
              <w:autoSpaceDN w:val="0"/>
              <w:adjustRightInd w:val="0"/>
              <w:rPr>
                <w:color w:val="000000"/>
                <w:sz w:val="16"/>
                <w:szCs w:val="16"/>
              </w:rPr>
            </w:pPr>
            <w:r>
              <w:rPr>
                <w:rFonts w:eastAsia="Arial"/>
                <w:color w:val="000000"/>
                <w:sz w:val="16"/>
                <w:szCs w:val="16"/>
                <w:bdr w:val="nil"/>
              </w:rPr>
              <w:t>(1) Reuniones de consulta</w:t>
            </w:r>
          </w:p>
          <w:p w:rsidR="004E456B" w:rsidRPr="009703BB" w:rsidRDefault="004E456B" w:rsidP="00027A9C">
            <w:pPr>
              <w:autoSpaceDE w:val="0"/>
              <w:autoSpaceDN w:val="0"/>
              <w:adjustRightInd w:val="0"/>
              <w:rPr>
                <w:color w:val="000000"/>
                <w:sz w:val="16"/>
                <w:szCs w:val="16"/>
              </w:rPr>
            </w:pPr>
            <w:r>
              <w:rPr>
                <w:rFonts w:eastAsia="Arial"/>
                <w:color w:val="000000"/>
                <w:sz w:val="16"/>
                <w:szCs w:val="16"/>
                <w:bdr w:val="nil"/>
              </w:rPr>
              <w:t xml:space="preserve">(2) Taller de orientación </w:t>
            </w:r>
          </w:p>
        </w:tc>
        <w:tc>
          <w:tcPr>
            <w:tcW w:w="1217" w:type="dxa"/>
          </w:tcPr>
          <w:p w:rsidR="004E456B" w:rsidRPr="000D0B91" w:rsidRDefault="004E456B" w:rsidP="00027A9C">
            <w:pPr>
              <w:autoSpaceDE w:val="0"/>
              <w:autoSpaceDN w:val="0"/>
              <w:adjustRightInd w:val="0"/>
              <w:rPr>
                <w:sz w:val="16"/>
                <w:szCs w:val="16"/>
              </w:rPr>
            </w:pPr>
            <w:r w:rsidRPr="000D0B91">
              <w:rPr>
                <w:rFonts w:eastAsia="Arial"/>
                <w:sz w:val="16"/>
                <w:szCs w:val="16"/>
                <w:bdr w:val="nil"/>
              </w:rPr>
              <w:t>(1) 30 y 31 de marzo de 2016</w:t>
            </w: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rPr>
                <w:sz w:val="16"/>
                <w:szCs w:val="16"/>
              </w:rPr>
            </w:pPr>
            <w:r w:rsidRPr="000D0B91">
              <w:rPr>
                <w:rFonts w:eastAsia="Arial"/>
                <w:sz w:val="16"/>
                <w:szCs w:val="16"/>
                <w:bdr w:val="nil"/>
              </w:rPr>
              <w:t>(2) 29 y 30 de noviembre de 2016</w:t>
            </w:r>
          </w:p>
        </w:tc>
        <w:tc>
          <w:tcPr>
            <w:tcW w:w="1843" w:type="dxa"/>
          </w:tcPr>
          <w:p w:rsidR="004E456B" w:rsidRPr="000D0B91" w:rsidRDefault="004E456B" w:rsidP="00027A9C">
            <w:pPr>
              <w:autoSpaceDE w:val="0"/>
              <w:autoSpaceDN w:val="0"/>
              <w:adjustRightInd w:val="0"/>
              <w:rPr>
                <w:sz w:val="16"/>
                <w:szCs w:val="16"/>
              </w:rPr>
            </w:pPr>
            <w:r w:rsidRPr="000D0B91">
              <w:rPr>
                <w:rFonts w:eastAsia="Arial"/>
                <w:sz w:val="16"/>
                <w:szCs w:val="16"/>
                <w:bdr w:val="nil"/>
              </w:rPr>
              <w:t>Mongolia</w:t>
            </w: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rPr>
                <w:sz w:val="16"/>
                <w:szCs w:val="16"/>
              </w:rPr>
            </w:pPr>
          </w:p>
          <w:p w:rsidR="004E456B" w:rsidRPr="000D0B91" w:rsidRDefault="004E456B" w:rsidP="00027A9C">
            <w:pPr>
              <w:autoSpaceDE w:val="0"/>
              <w:autoSpaceDN w:val="0"/>
              <w:adjustRightInd w:val="0"/>
              <w:spacing w:after="120"/>
              <w:rPr>
                <w:sz w:val="16"/>
                <w:szCs w:val="16"/>
              </w:rPr>
            </w:pPr>
            <w:r w:rsidRPr="000D0B91">
              <w:rPr>
                <w:rFonts w:eastAsia="Arial"/>
                <w:sz w:val="16"/>
                <w:szCs w:val="16"/>
                <w:bdr w:val="nil"/>
              </w:rPr>
              <w:t>Mongolia/ unos 75 participante de Mongolia</w:t>
            </w:r>
          </w:p>
        </w:tc>
        <w:tc>
          <w:tcPr>
            <w:tcW w:w="4540" w:type="dxa"/>
          </w:tcPr>
          <w:p w:rsidR="004E456B" w:rsidRPr="00931F05" w:rsidRDefault="004E456B" w:rsidP="00027A9C">
            <w:pPr>
              <w:autoSpaceDE w:val="0"/>
              <w:autoSpaceDN w:val="0"/>
              <w:adjustRightInd w:val="0"/>
              <w:spacing w:after="120"/>
              <w:rPr>
                <w:color w:val="000000"/>
                <w:sz w:val="16"/>
                <w:szCs w:val="16"/>
              </w:rPr>
            </w:pPr>
            <w:r>
              <w:rPr>
                <w:rFonts w:eastAsia="Arial"/>
                <w:sz w:val="16"/>
                <w:szCs w:val="16"/>
                <w:bdr w:val="nil"/>
              </w:rPr>
              <w:t xml:space="preserve">El concurso tenía por objeto promover y premiar la excelencia en la invención de tecnologías apropiadas en al ámbito de la agricultura que puedan ser utilizadas de manera sencilla y económica por las comunidades locales para satisfacer sus necesidades y con miras a su desarrollo </w:t>
            </w:r>
            <w:r w:rsidRPr="000D0B91">
              <w:rPr>
                <w:rFonts w:eastAsia="Arial"/>
                <w:sz w:val="16"/>
                <w:szCs w:val="16"/>
                <w:bdr w:val="nil"/>
              </w:rPr>
              <w:t>sostenible. La utilización de la información contenida en las patentes para diseñar las soluciones constituyó un elemento fundamental del concurso</w:t>
            </w:r>
          </w:p>
        </w:tc>
      </w:tr>
      <w:tr w:rsidR="004E456B" w:rsidRPr="008466AF" w:rsidTr="00027A9C">
        <w:trPr>
          <w:trHeight w:val="473"/>
        </w:trPr>
        <w:tc>
          <w:tcPr>
            <w:tcW w:w="1843" w:type="dxa"/>
          </w:tcPr>
          <w:p w:rsidR="004E456B" w:rsidRPr="000D0B91" w:rsidRDefault="004E456B" w:rsidP="00027A9C">
            <w:pPr>
              <w:keepNext/>
              <w:keepLines/>
              <w:autoSpaceDE w:val="0"/>
              <w:autoSpaceDN w:val="0"/>
              <w:adjustRightInd w:val="0"/>
              <w:spacing w:before="120" w:after="120"/>
              <w:rPr>
                <w:sz w:val="16"/>
                <w:szCs w:val="16"/>
              </w:rPr>
            </w:pPr>
            <w:r w:rsidRPr="000D0B91">
              <w:rPr>
                <w:rFonts w:eastAsia="Arial"/>
                <w:sz w:val="16"/>
                <w:szCs w:val="16"/>
                <w:bdr w:val="nil"/>
              </w:rPr>
              <w:t>Estudio y evaluación de los concursos de tecnologías apropiadas</w:t>
            </w:r>
          </w:p>
        </w:tc>
        <w:tc>
          <w:tcPr>
            <w:tcW w:w="1217" w:type="dxa"/>
          </w:tcPr>
          <w:p w:rsidR="004E456B" w:rsidRPr="000D0B91" w:rsidRDefault="004E456B" w:rsidP="00027A9C">
            <w:pPr>
              <w:keepNext/>
              <w:keepLines/>
              <w:autoSpaceDE w:val="0"/>
              <w:autoSpaceDN w:val="0"/>
              <w:adjustRightInd w:val="0"/>
              <w:spacing w:before="120" w:after="120"/>
              <w:rPr>
                <w:sz w:val="16"/>
                <w:szCs w:val="16"/>
                <w:lang w:eastAsia="ko-KR"/>
              </w:rPr>
            </w:pPr>
            <w:r w:rsidRPr="000D0B91">
              <w:rPr>
                <w:rFonts w:eastAsia="Arial"/>
                <w:sz w:val="16"/>
                <w:szCs w:val="16"/>
                <w:bdr w:val="nil"/>
                <w:lang w:eastAsia="ko-KR"/>
              </w:rPr>
              <w:t>Marzo a diciembre de 2016</w:t>
            </w:r>
          </w:p>
        </w:tc>
        <w:tc>
          <w:tcPr>
            <w:tcW w:w="1843" w:type="dxa"/>
          </w:tcPr>
          <w:p w:rsidR="004E456B" w:rsidRPr="000D0B91" w:rsidRDefault="004E456B" w:rsidP="00027A9C">
            <w:pPr>
              <w:keepNext/>
              <w:keepLines/>
              <w:autoSpaceDE w:val="0"/>
              <w:autoSpaceDN w:val="0"/>
              <w:adjustRightInd w:val="0"/>
              <w:spacing w:before="120" w:after="120"/>
              <w:rPr>
                <w:sz w:val="16"/>
                <w:szCs w:val="16"/>
              </w:rPr>
            </w:pPr>
            <w:r w:rsidRPr="000D0B91">
              <w:rPr>
                <w:rFonts w:eastAsia="Arial"/>
                <w:sz w:val="16"/>
                <w:szCs w:val="16"/>
                <w:bdr w:val="nil"/>
              </w:rPr>
              <w:t>República de Corea</w:t>
            </w:r>
          </w:p>
        </w:tc>
        <w:tc>
          <w:tcPr>
            <w:tcW w:w="4540" w:type="dxa"/>
          </w:tcPr>
          <w:p w:rsidR="004E456B" w:rsidRPr="000D0B91" w:rsidRDefault="004E456B" w:rsidP="00027A9C">
            <w:pPr>
              <w:keepNext/>
              <w:keepLines/>
              <w:autoSpaceDE w:val="0"/>
              <w:autoSpaceDN w:val="0"/>
              <w:adjustRightInd w:val="0"/>
              <w:spacing w:before="120" w:after="120"/>
              <w:rPr>
                <w:sz w:val="16"/>
                <w:szCs w:val="16"/>
              </w:rPr>
            </w:pPr>
            <w:r w:rsidRPr="000D0B91">
              <w:rPr>
                <w:rFonts w:eastAsia="Arial"/>
                <w:sz w:val="16"/>
                <w:szCs w:val="16"/>
                <w:bdr w:val="nil"/>
              </w:rPr>
              <w:t>i) Crear unas estructuras y mecanismos propicios para el concurso de tecnologías apropiadas; ii) desarrollar el concurso de tecnologías apropiadas para que se convierta en una iniciativa sostenible a largo plazo; y iii) estudiar la posibilidad de emplear nuevas metodologías para maximizar los beneficios y reducir el riesgo de no lograr el resultado esperado.</w:t>
            </w:r>
          </w:p>
        </w:tc>
      </w:tr>
    </w:tbl>
    <w:p w:rsidR="004E456B" w:rsidRPr="009703BB" w:rsidRDefault="004E456B" w:rsidP="00027A9C">
      <w:pPr>
        <w:rPr>
          <w:b/>
          <w:sz w:val="20"/>
        </w:rPr>
      </w:pPr>
    </w:p>
    <w:p w:rsidR="004E456B" w:rsidRPr="000D0B91" w:rsidRDefault="004E456B" w:rsidP="00027A9C">
      <w:pPr>
        <w:rPr>
          <w:b/>
          <w:bCs/>
          <w:sz w:val="20"/>
        </w:rPr>
      </w:pPr>
      <w:r w:rsidRPr="000D0B91">
        <w:rPr>
          <w:rFonts w:eastAsia="Arial"/>
          <w:b/>
          <w:bCs/>
          <w:sz w:val="20"/>
          <w:bdr w:val="nil"/>
        </w:rPr>
        <w:t>REPÚBLICA DE COREA / PROPIEDAD INDUSTRIAL – Contribuciones del donante y gastos en 2016</w:t>
      </w:r>
    </w:p>
    <w:p w:rsidR="004E456B" w:rsidRPr="000D0B91" w:rsidRDefault="004E456B" w:rsidP="00027A9C">
      <w:pPr>
        <w:rPr>
          <w:rFonts w:cs="Times New Roman"/>
          <w:sz w:val="20"/>
          <w:szCs w:val="24"/>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0D0B91" w:rsidRDefault="004E456B" w:rsidP="00027A9C">
            <w:pPr>
              <w:jc w:val="center"/>
              <w:rPr>
                <w:b/>
                <w:bCs/>
                <w:sz w:val="16"/>
                <w:szCs w:val="16"/>
              </w:rPr>
            </w:pPr>
            <w:r w:rsidRPr="000D0B91">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0D0B91" w:rsidRDefault="004E456B" w:rsidP="00027A9C">
            <w:pPr>
              <w:jc w:val="center"/>
              <w:rPr>
                <w:b/>
                <w:bCs/>
                <w:sz w:val="16"/>
                <w:szCs w:val="16"/>
              </w:rPr>
            </w:pPr>
            <w:r w:rsidRPr="000D0B91">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0D0B91" w:rsidRDefault="004E456B" w:rsidP="00027A9C">
            <w:pPr>
              <w:jc w:val="center"/>
              <w:rPr>
                <w:b/>
                <w:bCs/>
                <w:sz w:val="16"/>
                <w:szCs w:val="16"/>
              </w:rPr>
            </w:pPr>
            <w:r w:rsidRPr="000D0B91">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0D0B91" w:rsidRDefault="004E456B" w:rsidP="00027A9C">
            <w:pPr>
              <w:jc w:val="center"/>
              <w:rPr>
                <w:b/>
                <w:bCs/>
                <w:sz w:val="16"/>
                <w:szCs w:val="16"/>
              </w:rPr>
            </w:pPr>
            <w:r w:rsidRPr="000D0B91">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0D0B91" w:rsidRDefault="004E456B" w:rsidP="00027A9C">
            <w:pPr>
              <w:jc w:val="center"/>
              <w:rPr>
                <w:b/>
                <w:bCs/>
                <w:sz w:val="16"/>
                <w:szCs w:val="16"/>
              </w:rPr>
            </w:pPr>
            <w:r w:rsidRPr="000D0B91">
              <w:rPr>
                <w:rFonts w:eastAsia="Arial"/>
                <w:b/>
                <w:bCs/>
                <w:sz w:val="16"/>
                <w:szCs w:val="16"/>
                <w:bdr w:val="nil"/>
              </w:rPr>
              <w:t>Saldo al 31 de diciembre de 2016</w:t>
            </w:r>
          </w:p>
        </w:tc>
      </w:tr>
      <w:tr w:rsidR="004E456B" w:rsidRPr="000D0B91" w:rsidTr="00027A9C">
        <w:trPr>
          <w:trHeight w:val="357"/>
        </w:trPr>
        <w:tc>
          <w:tcPr>
            <w:tcW w:w="1814" w:type="dxa"/>
            <w:tcBorders>
              <w:top w:val="nil"/>
              <w:left w:val="nil"/>
              <w:bottom w:val="nil"/>
              <w:right w:val="nil"/>
            </w:tcBorders>
            <w:shd w:val="clear" w:color="auto" w:fill="auto"/>
            <w:noWrap/>
            <w:vAlign w:val="bottom"/>
            <w:hideMark/>
          </w:tcPr>
          <w:p w:rsidR="004E456B" w:rsidRPr="000D0B91" w:rsidRDefault="004E456B" w:rsidP="00027A9C">
            <w:pPr>
              <w:jc w:val="center"/>
              <w:rPr>
                <w:sz w:val="16"/>
                <w:szCs w:val="16"/>
              </w:rPr>
            </w:pPr>
            <w:r w:rsidRPr="000D0B91">
              <w:rPr>
                <w:sz w:val="16"/>
                <w:szCs w:val="16"/>
              </w:rPr>
              <w:t>1.053.391</w:t>
            </w:r>
          </w:p>
        </w:tc>
        <w:tc>
          <w:tcPr>
            <w:tcW w:w="1814" w:type="dxa"/>
            <w:tcBorders>
              <w:top w:val="nil"/>
              <w:left w:val="nil"/>
              <w:bottom w:val="nil"/>
              <w:right w:val="nil"/>
            </w:tcBorders>
            <w:shd w:val="clear" w:color="auto" w:fill="auto"/>
            <w:noWrap/>
            <w:vAlign w:val="bottom"/>
            <w:hideMark/>
          </w:tcPr>
          <w:p w:rsidR="004E456B" w:rsidRPr="000D0B91" w:rsidRDefault="004E456B" w:rsidP="00027A9C">
            <w:pPr>
              <w:jc w:val="center"/>
              <w:rPr>
                <w:sz w:val="16"/>
                <w:szCs w:val="16"/>
              </w:rPr>
            </w:pPr>
            <w:r w:rsidRPr="000D0B91">
              <w:rPr>
                <w:sz w:val="16"/>
                <w:szCs w:val="16"/>
              </w:rPr>
              <w:t>710.526</w:t>
            </w:r>
          </w:p>
        </w:tc>
        <w:tc>
          <w:tcPr>
            <w:tcW w:w="1815" w:type="dxa"/>
            <w:tcBorders>
              <w:top w:val="nil"/>
              <w:left w:val="nil"/>
              <w:bottom w:val="nil"/>
              <w:right w:val="nil"/>
            </w:tcBorders>
            <w:shd w:val="clear" w:color="auto" w:fill="auto"/>
            <w:noWrap/>
            <w:vAlign w:val="bottom"/>
            <w:hideMark/>
          </w:tcPr>
          <w:p w:rsidR="004E456B" w:rsidRPr="000D0B91" w:rsidRDefault="004E456B" w:rsidP="00027A9C">
            <w:pPr>
              <w:jc w:val="center"/>
              <w:rPr>
                <w:sz w:val="16"/>
                <w:szCs w:val="16"/>
              </w:rPr>
            </w:pPr>
            <w:r w:rsidRPr="000D0B91">
              <w:rPr>
                <w:sz w:val="16"/>
                <w:szCs w:val="16"/>
              </w:rPr>
              <w:t>563.464</w:t>
            </w:r>
          </w:p>
        </w:tc>
        <w:tc>
          <w:tcPr>
            <w:tcW w:w="1814" w:type="dxa"/>
            <w:tcBorders>
              <w:top w:val="nil"/>
              <w:left w:val="nil"/>
              <w:bottom w:val="nil"/>
              <w:right w:val="nil"/>
            </w:tcBorders>
            <w:shd w:val="clear" w:color="auto" w:fill="auto"/>
            <w:noWrap/>
            <w:vAlign w:val="bottom"/>
            <w:hideMark/>
          </w:tcPr>
          <w:p w:rsidR="004E456B" w:rsidRPr="000D0B91" w:rsidRDefault="004E456B" w:rsidP="00027A9C">
            <w:pPr>
              <w:jc w:val="center"/>
              <w:rPr>
                <w:sz w:val="16"/>
                <w:szCs w:val="16"/>
              </w:rPr>
            </w:pPr>
            <w:r w:rsidRPr="000D0B91">
              <w:rPr>
                <w:sz w:val="16"/>
                <w:szCs w:val="16"/>
              </w:rPr>
              <w:t>-</w:t>
            </w:r>
          </w:p>
        </w:tc>
        <w:tc>
          <w:tcPr>
            <w:tcW w:w="1815" w:type="dxa"/>
            <w:tcBorders>
              <w:top w:val="nil"/>
              <w:left w:val="nil"/>
              <w:bottom w:val="nil"/>
              <w:right w:val="nil"/>
            </w:tcBorders>
            <w:shd w:val="clear" w:color="auto" w:fill="auto"/>
            <w:noWrap/>
            <w:vAlign w:val="bottom"/>
            <w:hideMark/>
          </w:tcPr>
          <w:p w:rsidR="004E456B" w:rsidRPr="000D0B91" w:rsidRDefault="004E456B" w:rsidP="00027A9C">
            <w:pPr>
              <w:jc w:val="center"/>
              <w:rPr>
                <w:sz w:val="16"/>
                <w:szCs w:val="16"/>
              </w:rPr>
            </w:pPr>
            <w:r w:rsidRPr="000D0B91">
              <w:rPr>
                <w:sz w:val="16"/>
                <w:szCs w:val="16"/>
              </w:rPr>
              <w:t>1.200.454</w:t>
            </w:r>
          </w:p>
        </w:tc>
      </w:tr>
    </w:tbl>
    <w:p w:rsidR="004E456B" w:rsidRPr="000D0B91" w:rsidRDefault="004E456B" w:rsidP="00027A9C">
      <w:pPr>
        <w:rPr>
          <w:b/>
          <w:sz w:val="20"/>
        </w:rPr>
      </w:pPr>
    </w:p>
    <w:p w:rsidR="004E456B" w:rsidRPr="000D0B91" w:rsidRDefault="004E456B" w:rsidP="00027A9C">
      <w:pPr>
        <w:rPr>
          <w:b/>
          <w:sz w:val="20"/>
        </w:rPr>
      </w:pPr>
    </w:p>
    <w:p w:rsidR="005E315A" w:rsidRDefault="005E315A">
      <w:pPr>
        <w:rPr>
          <w:rFonts w:eastAsia="Arial"/>
          <w:b/>
          <w:bCs/>
          <w:sz w:val="20"/>
          <w:bdr w:val="nil"/>
        </w:rPr>
      </w:pPr>
      <w:r>
        <w:rPr>
          <w:rFonts w:eastAsia="Arial"/>
          <w:b/>
          <w:bCs/>
          <w:sz w:val="20"/>
          <w:bdr w:val="nil"/>
        </w:rPr>
        <w:br w:type="page"/>
      </w:r>
    </w:p>
    <w:p w:rsidR="004E456B" w:rsidRPr="000D0B91" w:rsidRDefault="004E456B" w:rsidP="00027A9C">
      <w:pPr>
        <w:rPr>
          <w:b/>
          <w:sz w:val="20"/>
        </w:rPr>
      </w:pPr>
      <w:r w:rsidRPr="000D0B91">
        <w:rPr>
          <w:rFonts w:eastAsia="Arial"/>
          <w:b/>
          <w:bCs/>
          <w:sz w:val="20"/>
          <w:bdr w:val="nil"/>
        </w:rPr>
        <w:lastRenderedPageBreak/>
        <w:t>ESPAÑA</w:t>
      </w:r>
    </w:p>
    <w:p w:rsidR="004E456B" w:rsidRPr="000D0B91" w:rsidRDefault="004E456B" w:rsidP="00027A9C">
      <w:pPr>
        <w:rPr>
          <w:b/>
          <w:sz w:val="20"/>
        </w:rPr>
      </w:pPr>
    </w:p>
    <w:tbl>
      <w:tblPr>
        <w:tblW w:w="9072" w:type="dxa"/>
        <w:tblInd w:w="108" w:type="dxa"/>
        <w:tblLayout w:type="fixed"/>
        <w:tblLook w:val="0000" w:firstRow="0" w:lastRow="0" w:firstColumn="0" w:lastColumn="0" w:noHBand="0" w:noVBand="0"/>
      </w:tblPr>
      <w:tblGrid>
        <w:gridCol w:w="1920"/>
        <w:gridCol w:w="1225"/>
        <w:gridCol w:w="17"/>
        <w:gridCol w:w="1790"/>
        <w:gridCol w:w="4120"/>
      </w:tblGrid>
      <w:tr w:rsidR="004E456B" w:rsidRPr="008466AF" w:rsidTr="00027A9C">
        <w:trPr>
          <w:cantSplit/>
        </w:trPr>
        <w:tc>
          <w:tcPr>
            <w:tcW w:w="9360" w:type="dxa"/>
            <w:gridSpan w:val="5"/>
            <w:shd w:val="clear" w:color="auto" w:fill="C6D9F1"/>
            <w:vAlign w:val="center"/>
          </w:tcPr>
          <w:p w:rsidR="004E456B" w:rsidRPr="000D0B91" w:rsidRDefault="004E456B" w:rsidP="00027A9C">
            <w:pPr>
              <w:keepNext/>
              <w:keepLines/>
              <w:tabs>
                <w:tab w:val="left" w:pos="1740"/>
              </w:tabs>
              <w:spacing w:before="120" w:after="120"/>
              <w:ind w:left="1740" w:hanging="1740"/>
              <w:rPr>
                <w:b/>
                <w:bCs/>
                <w:sz w:val="16"/>
                <w:szCs w:val="16"/>
              </w:rPr>
            </w:pPr>
            <w:r w:rsidRPr="000D0B91">
              <w:rPr>
                <w:rFonts w:eastAsia="Arial"/>
                <w:b/>
                <w:bCs/>
                <w:sz w:val="16"/>
                <w:szCs w:val="16"/>
                <w:bdr w:val="nil"/>
              </w:rPr>
              <w:t>RESULTADO:</w:t>
            </w:r>
            <w:r w:rsidRPr="000D0B91">
              <w:rPr>
                <w:rFonts w:eastAsia="Arial"/>
                <w:b/>
                <w:bCs/>
                <w:sz w:val="16"/>
                <w:szCs w:val="16"/>
                <w:bdr w:val="nil"/>
              </w:rPr>
              <w:tab/>
            </w:r>
            <w:r w:rsidRPr="000D0B91">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RPr="000D0B91" w:rsidTr="00027A9C">
        <w:trPr>
          <w:cantSplit/>
        </w:trPr>
        <w:tc>
          <w:tcPr>
            <w:tcW w:w="1980" w:type="dxa"/>
            <w:shd w:val="clear" w:color="auto" w:fill="auto"/>
          </w:tcPr>
          <w:p w:rsidR="004E456B" w:rsidRPr="000D0B91" w:rsidRDefault="004E456B" w:rsidP="00027A9C">
            <w:pPr>
              <w:keepNext/>
              <w:keepLines/>
              <w:autoSpaceDE w:val="0"/>
              <w:autoSpaceDN w:val="0"/>
              <w:adjustRightInd w:val="0"/>
              <w:spacing w:before="120" w:after="120"/>
              <w:jc w:val="center"/>
              <w:rPr>
                <w:b/>
                <w:sz w:val="16"/>
                <w:szCs w:val="16"/>
              </w:rPr>
            </w:pPr>
            <w:r w:rsidRPr="000D0B91">
              <w:rPr>
                <w:rFonts w:eastAsia="Arial"/>
                <w:b/>
                <w:bCs/>
                <w:sz w:val="16"/>
                <w:szCs w:val="16"/>
                <w:bdr w:val="nil"/>
              </w:rPr>
              <w:t>Actividad</w:t>
            </w:r>
          </w:p>
        </w:tc>
        <w:tc>
          <w:tcPr>
            <w:tcW w:w="1277" w:type="dxa"/>
            <w:gridSpan w:val="2"/>
            <w:shd w:val="clear" w:color="auto" w:fill="auto"/>
            <w:tcMar>
              <w:top w:w="110" w:type="dxa"/>
            </w:tcMar>
          </w:tcPr>
          <w:p w:rsidR="004E456B" w:rsidRPr="000D0B91" w:rsidRDefault="004E456B" w:rsidP="00027A9C">
            <w:pPr>
              <w:keepNext/>
              <w:keepLines/>
              <w:autoSpaceDE w:val="0"/>
              <w:autoSpaceDN w:val="0"/>
              <w:adjustRightInd w:val="0"/>
              <w:spacing w:before="120" w:after="120"/>
              <w:jc w:val="center"/>
              <w:rPr>
                <w:b/>
                <w:sz w:val="16"/>
                <w:szCs w:val="16"/>
              </w:rPr>
            </w:pPr>
            <w:r w:rsidRPr="000D0B91">
              <w:rPr>
                <w:rFonts w:eastAsia="Arial"/>
                <w:b/>
                <w:bCs/>
                <w:sz w:val="16"/>
                <w:szCs w:val="16"/>
                <w:bdr w:val="nil"/>
              </w:rPr>
              <w:t>Fecha</w:t>
            </w:r>
          </w:p>
        </w:tc>
        <w:tc>
          <w:tcPr>
            <w:tcW w:w="1845" w:type="dxa"/>
            <w:shd w:val="clear" w:color="auto" w:fill="auto"/>
            <w:tcMar>
              <w:top w:w="110" w:type="dxa"/>
            </w:tcMar>
          </w:tcPr>
          <w:p w:rsidR="004E456B" w:rsidRPr="000D0B91" w:rsidRDefault="004E456B" w:rsidP="00027A9C">
            <w:pPr>
              <w:keepNext/>
              <w:keepLines/>
              <w:autoSpaceDE w:val="0"/>
              <w:autoSpaceDN w:val="0"/>
              <w:adjustRightInd w:val="0"/>
              <w:spacing w:before="120" w:after="120"/>
              <w:jc w:val="center"/>
              <w:rPr>
                <w:b/>
                <w:sz w:val="16"/>
                <w:szCs w:val="16"/>
              </w:rPr>
            </w:pPr>
            <w:r w:rsidRPr="000D0B91">
              <w:rPr>
                <w:rFonts w:eastAsia="Arial"/>
                <w:b/>
                <w:bCs/>
                <w:sz w:val="16"/>
                <w:szCs w:val="16"/>
                <w:bdr w:val="nil"/>
              </w:rPr>
              <w:t>País anfitrión / Beneficiarios</w:t>
            </w:r>
          </w:p>
        </w:tc>
        <w:tc>
          <w:tcPr>
            <w:tcW w:w="4258" w:type="dxa"/>
            <w:shd w:val="clear" w:color="auto" w:fill="auto"/>
            <w:tcMar>
              <w:top w:w="110" w:type="dxa"/>
            </w:tcMar>
          </w:tcPr>
          <w:p w:rsidR="004E456B" w:rsidRPr="000D0B91" w:rsidRDefault="004E456B" w:rsidP="00027A9C">
            <w:pPr>
              <w:keepNext/>
              <w:keepLines/>
              <w:autoSpaceDE w:val="0"/>
              <w:autoSpaceDN w:val="0"/>
              <w:adjustRightInd w:val="0"/>
              <w:spacing w:before="120" w:after="120"/>
              <w:jc w:val="center"/>
              <w:rPr>
                <w:b/>
                <w:sz w:val="16"/>
                <w:szCs w:val="16"/>
              </w:rPr>
            </w:pPr>
            <w:r w:rsidRPr="000D0B91">
              <w:rPr>
                <w:rFonts w:eastAsia="Arial"/>
                <w:b/>
                <w:bCs/>
                <w:sz w:val="16"/>
                <w:szCs w:val="16"/>
                <w:bdr w:val="nil"/>
              </w:rPr>
              <w:t>Propósito(s)/Descripción</w:t>
            </w:r>
          </w:p>
        </w:tc>
      </w:tr>
      <w:tr w:rsidR="004E456B" w:rsidRPr="008466AF" w:rsidTr="00027A9C">
        <w:trPr>
          <w:cantSplit/>
          <w:trHeight w:val="1977"/>
        </w:trPr>
        <w:tc>
          <w:tcPr>
            <w:tcW w:w="1980" w:type="dxa"/>
            <w:shd w:val="clear" w:color="auto" w:fill="auto"/>
          </w:tcPr>
          <w:p w:rsidR="004E456B" w:rsidRPr="006853FD" w:rsidRDefault="004E456B" w:rsidP="00027A9C">
            <w:pPr>
              <w:keepNext/>
              <w:keepLines/>
              <w:autoSpaceDE w:val="0"/>
              <w:autoSpaceDN w:val="0"/>
              <w:adjustRightInd w:val="0"/>
              <w:spacing w:after="120"/>
              <w:rPr>
                <w:sz w:val="16"/>
                <w:szCs w:val="16"/>
              </w:rPr>
            </w:pPr>
            <w:r w:rsidRPr="006853FD">
              <w:rPr>
                <w:rFonts w:eastAsia="Arial"/>
                <w:sz w:val="16"/>
                <w:szCs w:val="16"/>
                <w:bdr w:val="nil"/>
              </w:rPr>
              <w:t xml:space="preserve">Participación de la Directora de la Oficina Española de Patentes y Marcas (OEPM) en las XIX Jornadas de Trabajo y Consejo de Administración de la Asociación Interamericana de la Propiedad Intelectual (ASIPI) </w:t>
            </w:r>
          </w:p>
        </w:tc>
        <w:tc>
          <w:tcPr>
            <w:tcW w:w="1260" w:type="dxa"/>
            <w:shd w:val="clear" w:color="auto" w:fill="auto"/>
            <w:tcMar>
              <w:top w:w="110" w:type="dxa"/>
            </w:tcMar>
          </w:tcPr>
          <w:p w:rsidR="004E456B" w:rsidRPr="006853FD" w:rsidRDefault="004E456B" w:rsidP="00027A9C">
            <w:pPr>
              <w:keepNext/>
              <w:keepLines/>
              <w:autoSpaceDE w:val="0"/>
              <w:autoSpaceDN w:val="0"/>
              <w:adjustRightInd w:val="0"/>
              <w:spacing w:after="120"/>
              <w:rPr>
                <w:sz w:val="16"/>
                <w:szCs w:val="16"/>
              </w:rPr>
            </w:pPr>
            <w:r w:rsidRPr="006853FD">
              <w:rPr>
                <w:rFonts w:eastAsia="Arial"/>
                <w:sz w:val="16"/>
                <w:szCs w:val="16"/>
                <w:bdr w:val="nil"/>
              </w:rPr>
              <w:t>4 a 7 de diciembre de 2016</w:t>
            </w:r>
          </w:p>
          <w:p w:rsidR="004E456B" w:rsidRPr="006853FD" w:rsidRDefault="004E456B" w:rsidP="00027A9C">
            <w:pPr>
              <w:keepNext/>
              <w:keepLines/>
              <w:autoSpaceDE w:val="0"/>
              <w:autoSpaceDN w:val="0"/>
              <w:adjustRightInd w:val="0"/>
              <w:spacing w:after="120"/>
              <w:rPr>
                <w:sz w:val="16"/>
                <w:szCs w:val="16"/>
              </w:rPr>
            </w:pPr>
          </w:p>
          <w:p w:rsidR="004E456B" w:rsidRPr="006853FD" w:rsidRDefault="004E456B" w:rsidP="00027A9C">
            <w:pPr>
              <w:keepNext/>
              <w:keepLines/>
              <w:autoSpaceDE w:val="0"/>
              <w:autoSpaceDN w:val="0"/>
              <w:adjustRightInd w:val="0"/>
              <w:spacing w:after="120"/>
              <w:rPr>
                <w:sz w:val="16"/>
                <w:szCs w:val="16"/>
              </w:rPr>
            </w:pPr>
          </w:p>
        </w:tc>
        <w:tc>
          <w:tcPr>
            <w:tcW w:w="1862" w:type="dxa"/>
            <w:gridSpan w:val="2"/>
            <w:shd w:val="clear" w:color="auto" w:fill="auto"/>
            <w:tcMar>
              <w:top w:w="110" w:type="dxa"/>
            </w:tcMar>
          </w:tcPr>
          <w:p w:rsidR="004E456B" w:rsidRPr="006853FD" w:rsidRDefault="004E456B" w:rsidP="00027A9C">
            <w:pPr>
              <w:keepNext/>
              <w:keepLines/>
              <w:autoSpaceDE w:val="0"/>
              <w:autoSpaceDN w:val="0"/>
              <w:adjustRightInd w:val="0"/>
              <w:spacing w:after="120"/>
              <w:rPr>
                <w:sz w:val="16"/>
                <w:szCs w:val="16"/>
              </w:rPr>
            </w:pPr>
            <w:r w:rsidRPr="006853FD">
              <w:rPr>
                <w:rFonts w:eastAsia="Arial"/>
                <w:sz w:val="16"/>
                <w:szCs w:val="16"/>
                <w:bdr w:val="nil"/>
              </w:rPr>
              <w:t xml:space="preserve">Argentina/ Todos los países de América Latina </w:t>
            </w:r>
          </w:p>
          <w:p w:rsidR="004E456B" w:rsidRPr="006853FD" w:rsidRDefault="004E456B" w:rsidP="00027A9C">
            <w:pPr>
              <w:keepNext/>
              <w:keepLines/>
              <w:autoSpaceDE w:val="0"/>
              <w:autoSpaceDN w:val="0"/>
              <w:adjustRightInd w:val="0"/>
              <w:spacing w:after="120"/>
              <w:rPr>
                <w:sz w:val="16"/>
                <w:szCs w:val="16"/>
              </w:rPr>
            </w:pPr>
          </w:p>
        </w:tc>
        <w:tc>
          <w:tcPr>
            <w:tcW w:w="4258" w:type="dxa"/>
            <w:shd w:val="clear" w:color="auto" w:fill="auto"/>
            <w:tcMar>
              <w:top w:w="110" w:type="dxa"/>
            </w:tcMar>
          </w:tcPr>
          <w:p w:rsidR="004E456B" w:rsidRPr="009703BB" w:rsidRDefault="004E456B" w:rsidP="00027A9C">
            <w:pPr>
              <w:keepNext/>
              <w:keepLines/>
              <w:autoSpaceDE w:val="0"/>
              <w:autoSpaceDN w:val="0"/>
              <w:adjustRightInd w:val="0"/>
              <w:spacing w:after="120"/>
              <w:rPr>
                <w:color w:val="000000"/>
                <w:sz w:val="16"/>
                <w:szCs w:val="16"/>
              </w:rPr>
            </w:pPr>
            <w:r>
              <w:rPr>
                <w:rFonts w:eastAsia="Arial"/>
                <w:color w:val="000000"/>
                <w:sz w:val="16"/>
                <w:szCs w:val="16"/>
                <w:bdr w:val="nil"/>
              </w:rPr>
              <w:t>Presentar el PCT y sus últimos avances, con la inclusión de una mesa redonda sobre el uso del PCT y acerca del Proyecto sobre el procedimiento acelerado de examen de solicitudes de patentes (PPH).  La Oficina Española de Patentes y Marcas (OEPM) participó en la mesa redonda para compartir experiencias y contribuir a los debates técnicos.</w:t>
            </w:r>
          </w:p>
        </w:tc>
      </w:tr>
      <w:tr w:rsidR="004E456B" w:rsidRPr="008466AF" w:rsidTr="00027A9C">
        <w:trPr>
          <w:cantSplit/>
          <w:trHeight w:val="2278"/>
        </w:trPr>
        <w:tc>
          <w:tcPr>
            <w:tcW w:w="1980"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IV Seminario regional </w:t>
            </w:r>
            <w:r w:rsidRPr="006853FD">
              <w:rPr>
                <w:rFonts w:eastAsia="Arial"/>
                <w:sz w:val="16"/>
                <w:szCs w:val="16"/>
                <w:bdr w:val="nil"/>
              </w:rPr>
              <w:t>OMPI/OEPM/AECID (Agencia Española de Cooperación Internacional para el Desarrollo)</w:t>
            </w:r>
            <w:r>
              <w:rPr>
                <w:rFonts w:eastAsia="Arial"/>
                <w:sz w:val="16"/>
                <w:szCs w:val="16"/>
                <w:bdr w:val="nil"/>
              </w:rPr>
              <w:t xml:space="preserve"> </w:t>
            </w:r>
            <w:r>
              <w:rPr>
                <w:rFonts w:eastAsia="Arial"/>
                <w:color w:val="000000"/>
                <w:sz w:val="16"/>
                <w:szCs w:val="16"/>
                <w:bdr w:val="nil"/>
              </w:rPr>
              <w:t xml:space="preserve">sobre marcas y diseños industriales en tanto que factores de innovación y activos empresariales:  el diseño en tanto que herramienta empresarial estratégica y en tanto que factor diferenciador </w:t>
            </w:r>
          </w:p>
        </w:tc>
        <w:tc>
          <w:tcPr>
            <w:tcW w:w="1260" w:type="dxa"/>
            <w:shd w:val="clear" w:color="auto" w:fill="auto"/>
            <w:tcMar>
              <w:top w:w="110" w:type="dxa"/>
            </w:tcMar>
          </w:tcPr>
          <w:p w:rsidR="004E456B" w:rsidRPr="006853FD" w:rsidRDefault="004E456B" w:rsidP="00027A9C">
            <w:pPr>
              <w:autoSpaceDE w:val="0"/>
              <w:autoSpaceDN w:val="0"/>
              <w:adjustRightInd w:val="0"/>
              <w:spacing w:before="120" w:after="120"/>
              <w:rPr>
                <w:sz w:val="16"/>
                <w:szCs w:val="16"/>
              </w:rPr>
            </w:pPr>
            <w:r w:rsidRPr="006853FD">
              <w:rPr>
                <w:rFonts w:eastAsia="Arial"/>
                <w:sz w:val="16"/>
                <w:szCs w:val="16"/>
                <w:bdr w:val="nil"/>
              </w:rPr>
              <w:t>7 a 10 de marzo de 2016</w:t>
            </w:r>
          </w:p>
        </w:tc>
        <w:tc>
          <w:tcPr>
            <w:tcW w:w="1862" w:type="dxa"/>
            <w:gridSpan w:val="2"/>
            <w:shd w:val="clear" w:color="auto" w:fill="auto"/>
            <w:tcMar>
              <w:top w:w="110" w:type="dxa"/>
            </w:tcMar>
          </w:tcPr>
          <w:p w:rsidR="004E456B" w:rsidRPr="006853FD" w:rsidRDefault="004E456B" w:rsidP="00027A9C">
            <w:pPr>
              <w:autoSpaceDE w:val="0"/>
              <w:autoSpaceDN w:val="0"/>
              <w:adjustRightInd w:val="0"/>
              <w:spacing w:before="120" w:after="120"/>
              <w:rPr>
                <w:sz w:val="16"/>
                <w:szCs w:val="16"/>
                <w:lang w:val="es-ES_tradnl"/>
              </w:rPr>
            </w:pPr>
            <w:r w:rsidRPr="006853FD">
              <w:rPr>
                <w:rFonts w:eastAsia="Arial"/>
                <w:sz w:val="16"/>
                <w:szCs w:val="16"/>
                <w:bdr w:val="nil"/>
              </w:rPr>
              <w:t>Colombia / Todos los países de América Latina</w:t>
            </w:r>
          </w:p>
          <w:p w:rsidR="004E456B" w:rsidRPr="006853FD" w:rsidRDefault="004E456B" w:rsidP="00027A9C">
            <w:pPr>
              <w:autoSpaceDE w:val="0"/>
              <w:autoSpaceDN w:val="0"/>
              <w:adjustRightInd w:val="0"/>
              <w:spacing w:before="120" w:after="120"/>
              <w:rPr>
                <w:sz w:val="16"/>
                <w:szCs w:val="16"/>
                <w:lang w:val="es-ES_tradnl"/>
              </w:rPr>
            </w:pPr>
          </w:p>
        </w:tc>
        <w:tc>
          <w:tcPr>
            <w:tcW w:w="4258" w:type="dxa"/>
            <w:shd w:val="clear" w:color="auto" w:fill="FFFFFF"/>
            <w:tcMar>
              <w:top w:w="110" w:type="dxa"/>
            </w:tcMar>
          </w:tcPr>
          <w:p w:rsidR="004E456B" w:rsidRPr="009703BB" w:rsidRDefault="004E456B" w:rsidP="00027A9C">
            <w:pPr>
              <w:rPr>
                <w:color w:val="000000"/>
                <w:sz w:val="16"/>
                <w:szCs w:val="16"/>
              </w:rPr>
            </w:pPr>
            <w:r>
              <w:rPr>
                <w:rFonts w:eastAsia="Arial"/>
                <w:color w:val="000000"/>
                <w:sz w:val="16"/>
                <w:szCs w:val="16"/>
                <w:bdr w:val="nil"/>
              </w:rPr>
              <w:t>i) Alentar el uso estratégico de diseños industriales en tanto que motor del desarrollo económico; ii) proporcionar un foro para el intercambio de ideas relativas a la protección y las prácticas y tendencias a nivel nacional e internacional.</w:t>
            </w:r>
          </w:p>
        </w:tc>
      </w:tr>
      <w:tr w:rsidR="004E456B" w:rsidRPr="008466AF" w:rsidTr="00027A9C">
        <w:trPr>
          <w:cantSplit/>
        </w:trPr>
        <w:tc>
          <w:tcPr>
            <w:tcW w:w="1980"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Seminario regional sobre el PCT y el Tratado de Budapest </w:t>
            </w:r>
          </w:p>
        </w:tc>
        <w:tc>
          <w:tcPr>
            <w:tcW w:w="1260" w:type="dxa"/>
            <w:shd w:val="clear" w:color="auto" w:fill="auto"/>
            <w:tcMar>
              <w:top w:w="110" w:type="dxa"/>
            </w:tcMar>
          </w:tcPr>
          <w:p w:rsidR="004E456B" w:rsidRPr="006853FD" w:rsidRDefault="004E456B" w:rsidP="00027A9C">
            <w:pPr>
              <w:autoSpaceDE w:val="0"/>
              <w:autoSpaceDN w:val="0"/>
              <w:adjustRightInd w:val="0"/>
              <w:spacing w:before="120" w:after="120"/>
              <w:rPr>
                <w:sz w:val="16"/>
                <w:szCs w:val="16"/>
              </w:rPr>
            </w:pPr>
            <w:r w:rsidRPr="006853FD">
              <w:rPr>
                <w:rFonts w:eastAsia="Arial"/>
                <w:sz w:val="16"/>
                <w:szCs w:val="16"/>
                <w:bdr w:val="nil"/>
              </w:rPr>
              <w:t>5 a 7 de septiembre de 2016</w:t>
            </w:r>
          </w:p>
        </w:tc>
        <w:tc>
          <w:tcPr>
            <w:tcW w:w="1862" w:type="dxa"/>
            <w:gridSpan w:val="2"/>
            <w:shd w:val="clear" w:color="auto" w:fill="auto"/>
            <w:tcMar>
              <w:top w:w="110" w:type="dxa"/>
            </w:tcMar>
          </w:tcPr>
          <w:p w:rsidR="004E456B" w:rsidRPr="006853FD" w:rsidRDefault="004E456B" w:rsidP="00027A9C">
            <w:pPr>
              <w:autoSpaceDE w:val="0"/>
              <w:autoSpaceDN w:val="0"/>
              <w:adjustRightInd w:val="0"/>
              <w:spacing w:before="120" w:after="120"/>
              <w:rPr>
                <w:sz w:val="16"/>
                <w:szCs w:val="16"/>
              </w:rPr>
            </w:pPr>
            <w:r w:rsidRPr="006853FD">
              <w:rPr>
                <w:rFonts w:eastAsia="Arial"/>
                <w:sz w:val="16"/>
                <w:szCs w:val="16"/>
                <w:bdr w:val="nil"/>
              </w:rPr>
              <w:t>Cuba/ Todos los países de América Latina</w:t>
            </w: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Fomentar el intercambio de ideas y mejores prácticas sobre el uso del sistema internacional de P.I. para solicitantes y Oficinas nacionales.</w:t>
            </w:r>
          </w:p>
        </w:tc>
      </w:tr>
      <w:tr w:rsidR="004E456B" w:rsidRPr="008466AF" w:rsidTr="00027A9C">
        <w:trPr>
          <w:cantSplit/>
        </w:trPr>
        <w:tc>
          <w:tcPr>
            <w:tcW w:w="1980"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Seminario regional para promover el uso de la propiedad industrial por parte de las pymes:  (Formar a los futuros/potenciales empresarios)</w:t>
            </w:r>
          </w:p>
        </w:tc>
        <w:tc>
          <w:tcPr>
            <w:tcW w:w="1260" w:type="dxa"/>
            <w:shd w:val="clear" w:color="auto" w:fill="auto"/>
            <w:tcMar>
              <w:top w:w="110" w:type="dxa"/>
            </w:tcMar>
          </w:tcPr>
          <w:p w:rsidR="004E456B" w:rsidRPr="006853FD" w:rsidRDefault="004E456B" w:rsidP="00027A9C">
            <w:pPr>
              <w:autoSpaceDE w:val="0"/>
              <w:autoSpaceDN w:val="0"/>
              <w:adjustRightInd w:val="0"/>
              <w:spacing w:before="120" w:after="120"/>
              <w:rPr>
                <w:sz w:val="16"/>
                <w:szCs w:val="16"/>
              </w:rPr>
            </w:pPr>
            <w:r w:rsidRPr="006853FD">
              <w:rPr>
                <w:rFonts w:eastAsia="Arial"/>
                <w:sz w:val="16"/>
                <w:szCs w:val="16"/>
                <w:bdr w:val="nil"/>
              </w:rPr>
              <w:t>19 y 20 de octubre de 2016</w:t>
            </w:r>
          </w:p>
        </w:tc>
        <w:tc>
          <w:tcPr>
            <w:tcW w:w="1862" w:type="dxa"/>
            <w:gridSpan w:val="2"/>
            <w:shd w:val="clear" w:color="auto" w:fill="auto"/>
            <w:tcMar>
              <w:top w:w="110" w:type="dxa"/>
            </w:tcMar>
          </w:tcPr>
          <w:p w:rsidR="004E456B" w:rsidRPr="006853FD" w:rsidRDefault="004E456B" w:rsidP="00027A9C">
            <w:pPr>
              <w:autoSpaceDE w:val="0"/>
              <w:autoSpaceDN w:val="0"/>
              <w:adjustRightInd w:val="0"/>
              <w:spacing w:before="120" w:after="120"/>
              <w:rPr>
                <w:sz w:val="16"/>
                <w:szCs w:val="16"/>
              </w:rPr>
            </w:pPr>
            <w:r w:rsidRPr="006853FD">
              <w:rPr>
                <w:rFonts w:eastAsia="Arial"/>
                <w:sz w:val="16"/>
                <w:szCs w:val="16"/>
                <w:bdr w:val="nil"/>
              </w:rPr>
              <w:t>México/ Todos los países de América Latina</w:t>
            </w: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Apoyar a las oficinas de P.I. en sus esfuerzos por crear servicios y programas para ayudar a las pymes a emplear el sistema de P.I.</w:t>
            </w:r>
          </w:p>
        </w:tc>
      </w:tr>
      <w:tr w:rsidR="004E456B" w:rsidRPr="008466AF" w:rsidTr="005E315A">
        <w:trPr>
          <w:cantSplit/>
          <w:trHeight w:val="2272"/>
        </w:trPr>
        <w:tc>
          <w:tcPr>
            <w:tcW w:w="1980" w:type="dxa"/>
          </w:tcPr>
          <w:p w:rsidR="004E456B" w:rsidRPr="009703BB" w:rsidRDefault="004E456B" w:rsidP="00027A9C">
            <w:pPr>
              <w:autoSpaceDE w:val="0"/>
              <w:autoSpaceDN w:val="0"/>
              <w:adjustRightInd w:val="0"/>
              <w:spacing w:before="120" w:after="120"/>
              <w:rPr>
                <w:color w:val="000000"/>
                <w:sz w:val="16"/>
                <w:szCs w:val="16"/>
              </w:rPr>
            </w:pPr>
            <w:r>
              <w:rPr>
                <w:rFonts w:eastAsia="Arial"/>
                <w:i/>
                <w:iCs/>
                <w:color w:val="000000"/>
                <w:sz w:val="16"/>
                <w:szCs w:val="16"/>
                <w:bdr w:val="nil"/>
              </w:rPr>
              <w:t>Jornada de sensibilización</w:t>
            </w:r>
            <w:r>
              <w:rPr>
                <w:rFonts w:eastAsia="Arial"/>
                <w:color w:val="000000"/>
                <w:sz w:val="16"/>
                <w:szCs w:val="16"/>
                <w:bdr w:val="nil"/>
              </w:rPr>
              <w:t xml:space="preserve"> con la Cámara de Comercio de España en México, organizada conjuntamente por la OEPM y el Instituto Mexicano de la Propiedad Intelectual (IMPI), con el respaldo de la OMPI</w:t>
            </w:r>
          </w:p>
        </w:tc>
        <w:tc>
          <w:tcPr>
            <w:tcW w:w="1260" w:type="dxa"/>
            <w:shd w:val="clear" w:color="auto" w:fill="auto"/>
            <w:tcMar>
              <w:top w:w="110" w:type="dxa"/>
            </w:tcMar>
          </w:tcPr>
          <w:p w:rsidR="004E456B" w:rsidRPr="006853FD" w:rsidRDefault="004E456B" w:rsidP="00027A9C">
            <w:pPr>
              <w:autoSpaceDE w:val="0"/>
              <w:autoSpaceDN w:val="0"/>
              <w:adjustRightInd w:val="0"/>
              <w:spacing w:before="120" w:after="120"/>
              <w:rPr>
                <w:sz w:val="16"/>
                <w:szCs w:val="16"/>
              </w:rPr>
            </w:pPr>
            <w:r w:rsidRPr="006853FD">
              <w:rPr>
                <w:rFonts w:eastAsia="Arial"/>
                <w:sz w:val="16"/>
                <w:szCs w:val="16"/>
                <w:bdr w:val="nil"/>
              </w:rPr>
              <w:t>21 de octubre de 2016</w:t>
            </w:r>
          </w:p>
        </w:tc>
        <w:tc>
          <w:tcPr>
            <w:tcW w:w="1862" w:type="dxa"/>
            <w:gridSpan w:val="2"/>
            <w:shd w:val="clear" w:color="auto" w:fill="auto"/>
            <w:tcMar>
              <w:top w:w="110" w:type="dxa"/>
            </w:tcMar>
          </w:tcPr>
          <w:p w:rsidR="004E456B" w:rsidRPr="006853FD" w:rsidRDefault="004E456B" w:rsidP="00027A9C">
            <w:pPr>
              <w:autoSpaceDE w:val="0"/>
              <w:autoSpaceDN w:val="0"/>
              <w:adjustRightInd w:val="0"/>
              <w:spacing w:before="120" w:after="120"/>
              <w:rPr>
                <w:sz w:val="16"/>
                <w:szCs w:val="16"/>
              </w:rPr>
            </w:pPr>
            <w:r w:rsidRPr="006853FD">
              <w:rPr>
                <w:rFonts w:eastAsia="Arial"/>
                <w:sz w:val="16"/>
                <w:szCs w:val="16"/>
                <w:bdr w:val="nil"/>
              </w:rPr>
              <w:t>México/ Todos los países de América Latina</w:t>
            </w: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Debatir la pertinencia de la protección y gestión de la P.I. para la competitividad industrial en el sector privado.</w:t>
            </w:r>
          </w:p>
        </w:tc>
      </w:tr>
      <w:tr w:rsidR="004E456B" w:rsidRPr="008466AF" w:rsidTr="00027A9C">
        <w:trPr>
          <w:cantSplit/>
          <w:trHeight w:val="1435"/>
        </w:trPr>
        <w:tc>
          <w:tcPr>
            <w:tcW w:w="1980" w:type="dxa"/>
          </w:tcPr>
          <w:p w:rsidR="004E456B" w:rsidRPr="009703BB" w:rsidRDefault="004E456B" w:rsidP="00027A9C">
            <w:pPr>
              <w:autoSpaceDE w:val="0"/>
              <w:autoSpaceDN w:val="0"/>
              <w:adjustRightInd w:val="0"/>
              <w:spacing w:before="120" w:after="120"/>
              <w:rPr>
                <w:b/>
                <w:color w:val="000000"/>
                <w:sz w:val="16"/>
                <w:szCs w:val="16"/>
              </w:rPr>
            </w:pPr>
            <w:r>
              <w:rPr>
                <w:rFonts w:eastAsia="Arial"/>
                <w:color w:val="000000"/>
                <w:sz w:val="16"/>
                <w:szCs w:val="16"/>
                <w:bdr w:val="nil"/>
              </w:rPr>
              <w:t>XV Seminario regional OMPI/AECID/OEPM sobre la P.I. para jueces y fiscales de países de América Latina</w:t>
            </w:r>
          </w:p>
        </w:tc>
        <w:tc>
          <w:tcPr>
            <w:tcW w:w="1260" w:type="dxa"/>
            <w:shd w:val="clear" w:color="auto" w:fill="auto"/>
            <w:tcMar>
              <w:top w:w="110" w:type="dxa"/>
            </w:tcMar>
          </w:tcPr>
          <w:p w:rsidR="004E456B" w:rsidRPr="00CF259D" w:rsidRDefault="004E456B" w:rsidP="00027A9C">
            <w:pPr>
              <w:autoSpaceDE w:val="0"/>
              <w:autoSpaceDN w:val="0"/>
              <w:adjustRightInd w:val="0"/>
              <w:spacing w:before="120" w:after="120"/>
              <w:rPr>
                <w:b/>
                <w:sz w:val="16"/>
                <w:szCs w:val="16"/>
              </w:rPr>
            </w:pPr>
            <w:r w:rsidRPr="00CF259D">
              <w:rPr>
                <w:rFonts w:eastAsia="Arial"/>
                <w:sz w:val="16"/>
                <w:szCs w:val="16"/>
                <w:bdr w:val="nil"/>
              </w:rPr>
              <w:t>16 a 20 de mayo de 2016</w:t>
            </w:r>
          </w:p>
        </w:tc>
        <w:tc>
          <w:tcPr>
            <w:tcW w:w="1862" w:type="dxa"/>
            <w:gridSpan w:val="2"/>
            <w:shd w:val="clear" w:color="auto" w:fill="auto"/>
            <w:tcMar>
              <w:top w:w="110" w:type="dxa"/>
            </w:tcMar>
          </w:tcPr>
          <w:p w:rsidR="004E456B" w:rsidRPr="00CF259D" w:rsidRDefault="004E456B" w:rsidP="00027A9C">
            <w:pPr>
              <w:keepNext/>
              <w:keepLines/>
              <w:autoSpaceDE w:val="0"/>
              <w:autoSpaceDN w:val="0"/>
              <w:adjustRightInd w:val="0"/>
              <w:spacing w:before="120" w:after="120"/>
              <w:rPr>
                <w:sz w:val="16"/>
                <w:szCs w:val="16"/>
              </w:rPr>
            </w:pPr>
            <w:r w:rsidRPr="00CF259D">
              <w:rPr>
                <w:rFonts w:eastAsia="Arial"/>
                <w:sz w:val="16"/>
                <w:szCs w:val="16"/>
                <w:bdr w:val="nil"/>
              </w:rPr>
              <w:t xml:space="preserve">Brasil/ Tribunal de Justicia de la Comunidad Andina (TJCA)/ Todos los países de América Latina </w:t>
            </w: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b/>
                <w:color w:val="000000"/>
                <w:sz w:val="16"/>
                <w:szCs w:val="16"/>
              </w:rPr>
            </w:pPr>
            <w:r>
              <w:rPr>
                <w:rFonts w:eastAsia="Arial"/>
                <w:color w:val="000000"/>
                <w:sz w:val="16"/>
                <w:szCs w:val="16"/>
                <w:bdr w:val="nil"/>
              </w:rPr>
              <w:t>i) Reforzar los conocimientos de los jueces y fiscales latinoamericanos sobre el sistema de P.I.; ii) facilitar la identificación de intereses comunes con el fin de permitir que se presenten ideas y propuestas; y iii) mejorar la calidad de las decisiones judiciales y las interpretaciones jurídicas</w:t>
            </w:r>
          </w:p>
        </w:tc>
      </w:tr>
      <w:tr w:rsidR="004E456B" w:rsidRPr="008466AF" w:rsidTr="00027A9C">
        <w:trPr>
          <w:cantSplit/>
          <w:trHeight w:val="1345"/>
        </w:trPr>
        <w:tc>
          <w:tcPr>
            <w:tcW w:w="1980"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lastRenderedPageBreak/>
              <w:t xml:space="preserve">Participación de un experto español en el Seminario regional sobre el Tratado de Singapur sobre el Derecho de Marcas (STLT) </w:t>
            </w:r>
          </w:p>
        </w:tc>
        <w:tc>
          <w:tcPr>
            <w:tcW w:w="1260" w:type="dxa"/>
            <w:shd w:val="clear" w:color="auto" w:fill="auto"/>
            <w:tcMar>
              <w:top w:w="110" w:type="dxa"/>
            </w:tcMar>
          </w:tcPr>
          <w:p w:rsidR="004E456B" w:rsidRPr="00CF259D" w:rsidRDefault="004E456B" w:rsidP="00027A9C">
            <w:pPr>
              <w:autoSpaceDE w:val="0"/>
              <w:autoSpaceDN w:val="0"/>
              <w:adjustRightInd w:val="0"/>
              <w:spacing w:before="120" w:after="120"/>
              <w:rPr>
                <w:sz w:val="16"/>
                <w:szCs w:val="16"/>
              </w:rPr>
            </w:pPr>
            <w:r w:rsidRPr="00CF259D">
              <w:rPr>
                <w:rFonts w:eastAsia="Arial"/>
                <w:sz w:val="16"/>
                <w:szCs w:val="16"/>
                <w:bdr w:val="nil"/>
              </w:rPr>
              <w:t>6 y 7 de septiembre de 2016</w:t>
            </w:r>
          </w:p>
        </w:tc>
        <w:tc>
          <w:tcPr>
            <w:tcW w:w="1862" w:type="dxa"/>
            <w:gridSpan w:val="2"/>
            <w:shd w:val="clear" w:color="auto" w:fill="auto"/>
            <w:tcMar>
              <w:top w:w="110" w:type="dxa"/>
            </w:tcMar>
          </w:tcPr>
          <w:p w:rsidR="004E456B" w:rsidRPr="00CF259D" w:rsidRDefault="004E456B" w:rsidP="00027A9C">
            <w:pPr>
              <w:keepNext/>
              <w:keepLines/>
              <w:autoSpaceDE w:val="0"/>
              <w:autoSpaceDN w:val="0"/>
              <w:adjustRightInd w:val="0"/>
              <w:spacing w:before="120" w:after="120"/>
              <w:rPr>
                <w:sz w:val="16"/>
                <w:szCs w:val="16"/>
              </w:rPr>
            </w:pPr>
            <w:r w:rsidRPr="00CF259D">
              <w:rPr>
                <w:rFonts w:eastAsia="Arial"/>
                <w:sz w:val="16"/>
                <w:szCs w:val="16"/>
                <w:bdr w:val="nil"/>
              </w:rPr>
              <w:t>Chile/ Todos los países de América Latina</w:t>
            </w:r>
          </w:p>
          <w:p w:rsidR="004E456B" w:rsidRPr="00CF259D" w:rsidRDefault="004E456B" w:rsidP="00027A9C">
            <w:pPr>
              <w:keepNext/>
              <w:keepLines/>
              <w:autoSpaceDE w:val="0"/>
              <w:autoSpaceDN w:val="0"/>
              <w:adjustRightInd w:val="0"/>
              <w:spacing w:before="120" w:after="120"/>
              <w:rPr>
                <w:sz w:val="16"/>
                <w:szCs w:val="16"/>
              </w:rPr>
            </w:pP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Compartir experiencias e ideas sobre el uso y la aplicación del STLT en España.</w:t>
            </w:r>
          </w:p>
        </w:tc>
      </w:tr>
      <w:tr w:rsidR="004E456B" w:rsidRPr="008466AF" w:rsidTr="00027A9C">
        <w:trPr>
          <w:cantSplit/>
          <w:trHeight w:val="843"/>
        </w:trPr>
        <w:tc>
          <w:tcPr>
            <w:tcW w:w="1980" w:type="dxa"/>
          </w:tcPr>
          <w:p w:rsidR="004E456B" w:rsidRPr="000B20DD"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Proyecto de sensibilización </w:t>
            </w:r>
          </w:p>
        </w:tc>
        <w:tc>
          <w:tcPr>
            <w:tcW w:w="1260" w:type="dxa"/>
            <w:shd w:val="clear" w:color="auto" w:fill="auto"/>
            <w:tcMar>
              <w:top w:w="110" w:type="dxa"/>
            </w:tcMar>
          </w:tcPr>
          <w:p w:rsidR="004E456B" w:rsidRPr="00CF259D" w:rsidRDefault="004E456B" w:rsidP="00027A9C">
            <w:pPr>
              <w:keepNext/>
              <w:keepLines/>
              <w:autoSpaceDE w:val="0"/>
              <w:autoSpaceDN w:val="0"/>
              <w:adjustRightInd w:val="0"/>
              <w:spacing w:before="120" w:after="120"/>
              <w:rPr>
                <w:sz w:val="16"/>
                <w:szCs w:val="16"/>
              </w:rPr>
            </w:pPr>
            <w:r w:rsidRPr="00CF259D">
              <w:rPr>
                <w:rFonts w:eastAsia="Arial"/>
                <w:sz w:val="16"/>
                <w:szCs w:val="16"/>
                <w:bdr w:val="nil"/>
              </w:rPr>
              <w:t>Marzo de 2016</w:t>
            </w:r>
          </w:p>
          <w:p w:rsidR="004E456B" w:rsidRPr="00CF259D" w:rsidRDefault="004E456B" w:rsidP="00027A9C">
            <w:pPr>
              <w:autoSpaceDE w:val="0"/>
              <w:autoSpaceDN w:val="0"/>
              <w:adjustRightInd w:val="0"/>
              <w:spacing w:before="120" w:after="120"/>
              <w:rPr>
                <w:sz w:val="16"/>
                <w:szCs w:val="16"/>
              </w:rPr>
            </w:pPr>
            <w:r w:rsidRPr="00CF259D">
              <w:rPr>
                <w:rFonts w:eastAsia="Arial"/>
                <w:sz w:val="16"/>
                <w:szCs w:val="16"/>
                <w:bdr w:val="nil"/>
              </w:rPr>
              <w:t>(en curso)</w:t>
            </w:r>
          </w:p>
        </w:tc>
        <w:tc>
          <w:tcPr>
            <w:tcW w:w="1862" w:type="dxa"/>
            <w:gridSpan w:val="2"/>
            <w:shd w:val="clear" w:color="auto" w:fill="auto"/>
            <w:tcMar>
              <w:top w:w="110" w:type="dxa"/>
            </w:tcMar>
          </w:tcPr>
          <w:p w:rsidR="004E456B" w:rsidRPr="00CF259D" w:rsidRDefault="004E456B" w:rsidP="00027A9C">
            <w:pPr>
              <w:keepNext/>
              <w:keepLines/>
              <w:autoSpaceDE w:val="0"/>
              <w:autoSpaceDN w:val="0"/>
              <w:adjustRightInd w:val="0"/>
              <w:spacing w:before="120" w:after="120"/>
              <w:rPr>
                <w:sz w:val="16"/>
                <w:szCs w:val="16"/>
              </w:rPr>
            </w:pPr>
            <w:r w:rsidRPr="00CF259D">
              <w:rPr>
                <w:rFonts w:eastAsia="Arial"/>
                <w:sz w:val="16"/>
                <w:szCs w:val="16"/>
                <w:bdr w:val="nil"/>
              </w:rPr>
              <w:t>Todos los países iberoamericanos</w:t>
            </w: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Producción de un programa de videojuego educativo para concienciar a los adolescentes sobre la P.I. </w:t>
            </w:r>
          </w:p>
        </w:tc>
      </w:tr>
      <w:tr w:rsidR="004E456B" w:rsidRPr="008466AF" w:rsidTr="00027A9C">
        <w:trPr>
          <w:cantSplit/>
          <w:trHeight w:val="1337"/>
        </w:trPr>
        <w:tc>
          <w:tcPr>
            <w:tcW w:w="1980" w:type="dxa"/>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Taller regional OMPI/OEPM/AECID para la formación de formadores sobre redacción de solicitudes de patente </w:t>
            </w:r>
          </w:p>
        </w:tc>
        <w:tc>
          <w:tcPr>
            <w:tcW w:w="1260" w:type="dxa"/>
            <w:shd w:val="clear" w:color="auto" w:fill="auto"/>
            <w:tcMar>
              <w:top w:w="110" w:type="dxa"/>
            </w:tcMar>
          </w:tcPr>
          <w:p w:rsidR="004E456B" w:rsidRPr="00CF259D" w:rsidRDefault="004E456B" w:rsidP="00027A9C">
            <w:pPr>
              <w:autoSpaceDE w:val="0"/>
              <w:autoSpaceDN w:val="0"/>
              <w:adjustRightInd w:val="0"/>
              <w:spacing w:before="120" w:after="120"/>
              <w:rPr>
                <w:sz w:val="16"/>
                <w:szCs w:val="16"/>
              </w:rPr>
            </w:pPr>
            <w:r w:rsidRPr="00CF259D">
              <w:rPr>
                <w:rFonts w:eastAsia="Arial"/>
                <w:sz w:val="16"/>
                <w:szCs w:val="16"/>
                <w:bdr w:val="nil"/>
              </w:rPr>
              <w:t>11 a 15 de abril de 2016</w:t>
            </w:r>
          </w:p>
          <w:p w:rsidR="004E456B" w:rsidRPr="00CF259D" w:rsidRDefault="004E456B" w:rsidP="00027A9C">
            <w:pPr>
              <w:autoSpaceDE w:val="0"/>
              <w:autoSpaceDN w:val="0"/>
              <w:adjustRightInd w:val="0"/>
              <w:spacing w:before="120" w:after="120"/>
              <w:rPr>
                <w:sz w:val="16"/>
                <w:szCs w:val="16"/>
              </w:rPr>
            </w:pPr>
            <w:r w:rsidRPr="00CF259D">
              <w:rPr>
                <w:rFonts w:eastAsia="Arial"/>
                <w:sz w:val="16"/>
                <w:szCs w:val="16"/>
                <w:bdr w:val="nil"/>
              </w:rPr>
              <w:t>(en curso)</w:t>
            </w:r>
          </w:p>
        </w:tc>
        <w:tc>
          <w:tcPr>
            <w:tcW w:w="1862" w:type="dxa"/>
            <w:gridSpan w:val="2"/>
            <w:shd w:val="clear" w:color="auto" w:fill="auto"/>
            <w:tcMar>
              <w:top w:w="110" w:type="dxa"/>
            </w:tcMar>
          </w:tcPr>
          <w:p w:rsidR="004E456B" w:rsidRPr="00CF259D" w:rsidRDefault="004E456B" w:rsidP="00027A9C">
            <w:pPr>
              <w:keepNext/>
              <w:keepLines/>
              <w:autoSpaceDE w:val="0"/>
              <w:autoSpaceDN w:val="0"/>
              <w:adjustRightInd w:val="0"/>
              <w:spacing w:before="120" w:after="120"/>
              <w:rPr>
                <w:sz w:val="16"/>
                <w:szCs w:val="16"/>
              </w:rPr>
            </w:pPr>
            <w:r w:rsidRPr="00CF259D">
              <w:rPr>
                <w:rFonts w:eastAsia="Arial"/>
                <w:sz w:val="16"/>
                <w:szCs w:val="16"/>
                <w:bdr w:val="nil"/>
              </w:rPr>
              <w:t>Colombia / Todos los países de América Latina</w:t>
            </w: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 xml:space="preserve">Establecer competencias para la organización de programas futuros de fortalecimiento de las capacidades a nivel nacional </w:t>
            </w:r>
            <w:r>
              <w:rPr>
                <w:rFonts w:eastAsia="Arial"/>
                <w:color w:val="000000"/>
                <w:sz w:val="16"/>
                <w:szCs w:val="16"/>
                <w:bdr w:val="nil"/>
              </w:rPr>
              <w:br/>
              <w:t>en toda la región.</w:t>
            </w:r>
          </w:p>
        </w:tc>
      </w:tr>
      <w:tr w:rsidR="004E456B" w:rsidRPr="008466AF" w:rsidTr="00027A9C">
        <w:trPr>
          <w:cantSplit/>
        </w:trPr>
        <w:tc>
          <w:tcPr>
            <w:tcW w:w="9360" w:type="dxa"/>
            <w:gridSpan w:val="5"/>
            <w:shd w:val="clear" w:color="auto" w:fill="C6D9F1"/>
            <w:vAlign w:val="center"/>
          </w:tcPr>
          <w:p w:rsidR="004E456B" w:rsidRPr="00CF259D" w:rsidRDefault="004E456B" w:rsidP="00027A9C">
            <w:pPr>
              <w:tabs>
                <w:tab w:val="left" w:pos="1740"/>
              </w:tabs>
              <w:spacing w:before="120" w:after="120"/>
              <w:ind w:left="1740" w:hanging="1740"/>
              <w:rPr>
                <w:b/>
                <w:bCs/>
                <w:sz w:val="16"/>
                <w:szCs w:val="16"/>
              </w:rPr>
            </w:pPr>
            <w:r w:rsidRPr="00CF259D">
              <w:rPr>
                <w:rFonts w:eastAsia="Arial"/>
                <w:b/>
                <w:bCs/>
                <w:sz w:val="16"/>
                <w:szCs w:val="16"/>
                <w:bdr w:val="nil"/>
              </w:rPr>
              <w:t>RESULTADO:</w:t>
            </w:r>
            <w:r w:rsidRPr="00CF259D">
              <w:rPr>
                <w:rFonts w:eastAsia="Arial"/>
                <w:b/>
                <w:bCs/>
                <w:sz w:val="16"/>
                <w:szCs w:val="16"/>
                <w:bdr w:val="nil"/>
              </w:rPr>
              <w:tab/>
            </w:r>
            <w:r w:rsidRPr="00CF259D">
              <w:rPr>
                <w:rFonts w:eastAsia="Arial"/>
                <w:sz w:val="16"/>
                <w:szCs w:val="16"/>
                <w:bdr w:val="nil"/>
              </w:rPr>
              <w:t>III.4  Fortalecimiento de los mecanismos y de los programas de cooperación conforme a las necesidades de los países en desarrollo, PMA y países con economías en transición</w:t>
            </w:r>
          </w:p>
        </w:tc>
      </w:tr>
      <w:tr w:rsidR="004E456B" w:rsidTr="00027A9C">
        <w:trPr>
          <w:cantSplit/>
        </w:trPr>
        <w:tc>
          <w:tcPr>
            <w:tcW w:w="1980" w:type="dxa"/>
            <w:shd w:val="clear" w:color="auto" w:fill="auto"/>
          </w:tcPr>
          <w:p w:rsidR="004E456B" w:rsidRPr="00CF259D" w:rsidRDefault="004E456B" w:rsidP="00027A9C">
            <w:pPr>
              <w:autoSpaceDE w:val="0"/>
              <w:autoSpaceDN w:val="0"/>
              <w:adjustRightInd w:val="0"/>
              <w:spacing w:before="120" w:after="120"/>
              <w:jc w:val="center"/>
              <w:rPr>
                <w:b/>
                <w:sz w:val="16"/>
                <w:szCs w:val="16"/>
              </w:rPr>
            </w:pPr>
            <w:r w:rsidRPr="00CF259D">
              <w:rPr>
                <w:rFonts w:eastAsia="Arial"/>
                <w:b/>
                <w:bCs/>
                <w:sz w:val="16"/>
                <w:szCs w:val="16"/>
                <w:bdr w:val="nil"/>
              </w:rPr>
              <w:t>Actividad</w:t>
            </w:r>
          </w:p>
        </w:tc>
        <w:tc>
          <w:tcPr>
            <w:tcW w:w="1277" w:type="dxa"/>
            <w:gridSpan w:val="2"/>
            <w:shd w:val="clear" w:color="auto" w:fill="auto"/>
            <w:tcMar>
              <w:top w:w="110" w:type="dxa"/>
            </w:tcMar>
          </w:tcPr>
          <w:p w:rsidR="004E456B" w:rsidRPr="00CF259D" w:rsidRDefault="004E456B" w:rsidP="00027A9C">
            <w:pPr>
              <w:autoSpaceDE w:val="0"/>
              <w:autoSpaceDN w:val="0"/>
              <w:adjustRightInd w:val="0"/>
              <w:spacing w:before="120" w:after="120"/>
              <w:jc w:val="center"/>
              <w:rPr>
                <w:b/>
                <w:sz w:val="16"/>
                <w:szCs w:val="16"/>
              </w:rPr>
            </w:pPr>
            <w:r w:rsidRPr="00CF259D">
              <w:rPr>
                <w:rFonts w:eastAsia="Arial"/>
                <w:b/>
                <w:bCs/>
                <w:sz w:val="16"/>
                <w:szCs w:val="16"/>
                <w:bdr w:val="nil"/>
              </w:rPr>
              <w:t>Fecha</w:t>
            </w:r>
          </w:p>
        </w:tc>
        <w:tc>
          <w:tcPr>
            <w:tcW w:w="1845" w:type="dxa"/>
            <w:shd w:val="clear" w:color="auto" w:fill="auto"/>
            <w:tcMar>
              <w:top w:w="110" w:type="dxa"/>
            </w:tcMar>
          </w:tcPr>
          <w:p w:rsidR="004E456B" w:rsidRPr="00CF259D" w:rsidRDefault="004E456B" w:rsidP="00027A9C">
            <w:pPr>
              <w:autoSpaceDE w:val="0"/>
              <w:autoSpaceDN w:val="0"/>
              <w:adjustRightInd w:val="0"/>
              <w:spacing w:before="120" w:after="120"/>
              <w:jc w:val="center"/>
              <w:rPr>
                <w:b/>
                <w:sz w:val="16"/>
                <w:szCs w:val="16"/>
              </w:rPr>
            </w:pPr>
            <w:r w:rsidRPr="00CF259D">
              <w:rPr>
                <w:rFonts w:eastAsia="Arial"/>
                <w:b/>
                <w:bCs/>
                <w:sz w:val="16"/>
                <w:szCs w:val="16"/>
                <w:bdr w:val="nil"/>
              </w:rPr>
              <w:t>País anfitrión / Beneficiarios</w:t>
            </w:r>
          </w:p>
        </w:tc>
        <w:tc>
          <w:tcPr>
            <w:tcW w:w="4258" w:type="dxa"/>
            <w:shd w:val="clear" w:color="auto" w:fill="auto"/>
            <w:tcMar>
              <w:top w:w="110" w:type="dxa"/>
            </w:tcMar>
          </w:tcPr>
          <w:p w:rsidR="004E456B" w:rsidRPr="00CF259D" w:rsidRDefault="004E456B" w:rsidP="00027A9C">
            <w:pPr>
              <w:autoSpaceDE w:val="0"/>
              <w:autoSpaceDN w:val="0"/>
              <w:adjustRightInd w:val="0"/>
              <w:spacing w:before="120" w:after="120"/>
              <w:jc w:val="center"/>
              <w:rPr>
                <w:b/>
                <w:sz w:val="16"/>
                <w:szCs w:val="16"/>
              </w:rPr>
            </w:pPr>
            <w:r w:rsidRPr="00CF259D">
              <w:rPr>
                <w:rFonts w:eastAsia="Arial"/>
                <w:b/>
                <w:bCs/>
                <w:sz w:val="16"/>
                <w:szCs w:val="16"/>
                <w:bdr w:val="nil"/>
              </w:rPr>
              <w:t>Propósito(s)/Descripción</w:t>
            </w:r>
          </w:p>
        </w:tc>
      </w:tr>
      <w:tr w:rsidR="004E456B" w:rsidRPr="008466AF" w:rsidTr="00027A9C">
        <w:trPr>
          <w:cantSplit/>
        </w:trPr>
        <w:tc>
          <w:tcPr>
            <w:tcW w:w="1980" w:type="dxa"/>
          </w:tcPr>
          <w:p w:rsidR="004E456B" w:rsidRPr="00CF259D" w:rsidRDefault="004E456B" w:rsidP="00027A9C">
            <w:pPr>
              <w:autoSpaceDE w:val="0"/>
              <w:autoSpaceDN w:val="0"/>
              <w:adjustRightInd w:val="0"/>
              <w:spacing w:after="120"/>
              <w:rPr>
                <w:sz w:val="16"/>
                <w:szCs w:val="16"/>
              </w:rPr>
            </w:pPr>
            <w:r w:rsidRPr="00CF259D">
              <w:rPr>
                <w:rFonts w:eastAsia="Arial"/>
                <w:sz w:val="16"/>
                <w:szCs w:val="16"/>
                <w:bdr w:val="nil"/>
              </w:rPr>
              <w:t xml:space="preserve">Participación de la Directora de la OEPM en la Reunión Regional de la OMPI de Directores de Oficinas de Propiedad Industrial de los países de América Latina </w:t>
            </w:r>
          </w:p>
        </w:tc>
        <w:tc>
          <w:tcPr>
            <w:tcW w:w="1277" w:type="dxa"/>
            <w:gridSpan w:val="2"/>
            <w:shd w:val="clear" w:color="auto" w:fill="auto"/>
            <w:tcMar>
              <w:top w:w="110" w:type="dxa"/>
            </w:tcMar>
          </w:tcPr>
          <w:p w:rsidR="004E456B" w:rsidRPr="00CF259D" w:rsidRDefault="004E456B" w:rsidP="00027A9C">
            <w:pPr>
              <w:autoSpaceDE w:val="0"/>
              <w:autoSpaceDN w:val="0"/>
              <w:adjustRightInd w:val="0"/>
              <w:spacing w:after="120"/>
              <w:rPr>
                <w:sz w:val="16"/>
                <w:szCs w:val="16"/>
              </w:rPr>
            </w:pPr>
            <w:r w:rsidRPr="00CF259D">
              <w:rPr>
                <w:rFonts w:eastAsia="Arial"/>
                <w:sz w:val="16"/>
                <w:szCs w:val="16"/>
                <w:bdr w:val="nil"/>
              </w:rPr>
              <w:t>15 y 16 de septiembre de 2016</w:t>
            </w:r>
          </w:p>
        </w:tc>
        <w:tc>
          <w:tcPr>
            <w:tcW w:w="1845" w:type="dxa"/>
            <w:shd w:val="clear" w:color="auto" w:fill="auto"/>
            <w:tcMar>
              <w:top w:w="110" w:type="dxa"/>
            </w:tcMar>
          </w:tcPr>
          <w:p w:rsidR="004E456B" w:rsidRPr="00CF259D" w:rsidRDefault="004E456B" w:rsidP="00027A9C">
            <w:pPr>
              <w:autoSpaceDE w:val="0"/>
              <w:autoSpaceDN w:val="0"/>
              <w:adjustRightInd w:val="0"/>
              <w:spacing w:after="120"/>
              <w:rPr>
                <w:sz w:val="16"/>
                <w:szCs w:val="16"/>
              </w:rPr>
            </w:pPr>
            <w:r w:rsidRPr="00CF259D">
              <w:rPr>
                <w:rFonts w:eastAsia="Arial"/>
                <w:sz w:val="16"/>
                <w:szCs w:val="16"/>
                <w:bdr w:val="nil"/>
              </w:rPr>
              <w:t>Colombia / Todos los países de América Latina</w:t>
            </w:r>
          </w:p>
        </w:tc>
        <w:tc>
          <w:tcPr>
            <w:tcW w:w="4258" w:type="dxa"/>
            <w:shd w:val="clear" w:color="auto" w:fill="FFFFFF"/>
            <w:tcMar>
              <w:top w:w="110" w:type="dxa"/>
            </w:tcMar>
          </w:tcPr>
          <w:p w:rsidR="004E456B" w:rsidRPr="00CF259D" w:rsidRDefault="004E456B" w:rsidP="00027A9C">
            <w:pPr>
              <w:autoSpaceDE w:val="0"/>
              <w:autoSpaceDN w:val="0"/>
              <w:adjustRightInd w:val="0"/>
              <w:spacing w:after="120"/>
              <w:rPr>
                <w:b/>
                <w:sz w:val="16"/>
                <w:szCs w:val="16"/>
              </w:rPr>
            </w:pPr>
            <w:r w:rsidRPr="00CF259D">
              <w:rPr>
                <w:rFonts w:eastAsia="Arial"/>
                <w:sz w:val="16"/>
                <w:szCs w:val="16"/>
                <w:bdr w:val="nil"/>
              </w:rPr>
              <w:t>Facilitar el intercambio de ideas y mejores prácticas con los países de América Latina.</w:t>
            </w:r>
          </w:p>
        </w:tc>
      </w:tr>
      <w:tr w:rsidR="004E456B" w:rsidRPr="008466AF" w:rsidTr="00027A9C">
        <w:trPr>
          <w:cantSplit/>
        </w:trPr>
        <w:tc>
          <w:tcPr>
            <w:tcW w:w="1980" w:type="dxa"/>
          </w:tcPr>
          <w:p w:rsidR="004E456B" w:rsidRPr="00CF259D" w:rsidRDefault="004E456B" w:rsidP="00027A9C">
            <w:pPr>
              <w:autoSpaceDE w:val="0"/>
              <w:autoSpaceDN w:val="0"/>
              <w:adjustRightInd w:val="0"/>
              <w:spacing w:before="120" w:after="120"/>
              <w:rPr>
                <w:sz w:val="16"/>
                <w:szCs w:val="16"/>
              </w:rPr>
            </w:pPr>
            <w:r w:rsidRPr="00CF259D">
              <w:rPr>
                <w:rFonts w:eastAsia="Arial"/>
                <w:sz w:val="16"/>
                <w:szCs w:val="16"/>
                <w:bdr w:val="nil"/>
              </w:rPr>
              <w:t>Participación de la Directora de la OEPM en la Reunión Regional de la OMPI de Directores de Oficinas de Propiedad Industrial y de Fomento de las Exportaciones de los países de América Latina</w:t>
            </w:r>
          </w:p>
        </w:tc>
        <w:tc>
          <w:tcPr>
            <w:tcW w:w="1277" w:type="dxa"/>
            <w:gridSpan w:val="2"/>
            <w:shd w:val="clear" w:color="auto" w:fill="auto"/>
            <w:tcMar>
              <w:top w:w="110" w:type="dxa"/>
            </w:tcMar>
          </w:tcPr>
          <w:p w:rsidR="004E456B" w:rsidRPr="00CF259D" w:rsidRDefault="004E456B" w:rsidP="00027A9C">
            <w:pPr>
              <w:autoSpaceDE w:val="0"/>
              <w:autoSpaceDN w:val="0"/>
              <w:adjustRightInd w:val="0"/>
              <w:spacing w:before="120" w:after="120"/>
              <w:rPr>
                <w:sz w:val="16"/>
                <w:szCs w:val="16"/>
              </w:rPr>
            </w:pPr>
            <w:r w:rsidRPr="00CF259D">
              <w:rPr>
                <w:rFonts w:eastAsia="Arial"/>
                <w:sz w:val="16"/>
                <w:szCs w:val="16"/>
                <w:bdr w:val="nil"/>
              </w:rPr>
              <w:t>14 y 15 de septiembre de 2016</w:t>
            </w:r>
          </w:p>
        </w:tc>
        <w:tc>
          <w:tcPr>
            <w:tcW w:w="1845" w:type="dxa"/>
            <w:shd w:val="clear" w:color="auto" w:fill="auto"/>
            <w:tcMar>
              <w:top w:w="110" w:type="dxa"/>
            </w:tcMar>
          </w:tcPr>
          <w:p w:rsidR="004E456B" w:rsidRPr="00CF259D" w:rsidRDefault="004E456B" w:rsidP="00027A9C">
            <w:pPr>
              <w:autoSpaceDE w:val="0"/>
              <w:autoSpaceDN w:val="0"/>
              <w:adjustRightInd w:val="0"/>
              <w:spacing w:before="120" w:after="120"/>
              <w:rPr>
                <w:sz w:val="16"/>
                <w:szCs w:val="16"/>
              </w:rPr>
            </w:pPr>
            <w:r w:rsidRPr="00CF259D">
              <w:rPr>
                <w:rFonts w:eastAsia="Arial"/>
                <w:sz w:val="16"/>
                <w:szCs w:val="16"/>
                <w:bdr w:val="nil"/>
              </w:rPr>
              <w:t>Colombia / Todos los países de América Latina</w:t>
            </w:r>
          </w:p>
        </w:tc>
        <w:tc>
          <w:tcPr>
            <w:tcW w:w="4258" w:type="dxa"/>
            <w:shd w:val="clear" w:color="auto" w:fill="FFFFFF"/>
            <w:tcMar>
              <w:top w:w="110" w:type="dxa"/>
            </w:tcMar>
          </w:tcPr>
          <w:p w:rsidR="004E456B" w:rsidRPr="009703BB" w:rsidRDefault="004E456B" w:rsidP="00027A9C">
            <w:pPr>
              <w:autoSpaceDE w:val="0"/>
              <w:autoSpaceDN w:val="0"/>
              <w:adjustRightInd w:val="0"/>
              <w:spacing w:before="120" w:after="120"/>
              <w:rPr>
                <w:color w:val="000000"/>
                <w:sz w:val="16"/>
                <w:szCs w:val="16"/>
              </w:rPr>
            </w:pPr>
            <w:r>
              <w:rPr>
                <w:rFonts w:eastAsia="Arial"/>
                <w:color w:val="000000"/>
                <w:sz w:val="16"/>
                <w:szCs w:val="16"/>
                <w:bdr w:val="nil"/>
              </w:rPr>
              <w:t>Facilitar el intercambio de información acerca de las estrategias para respaldar el uso de los sistemas de P.I. por parte de los exportadores.</w:t>
            </w:r>
          </w:p>
        </w:tc>
      </w:tr>
      <w:tr w:rsidR="004E456B" w:rsidRPr="008466AF" w:rsidTr="00027A9C">
        <w:trPr>
          <w:cantSplit/>
        </w:trPr>
        <w:tc>
          <w:tcPr>
            <w:tcW w:w="9360" w:type="dxa"/>
            <w:gridSpan w:val="5"/>
            <w:shd w:val="clear" w:color="auto" w:fill="C6D9F1"/>
            <w:vAlign w:val="center"/>
          </w:tcPr>
          <w:p w:rsidR="004E456B" w:rsidRPr="00CF259D" w:rsidRDefault="004E456B" w:rsidP="00027A9C">
            <w:pPr>
              <w:keepNext/>
              <w:keepLines/>
              <w:tabs>
                <w:tab w:val="left" w:pos="1740"/>
              </w:tabs>
              <w:spacing w:before="120" w:after="120"/>
              <w:ind w:left="1740" w:hanging="1740"/>
              <w:rPr>
                <w:b/>
                <w:bCs/>
                <w:sz w:val="16"/>
                <w:szCs w:val="16"/>
              </w:rPr>
            </w:pPr>
            <w:r w:rsidRPr="00CF259D">
              <w:rPr>
                <w:rFonts w:eastAsia="Arial"/>
                <w:b/>
                <w:bCs/>
                <w:sz w:val="16"/>
                <w:szCs w:val="16"/>
                <w:bdr w:val="nil"/>
              </w:rPr>
              <w:t>RESULTADO:</w:t>
            </w:r>
            <w:r w:rsidRPr="00CF259D">
              <w:rPr>
                <w:rFonts w:eastAsia="Arial"/>
                <w:b/>
                <w:bCs/>
                <w:sz w:val="16"/>
                <w:szCs w:val="16"/>
                <w:bdr w:val="nil"/>
              </w:rPr>
              <w:tab/>
            </w:r>
            <w:r w:rsidRPr="00CF259D">
              <w:rPr>
                <w:rFonts w:eastAsia="Arial"/>
                <w:sz w:val="16"/>
                <w:szCs w:val="16"/>
                <w:bdr w:val="nil"/>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r>
      <w:tr w:rsidR="004E456B" w:rsidTr="00027A9C">
        <w:trPr>
          <w:cantSplit/>
          <w:trHeight w:val="553"/>
        </w:trPr>
        <w:tc>
          <w:tcPr>
            <w:tcW w:w="1980" w:type="dxa"/>
            <w:shd w:val="clear" w:color="auto" w:fill="auto"/>
          </w:tcPr>
          <w:p w:rsidR="004E456B" w:rsidRPr="00CF259D" w:rsidRDefault="004E456B" w:rsidP="00027A9C">
            <w:pPr>
              <w:keepNext/>
              <w:keepLines/>
              <w:autoSpaceDE w:val="0"/>
              <w:autoSpaceDN w:val="0"/>
              <w:adjustRightInd w:val="0"/>
              <w:spacing w:before="120" w:after="120"/>
              <w:jc w:val="center"/>
              <w:rPr>
                <w:b/>
                <w:sz w:val="16"/>
                <w:szCs w:val="16"/>
              </w:rPr>
            </w:pPr>
            <w:r w:rsidRPr="00CF259D">
              <w:rPr>
                <w:rFonts w:eastAsia="Arial"/>
                <w:b/>
                <w:bCs/>
                <w:sz w:val="16"/>
                <w:szCs w:val="16"/>
                <w:bdr w:val="nil"/>
              </w:rPr>
              <w:t>Actividad</w:t>
            </w:r>
          </w:p>
        </w:tc>
        <w:tc>
          <w:tcPr>
            <w:tcW w:w="1277" w:type="dxa"/>
            <w:gridSpan w:val="2"/>
            <w:shd w:val="clear" w:color="auto" w:fill="auto"/>
            <w:tcMar>
              <w:top w:w="110" w:type="dxa"/>
            </w:tcMar>
          </w:tcPr>
          <w:p w:rsidR="004E456B" w:rsidRPr="00CF259D" w:rsidRDefault="004E456B" w:rsidP="00027A9C">
            <w:pPr>
              <w:keepNext/>
              <w:keepLines/>
              <w:autoSpaceDE w:val="0"/>
              <w:autoSpaceDN w:val="0"/>
              <w:adjustRightInd w:val="0"/>
              <w:spacing w:before="120" w:after="120"/>
              <w:jc w:val="center"/>
              <w:rPr>
                <w:b/>
                <w:sz w:val="16"/>
                <w:szCs w:val="16"/>
              </w:rPr>
            </w:pPr>
            <w:r w:rsidRPr="00CF259D">
              <w:rPr>
                <w:rFonts w:eastAsia="Arial"/>
                <w:b/>
                <w:bCs/>
                <w:sz w:val="16"/>
                <w:szCs w:val="16"/>
                <w:bdr w:val="nil"/>
              </w:rPr>
              <w:t>Fecha</w:t>
            </w:r>
          </w:p>
        </w:tc>
        <w:tc>
          <w:tcPr>
            <w:tcW w:w="1845" w:type="dxa"/>
            <w:shd w:val="clear" w:color="auto" w:fill="auto"/>
            <w:tcMar>
              <w:top w:w="110" w:type="dxa"/>
            </w:tcMar>
          </w:tcPr>
          <w:p w:rsidR="004E456B" w:rsidRPr="00CF259D" w:rsidRDefault="004E456B" w:rsidP="00027A9C">
            <w:pPr>
              <w:keepNext/>
              <w:keepLines/>
              <w:autoSpaceDE w:val="0"/>
              <w:autoSpaceDN w:val="0"/>
              <w:adjustRightInd w:val="0"/>
              <w:spacing w:before="120" w:after="120"/>
              <w:jc w:val="center"/>
              <w:rPr>
                <w:b/>
                <w:sz w:val="16"/>
                <w:szCs w:val="16"/>
              </w:rPr>
            </w:pPr>
            <w:r w:rsidRPr="00CF259D">
              <w:rPr>
                <w:rFonts w:eastAsia="Arial"/>
                <w:b/>
                <w:bCs/>
                <w:sz w:val="16"/>
                <w:szCs w:val="16"/>
                <w:bdr w:val="nil"/>
              </w:rPr>
              <w:t>País anfitrión / Beneficiarios</w:t>
            </w:r>
          </w:p>
        </w:tc>
        <w:tc>
          <w:tcPr>
            <w:tcW w:w="4258" w:type="dxa"/>
            <w:shd w:val="clear" w:color="auto" w:fill="auto"/>
            <w:tcMar>
              <w:top w:w="110" w:type="dxa"/>
            </w:tcMar>
          </w:tcPr>
          <w:p w:rsidR="004E456B" w:rsidRPr="00CF259D" w:rsidRDefault="004E456B" w:rsidP="00027A9C">
            <w:pPr>
              <w:keepNext/>
              <w:keepLines/>
              <w:autoSpaceDE w:val="0"/>
              <w:autoSpaceDN w:val="0"/>
              <w:adjustRightInd w:val="0"/>
              <w:spacing w:before="120" w:after="120"/>
              <w:jc w:val="center"/>
              <w:rPr>
                <w:b/>
                <w:sz w:val="16"/>
                <w:szCs w:val="16"/>
              </w:rPr>
            </w:pPr>
            <w:r w:rsidRPr="00CF259D">
              <w:rPr>
                <w:rFonts w:eastAsia="Arial"/>
                <w:b/>
                <w:bCs/>
                <w:sz w:val="16"/>
                <w:szCs w:val="16"/>
                <w:bdr w:val="nil"/>
              </w:rPr>
              <w:t>Propósito(s)/Descripción</w:t>
            </w:r>
          </w:p>
        </w:tc>
      </w:tr>
      <w:tr w:rsidR="004E456B" w:rsidRPr="008466AF" w:rsidTr="00027A9C">
        <w:trPr>
          <w:cantSplit/>
        </w:trPr>
        <w:tc>
          <w:tcPr>
            <w:tcW w:w="1980" w:type="dxa"/>
            <w:shd w:val="clear" w:color="auto" w:fill="auto"/>
          </w:tcPr>
          <w:p w:rsidR="004E456B" w:rsidRPr="00CF259D" w:rsidRDefault="004E456B" w:rsidP="00027A9C">
            <w:pPr>
              <w:keepNext/>
              <w:keepLines/>
              <w:autoSpaceDE w:val="0"/>
              <w:autoSpaceDN w:val="0"/>
              <w:adjustRightInd w:val="0"/>
              <w:rPr>
                <w:sz w:val="16"/>
                <w:szCs w:val="16"/>
              </w:rPr>
            </w:pPr>
            <w:r w:rsidRPr="00CF259D">
              <w:rPr>
                <w:rFonts w:eastAsia="Arial"/>
                <w:sz w:val="16"/>
                <w:szCs w:val="16"/>
                <w:bdr w:val="nil"/>
              </w:rPr>
              <w:t xml:space="preserve">PROYECTO LATIPAT </w:t>
            </w:r>
            <w:r>
              <w:rPr>
                <w:rFonts w:eastAsia="Arial"/>
                <w:sz w:val="16"/>
                <w:szCs w:val="16"/>
                <w:bdr w:val="nil"/>
              </w:rPr>
              <w:t>XII Reunión regional OMPI</w:t>
            </w:r>
            <w:r w:rsidRPr="00CF259D">
              <w:rPr>
                <w:rFonts w:eastAsia="Arial"/>
                <w:sz w:val="16"/>
                <w:szCs w:val="16"/>
                <w:bdr w:val="nil"/>
              </w:rPr>
              <w:t>/OEPM/OEP de especialistas en TI y gestión de la información contenida en patentes de las oficinas de propiedad industrial de América Latina</w:t>
            </w:r>
          </w:p>
        </w:tc>
        <w:tc>
          <w:tcPr>
            <w:tcW w:w="1277" w:type="dxa"/>
            <w:gridSpan w:val="2"/>
            <w:shd w:val="clear" w:color="auto" w:fill="auto"/>
            <w:tcMar>
              <w:top w:w="110" w:type="dxa"/>
            </w:tcMar>
          </w:tcPr>
          <w:p w:rsidR="004E456B" w:rsidRPr="00CF259D" w:rsidRDefault="004E456B" w:rsidP="00027A9C">
            <w:pPr>
              <w:keepNext/>
              <w:keepLines/>
              <w:autoSpaceDE w:val="0"/>
              <w:autoSpaceDN w:val="0"/>
              <w:adjustRightInd w:val="0"/>
              <w:rPr>
                <w:sz w:val="16"/>
                <w:szCs w:val="16"/>
                <w:lang w:eastAsia="ja-JP"/>
              </w:rPr>
            </w:pPr>
            <w:r w:rsidRPr="00CF259D">
              <w:rPr>
                <w:rFonts w:eastAsia="Arial"/>
                <w:sz w:val="16"/>
                <w:szCs w:val="16"/>
                <w:bdr w:val="nil"/>
                <w:lang w:eastAsia="ja-JP"/>
              </w:rPr>
              <w:t>29 de noviembre a 2 de diciembre de 2016</w:t>
            </w:r>
          </w:p>
          <w:p w:rsidR="004E456B" w:rsidRPr="00CF259D" w:rsidRDefault="004E456B" w:rsidP="00027A9C">
            <w:pPr>
              <w:keepNext/>
              <w:keepLines/>
              <w:autoSpaceDE w:val="0"/>
              <w:autoSpaceDN w:val="0"/>
              <w:adjustRightInd w:val="0"/>
              <w:rPr>
                <w:sz w:val="16"/>
                <w:szCs w:val="16"/>
              </w:rPr>
            </w:pPr>
          </w:p>
        </w:tc>
        <w:tc>
          <w:tcPr>
            <w:tcW w:w="1845" w:type="dxa"/>
            <w:shd w:val="clear" w:color="auto" w:fill="auto"/>
            <w:tcMar>
              <w:top w:w="110" w:type="dxa"/>
            </w:tcMar>
          </w:tcPr>
          <w:p w:rsidR="004E456B" w:rsidRPr="00CF259D" w:rsidRDefault="004E456B" w:rsidP="00027A9C">
            <w:pPr>
              <w:keepNext/>
              <w:keepLines/>
              <w:autoSpaceDE w:val="0"/>
              <w:autoSpaceDN w:val="0"/>
              <w:adjustRightInd w:val="0"/>
              <w:rPr>
                <w:sz w:val="16"/>
                <w:szCs w:val="16"/>
              </w:rPr>
            </w:pPr>
            <w:r w:rsidRPr="00CF259D">
              <w:rPr>
                <w:rFonts w:eastAsia="Arial"/>
                <w:sz w:val="16"/>
                <w:szCs w:val="16"/>
                <w:bdr w:val="nil"/>
              </w:rPr>
              <w:t>Cuba/ Todos los países de América Latina</w:t>
            </w:r>
          </w:p>
          <w:p w:rsidR="004E456B" w:rsidRPr="00CF259D" w:rsidRDefault="004E456B" w:rsidP="00027A9C">
            <w:pPr>
              <w:keepNext/>
              <w:keepLines/>
              <w:autoSpaceDE w:val="0"/>
              <w:autoSpaceDN w:val="0"/>
              <w:adjustRightInd w:val="0"/>
              <w:jc w:val="center"/>
              <w:rPr>
                <w:sz w:val="16"/>
                <w:szCs w:val="16"/>
              </w:rPr>
            </w:pPr>
          </w:p>
          <w:p w:rsidR="004E456B" w:rsidRPr="00CF259D" w:rsidRDefault="004E456B" w:rsidP="00027A9C">
            <w:pPr>
              <w:keepNext/>
              <w:keepLines/>
              <w:autoSpaceDE w:val="0"/>
              <w:autoSpaceDN w:val="0"/>
              <w:adjustRightInd w:val="0"/>
              <w:jc w:val="center"/>
              <w:rPr>
                <w:sz w:val="16"/>
                <w:szCs w:val="16"/>
              </w:rPr>
            </w:pPr>
          </w:p>
        </w:tc>
        <w:tc>
          <w:tcPr>
            <w:tcW w:w="4258" w:type="dxa"/>
            <w:shd w:val="clear" w:color="auto" w:fill="auto"/>
            <w:tcMar>
              <w:top w:w="110" w:type="dxa"/>
            </w:tcMar>
          </w:tcPr>
          <w:p w:rsidR="004E456B" w:rsidRPr="00CF259D" w:rsidRDefault="004E456B" w:rsidP="00027A9C">
            <w:pPr>
              <w:keepNext/>
              <w:keepLines/>
              <w:autoSpaceDE w:val="0"/>
              <w:autoSpaceDN w:val="0"/>
              <w:adjustRightInd w:val="0"/>
              <w:rPr>
                <w:sz w:val="16"/>
                <w:szCs w:val="16"/>
              </w:rPr>
            </w:pPr>
            <w:r w:rsidRPr="00CF259D">
              <w:rPr>
                <w:rFonts w:eastAsia="Arial"/>
                <w:sz w:val="16"/>
                <w:szCs w:val="16"/>
                <w:bdr w:val="nil"/>
              </w:rPr>
              <w:t>El proyecto LATIPAT se concibió para crear y ofrecer una base de datos con información de patentes de todos los países de América Latina.  En la actualidad, tanto en los países de América Latina como en distintos foros internacionales relacionados con la información contenida en las patentes, el proyecto LATIPAT constituye un ejemplo de dedicación, perseverancia y trabajo en equipo.  Gracias a una labor de más de 15 años, la base de datos contiene más de 2 millones de documentos y recibe una media de 14.000 visitas al mes.</w:t>
            </w:r>
          </w:p>
          <w:p w:rsidR="004E456B" w:rsidRPr="00CF259D" w:rsidRDefault="004E456B" w:rsidP="00027A9C">
            <w:pPr>
              <w:keepNext/>
              <w:keepLines/>
              <w:autoSpaceDE w:val="0"/>
              <w:autoSpaceDN w:val="0"/>
              <w:adjustRightInd w:val="0"/>
              <w:rPr>
                <w:sz w:val="16"/>
                <w:szCs w:val="16"/>
              </w:rPr>
            </w:pPr>
            <w:r w:rsidRPr="00CF259D">
              <w:rPr>
                <w:rFonts w:eastAsia="Arial"/>
                <w:sz w:val="16"/>
                <w:szCs w:val="16"/>
                <w:bdr w:val="nil"/>
                <w:lang w:eastAsia="ja-JP"/>
              </w:rPr>
              <w:t>Los Estados miembros de</w:t>
            </w:r>
            <w:r>
              <w:rPr>
                <w:rFonts w:eastAsia="Arial"/>
                <w:sz w:val="16"/>
                <w:szCs w:val="16"/>
                <w:bdr w:val="nil"/>
                <w:lang w:eastAsia="ja-JP"/>
              </w:rPr>
              <w:t xml:space="preserve"> A</w:t>
            </w:r>
            <w:r w:rsidRPr="00CF259D">
              <w:rPr>
                <w:rFonts w:eastAsia="Arial"/>
                <w:sz w:val="16"/>
                <w:szCs w:val="16"/>
                <w:bdr w:val="nil"/>
                <w:lang w:eastAsia="ja-JP"/>
              </w:rPr>
              <w:t>mérica</w:t>
            </w:r>
            <w:r>
              <w:rPr>
                <w:rFonts w:eastAsia="Arial"/>
                <w:sz w:val="16"/>
                <w:szCs w:val="16"/>
                <w:bdr w:val="nil"/>
                <w:lang w:eastAsia="ja-JP"/>
              </w:rPr>
              <w:t xml:space="preserve"> Latina</w:t>
            </w:r>
            <w:r w:rsidRPr="00CF259D">
              <w:rPr>
                <w:rFonts w:eastAsia="Arial"/>
                <w:sz w:val="16"/>
                <w:szCs w:val="16"/>
                <w:bdr w:val="nil"/>
                <w:lang w:eastAsia="ja-JP"/>
              </w:rPr>
              <w:t xml:space="preserve"> y España se reúnen cada año para tratar la gestión del proyecto y la adopción de nuevos elementos.</w:t>
            </w:r>
          </w:p>
        </w:tc>
      </w:tr>
    </w:tbl>
    <w:p w:rsidR="004E456B" w:rsidRPr="009703BB" w:rsidRDefault="004E456B" w:rsidP="00027A9C">
      <w:pPr>
        <w:rPr>
          <w:sz w:val="20"/>
        </w:rPr>
      </w:pPr>
    </w:p>
    <w:p w:rsidR="004E456B" w:rsidRPr="009703BB" w:rsidRDefault="004E456B" w:rsidP="00027A9C">
      <w:pPr>
        <w:rPr>
          <w:sz w:val="20"/>
        </w:rPr>
      </w:pPr>
    </w:p>
    <w:p w:rsidR="004E456B" w:rsidRPr="00CF259D" w:rsidRDefault="004E456B" w:rsidP="00027A9C">
      <w:pPr>
        <w:keepNext/>
        <w:rPr>
          <w:b/>
          <w:bCs/>
          <w:sz w:val="20"/>
        </w:rPr>
      </w:pPr>
      <w:r w:rsidRPr="00CF259D">
        <w:rPr>
          <w:rFonts w:eastAsia="Arial"/>
          <w:b/>
          <w:bCs/>
          <w:sz w:val="20"/>
          <w:bdr w:val="nil"/>
        </w:rPr>
        <w:lastRenderedPageBreak/>
        <w:t>ESPAÑA – Contribuciones del donante y gastos en 2016</w:t>
      </w:r>
    </w:p>
    <w:p w:rsidR="004E456B" w:rsidRPr="00CF259D" w:rsidRDefault="004E456B" w:rsidP="00027A9C">
      <w:pPr>
        <w:keepNext/>
        <w:rPr>
          <w:b/>
          <w:bCs/>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CF259D" w:rsidRDefault="004E456B" w:rsidP="00027A9C">
            <w:pPr>
              <w:keepNext/>
              <w:jc w:val="center"/>
              <w:rPr>
                <w:b/>
                <w:bCs/>
                <w:sz w:val="16"/>
                <w:szCs w:val="16"/>
              </w:rPr>
            </w:pPr>
            <w:r w:rsidRPr="00CF259D">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CF259D" w:rsidRDefault="004E456B" w:rsidP="00027A9C">
            <w:pPr>
              <w:keepNext/>
              <w:jc w:val="center"/>
              <w:rPr>
                <w:b/>
                <w:bCs/>
                <w:sz w:val="16"/>
                <w:szCs w:val="16"/>
              </w:rPr>
            </w:pPr>
            <w:r w:rsidRPr="00CF259D">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CF259D" w:rsidRDefault="004E456B" w:rsidP="00027A9C">
            <w:pPr>
              <w:keepNext/>
              <w:jc w:val="center"/>
              <w:rPr>
                <w:b/>
                <w:bCs/>
                <w:sz w:val="16"/>
                <w:szCs w:val="16"/>
              </w:rPr>
            </w:pPr>
            <w:r w:rsidRPr="00CF259D">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CF259D" w:rsidRDefault="004E456B" w:rsidP="00027A9C">
            <w:pPr>
              <w:keepNext/>
              <w:jc w:val="center"/>
              <w:rPr>
                <w:b/>
                <w:bCs/>
                <w:sz w:val="16"/>
                <w:szCs w:val="16"/>
              </w:rPr>
            </w:pPr>
            <w:r w:rsidRPr="00CF259D">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CF259D" w:rsidRDefault="004E456B" w:rsidP="00027A9C">
            <w:pPr>
              <w:keepNext/>
              <w:jc w:val="center"/>
              <w:rPr>
                <w:b/>
                <w:bCs/>
                <w:sz w:val="16"/>
                <w:szCs w:val="16"/>
              </w:rPr>
            </w:pPr>
            <w:r w:rsidRPr="00CF259D">
              <w:rPr>
                <w:rFonts w:eastAsia="Arial"/>
                <w:b/>
                <w:bCs/>
                <w:sz w:val="16"/>
                <w:szCs w:val="16"/>
                <w:bdr w:val="nil"/>
              </w:rPr>
              <w:t>Saldo al 31 de diciembre de 2016</w:t>
            </w:r>
          </w:p>
        </w:tc>
      </w:tr>
      <w:tr w:rsidR="004E456B" w:rsidRPr="00CF259D" w:rsidTr="00027A9C">
        <w:trPr>
          <w:trHeight w:val="357"/>
        </w:trPr>
        <w:tc>
          <w:tcPr>
            <w:tcW w:w="1814" w:type="dxa"/>
            <w:tcBorders>
              <w:top w:val="nil"/>
              <w:left w:val="nil"/>
              <w:bottom w:val="nil"/>
              <w:right w:val="nil"/>
            </w:tcBorders>
            <w:shd w:val="clear" w:color="auto" w:fill="auto"/>
            <w:noWrap/>
            <w:vAlign w:val="bottom"/>
            <w:hideMark/>
          </w:tcPr>
          <w:p w:rsidR="004E456B" w:rsidRPr="00CF259D" w:rsidRDefault="004E456B" w:rsidP="00027A9C">
            <w:pPr>
              <w:keepNext/>
              <w:jc w:val="center"/>
              <w:rPr>
                <w:sz w:val="16"/>
                <w:szCs w:val="16"/>
              </w:rPr>
            </w:pPr>
            <w:r w:rsidRPr="00CF259D">
              <w:rPr>
                <w:sz w:val="16"/>
                <w:szCs w:val="16"/>
              </w:rPr>
              <w:t>107.221</w:t>
            </w:r>
          </w:p>
        </w:tc>
        <w:tc>
          <w:tcPr>
            <w:tcW w:w="1814" w:type="dxa"/>
            <w:tcBorders>
              <w:top w:val="nil"/>
              <w:left w:val="nil"/>
              <w:bottom w:val="nil"/>
              <w:right w:val="nil"/>
            </w:tcBorders>
            <w:shd w:val="clear" w:color="auto" w:fill="auto"/>
            <w:noWrap/>
            <w:vAlign w:val="bottom"/>
            <w:hideMark/>
          </w:tcPr>
          <w:p w:rsidR="004E456B" w:rsidRPr="00CF259D" w:rsidRDefault="004E456B" w:rsidP="00027A9C">
            <w:pPr>
              <w:keepNext/>
              <w:jc w:val="center"/>
              <w:rPr>
                <w:sz w:val="16"/>
                <w:szCs w:val="16"/>
              </w:rPr>
            </w:pPr>
            <w:r w:rsidRPr="00CF259D">
              <w:rPr>
                <w:sz w:val="16"/>
                <w:szCs w:val="16"/>
              </w:rPr>
              <w:t>165.276</w:t>
            </w:r>
          </w:p>
        </w:tc>
        <w:tc>
          <w:tcPr>
            <w:tcW w:w="1815" w:type="dxa"/>
            <w:tcBorders>
              <w:top w:val="nil"/>
              <w:left w:val="nil"/>
              <w:bottom w:val="nil"/>
              <w:right w:val="nil"/>
            </w:tcBorders>
            <w:shd w:val="clear" w:color="auto" w:fill="auto"/>
            <w:noWrap/>
            <w:vAlign w:val="bottom"/>
            <w:hideMark/>
          </w:tcPr>
          <w:p w:rsidR="004E456B" w:rsidRPr="00CF259D" w:rsidRDefault="004E456B" w:rsidP="00027A9C">
            <w:pPr>
              <w:keepNext/>
              <w:jc w:val="center"/>
              <w:rPr>
                <w:sz w:val="16"/>
                <w:szCs w:val="16"/>
              </w:rPr>
            </w:pPr>
            <w:r w:rsidRPr="00CF259D">
              <w:rPr>
                <w:sz w:val="16"/>
                <w:szCs w:val="16"/>
              </w:rPr>
              <w:t>180.441</w:t>
            </w:r>
          </w:p>
        </w:tc>
        <w:tc>
          <w:tcPr>
            <w:tcW w:w="1814" w:type="dxa"/>
            <w:tcBorders>
              <w:top w:val="nil"/>
              <w:left w:val="nil"/>
              <w:bottom w:val="nil"/>
              <w:right w:val="nil"/>
            </w:tcBorders>
            <w:shd w:val="clear" w:color="auto" w:fill="auto"/>
            <w:noWrap/>
            <w:vAlign w:val="bottom"/>
            <w:hideMark/>
          </w:tcPr>
          <w:p w:rsidR="004E456B" w:rsidRPr="00CF259D" w:rsidRDefault="004E456B" w:rsidP="00027A9C">
            <w:pPr>
              <w:keepNext/>
              <w:jc w:val="center"/>
              <w:rPr>
                <w:sz w:val="16"/>
                <w:szCs w:val="16"/>
              </w:rPr>
            </w:pPr>
            <w:r w:rsidRPr="00CF259D">
              <w:rPr>
                <w:sz w:val="16"/>
                <w:szCs w:val="16"/>
              </w:rPr>
              <w:t>-</w:t>
            </w:r>
          </w:p>
        </w:tc>
        <w:tc>
          <w:tcPr>
            <w:tcW w:w="1815" w:type="dxa"/>
            <w:tcBorders>
              <w:top w:val="nil"/>
              <w:left w:val="nil"/>
              <w:bottom w:val="nil"/>
              <w:right w:val="nil"/>
            </w:tcBorders>
            <w:shd w:val="clear" w:color="auto" w:fill="auto"/>
            <w:noWrap/>
            <w:vAlign w:val="bottom"/>
            <w:hideMark/>
          </w:tcPr>
          <w:p w:rsidR="004E456B" w:rsidRPr="00CF259D" w:rsidRDefault="004E456B" w:rsidP="00027A9C">
            <w:pPr>
              <w:keepNext/>
              <w:jc w:val="center"/>
              <w:rPr>
                <w:sz w:val="16"/>
                <w:szCs w:val="16"/>
              </w:rPr>
            </w:pPr>
            <w:r w:rsidRPr="00CF259D">
              <w:rPr>
                <w:sz w:val="16"/>
                <w:szCs w:val="16"/>
              </w:rPr>
              <w:t>92.056</w:t>
            </w:r>
          </w:p>
        </w:tc>
      </w:tr>
    </w:tbl>
    <w:p w:rsidR="004E456B" w:rsidRPr="007B5E22" w:rsidRDefault="004E456B" w:rsidP="00027A9C">
      <w:pPr>
        <w:rPr>
          <w:b/>
          <w:bCs/>
          <w:sz w:val="20"/>
        </w:rPr>
      </w:pPr>
    </w:p>
    <w:p w:rsidR="004E456B" w:rsidRPr="007B5E22" w:rsidRDefault="004E456B">
      <w:pPr>
        <w:rPr>
          <w:rFonts w:eastAsia="Arial"/>
          <w:b/>
          <w:bCs/>
          <w:sz w:val="20"/>
          <w:bdr w:val="nil"/>
        </w:rPr>
      </w:pPr>
    </w:p>
    <w:p w:rsidR="004E456B" w:rsidRPr="001E4DC0" w:rsidRDefault="004E456B" w:rsidP="00027A9C">
      <w:pPr>
        <w:rPr>
          <w:rFonts w:asciiTheme="minorBidi" w:hAnsiTheme="minorBidi" w:cstheme="minorBidi"/>
          <w:b/>
          <w:sz w:val="20"/>
        </w:rPr>
      </w:pPr>
      <w:r>
        <w:rPr>
          <w:rFonts w:eastAsia="Arial"/>
          <w:b/>
          <w:bCs/>
          <w:sz w:val="20"/>
          <w:bdr w:val="nil"/>
        </w:rPr>
        <w:t>FONDO DE LAS NACIONES UNIDAS PARA LA COLABORACIÓN INTERNACIONAL / Punto final al hambre de libros de las personas discapacitadas</w:t>
      </w:r>
    </w:p>
    <w:p w:rsidR="004E456B" w:rsidRPr="001E4DC0" w:rsidRDefault="004E456B" w:rsidP="00027A9C">
      <w:pPr>
        <w:rPr>
          <w:rFonts w:asciiTheme="minorBidi" w:hAnsiTheme="minorBidi" w:cstheme="minorBidi"/>
          <w:sz w:val="20"/>
        </w:rPr>
      </w:pPr>
    </w:p>
    <w:tbl>
      <w:tblPr>
        <w:tblW w:w="9072" w:type="dxa"/>
        <w:tblInd w:w="108" w:type="dxa"/>
        <w:tblLayout w:type="fixed"/>
        <w:tblLook w:val="04A0" w:firstRow="1" w:lastRow="0" w:firstColumn="1" w:lastColumn="0" w:noHBand="0" w:noVBand="1"/>
      </w:tblPr>
      <w:tblGrid>
        <w:gridCol w:w="1788"/>
        <w:gridCol w:w="1241"/>
        <w:gridCol w:w="1378"/>
        <w:gridCol w:w="4665"/>
      </w:tblGrid>
      <w:tr w:rsidR="004E456B" w:rsidRPr="008466AF" w:rsidTr="00027A9C">
        <w:trPr>
          <w:cantSplit/>
          <w:trHeight w:val="315"/>
        </w:trPr>
        <w:tc>
          <w:tcPr>
            <w:tcW w:w="9360" w:type="dxa"/>
            <w:gridSpan w:val="4"/>
            <w:shd w:val="clear" w:color="auto" w:fill="C6D9F1" w:themeFill="text2" w:themeFillTint="33"/>
            <w:hideMark/>
          </w:tcPr>
          <w:p w:rsidR="004E456B" w:rsidRPr="001164DA" w:rsidRDefault="004E456B" w:rsidP="00027A9C">
            <w:pPr>
              <w:tabs>
                <w:tab w:val="left" w:pos="1740"/>
              </w:tabs>
              <w:spacing w:before="120" w:after="120"/>
              <w:ind w:left="1740" w:hanging="1740"/>
              <w:rPr>
                <w:rFonts w:cs="Times New Roman"/>
                <w:sz w:val="18"/>
                <w:szCs w:val="18"/>
              </w:rPr>
            </w:pPr>
            <w:r w:rsidRPr="001164DA">
              <w:rPr>
                <w:rFonts w:eastAsia="Arial"/>
                <w:b/>
                <w:bCs/>
                <w:sz w:val="16"/>
                <w:szCs w:val="16"/>
                <w:bdr w:val="nil"/>
              </w:rPr>
              <w:t>RESULTADO:</w:t>
            </w:r>
            <w:r w:rsidRPr="001164DA">
              <w:rPr>
                <w:rFonts w:eastAsia="Arial"/>
                <w:b/>
                <w:bCs/>
                <w:sz w:val="16"/>
                <w:szCs w:val="16"/>
                <w:bdr w:val="nil"/>
              </w:rPr>
              <w:tab/>
            </w:r>
            <w:r w:rsidRPr="001164DA">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Tr="00027A9C">
        <w:trPr>
          <w:cantSplit/>
          <w:trHeight w:val="473"/>
        </w:trPr>
        <w:tc>
          <w:tcPr>
            <w:tcW w:w="1843" w:type="dxa"/>
            <w:vAlign w:val="center"/>
            <w:hideMark/>
          </w:tcPr>
          <w:p w:rsidR="004E456B" w:rsidRPr="001164DA" w:rsidRDefault="004E456B" w:rsidP="00027A9C">
            <w:pPr>
              <w:jc w:val="center"/>
              <w:rPr>
                <w:b/>
                <w:bCs/>
                <w:sz w:val="16"/>
                <w:szCs w:val="16"/>
              </w:rPr>
            </w:pPr>
            <w:r w:rsidRPr="001164DA">
              <w:rPr>
                <w:rFonts w:eastAsia="Arial"/>
                <w:b/>
                <w:bCs/>
                <w:sz w:val="16"/>
                <w:szCs w:val="16"/>
                <w:bdr w:val="nil"/>
              </w:rPr>
              <w:t>Actividad</w:t>
            </w:r>
          </w:p>
        </w:tc>
        <w:tc>
          <w:tcPr>
            <w:tcW w:w="1277" w:type="dxa"/>
            <w:vAlign w:val="center"/>
            <w:hideMark/>
          </w:tcPr>
          <w:p w:rsidR="004E456B" w:rsidRPr="001164DA" w:rsidRDefault="004E456B" w:rsidP="00027A9C">
            <w:pPr>
              <w:keepNext/>
              <w:keepLines/>
              <w:jc w:val="center"/>
              <w:rPr>
                <w:sz w:val="16"/>
                <w:szCs w:val="16"/>
              </w:rPr>
            </w:pPr>
            <w:r w:rsidRPr="001164DA">
              <w:rPr>
                <w:rFonts w:eastAsia="Arial"/>
                <w:b/>
                <w:bCs/>
                <w:sz w:val="16"/>
                <w:szCs w:val="16"/>
                <w:bdr w:val="nil"/>
              </w:rPr>
              <w:t>Fecha</w:t>
            </w:r>
          </w:p>
        </w:tc>
        <w:tc>
          <w:tcPr>
            <w:tcW w:w="1418" w:type="dxa"/>
            <w:vAlign w:val="center"/>
            <w:hideMark/>
          </w:tcPr>
          <w:p w:rsidR="004E456B" w:rsidRPr="001164DA" w:rsidRDefault="004E456B" w:rsidP="00027A9C">
            <w:pPr>
              <w:keepNext/>
              <w:keepLines/>
              <w:jc w:val="center"/>
              <w:rPr>
                <w:sz w:val="16"/>
                <w:szCs w:val="16"/>
              </w:rPr>
            </w:pPr>
            <w:r w:rsidRPr="001164DA">
              <w:rPr>
                <w:rFonts w:eastAsia="Arial"/>
                <w:b/>
                <w:bCs/>
                <w:sz w:val="16"/>
                <w:szCs w:val="16"/>
                <w:bdr w:val="nil"/>
              </w:rPr>
              <w:t>País anfitrión / Beneficiarios</w:t>
            </w:r>
          </w:p>
        </w:tc>
        <w:tc>
          <w:tcPr>
            <w:tcW w:w="4822" w:type="dxa"/>
            <w:vAlign w:val="center"/>
            <w:hideMark/>
          </w:tcPr>
          <w:p w:rsidR="004E456B" w:rsidRPr="001164DA" w:rsidRDefault="004E456B" w:rsidP="00027A9C">
            <w:pPr>
              <w:keepNext/>
              <w:keepLines/>
              <w:jc w:val="center"/>
              <w:rPr>
                <w:sz w:val="16"/>
                <w:szCs w:val="16"/>
              </w:rPr>
            </w:pPr>
            <w:r w:rsidRPr="001164DA">
              <w:rPr>
                <w:rFonts w:eastAsia="Arial"/>
                <w:b/>
                <w:bCs/>
                <w:sz w:val="16"/>
                <w:szCs w:val="16"/>
                <w:bdr w:val="nil"/>
              </w:rPr>
              <w:t>Propósito(s)/Descripción</w:t>
            </w:r>
          </w:p>
        </w:tc>
      </w:tr>
      <w:tr w:rsidR="004E456B" w:rsidRPr="008466AF" w:rsidTr="00027A9C">
        <w:trPr>
          <w:cantSplit/>
          <w:trHeight w:val="473"/>
        </w:trPr>
        <w:tc>
          <w:tcPr>
            <w:tcW w:w="1843" w:type="dxa"/>
          </w:tcPr>
          <w:p w:rsidR="004E456B" w:rsidRPr="009703BB" w:rsidRDefault="004E456B" w:rsidP="00027A9C">
            <w:pPr>
              <w:autoSpaceDE w:val="0"/>
              <w:autoSpaceDN w:val="0"/>
              <w:adjustRightInd w:val="0"/>
              <w:spacing w:before="120" w:after="120"/>
              <w:rPr>
                <w:color w:val="000000"/>
                <w:sz w:val="16"/>
                <w:szCs w:val="16"/>
              </w:rPr>
            </w:pPr>
            <w:r>
              <w:rPr>
                <w:rFonts w:eastAsia="Arial"/>
                <w:sz w:val="16"/>
                <w:szCs w:val="16"/>
                <w:bdr w:val="nil"/>
              </w:rPr>
              <w:t>Formación y asistencia técnica por medio de un memorando de entendimiento con el Consorcio DAISY, un asociado del ABC</w:t>
            </w:r>
          </w:p>
        </w:tc>
        <w:tc>
          <w:tcPr>
            <w:tcW w:w="1277" w:type="dxa"/>
          </w:tcPr>
          <w:p w:rsidR="004E456B" w:rsidRPr="001164DA" w:rsidRDefault="004E456B" w:rsidP="00027A9C">
            <w:pPr>
              <w:keepNext/>
              <w:keepLines/>
              <w:autoSpaceDE w:val="0"/>
              <w:autoSpaceDN w:val="0"/>
              <w:adjustRightInd w:val="0"/>
              <w:spacing w:before="120" w:after="120"/>
              <w:rPr>
                <w:sz w:val="16"/>
                <w:szCs w:val="16"/>
              </w:rPr>
            </w:pPr>
            <w:r w:rsidRPr="001164DA">
              <w:rPr>
                <w:rFonts w:eastAsia="Arial"/>
                <w:sz w:val="16"/>
                <w:szCs w:val="16"/>
                <w:bdr w:val="nil"/>
              </w:rPr>
              <w:t>1 de julio a 31 de diciembre de 2016</w:t>
            </w:r>
          </w:p>
          <w:p w:rsidR="004E456B" w:rsidRPr="001164DA" w:rsidRDefault="004E456B" w:rsidP="00027A9C">
            <w:pPr>
              <w:keepNext/>
              <w:keepLines/>
              <w:autoSpaceDE w:val="0"/>
              <w:autoSpaceDN w:val="0"/>
              <w:adjustRightInd w:val="0"/>
              <w:spacing w:before="120" w:after="120"/>
              <w:rPr>
                <w:sz w:val="16"/>
                <w:szCs w:val="16"/>
              </w:rPr>
            </w:pPr>
            <w:r w:rsidRPr="001164DA">
              <w:rPr>
                <w:rFonts w:eastAsia="Arial"/>
                <w:sz w:val="16"/>
                <w:szCs w:val="16"/>
                <w:bdr w:val="nil"/>
              </w:rPr>
              <w:t>(en curso)</w:t>
            </w:r>
          </w:p>
        </w:tc>
        <w:tc>
          <w:tcPr>
            <w:tcW w:w="1418" w:type="dxa"/>
          </w:tcPr>
          <w:p w:rsidR="004E456B" w:rsidRPr="001164DA" w:rsidRDefault="004E456B" w:rsidP="00027A9C">
            <w:pPr>
              <w:autoSpaceDE w:val="0"/>
              <w:autoSpaceDN w:val="0"/>
              <w:adjustRightInd w:val="0"/>
              <w:spacing w:before="120" w:after="120"/>
              <w:rPr>
                <w:sz w:val="16"/>
                <w:szCs w:val="16"/>
              </w:rPr>
            </w:pPr>
            <w:r w:rsidRPr="001164DA">
              <w:rPr>
                <w:rFonts w:eastAsia="Arial"/>
                <w:sz w:val="16"/>
                <w:szCs w:val="16"/>
                <w:bdr w:val="nil"/>
              </w:rPr>
              <w:t>India</w:t>
            </w:r>
          </w:p>
          <w:p w:rsidR="004E456B" w:rsidRPr="001164DA" w:rsidRDefault="004E456B" w:rsidP="00027A9C">
            <w:pPr>
              <w:autoSpaceDE w:val="0"/>
              <w:autoSpaceDN w:val="0"/>
              <w:adjustRightInd w:val="0"/>
              <w:spacing w:before="120" w:after="120"/>
              <w:rPr>
                <w:sz w:val="16"/>
                <w:szCs w:val="16"/>
              </w:rPr>
            </w:pPr>
          </w:p>
        </w:tc>
        <w:tc>
          <w:tcPr>
            <w:tcW w:w="4822" w:type="dxa"/>
          </w:tcPr>
          <w:p w:rsidR="004E456B" w:rsidRPr="009703BB" w:rsidRDefault="004E456B" w:rsidP="00027A9C">
            <w:pPr>
              <w:rPr>
                <w:sz w:val="16"/>
                <w:szCs w:val="16"/>
              </w:rPr>
            </w:pPr>
          </w:p>
          <w:p w:rsidR="004E456B" w:rsidRPr="009703BB" w:rsidRDefault="004E456B" w:rsidP="00027A9C">
            <w:pPr>
              <w:rPr>
                <w:sz w:val="16"/>
                <w:szCs w:val="16"/>
              </w:rPr>
            </w:pPr>
            <w:r>
              <w:rPr>
                <w:rFonts w:eastAsia="Arial"/>
                <w:sz w:val="16"/>
                <w:szCs w:val="16"/>
                <w:bdr w:val="nil"/>
              </w:rPr>
              <w:t xml:space="preserve">i) Mejorar la comprensión acerca de las cuestiones de accesibilidad para las personas que tienen dificultades para acceder al texto impreso; y ii) proporcionar formación sobre la producción de libros electrónicos accesibles digitalmente para las editoriales de libros de texto en los estados indios de Haryana, Chhattisgarh, Maharashtra, Karnataka, Tamil Nadu, Andhra Pradesh y Gujarat, de modo que estén en condiciones de: </w:t>
            </w:r>
          </w:p>
          <w:p w:rsidR="004E456B" w:rsidRPr="009703BB" w:rsidRDefault="004E456B" w:rsidP="00BE17BF">
            <w:pPr>
              <w:numPr>
                <w:ilvl w:val="0"/>
                <w:numId w:val="107"/>
              </w:numPr>
              <w:spacing w:after="120" w:line="257" w:lineRule="auto"/>
              <w:ind w:left="189" w:hanging="189"/>
              <w:contextualSpacing/>
              <w:rPr>
                <w:rFonts w:eastAsiaTheme="minorHAnsi"/>
                <w:sz w:val="16"/>
                <w:szCs w:val="16"/>
              </w:rPr>
            </w:pPr>
            <w:r>
              <w:rPr>
                <w:rFonts w:eastAsia="Arial"/>
                <w:sz w:val="16"/>
                <w:szCs w:val="16"/>
                <w:bdr w:val="nil"/>
              </w:rPr>
              <w:t xml:space="preserve">convertir los libros de texto existentes en el formato EPUB accesible utilizando la fuente Unicode para las clases de educación secundaria; y </w:t>
            </w:r>
          </w:p>
          <w:p w:rsidR="004E456B" w:rsidRPr="009703BB" w:rsidRDefault="004E456B" w:rsidP="00BE17BF">
            <w:pPr>
              <w:numPr>
                <w:ilvl w:val="0"/>
                <w:numId w:val="107"/>
              </w:numPr>
              <w:spacing w:after="120" w:line="257" w:lineRule="auto"/>
              <w:ind w:left="189" w:hanging="189"/>
              <w:contextualSpacing/>
              <w:rPr>
                <w:rFonts w:eastAsiaTheme="minorHAnsi"/>
                <w:sz w:val="16"/>
                <w:szCs w:val="16"/>
              </w:rPr>
            </w:pPr>
            <w:r>
              <w:rPr>
                <w:rFonts w:eastAsia="Arial"/>
                <w:sz w:val="16"/>
                <w:szCs w:val="16"/>
                <w:bdr w:val="nil"/>
              </w:rPr>
              <w:t xml:space="preserve">garantizar que, en el futuro, los libros se preparen usando una fuente basada en Unicode y que los archivos EPUB de dichos libros se pongan a disposición de las personas que tienen dificultades para acceder al texto impreso o de las organizaciones que les proporcionan servicios. </w:t>
            </w:r>
          </w:p>
          <w:p w:rsidR="004E456B" w:rsidRPr="009703BB" w:rsidRDefault="004E456B" w:rsidP="00027A9C">
            <w:pPr>
              <w:rPr>
                <w:sz w:val="16"/>
                <w:szCs w:val="16"/>
              </w:rPr>
            </w:pPr>
            <w:r>
              <w:rPr>
                <w:rFonts w:eastAsia="Arial"/>
                <w:sz w:val="16"/>
                <w:szCs w:val="16"/>
                <w:bdr w:val="nil"/>
              </w:rPr>
              <w:t xml:space="preserve">Además, con el proyecto se pretende aumentar la disponibilidad de libros en braille de la siguiente manera: </w:t>
            </w:r>
          </w:p>
          <w:p w:rsidR="004E456B" w:rsidRPr="009703BB" w:rsidRDefault="004E456B" w:rsidP="00BE17BF">
            <w:pPr>
              <w:numPr>
                <w:ilvl w:val="0"/>
                <w:numId w:val="107"/>
              </w:numPr>
              <w:spacing w:after="120" w:line="257" w:lineRule="auto"/>
              <w:ind w:left="189" w:hanging="189"/>
              <w:contextualSpacing/>
              <w:rPr>
                <w:rFonts w:eastAsiaTheme="minorHAnsi"/>
                <w:sz w:val="16"/>
                <w:szCs w:val="16"/>
              </w:rPr>
            </w:pPr>
            <w:r>
              <w:rPr>
                <w:rFonts w:eastAsia="Arial"/>
                <w:sz w:val="16"/>
                <w:szCs w:val="16"/>
                <w:bdr w:val="nil"/>
              </w:rPr>
              <w:t xml:space="preserve">proporcionando formación a prensas braille sobre la producción de copias braille en papel a partir de los archivos digitales existentes en línea; y </w:t>
            </w:r>
          </w:p>
          <w:p w:rsidR="004E456B" w:rsidRPr="009703BB" w:rsidRDefault="004E456B" w:rsidP="00BE17BF">
            <w:pPr>
              <w:numPr>
                <w:ilvl w:val="0"/>
                <w:numId w:val="107"/>
              </w:numPr>
              <w:spacing w:after="120" w:line="257" w:lineRule="auto"/>
              <w:ind w:left="189" w:hanging="189"/>
              <w:contextualSpacing/>
              <w:rPr>
                <w:rFonts w:asciiTheme="minorHAnsi" w:eastAsiaTheme="minorHAnsi" w:hAnsiTheme="minorHAnsi"/>
                <w:color w:val="000000"/>
                <w:sz w:val="16"/>
                <w:szCs w:val="16"/>
              </w:rPr>
            </w:pPr>
            <w:r>
              <w:rPr>
                <w:rFonts w:eastAsia="Arial"/>
                <w:sz w:val="16"/>
                <w:szCs w:val="16"/>
                <w:bdr w:val="nil"/>
              </w:rPr>
              <w:t>creando un manual de formación que describa el flujo de trabajo para la producción de una copia braille en papel a partir de los textos electrónicos existentes en línea.</w:t>
            </w:r>
          </w:p>
        </w:tc>
      </w:tr>
    </w:tbl>
    <w:p w:rsidR="004E456B" w:rsidRPr="009703BB" w:rsidRDefault="004E456B" w:rsidP="00027A9C">
      <w:pPr>
        <w:rPr>
          <w:rFonts w:cs="Times New Roman"/>
          <w:sz w:val="27"/>
          <w:szCs w:val="27"/>
        </w:rPr>
      </w:pPr>
    </w:p>
    <w:p w:rsidR="004E456B" w:rsidRPr="001E4DC0" w:rsidRDefault="004E456B" w:rsidP="00027A9C">
      <w:pPr>
        <w:rPr>
          <w:rFonts w:cs="Times New Roman"/>
          <w:b/>
          <w:sz w:val="20"/>
        </w:rPr>
      </w:pPr>
      <w:r>
        <w:rPr>
          <w:rFonts w:eastAsia="Arial"/>
          <w:b/>
          <w:bCs/>
          <w:sz w:val="20"/>
          <w:bdr w:val="nil"/>
        </w:rPr>
        <w:t>FONDO DE LAS NACIONES UNIDAS PARA LA COLABORACIÓN INTERNACIONAL / Punto final al hambre de libros de las personas discapacitadas - Contrib</w:t>
      </w:r>
      <w:r w:rsidR="007B5E22">
        <w:rPr>
          <w:rFonts w:eastAsia="Arial"/>
          <w:b/>
          <w:bCs/>
          <w:sz w:val="20"/>
          <w:bdr w:val="nil"/>
        </w:rPr>
        <w:t>uciones del donante y gastos en </w:t>
      </w:r>
      <w:r>
        <w:rPr>
          <w:rFonts w:eastAsia="Arial"/>
          <w:b/>
          <w:bCs/>
          <w:sz w:val="20"/>
          <w:bdr w:val="nil"/>
        </w:rPr>
        <w:t>2016</w:t>
      </w:r>
    </w:p>
    <w:p w:rsidR="004E456B" w:rsidRPr="001E4DC0" w:rsidRDefault="004E456B" w:rsidP="00027A9C">
      <w:pPr>
        <w:rPr>
          <w:rFonts w:cs="Times New Roman"/>
          <w:b/>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F4673D" w:rsidRDefault="004E456B" w:rsidP="00027A9C">
            <w:pPr>
              <w:jc w:val="center"/>
              <w:rPr>
                <w:b/>
                <w:bCs/>
                <w:sz w:val="16"/>
                <w:szCs w:val="16"/>
              </w:rPr>
            </w:pPr>
            <w:r w:rsidRPr="00F4673D">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F4673D" w:rsidRDefault="004E456B" w:rsidP="00027A9C">
            <w:pPr>
              <w:jc w:val="center"/>
              <w:rPr>
                <w:b/>
                <w:bCs/>
                <w:sz w:val="16"/>
                <w:szCs w:val="16"/>
              </w:rPr>
            </w:pPr>
            <w:r w:rsidRPr="00F4673D">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F4673D" w:rsidRDefault="004E456B" w:rsidP="00027A9C">
            <w:pPr>
              <w:jc w:val="center"/>
              <w:rPr>
                <w:b/>
                <w:bCs/>
                <w:sz w:val="16"/>
                <w:szCs w:val="16"/>
              </w:rPr>
            </w:pPr>
            <w:r w:rsidRPr="00F4673D">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F4673D" w:rsidRDefault="004E456B" w:rsidP="00027A9C">
            <w:pPr>
              <w:jc w:val="center"/>
              <w:rPr>
                <w:b/>
                <w:bCs/>
                <w:sz w:val="16"/>
                <w:szCs w:val="16"/>
              </w:rPr>
            </w:pPr>
            <w:r w:rsidRPr="00F4673D">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F4673D" w:rsidRDefault="004E456B" w:rsidP="00027A9C">
            <w:pPr>
              <w:jc w:val="center"/>
              <w:rPr>
                <w:b/>
                <w:bCs/>
                <w:sz w:val="16"/>
                <w:szCs w:val="16"/>
              </w:rPr>
            </w:pPr>
            <w:r w:rsidRPr="00F4673D">
              <w:rPr>
                <w:rFonts w:eastAsia="Arial"/>
                <w:b/>
                <w:bCs/>
                <w:sz w:val="16"/>
                <w:szCs w:val="16"/>
                <w:bdr w:val="nil"/>
              </w:rPr>
              <w:t>Saldo al 31 de diciembre de 2016</w:t>
            </w:r>
          </w:p>
        </w:tc>
      </w:tr>
      <w:tr w:rsidR="004E456B" w:rsidRPr="00F4673D" w:rsidTr="00027A9C">
        <w:trPr>
          <w:trHeight w:val="357"/>
        </w:trPr>
        <w:tc>
          <w:tcPr>
            <w:tcW w:w="1814"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w:t>
            </w:r>
          </w:p>
        </w:tc>
        <w:tc>
          <w:tcPr>
            <w:tcW w:w="1814"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49.200</w:t>
            </w:r>
          </w:p>
        </w:tc>
        <w:tc>
          <w:tcPr>
            <w:tcW w:w="1815"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4.016</w:t>
            </w:r>
          </w:p>
        </w:tc>
        <w:tc>
          <w:tcPr>
            <w:tcW w:w="1814"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w:t>
            </w:r>
          </w:p>
        </w:tc>
        <w:tc>
          <w:tcPr>
            <w:tcW w:w="1815"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45.184</w:t>
            </w:r>
          </w:p>
        </w:tc>
      </w:tr>
    </w:tbl>
    <w:p w:rsidR="004E456B" w:rsidRPr="00F4673D" w:rsidRDefault="004E456B" w:rsidP="00027A9C">
      <w:pPr>
        <w:rPr>
          <w:b/>
          <w:sz w:val="20"/>
          <w:lang w:val="es-ES_tradnl"/>
        </w:rPr>
      </w:pPr>
    </w:p>
    <w:p w:rsidR="004E456B" w:rsidRPr="00F4673D" w:rsidRDefault="004E456B" w:rsidP="00027A9C">
      <w:pPr>
        <w:rPr>
          <w:b/>
          <w:sz w:val="20"/>
          <w:lang w:val="es-ES_tradnl"/>
        </w:rPr>
      </w:pPr>
    </w:p>
    <w:p w:rsidR="005E315A" w:rsidRDefault="005E315A">
      <w:pPr>
        <w:rPr>
          <w:rFonts w:eastAsia="Arial"/>
          <w:b/>
          <w:bCs/>
          <w:sz w:val="20"/>
          <w:bdr w:val="nil"/>
        </w:rPr>
      </w:pPr>
      <w:r>
        <w:rPr>
          <w:rFonts w:eastAsia="Arial"/>
          <w:b/>
          <w:bCs/>
          <w:sz w:val="20"/>
          <w:bdr w:val="nil"/>
        </w:rPr>
        <w:br w:type="page"/>
      </w:r>
    </w:p>
    <w:p w:rsidR="004E456B" w:rsidRPr="00F4673D" w:rsidRDefault="004E456B" w:rsidP="00027A9C">
      <w:pPr>
        <w:keepNext/>
        <w:keepLines/>
        <w:rPr>
          <w:b/>
          <w:sz w:val="20"/>
        </w:rPr>
      </w:pPr>
      <w:r w:rsidRPr="00F4673D">
        <w:rPr>
          <w:rFonts w:eastAsia="Arial"/>
          <w:b/>
          <w:bCs/>
          <w:sz w:val="20"/>
          <w:bdr w:val="nil"/>
        </w:rPr>
        <w:lastRenderedPageBreak/>
        <w:t>URUGUAY</w:t>
      </w:r>
    </w:p>
    <w:p w:rsidR="004E456B" w:rsidRPr="00F4673D" w:rsidRDefault="004E456B" w:rsidP="00027A9C">
      <w:pPr>
        <w:rPr>
          <w:b/>
          <w:sz w:val="20"/>
        </w:rPr>
      </w:pPr>
    </w:p>
    <w:tbl>
      <w:tblPr>
        <w:tblW w:w="9072" w:type="dxa"/>
        <w:tblInd w:w="108" w:type="dxa"/>
        <w:tblLayout w:type="fixed"/>
        <w:tblLook w:val="0000" w:firstRow="0" w:lastRow="0" w:firstColumn="0" w:lastColumn="0" w:noHBand="0" w:noVBand="0"/>
      </w:tblPr>
      <w:tblGrid>
        <w:gridCol w:w="1924"/>
        <w:gridCol w:w="1242"/>
        <w:gridCol w:w="1788"/>
        <w:gridCol w:w="4118"/>
      </w:tblGrid>
      <w:tr w:rsidR="004E456B" w:rsidRPr="008466AF" w:rsidTr="00027A9C">
        <w:trPr>
          <w:cantSplit/>
        </w:trPr>
        <w:tc>
          <w:tcPr>
            <w:tcW w:w="9360" w:type="dxa"/>
            <w:gridSpan w:val="4"/>
            <w:shd w:val="clear" w:color="auto" w:fill="C6D9F1"/>
            <w:vAlign w:val="center"/>
          </w:tcPr>
          <w:p w:rsidR="004E456B" w:rsidRPr="00F4673D" w:rsidRDefault="004E456B" w:rsidP="00027A9C">
            <w:pPr>
              <w:tabs>
                <w:tab w:val="left" w:pos="1740"/>
              </w:tabs>
              <w:spacing w:before="120" w:after="120"/>
              <w:ind w:left="1740" w:hanging="1740"/>
              <w:rPr>
                <w:b/>
                <w:bCs/>
                <w:sz w:val="16"/>
                <w:szCs w:val="16"/>
              </w:rPr>
            </w:pPr>
            <w:r w:rsidRPr="00F4673D">
              <w:rPr>
                <w:rFonts w:eastAsia="Arial"/>
                <w:b/>
                <w:bCs/>
                <w:sz w:val="16"/>
                <w:szCs w:val="16"/>
                <w:bdr w:val="nil"/>
              </w:rPr>
              <w:t>RESULTADO:</w:t>
            </w:r>
            <w:r w:rsidRPr="00F4673D">
              <w:rPr>
                <w:rFonts w:eastAsia="Arial"/>
                <w:b/>
                <w:bCs/>
                <w:sz w:val="16"/>
                <w:szCs w:val="16"/>
                <w:bdr w:val="nil"/>
              </w:rPr>
              <w:tab/>
            </w:r>
            <w:r w:rsidRPr="00F4673D">
              <w:rPr>
                <w:rFonts w:eastAsia="Arial"/>
                <w:sz w:val="16"/>
                <w:szCs w:val="16"/>
                <w:bdr w:val="nil"/>
              </w:rPr>
              <w:t>IV.4  Mejora de la infraestructura técnica y de conocimientos de las Oficinas y demás instituciones de P.I. que les permita prestar mejores servicios (más baratos, más rápidos y de mejor calidad) a los sectores interesados y mejores resultados en la administración de la P.I.</w:t>
            </w:r>
          </w:p>
        </w:tc>
      </w:tr>
      <w:tr w:rsidR="004E456B" w:rsidRPr="00F4673D" w:rsidTr="00027A9C">
        <w:trPr>
          <w:cantSplit/>
        </w:trPr>
        <w:tc>
          <w:tcPr>
            <w:tcW w:w="1983" w:type="dxa"/>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Actividad</w:t>
            </w:r>
          </w:p>
        </w:tc>
        <w:tc>
          <w:tcPr>
            <w:tcW w:w="1278" w:type="dxa"/>
            <w:shd w:val="clear" w:color="auto" w:fill="auto"/>
            <w:tcMar>
              <w:top w:w="110" w:type="dxa"/>
            </w:tcMar>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Fecha</w:t>
            </w:r>
          </w:p>
        </w:tc>
        <w:tc>
          <w:tcPr>
            <w:tcW w:w="1843" w:type="dxa"/>
            <w:shd w:val="clear" w:color="auto" w:fill="auto"/>
            <w:tcMar>
              <w:top w:w="110" w:type="dxa"/>
            </w:tcMar>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País anfitrión / Beneficiarios</w:t>
            </w:r>
          </w:p>
        </w:tc>
        <w:tc>
          <w:tcPr>
            <w:tcW w:w="4256" w:type="dxa"/>
            <w:shd w:val="clear" w:color="auto" w:fill="FFFFFF"/>
            <w:tcMar>
              <w:top w:w="110" w:type="dxa"/>
            </w:tcMar>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983" w:type="dxa"/>
          </w:tcPr>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 xml:space="preserve">Renovación de la suscripción a la base de datos Thomson-Reuters </w:t>
            </w:r>
          </w:p>
        </w:tc>
        <w:tc>
          <w:tcPr>
            <w:tcW w:w="1278" w:type="dxa"/>
          </w:tcPr>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Enero a diciembre de2016 (en curso desde 2013)</w:t>
            </w:r>
          </w:p>
        </w:tc>
        <w:tc>
          <w:tcPr>
            <w:tcW w:w="1843" w:type="dxa"/>
          </w:tcPr>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Todos los países de América Latina</w:t>
            </w:r>
          </w:p>
        </w:tc>
        <w:tc>
          <w:tcPr>
            <w:tcW w:w="4256" w:type="dxa"/>
          </w:tcPr>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Ampliar la cobertura y la calidad de la información contenida en las bases de datos de la Dirección Nacional de la Propiedad Industrial (DNPI) para reforzar el proceso de examen de patentes</w:t>
            </w:r>
          </w:p>
        </w:tc>
      </w:tr>
      <w:tr w:rsidR="004E456B" w:rsidRPr="008466AF" w:rsidTr="00027A9C">
        <w:tblPrEx>
          <w:tblLook w:val="04A0" w:firstRow="1" w:lastRow="0" w:firstColumn="1" w:lastColumn="0" w:noHBand="0" w:noVBand="1"/>
        </w:tblPrEx>
        <w:trPr>
          <w:cantSplit/>
          <w:trHeight w:val="473"/>
        </w:trPr>
        <w:tc>
          <w:tcPr>
            <w:tcW w:w="1983" w:type="dxa"/>
          </w:tcPr>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Contratación de un consultor para ayudar en la modernización de los sistemas informáticos de la Oficina de P.I.</w:t>
            </w:r>
          </w:p>
        </w:tc>
        <w:tc>
          <w:tcPr>
            <w:tcW w:w="1278" w:type="dxa"/>
          </w:tcPr>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Mayo de 2016 a 31 de diciembre de 2016</w:t>
            </w:r>
          </w:p>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(en curso)</w:t>
            </w:r>
          </w:p>
        </w:tc>
        <w:tc>
          <w:tcPr>
            <w:tcW w:w="1843" w:type="dxa"/>
          </w:tcPr>
          <w:p w:rsidR="004E456B" w:rsidRPr="00F4673D" w:rsidRDefault="004E456B" w:rsidP="00027A9C">
            <w:pPr>
              <w:autoSpaceDE w:val="0"/>
              <w:autoSpaceDN w:val="0"/>
              <w:adjustRightInd w:val="0"/>
              <w:spacing w:before="120" w:after="100"/>
              <w:rPr>
                <w:sz w:val="16"/>
                <w:szCs w:val="16"/>
              </w:rPr>
            </w:pPr>
            <w:r w:rsidRPr="00F4673D">
              <w:rPr>
                <w:rFonts w:eastAsia="Arial"/>
                <w:sz w:val="16"/>
                <w:szCs w:val="16"/>
                <w:bdr w:val="nil"/>
              </w:rPr>
              <w:t>Funcionario de la DNPI</w:t>
            </w:r>
          </w:p>
        </w:tc>
        <w:tc>
          <w:tcPr>
            <w:tcW w:w="4256"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 xml:space="preserve">Fortalecer los sistemas de TI de la DNPI, incluidos, </w:t>
            </w:r>
            <w:r w:rsidRPr="00DC258C">
              <w:rPr>
                <w:rFonts w:eastAsia="Arial"/>
                <w:iCs/>
                <w:color w:val="000000"/>
                <w:sz w:val="16"/>
                <w:szCs w:val="16"/>
                <w:bdr w:val="nil"/>
              </w:rPr>
              <w:t>entre otros</w:t>
            </w:r>
            <w:r>
              <w:rPr>
                <w:rFonts w:eastAsia="Arial"/>
                <w:color w:val="000000"/>
                <w:sz w:val="16"/>
                <w:szCs w:val="16"/>
                <w:bdr w:val="nil"/>
              </w:rPr>
              <w:t>:  i) un sitio web de acceso público a las bases de datos sobre patentes y marcas; ii) el diseño e instalación de los sistemas de tecnologías de la información; iii) el desarrollo de interfaces para publicar información; y iv) el desarrollo y aplicación de plataformas en línea para la presentación de solicitudes de patentes y de registro de marcas.</w:t>
            </w:r>
          </w:p>
        </w:tc>
      </w:tr>
    </w:tbl>
    <w:p w:rsidR="004E456B" w:rsidRPr="009703BB" w:rsidRDefault="004E456B" w:rsidP="00027A9C">
      <w:pPr>
        <w:rPr>
          <w:b/>
          <w:sz w:val="20"/>
        </w:rPr>
      </w:pPr>
    </w:p>
    <w:p w:rsidR="004E456B" w:rsidRPr="00F4673D" w:rsidRDefault="004E456B" w:rsidP="00027A9C">
      <w:pPr>
        <w:rPr>
          <w:b/>
          <w:bCs/>
          <w:sz w:val="20"/>
        </w:rPr>
      </w:pPr>
      <w:r w:rsidRPr="00F4673D">
        <w:rPr>
          <w:rFonts w:eastAsia="Arial"/>
          <w:b/>
          <w:bCs/>
          <w:sz w:val="20"/>
          <w:bdr w:val="nil"/>
        </w:rPr>
        <w:t>URUGUAY – Contribuciones del donante y gastos en 2016</w:t>
      </w:r>
    </w:p>
    <w:p w:rsidR="004E456B" w:rsidRPr="00F4673D" w:rsidRDefault="004E456B" w:rsidP="00027A9C">
      <w:pPr>
        <w:rPr>
          <w:b/>
          <w:bCs/>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F4673D" w:rsidRDefault="004E456B" w:rsidP="00027A9C">
            <w:pPr>
              <w:jc w:val="center"/>
              <w:rPr>
                <w:b/>
                <w:bCs/>
                <w:sz w:val="16"/>
                <w:szCs w:val="16"/>
              </w:rPr>
            </w:pPr>
            <w:r w:rsidRPr="00F4673D">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F4673D" w:rsidRDefault="004E456B" w:rsidP="00027A9C">
            <w:pPr>
              <w:jc w:val="center"/>
              <w:rPr>
                <w:b/>
                <w:bCs/>
                <w:sz w:val="16"/>
                <w:szCs w:val="16"/>
              </w:rPr>
            </w:pPr>
            <w:r w:rsidRPr="00F4673D">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F4673D" w:rsidRDefault="004E456B" w:rsidP="00027A9C">
            <w:pPr>
              <w:jc w:val="center"/>
              <w:rPr>
                <w:b/>
                <w:bCs/>
                <w:sz w:val="16"/>
                <w:szCs w:val="16"/>
              </w:rPr>
            </w:pPr>
            <w:r w:rsidRPr="00F4673D">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F4673D" w:rsidRDefault="004E456B" w:rsidP="00027A9C">
            <w:pPr>
              <w:jc w:val="center"/>
              <w:rPr>
                <w:b/>
                <w:bCs/>
                <w:sz w:val="16"/>
                <w:szCs w:val="16"/>
              </w:rPr>
            </w:pPr>
            <w:r w:rsidRPr="00F4673D">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F4673D" w:rsidRDefault="004E456B" w:rsidP="00027A9C">
            <w:pPr>
              <w:jc w:val="center"/>
              <w:rPr>
                <w:b/>
                <w:bCs/>
                <w:sz w:val="16"/>
                <w:szCs w:val="16"/>
              </w:rPr>
            </w:pPr>
            <w:r w:rsidRPr="00F4673D">
              <w:rPr>
                <w:rFonts w:eastAsia="Arial"/>
                <w:b/>
                <w:bCs/>
                <w:sz w:val="16"/>
                <w:szCs w:val="16"/>
                <w:bdr w:val="nil"/>
              </w:rPr>
              <w:t>Saldo al 31 de diciembre de 2016</w:t>
            </w:r>
          </w:p>
        </w:tc>
      </w:tr>
      <w:tr w:rsidR="004E456B" w:rsidRPr="00F4673D" w:rsidTr="00027A9C">
        <w:trPr>
          <w:trHeight w:val="283"/>
        </w:trPr>
        <w:tc>
          <w:tcPr>
            <w:tcW w:w="1814"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148.624</w:t>
            </w:r>
          </w:p>
        </w:tc>
        <w:tc>
          <w:tcPr>
            <w:tcW w:w="1814"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rFonts w:eastAsia="Arial"/>
                <w:sz w:val="16"/>
                <w:szCs w:val="16"/>
                <w:bdr w:val="nil"/>
              </w:rPr>
              <w:t>(119)</w:t>
            </w:r>
          </w:p>
        </w:tc>
        <w:tc>
          <w:tcPr>
            <w:tcW w:w="1815"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20.555</w:t>
            </w:r>
          </w:p>
        </w:tc>
        <w:tc>
          <w:tcPr>
            <w:tcW w:w="1814"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w:t>
            </w:r>
          </w:p>
        </w:tc>
        <w:tc>
          <w:tcPr>
            <w:tcW w:w="1815" w:type="dxa"/>
            <w:tcBorders>
              <w:top w:val="nil"/>
              <w:left w:val="nil"/>
              <w:bottom w:val="nil"/>
              <w:right w:val="nil"/>
            </w:tcBorders>
            <w:shd w:val="clear" w:color="auto" w:fill="auto"/>
            <w:noWrap/>
            <w:vAlign w:val="bottom"/>
            <w:hideMark/>
          </w:tcPr>
          <w:p w:rsidR="004E456B" w:rsidRPr="00F4673D" w:rsidRDefault="004E456B" w:rsidP="00027A9C">
            <w:pPr>
              <w:jc w:val="center"/>
              <w:rPr>
                <w:sz w:val="16"/>
                <w:szCs w:val="16"/>
              </w:rPr>
            </w:pPr>
            <w:r w:rsidRPr="00F4673D">
              <w:rPr>
                <w:sz w:val="16"/>
                <w:szCs w:val="16"/>
              </w:rPr>
              <w:t>127.950</w:t>
            </w:r>
          </w:p>
        </w:tc>
      </w:tr>
    </w:tbl>
    <w:p w:rsidR="004E456B" w:rsidRPr="00F4673D" w:rsidRDefault="004E456B" w:rsidP="00027A9C">
      <w:pPr>
        <w:rPr>
          <w:b/>
          <w:sz w:val="20"/>
        </w:rPr>
      </w:pPr>
    </w:p>
    <w:p w:rsidR="004E456B" w:rsidRPr="00F4673D" w:rsidRDefault="004E456B" w:rsidP="00027A9C">
      <w:pPr>
        <w:rPr>
          <w:b/>
          <w:sz w:val="20"/>
        </w:rPr>
      </w:pPr>
    </w:p>
    <w:p w:rsidR="004E456B" w:rsidRPr="00F4673D" w:rsidRDefault="004E456B" w:rsidP="00027A9C">
      <w:pPr>
        <w:rPr>
          <w:b/>
          <w:sz w:val="20"/>
        </w:rPr>
      </w:pPr>
      <w:r w:rsidRPr="00F4673D">
        <w:rPr>
          <w:rFonts w:eastAsia="Arial"/>
          <w:b/>
          <w:bCs/>
          <w:sz w:val="20"/>
          <w:bdr w:val="nil"/>
        </w:rPr>
        <w:t>ESTADOS UNIDOS DE AMÉRICA / INDUSTRIAS CREATIVAS</w:t>
      </w:r>
    </w:p>
    <w:p w:rsidR="004E456B" w:rsidRPr="00F4673D" w:rsidRDefault="004E456B" w:rsidP="00027A9C">
      <w:pPr>
        <w:rPr>
          <w:b/>
          <w:sz w:val="20"/>
        </w:rPr>
      </w:pPr>
    </w:p>
    <w:tbl>
      <w:tblPr>
        <w:tblW w:w="9072" w:type="dxa"/>
        <w:tblInd w:w="108" w:type="dxa"/>
        <w:tblLayout w:type="fixed"/>
        <w:tblLook w:val="0000" w:firstRow="0" w:lastRow="0" w:firstColumn="0" w:lastColumn="0" w:noHBand="0" w:noVBand="0"/>
      </w:tblPr>
      <w:tblGrid>
        <w:gridCol w:w="1924"/>
        <w:gridCol w:w="1241"/>
        <w:gridCol w:w="1788"/>
        <w:gridCol w:w="4119"/>
      </w:tblGrid>
      <w:tr w:rsidR="004E456B" w:rsidRPr="008466AF" w:rsidTr="00027A9C">
        <w:trPr>
          <w:cantSplit/>
        </w:trPr>
        <w:tc>
          <w:tcPr>
            <w:tcW w:w="9360" w:type="dxa"/>
            <w:gridSpan w:val="4"/>
            <w:shd w:val="clear" w:color="auto" w:fill="C6D9F1"/>
            <w:vAlign w:val="center"/>
          </w:tcPr>
          <w:p w:rsidR="004E456B" w:rsidRPr="00F4673D" w:rsidRDefault="004E456B" w:rsidP="00027A9C">
            <w:pPr>
              <w:tabs>
                <w:tab w:val="left" w:pos="1740"/>
              </w:tabs>
              <w:spacing w:before="120" w:after="120"/>
              <w:ind w:left="1740" w:hanging="1740"/>
              <w:rPr>
                <w:b/>
                <w:bCs/>
                <w:sz w:val="16"/>
                <w:szCs w:val="16"/>
              </w:rPr>
            </w:pPr>
            <w:r w:rsidRPr="00F4673D">
              <w:rPr>
                <w:rFonts w:eastAsia="Arial"/>
                <w:b/>
                <w:bCs/>
                <w:sz w:val="16"/>
                <w:szCs w:val="16"/>
                <w:bdr w:val="nil"/>
              </w:rPr>
              <w:t>RESULTADO:</w:t>
            </w:r>
            <w:r w:rsidRPr="00F4673D">
              <w:rPr>
                <w:rFonts w:eastAsia="Arial"/>
                <w:b/>
                <w:bCs/>
                <w:sz w:val="16"/>
                <w:szCs w:val="16"/>
                <w:bdr w:val="nil"/>
              </w:rPr>
              <w:tab/>
            </w:r>
            <w:r w:rsidRPr="00F4673D">
              <w:rPr>
                <w:rFonts w:eastAsia="Arial"/>
                <w:sz w:val="16"/>
                <w:szCs w:val="16"/>
                <w:bdr w:val="nil"/>
              </w:rPr>
              <w:t>III.2  Aumento de las capacidades en recursos humanos para hacer frente a la gran diversidad de exigencias que supone la utilización eficaz de la P.I. para fomentar el desarrollo en los países en desarrollo, PMA y países con economías en transición</w:t>
            </w:r>
          </w:p>
        </w:tc>
      </w:tr>
      <w:tr w:rsidR="004E456B" w:rsidRPr="00F4673D" w:rsidTr="00027A9C">
        <w:trPr>
          <w:cantSplit/>
        </w:trPr>
        <w:tc>
          <w:tcPr>
            <w:tcW w:w="1983" w:type="dxa"/>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Actividad</w:t>
            </w:r>
          </w:p>
        </w:tc>
        <w:tc>
          <w:tcPr>
            <w:tcW w:w="1277" w:type="dxa"/>
            <w:shd w:val="clear" w:color="auto" w:fill="auto"/>
            <w:tcMar>
              <w:top w:w="110" w:type="dxa"/>
            </w:tcMar>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Fecha</w:t>
            </w:r>
          </w:p>
        </w:tc>
        <w:tc>
          <w:tcPr>
            <w:tcW w:w="1843" w:type="dxa"/>
            <w:shd w:val="clear" w:color="auto" w:fill="auto"/>
            <w:tcMar>
              <w:top w:w="110" w:type="dxa"/>
            </w:tcMar>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País anfitrión / Beneficiarios</w:t>
            </w:r>
          </w:p>
        </w:tc>
        <w:tc>
          <w:tcPr>
            <w:tcW w:w="4257" w:type="dxa"/>
            <w:shd w:val="clear" w:color="auto" w:fill="FFFFFF"/>
            <w:tcMar>
              <w:top w:w="110" w:type="dxa"/>
            </w:tcMar>
          </w:tcPr>
          <w:p w:rsidR="004E456B" w:rsidRPr="00F4673D" w:rsidRDefault="004E456B" w:rsidP="00027A9C">
            <w:pPr>
              <w:autoSpaceDE w:val="0"/>
              <w:autoSpaceDN w:val="0"/>
              <w:adjustRightInd w:val="0"/>
              <w:spacing w:before="120" w:after="100"/>
              <w:rPr>
                <w:b/>
                <w:sz w:val="16"/>
                <w:szCs w:val="16"/>
              </w:rPr>
            </w:pPr>
            <w:r w:rsidRPr="00F4673D">
              <w:rPr>
                <w:rFonts w:eastAsia="Arial"/>
                <w:b/>
                <w:bCs/>
                <w:sz w:val="16"/>
                <w:szCs w:val="16"/>
                <w:bdr w:val="nil"/>
              </w:rPr>
              <w:t>Propósito(s)/Descripción</w:t>
            </w:r>
          </w:p>
        </w:tc>
      </w:tr>
      <w:tr w:rsidR="004E456B" w:rsidRPr="008466AF" w:rsidTr="00027A9C">
        <w:tblPrEx>
          <w:tblLook w:val="04A0" w:firstRow="1" w:lastRow="0" w:firstColumn="1" w:lastColumn="0" w:noHBand="0" w:noVBand="1"/>
        </w:tblPrEx>
        <w:trPr>
          <w:cantSplit/>
          <w:trHeight w:val="473"/>
        </w:trPr>
        <w:tc>
          <w:tcPr>
            <w:tcW w:w="1983"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Taller nacional sobre cómo vivir de la música</w:t>
            </w:r>
          </w:p>
        </w:tc>
        <w:tc>
          <w:tcPr>
            <w:tcW w:w="1277"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21 y 22 de noviembre de 2016</w:t>
            </w:r>
          </w:p>
        </w:tc>
        <w:tc>
          <w:tcPr>
            <w:tcW w:w="1843"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Argentina</w:t>
            </w:r>
          </w:p>
        </w:tc>
        <w:tc>
          <w:tcPr>
            <w:tcW w:w="4257"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 xml:space="preserve">Proporcionar conocimientos prácticos sobre las fuentes de ingresos por derecho de autor para artistas intérpretes o ejecutantes, especialmente en el entorno digital y en materia de gestión de derechos individuales. </w:t>
            </w:r>
          </w:p>
        </w:tc>
      </w:tr>
      <w:tr w:rsidR="004E456B" w:rsidRPr="008466AF" w:rsidTr="00027A9C">
        <w:tblPrEx>
          <w:tblLook w:val="04A0" w:firstRow="1" w:lastRow="0" w:firstColumn="1" w:lastColumn="0" w:noHBand="0" w:noVBand="1"/>
        </w:tblPrEx>
        <w:trPr>
          <w:cantSplit/>
          <w:trHeight w:val="473"/>
        </w:trPr>
        <w:tc>
          <w:tcPr>
            <w:tcW w:w="1983"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 xml:space="preserve">Consultas sobre la gestión de derechos individuales </w:t>
            </w:r>
          </w:p>
        </w:tc>
        <w:tc>
          <w:tcPr>
            <w:tcW w:w="1277"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11 de noviembre de 2016</w:t>
            </w:r>
          </w:p>
        </w:tc>
        <w:tc>
          <w:tcPr>
            <w:tcW w:w="1843"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Todos</w:t>
            </w:r>
          </w:p>
        </w:tc>
        <w:tc>
          <w:tcPr>
            <w:tcW w:w="4257"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Examinar distintas opciones para las actividades de la OMPI acerca de la gestión de derechos individuales.</w:t>
            </w:r>
          </w:p>
        </w:tc>
      </w:tr>
      <w:tr w:rsidR="004E456B" w:rsidRPr="008466AF" w:rsidTr="00027A9C">
        <w:tblPrEx>
          <w:tblLook w:val="04A0" w:firstRow="1" w:lastRow="0" w:firstColumn="1" w:lastColumn="0" w:noHBand="0" w:noVBand="1"/>
        </w:tblPrEx>
        <w:trPr>
          <w:cantSplit/>
          <w:trHeight w:val="473"/>
        </w:trPr>
        <w:tc>
          <w:tcPr>
            <w:tcW w:w="1983"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Estudio internacional sobre la legislación y práctica de los cánones por copia privada</w:t>
            </w:r>
          </w:p>
        </w:tc>
        <w:tc>
          <w:tcPr>
            <w:tcW w:w="1277"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1 de septiembre a 31 de diciembre de 2016</w:t>
            </w:r>
          </w:p>
        </w:tc>
        <w:tc>
          <w:tcPr>
            <w:tcW w:w="1843"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Todos</w:t>
            </w:r>
          </w:p>
        </w:tc>
        <w:tc>
          <w:tcPr>
            <w:tcW w:w="4257"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Proporcionar información sobre la evolución jurídica, recaudación y distribución de la remuneración proveniente de los cánones por copia privada.</w:t>
            </w:r>
          </w:p>
        </w:tc>
      </w:tr>
      <w:tr w:rsidR="004E456B" w:rsidRPr="008466AF" w:rsidTr="00027A9C">
        <w:tblPrEx>
          <w:tblLook w:val="04A0" w:firstRow="1" w:lastRow="0" w:firstColumn="1" w:lastColumn="0" w:noHBand="0" w:noVBand="1"/>
        </w:tblPrEx>
        <w:trPr>
          <w:cantSplit/>
          <w:trHeight w:val="473"/>
        </w:trPr>
        <w:tc>
          <w:tcPr>
            <w:tcW w:w="1983"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Estudio internacional sobre la legislación y práctica de los cánones sobre textos e imágenes</w:t>
            </w:r>
          </w:p>
        </w:tc>
        <w:tc>
          <w:tcPr>
            <w:tcW w:w="1277"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1 de septiembre a 31 de diciembre de 2016</w:t>
            </w:r>
          </w:p>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(en curso)</w:t>
            </w:r>
          </w:p>
        </w:tc>
        <w:tc>
          <w:tcPr>
            <w:tcW w:w="1843" w:type="dxa"/>
          </w:tcPr>
          <w:p w:rsidR="004E456B" w:rsidRPr="00021A09" w:rsidRDefault="004E456B" w:rsidP="00027A9C">
            <w:pPr>
              <w:autoSpaceDE w:val="0"/>
              <w:autoSpaceDN w:val="0"/>
              <w:adjustRightInd w:val="0"/>
              <w:spacing w:before="120" w:after="100"/>
              <w:rPr>
                <w:sz w:val="16"/>
                <w:szCs w:val="16"/>
              </w:rPr>
            </w:pPr>
            <w:r w:rsidRPr="00021A09">
              <w:rPr>
                <w:rFonts w:eastAsia="Arial"/>
                <w:sz w:val="16"/>
                <w:szCs w:val="16"/>
                <w:bdr w:val="nil"/>
              </w:rPr>
              <w:t>Todos</w:t>
            </w:r>
          </w:p>
        </w:tc>
        <w:tc>
          <w:tcPr>
            <w:tcW w:w="4257" w:type="dxa"/>
          </w:tcPr>
          <w:p w:rsidR="004E456B" w:rsidRPr="009703BB" w:rsidRDefault="004E456B" w:rsidP="00027A9C">
            <w:pPr>
              <w:autoSpaceDE w:val="0"/>
              <w:autoSpaceDN w:val="0"/>
              <w:adjustRightInd w:val="0"/>
              <w:spacing w:before="120" w:after="100"/>
              <w:rPr>
                <w:color w:val="000000"/>
                <w:sz w:val="16"/>
                <w:szCs w:val="16"/>
              </w:rPr>
            </w:pPr>
            <w:r>
              <w:rPr>
                <w:rFonts w:eastAsia="Arial"/>
                <w:color w:val="000000"/>
                <w:sz w:val="16"/>
                <w:szCs w:val="16"/>
                <w:bdr w:val="nil"/>
              </w:rPr>
              <w:t>Proporcionar información sobre la evolución jurídica, recaudación y distribución de la remuneración proveniente de los cánones sobre textos e imágenes.</w:t>
            </w:r>
          </w:p>
        </w:tc>
      </w:tr>
    </w:tbl>
    <w:p w:rsidR="004E456B" w:rsidRPr="009703BB" w:rsidRDefault="004E456B" w:rsidP="00027A9C">
      <w:pPr>
        <w:rPr>
          <w:b/>
          <w:sz w:val="20"/>
        </w:rPr>
      </w:pPr>
    </w:p>
    <w:p w:rsidR="005E315A" w:rsidRDefault="005E315A">
      <w:pPr>
        <w:rPr>
          <w:rFonts w:eastAsia="Arial"/>
          <w:b/>
          <w:bCs/>
          <w:sz w:val="20"/>
          <w:bdr w:val="nil"/>
        </w:rPr>
      </w:pPr>
      <w:r>
        <w:rPr>
          <w:rFonts w:eastAsia="Arial"/>
          <w:b/>
          <w:bCs/>
          <w:sz w:val="20"/>
          <w:bdr w:val="nil"/>
        </w:rPr>
        <w:br w:type="page"/>
      </w:r>
    </w:p>
    <w:p w:rsidR="004E456B" w:rsidRPr="00F16327" w:rsidRDefault="004E456B" w:rsidP="00027A9C">
      <w:pPr>
        <w:rPr>
          <w:b/>
          <w:sz w:val="20"/>
        </w:rPr>
      </w:pPr>
      <w:r w:rsidRPr="00F16327">
        <w:rPr>
          <w:rFonts w:eastAsia="Arial"/>
          <w:b/>
          <w:bCs/>
          <w:sz w:val="20"/>
          <w:bdr w:val="nil"/>
        </w:rPr>
        <w:lastRenderedPageBreak/>
        <w:t>ESTADOS UNIDOS DE AMÉRICA / INDUSTRIAS CREATIVAS – Contribuciones del donante y gastos en 2016</w:t>
      </w:r>
    </w:p>
    <w:p w:rsidR="004E456B" w:rsidRPr="00F16327" w:rsidRDefault="004E456B" w:rsidP="00027A9C">
      <w:pPr>
        <w:rPr>
          <w:b/>
          <w:sz w:val="20"/>
        </w:rPr>
      </w:pPr>
    </w:p>
    <w:tbl>
      <w:tblPr>
        <w:tblW w:w="9072" w:type="dxa"/>
        <w:tblInd w:w="108" w:type="dxa"/>
        <w:tblLayout w:type="fixed"/>
        <w:tblLook w:val="04A0" w:firstRow="1" w:lastRow="0" w:firstColumn="1" w:lastColumn="0" w:noHBand="0" w:noVBand="1"/>
      </w:tblPr>
      <w:tblGrid>
        <w:gridCol w:w="1814"/>
        <w:gridCol w:w="1814"/>
        <w:gridCol w:w="1815"/>
        <w:gridCol w:w="1814"/>
        <w:gridCol w:w="1815"/>
      </w:tblGrid>
      <w:tr w:rsidR="004E456B" w:rsidRPr="008466AF" w:rsidTr="00027A9C">
        <w:trPr>
          <w:trHeight w:val="544"/>
        </w:trPr>
        <w:tc>
          <w:tcPr>
            <w:tcW w:w="1814" w:type="dxa"/>
            <w:tcBorders>
              <w:top w:val="nil"/>
              <w:left w:val="nil"/>
              <w:bottom w:val="nil"/>
              <w:right w:val="nil"/>
            </w:tcBorders>
            <w:shd w:val="clear" w:color="000000" w:fill="C5D9F1"/>
            <w:vAlign w:val="center"/>
            <w:hideMark/>
          </w:tcPr>
          <w:p w:rsidR="004E456B" w:rsidRPr="00F16327" w:rsidRDefault="004E456B" w:rsidP="00027A9C">
            <w:pPr>
              <w:jc w:val="center"/>
              <w:rPr>
                <w:b/>
                <w:bCs/>
                <w:sz w:val="16"/>
                <w:szCs w:val="16"/>
              </w:rPr>
            </w:pPr>
            <w:r w:rsidRPr="00F16327">
              <w:rPr>
                <w:rFonts w:eastAsia="Arial"/>
                <w:b/>
                <w:bCs/>
                <w:sz w:val="16"/>
                <w:szCs w:val="16"/>
                <w:bdr w:val="nil"/>
              </w:rPr>
              <w:t>Saldo al 31 de diciembre de 2015</w:t>
            </w:r>
          </w:p>
        </w:tc>
        <w:tc>
          <w:tcPr>
            <w:tcW w:w="1814" w:type="dxa"/>
            <w:tcBorders>
              <w:top w:val="nil"/>
              <w:left w:val="nil"/>
              <w:bottom w:val="nil"/>
              <w:right w:val="nil"/>
            </w:tcBorders>
            <w:shd w:val="clear" w:color="000000" w:fill="C5D9F1"/>
            <w:noWrap/>
            <w:vAlign w:val="center"/>
            <w:hideMark/>
          </w:tcPr>
          <w:p w:rsidR="004E456B" w:rsidRPr="00F16327" w:rsidRDefault="004E456B" w:rsidP="00027A9C">
            <w:pPr>
              <w:jc w:val="center"/>
              <w:rPr>
                <w:b/>
                <w:bCs/>
                <w:sz w:val="16"/>
                <w:szCs w:val="16"/>
              </w:rPr>
            </w:pPr>
            <w:r w:rsidRPr="00F16327">
              <w:rPr>
                <w:rFonts w:eastAsia="Arial"/>
                <w:b/>
                <w:bCs/>
                <w:sz w:val="16"/>
                <w:szCs w:val="16"/>
                <w:bdr w:val="nil"/>
              </w:rPr>
              <w:t>Ingresos en 2016</w:t>
            </w:r>
          </w:p>
        </w:tc>
        <w:tc>
          <w:tcPr>
            <w:tcW w:w="1815" w:type="dxa"/>
            <w:tcBorders>
              <w:top w:val="nil"/>
              <w:left w:val="nil"/>
              <w:bottom w:val="nil"/>
              <w:right w:val="nil"/>
            </w:tcBorders>
            <w:shd w:val="clear" w:color="000000" w:fill="C5D9F1"/>
            <w:noWrap/>
            <w:vAlign w:val="center"/>
            <w:hideMark/>
          </w:tcPr>
          <w:p w:rsidR="004E456B" w:rsidRPr="00F16327" w:rsidRDefault="004E456B" w:rsidP="00027A9C">
            <w:pPr>
              <w:jc w:val="center"/>
              <w:rPr>
                <w:b/>
                <w:bCs/>
                <w:sz w:val="16"/>
                <w:szCs w:val="16"/>
              </w:rPr>
            </w:pPr>
            <w:r w:rsidRPr="00F16327">
              <w:rPr>
                <w:rFonts w:eastAsia="Arial"/>
                <w:b/>
                <w:bCs/>
                <w:sz w:val="16"/>
                <w:szCs w:val="16"/>
                <w:bdr w:val="nil"/>
              </w:rPr>
              <w:t>Gastos en 2016</w:t>
            </w:r>
          </w:p>
        </w:tc>
        <w:tc>
          <w:tcPr>
            <w:tcW w:w="1814" w:type="dxa"/>
            <w:tcBorders>
              <w:top w:val="nil"/>
              <w:left w:val="nil"/>
              <w:bottom w:val="nil"/>
              <w:right w:val="nil"/>
            </w:tcBorders>
            <w:shd w:val="clear" w:color="000000" w:fill="C5D9F1"/>
            <w:noWrap/>
            <w:vAlign w:val="center"/>
            <w:hideMark/>
          </w:tcPr>
          <w:p w:rsidR="004E456B" w:rsidRPr="00F16327" w:rsidRDefault="004E456B" w:rsidP="00027A9C">
            <w:pPr>
              <w:jc w:val="center"/>
              <w:rPr>
                <w:b/>
                <w:bCs/>
                <w:sz w:val="16"/>
                <w:szCs w:val="16"/>
              </w:rPr>
            </w:pPr>
            <w:r w:rsidRPr="00F16327">
              <w:rPr>
                <w:rFonts w:eastAsia="Arial"/>
                <w:b/>
                <w:bCs/>
                <w:sz w:val="16"/>
                <w:szCs w:val="16"/>
                <w:bdr w:val="nil"/>
              </w:rPr>
              <w:t>Reembolsos</w:t>
            </w:r>
          </w:p>
        </w:tc>
        <w:tc>
          <w:tcPr>
            <w:tcW w:w="1815" w:type="dxa"/>
            <w:tcBorders>
              <w:top w:val="nil"/>
              <w:left w:val="nil"/>
              <w:bottom w:val="nil"/>
              <w:right w:val="nil"/>
            </w:tcBorders>
            <w:shd w:val="clear" w:color="000000" w:fill="C5D9F1"/>
            <w:vAlign w:val="center"/>
            <w:hideMark/>
          </w:tcPr>
          <w:p w:rsidR="004E456B" w:rsidRPr="00F16327" w:rsidRDefault="004E456B" w:rsidP="00027A9C">
            <w:pPr>
              <w:jc w:val="center"/>
              <w:rPr>
                <w:b/>
                <w:bCs/>
                <w:sz w:val="16"/>
                <w:szCs w:val="16"/>
              </w:rPr>
            </w:pPr>
            <w:r w:rsidRPr="00F16327">
              <w:rPr>
                <w:rFonts w:eastAsia="Arial"/>
                <w:b/>
                <w:bCs/>
                <w:sz w:val="16"/>
                <w:szCs w:val="16"/>
                <w:bdr w:val="nil"/>
              </w:rPr>
              <w:t>Saldo al 31 de diciembre de 2016</w:t>
            </w:r>
          </w:p>
        </w:tc>
      </w:tr>
      <w:tr w:rsidR="004E456B" w:rsidRPr="00F16327" w:rsidTr="00027A9C">
        <w:trPr>
          <w:trHeight w:val="283"/>
        </w:trPr>
        <w:tc>
          <w:tcPr>
            <w:tcW w:w="1814" w:type="dxa"/>
            <w:tcBorders>
              <w:top w:val="nil"/>
              <w:left w:val="nil"/>
              <w:bottom w:val="nil"/>
              <w:right w:val="nil"/>
            </w:tcBorders>
            <w:shd w:val="clear" w:color="auto" w:fill="auto"/>
            <w:noWrap/>
            <w:vAlign w:val="bottom"/>
            <w:hideMark/>
          </w:tcPr>
          <w:p w:rsidR="004E456B" w:rsidRPr="00F16327" w:rsidRDefault="004E456B" w:rsidP="00027A9C">
            <w:pPr>
              <w:jc w:val="center"/>
              <w:rPr>
                <w:sz w:val="16"/>
                <w:szCs w:val="16"/>
              </w:rPr>
            </w:pPr>
            <w:r w:rsidRPr="00F16327">
              <w:rPr>
                <w:sz w:val="16"/>
                <w:szCs w:val="16"/>
              </w:rPr>
              <w:t>-</w:t>
            </w:r>
          </w:p>
        </w:tc>
        <w:tc>
          <w:tcPr>
            <w:tcW w:w="1814" w:type="dxa"/>
            <w:tcBorders>
              <w:top w:val="nil"/>
              <w:left w:val="nil"/>
              <w:bottom w:val="nil"/>
              <w:right w:val="nil"/>
            </w:tcBorders>
            <w:shd w:val="clear" w:color="auto" w:fill="auto"/>
            <w:noWrap/>
            <w:vAlign w:val="bottom"/>
            <w:hideMark/>
          </w:tcPr>
          <w:p w:rsidR="004E456B" w:rsidRPr="00F16327" w:rsidRDefault="004E456B" w:rsidP="00027A9C">
            <w:pPr>
              <w:jc w:val="center"/>
              <w:rPr>
                <w:sz w:val="16"/>
                <w:szCs w:val="16"/>
              </w:rPr>
            </w:pPr>
            <w:r w:rsidRPr="00F16327">
              <w:rPr>
                <w:sz w:val="16"/>
                <w:szCs w:val="16"/>
              </w:rPr>
              <w:t>98.314</w:t>
            </w:r>
          </w:p>
        </w:tc>
        <w:tc>
          <w:tcPr>
            <w:tcW w:w="1815" w:type="dxa"/>
            <w:tcBorders>
              <w:top w:val="nil"/>
              <w:left w:val="nil"/>
              <w:bottom w:val="nil"/>
              <w:right w:val="nil"/>
            </w:tcBorders>
            <w:shd w:val="clear" w:color="auto" w:fill="auto"/>
            <w:noWrap/>
            <w:vAlign w:val="bottom"/>
            <w:hideMark/>
          </w:tcPr>
          <w:p w:rsidR="004E456B" w:rsidRPr="00F16327" w:rsidRDefault="004E456B" w:rsidP="00027A9C">
            <w:pPr>
              <w:jc w:val="center"/>
              <w:rPr>
                <w:sz w:val="16"/>
                <w:szCs w:val="16"/>
              </w:rPr>
            </w:pPr>
            <w:r w:rsidRPr="00F16327">
              <w:rPr>
                <w:sz w:val="16"/>
                <w:szCs w:val="16"/>
              </w:rPr>
              <w:t>35.518</w:t>
            </w:r>
          </w:p>
        </w:tc>
        <w:tc>
          <w:tcPr>
            <w:tcW w:w="1814" w:type="dxa"/>
            <w:tcBorders>
              <w:top w:val="nil"/>
              <w:left w:val="nil"/>
              <w:bottom w:val="nil"/>
              <w:right w:val="nil"/>
            </w:tcBorders>
            <w:shd w:val="clear" w:color="auto" w:fill="auto"/>
            <w:noWrap/>
            <w:vAlign w:val="bottom"/>
            <w:hideMark/>
          </w:tcPr>
          <w:p w:rsidR="004E456B" w:rsidRPr="00F16327" w:rsidRDefault="004E456B" w:rsidP="00027A9C">
            <w:pPr>
              <w:jc w:val="center"/>
              <w:rPr>
                <w:sz w:val="16"/>
                <w:szCs w:val="16"/>
              </w:rPr>
            </w:pPr>
            <w:r w:rsidRPr="00F16327">
              <w:rPr>
                <w:sz w:val="16"/>
                <w:szCs w:val="16"/>
              </w:rPr>
              <w:t>-</w:t>
            </w:r>
          </w:p>
        </w:tc>
        <w:tc>
          <w:tcPr>
            <w:tcW w:w="1815" w:type="dxa"/>
            <w:tcBorders>
              <w:top w:val="nil"/>
              <w:left w:val="nil"/>
              <w:bottom w:val="nil"/>
              <w:right w:val="nil"/>
            </w:tcBorders>
            <w:shd w:val="clear" w:color="auto" w:fill="auto"/>
            <w:noWrap/>
            <w:vAlign w:val="bottom"/>
            <w:hideMark/>
          </w:tcPr>
          <w:p w:rsidR="004E456B" w:rsidRPr="00F16327" w:rsidRDefault="004E456B" w:rsidP="00027A9C">
            <w:pPr>
              <w:jc w:val="center"/>
              <w:rPr>
                <w:sz w:val="16"/>
                <w:szCs w:val="16"/>
              </w:rPr>
            </w:pPr>
            <w:r w:rsidRPr="00F16327">
              <w:rPr>
                <w:sz w:val="16"/>
                <w:szCs w:val="16"/>
              </w:rPr>
              <w:t>62.796</w:t>
            </w:r>
          </w:p>
        </w:tc>
      </w:tr>
    </w:tbl>
    <w:p w:rsidR="004E456B" w:rsidRPr="009A4292" w:rsidRDefault="004E456B" w:rsidP="00027A9C">
      <w:pPr>
        <w:rPr>
          <w:sz w:val="20"/>
        </w:rPr>
      </w:pPr>
    </w:p>
    <w:p w:rsidR="004E456B" w:rsidRPr="009A4292" w:rsidRDefault="004E456B" w:rsidP="00027A9C">
      <w:pPr>
        <w:rPr>
          <w:sz w:val="20"/>
        </w:rPr>
      </w:pPr>
    </w:p>
    <w:p w:rsidR="004E456B" w:rsidRPr="009A4292" w:rsidRDefault="004E456B" w:rsidP="00027A9C">
      <w:pPr>
        <w:rPr>
          <w:sz w:val="20"/>
        </w:rPr>
      </w:pPr>
    </w:p>
    <w:p w:rsidR="00D4426A" w:rsidRDefault="009A4292" w:rsidP="009A4292">
      <w:pPr>
        <w:pStyle w:val="Endofdocument-Annex"/>
        <w:ind w:left="0"/>
        <w:jc w:val="right"/>
        <w:rPr>
          <w:sz w:val="20"/>
          <w:lang w:val="es-ES"/>
        </w:rPr>
      </w:pPr>
      <w:r w:rsidRPr="009A4292">
        <w:rPr>
          <w:sz w:val="20"/>
          <w:lang w:val="es-ES"/>
        </w:rPr>
        <w:t>[Sigue el Apéndice III]</w:t>
      </w:r>
    </w:p>
    <w:p w:rsidR="00EC71D6" w:rsidRDefault="00EC71D6">
      <w:pPr>
        <w:rPr>
          <w:sz w:val="20"/>
        </w:rPr>
      </w:pPr>
      <w:r>
        <w:rPr>
          <w:sz w:val="20"/>
        </w:rPr>
        <w:br w:type="page"/>
      </w:r>
    </w:p>
    <w:p w:rsidR="00BE17BF" w:rsidRPr="00102A5B" w:rsidRDefault="00BE17BF" w:rsidP="00027A9C">
      <w:pPr>
        <w:tabs>
          <w:tab w:val="left" w:pos="2268"/>
          <w:tab w:val="right" w:pos="9072"/>
        </w:tabs>
        <w:outlineLvl w:val="1"/>
        <w:rPr>
          <w:iCs/>
        </w:rPr>
      </w:pPr>
      <w:bookmarkStart w:id="85" w:name="_Toc482711284"/>
      <w:r w:rsidRPr="00102A5B">
        <w:rPr>
          <w:b/>
          <w:iCs/>
        </w:rPr>
        <w:lastRenderedPageBreak/>
        <w:t>APÉNDICE III</w:t>
      </w:r>
      <w:r w:rsidR="00860FA1">
        <w:rPr>
          <w:b/>
          <w:iCs/>
        </w:rPr>
        <w:br/>
      </w:r>
      <w:r w:rsidRPr="00102A5B">
        <w:rPr>
          <w:b/>
          <w:iCs/>
        </w:rPr>
        <w:t>INFORME SOBRE LA MARCHA DEL PLAN MAESTRO DE MEJORAS DE INFRAESTRUCTURA (PMM) EN 2016</w:t>
      </w:r>
      <w:bookmarkEnd w:id="85"/>
    </w:p>
    <w:p w:rsidR="00BE17BF" w:rsidRPr="00102A5B" w:rsidRDefault="00BE17BF" w:rsidP="00027A9C">
      <w:pPr>
        <w:autoSpaceDE w:val="0"/>
        <w:autoSpaceDN w:val="0"/>
        <w:jc w:val="both"/>
        <w:rPr>
          <w:bCs/>
          <w:sz w:val="20"/>
        </w:rPr>
      </w:pPr>
    </w:p>
    <w:p w:rsidR="00BE17BF" w:rsidRPr="00102A5B" w:rsidRDefault="00BE17BF" w:rsidP="00027A9C">
      <w:pPr>
        <w:rPr>
          <w:sz w:val="20"/>
          <w:szCs w:val="24"/>
        </w:rPr>
      </w:pPr>
    </w:p>
    <w:p w:rsidR="00BE17BF" w:rsidRPr="00102A5B" w:rsidRDefault="00BE17BF" w:rsidP="00027A9C">
      <w:pPr>
        <w:rPr>
          <w:b/>
          <w:bCs/>
          <w:sz w:val="20"/>
          <w:szCs w:val="24"/>
        </w:rPr>
      </w:pPr>
      <w:r w:rsidRPr="00102A5B">
        <w:rPr>
          <w:b/>
          <w:bCs/>
          <w:sz w:val="20"/>
          <w:szCs w:val="24"/>
        </w:rPr>
        <w:t>I.</w:t>
      </w:r>
      <w:r w:rsidRPr="00102A5B">
        <w:rPr>
          <w:b/>
          <w:bCs/>
          <w:sz w:val="20"/>
          <w:szCs w:val="24"/>
        </w:rPr>
        <w:tab/>
        <w:t>INTRODUCCIÓN</w:t>
      </w:r>
    </w:p>
    <w:p w:rsidR="00BE17BF" w:rsidRPr="00102A5B" w:rsidRDefault="00BE17BF" w:rsidP="00027A9C">
      <w:pPr>
        <w:tabs>
          <w:tab w:val="left" w:pos="720"/>
        </w:tabs>
        <w:rPr>
          <w:sz w:val="20"/>
        </w:rPr>
      </w:pPr>
    </w:p>
    <w:p w:rsidR="00BE17BF" w:rsidRPr="00102A5B" w:rsidRDefault="00BE17BF" w:rsidP="00027A9C">
      <w:pPr>
        <w:tabs>
          <w:tab w:val="left" w:pos="720"/>
        </w:tabs>
        <w:jc w:val="both"/>
        <w:rPr>
          <w:sz w:val="20"/>
        </w:rPr>
      </w:pPr>
      <w:r w:rsidRPr="00102A5B">
        <w:rPr>
          <w:sz w:val="20"/>
        </w:rPr>
        <w:t>En su 51ª serie de reuniones, celebrada en septiembre de 2013, las Asambleas de los Estados miembros de la OMPI suscribieron los principios que rigen la inclusión de proyectos en el Plan maestro de mejoras de infraestructura (PMM), y aprobaron la financiación de un importe total estimado de 11,2 millones de francos suizos, con cargo a las reservas disponibles, para siete proyectos (documento A/51/16).</w:t>
      </w:r>
      <w:r w:rsidRPr="00102A5B">
        <w:rPr>
          <w:rStyle w:val="FootnoteReference"/>
          <w:sz w:val="20"/>
        </w:rPr>
        <w:footnoteReference w:id="113"/>
      </w:r>
    </w:p>
    <w:p w:rsidR="00BE17BF" w:rsidRPr="00102A5B" w:rsidRDefault="00BE17BF" w:rsidP="00027A9C">
      <w:pPr>
        <w:tabs>
          <w:tab w:val="left" w:pos="720"/>
        </w:tabs>
        <w:jc w:val="both"/>
        <w:rPr>
          <w:sz w:val="20"/>
        </w:rPr>
      </w:pPr>
    </w:p>
    <w:p w:rsidR="00BE17BF" w:rsidRPr="00102A5B" w:rsidRDefault="00BE17BF" w:rsidP="00027A9C">
      <w:pPr>
        <w:tabs>
          <w:tab w:val="left" w:pos="720"/>
        </w:tabs>
        <w:spacing w:after="220"/>
        <w:jc w:val="both"/>
        <w:rPr>
          <w:sz w:val="20"/>
        </w:rPr>
      </w:pPr>
      <w:r w:rsidRPr="00102A5B">
        <w:rPr>
          <w:sz w:val="20"/>
        </w:rPr>
        <w:t>En el marco de las iniciativas encaminadas a agilizar la presentación de informes en la Organización, el informe sobre la marcha del Plan maestro de mejoras de infraestructura en 2016 se anexa al documento PPR 2016.  Se trata del cuarto informe sobre la marcha de dicho Plan presentado al PBC y ofrece a los Estados miembros un panorama de los progresos logrados, las etapas alcanzadas y la utilización de recursos durante el período de enero a diciembre de 2016, en el marco de los proyectos siguientes:</w:t>
      </w:r>
    </w:p>
    <w:p w:rsidR="00BE17BF" w:rsidRPr="00102A5B" w:rsidRDefault="00BE17BF" w:rsidP="00BE17BF">
      <w:pPr>
        <w:numPr>
          <w:ilvl w:val="1"/>
          <w:numId w:val="106"/>
        </w:numPr>
        <w:spacing w:after="220"/>
        <w:rPr>
          <w:sz w:val="20"/>
          <w:u w:val="single"/>
        </w:rPr>
      </w:pPr>
      <w:r w:rsidRPr="00102A5B">
        <w:rPr>
          <w:sz w:val="20"/>
          <w:u w:val="single"/>
        </w:rPr>
        <w:t>Proyectos relacionados con las TIC</w:t>
      </w:r>
    </w:p>
    <w:p w:rsidR="00BE17BF" w:rsidRPr="00102A5B" w:rsidRDefault="00BE17BF" w:rsidP="00BE17BF">
      <w:pPr>
        <w:numPr>
          <w:ilvl w:val="2"/>
          <w:numId w:val="106"/>
        </w:numPr>
        <w:spacing w:after="220"/>
        <w:rPr>
          <w:sz w:val="20"/>
        </w:rPr>
      </w:pPr>
      <w:r w:rsidRPr="00102A5B">
        <w:rPr>
          <w:sz w:val="20"/>
        </w:rPr>
        <w:t>Mejora de la seguridad:  cifrado de datos y gestión de usuarios (PMM 1)</w:t>
      </w:r>
    </w:p>
    <w:p w:rsidR="00BE17BF" w:rsidRPr="00102A5B" w:rsidRDefault="00BE17BF" w:rsidP="00BE17BF">
      <w:pPr>
        <w:numPr>
          <w:ilvl w:val="2"/>
          <w:numId w:val="106"/>
        </w:numPr>
        <w:spacing w:after="220"/>
        <w:rPr>
          <w:sz w:val="20"/>
        </w:rPr>
      </w:pPr>
      <w:r w:rsidRPr="00102A5B">
        <w:rPr>
          <w:sz w:val="20"/>
        </w:rPr>
        <w:t>Aplicación de la gestión de contenidos institucionales (PMM 2)</w:t>
      </w:r>
    </w:p>
    <w:p w:rsidR="00BE17BF" w:rsidRPr="00102A5B" w:rsidRDefault="00BE17BF" w:rsidP="00BE17BF">
      <w:pPr>
        <w:numPr>
          <w:ilvl w:val="1"/>
          <w:numId w:val="106"/>
        </w:numPr>
        <w:spacing w:after="220"/>
        <w:rPr>
          <w:sz w:val="20"/>
          <w:u w:val="single"/>
        </w:rPr>
      </w:pPr>
      <w:r w:rsidRPr="00102A5B">
        <w:rPr>
          <w:sz w:val="20"/>
          <w:u w:val="single"/>
        </w:rPr>
        <w:t>Proyectos relacionados con los edificios</w:t>
      </w:r>
    </w:p>
    <w:p w:rsidR="00BE17BF" w:rsidRPr="00102A5B" w:rsidRDefault="00BE17BF" w:rsidP="00BE17BF">
      <w:pPr>
        <w:numPr>
          <w:ilvl w:val="2"/>
          <w:numId w:val="129"/>
        </w:numPr>
        <w:spacing w:after="220"/>
        <w:ind w:left="1710" w:hanging="576"/>
        <w:rPr>
          <w:sz w:val="20"/>
        </w:rPr>
      </w:pPr>
      <w:r w:rsidRPr="00102A5B">
        <w:rPr>
          <w:sz w:val="20"/>
        </w:rPr>
        <w:t>Renovación de las fachadas e instalación de refrigeración/calefacción en el edificio PCT (PMM 3)</w:t>
      </w:r>
    </w:p>
    <w:p w:rsidR="00BE17BF" w:rsidRPr="00102A5B" w:rsidRDefault="00BE17BF" w:rsidP="00BE17BF">
      <w:pPr>
        <w:numPr>
          <w:ilvl w:val="2"/>
          <w:numId w:val="106"/>
        </w:numPr>
        <w:spacing w:after="220"/>
        <w:ind w:left="1710" w:hanging="576"/>
        <w:rPr>
          <w:sz w:val="20"/>
        </w:rPr>
      </w:pPr>
      <w:r w:rsidRPr="00102A5B">
        <w:rPr>
          <w:sz w:val="20"/>
        </w:rPr>
        <w:t>Instalación en los edificios AB y PCT de un sistema de refrigeración que utiliza el agua del lago de Ginebra (“GLN”) (PMM 4)</w:t>
      </w:r>
    </w:p>
    <w:p w:rsidR="00BE17BF" w:rsidRPr="00102A5B" w:rsidRDefault="00BE17BF" w:rsidP="00BE17BF">
      <w:pPr>
        <w:numPr>
          <w:ilvl w:val="2"/>
          <w:numId w:val="106"/>
        </w:numPr>
        <w:spacing w:after="220"/>
        <w:rPr>
          <w:sz w:val="20"/>
        </w:rPr>
      </w:pPr>
      <w:r w:rsidRPr="00102A5B">
        <w:rPr>
          <w:sz w:val="20"/>
        </w:rPr>
        <w:t>Edificio Arpad Bogsch – fase 1 de la renovación del subsuelo (adaptación de las dimensiones del centro de datos y renovación de la imprenta) (PMM 5)</w:t>
      </w:r>
    </w:p>
    <w:p w:rsidR="00BE17BF" w:rsidRPr="00102A5B" w:rsidRDefault="00BE17BF" w:rsidP="00BE17BF">
      <w:pPr>
        <w:numPr>
          <w:ilvl w:val="2"/>
          <w:numId w:val="106"/>
        </w:numPr>
        <w:spacing w:after="220"/>
        <w:rPr>
          <w:sz w:val="20"/>
        </w:rPr>
      </w:pPr>
      <w:r w:rsidRPr="00102A5B">
        <w:rPr>
          <w:sz w:val="20"/>
        </w:rPr>
        <w:t>Edificio Arpad Bogsch – sustitución de determinadas ventanas (PMM 6)</w:t>
      </w:r>
    </w:p>
    <w:p w:rsidR="00BE17BF" w:rsidRPr="00102A5B" w:rsidRDefault="00BE17BF" w:rsidP="00BE17BF">
      <w:pPr>
        <w:numPr>
          <w:ilvl w:val="1"/>
          <w:numId w:val="106"/>
        </w:numPr>
        <w:spacing w:after="220"/>
        <w:rPr>
          <w:sz w:val="20"/>
          <w:u w:val="single"/>
        </w:rPr>
      </w:pPr>
      <w:r w:rsidRPr="00102A5B">
        <w:rPr>
          <w:sz w:val="20"/>
          <w:u w:val="single"/>
        </w:rPr>
        <w:t>Proyectos relacionados con la seguridad y la vigilancia</w:t>
      </w:r>
    </w:p>
    <w:p w:rsidR="00BE17BF" w:rsidRPr="00102A5B" w:rsidRDefault="00BE17BF" w:rsidP="00BE17BF">
      <w:pPr>
        <w:numPr>
          <w:ilvl w:val="2"/>
          <w:numId w:val="130"/>
        </w:numPr>
        <w:spacing w:after="220"/>
        <w:rPr>
          <w:sz w:val="20"/>
        </w:rPr>
      </w:pPr>
      <w:r w:rsidRPr="00102A5B">
        <w:rPr>
          <w:sz w:val="20"/>
        </w:rPr>
        <w:t>Medidas de seguridad y protección contra incendios (PMM 7)</w:t>
      </w:r>
    </w:p>
    <w:p w:rsidR="00BE17BF" w:rsidRPr="00102A5B" w:rsidRDefault="00BE17BF" w:rsidP="00027A9C">
      <w:pPr>
        <w:rPr>
          <w:b/>
          <w:bCs/>
          <w:sz w:val="20"/>
          <w:szCs w:val="24"/>
        </w:rPr>
      </w:pPr>
    </w:p>
    <w:p w:rsidR="00BE17BF" w:rsidRPr="00102A5B" w:rsidRDefault="00BE17BF" w:rsidP="00027A9C">
      <w:pPr>
        <w:rPr>
          <w:b/>
          <w:bCs/>
          <w:szCs w:val="22"/>
        </w:rPr>
      </w:pPr>
      <w:r w:rsidRPr="00102A5B">
        <w:rPr>
          <w:b/>
          <w:bCs/>
          <w:szCs w:val="22"/>
        </w:rPr>
        <w:t>II.</w:t>
      </w:r>
      <w:r w:rsidRPr="00102A5B">
        <w:rPr>
          <w:bCs/>
          <w:szCs w:val="22"/>
        </w:rPr>
        <w:tab/>
      </w:r>
      <w:r w:rsidRPr="00102A5B">
        <w:rPr>
          <w:b/>
          <w:bCs/>
          <w:szCs w:val="22"/>
        </w:rPr>
        <w:t>ESTRUCTURA DE GOBERNANZA APROBADA</w:t>
      </w:r>
    </w:p>
    <w:p w:rsidR="00BE17BF" w:rsidRPr="00102A5B" w:rsidRDefault="00BE17BF" w:rsidP="00027A9C">
      <w:pPr>
        <w:rPr>
          <w:sz w:val="20"/>
          <w:szCs w:val="24"/>
        </w:rPr>
      </w:pPr>
    </w:p>
    <w:p w:rsidR="00BE17BF" w:rsidRPr="00102A5B" w:rsidRDefault="00BE17BF" w:rsidP="00027A9C">
      <w:pPr>
        <w:tabs>
          <w:tab w:val="left" w:pos="720"/>
        </w:tabs>
        <w:spacing w:after="220"/>
        <w:jc w:val="both"/>
        <w:rPr>
          <w:sz w:val="20"/>
        </w:rPr>
      </w:pPr>
      <w:r w:rsidRPr="00102A5B">
        <w:rPr>
          <w:sz w:val="20"/>
        </w:rPr>
        <w:t>En sintonía con las mejores prácticas en materia de gestión de proyectos, se aplicó en 2014 un marco de gobernanza para el PMM con el fin de:  i) definir las estructuras y procesos de gestión y supervisión de las actividades de los proyectos encaminadas al logro de sus objetivos, y ii) velar por que se establezcan y se comuniquen claramente las responsabilidades y la rendición de cuentas.</w:t>
      </w:r>
    </w:p>
    <w:p w:rsidR="00BE17BF" w:rsidRPr="00102A5B" w:rsidRDefault="00BE17BF" w:rsidP="00027A9C">
      <w:pPr>
        <w:tabs>
          <w:tab w:val="left" w:pos="720"/>
        </w:tabs>
        <w:spacing w:after="220"/>
        <w:jc w:val="both"/>
        <w:rPr>
          <w:sz w:val="20"/>
        </w:rPr>
      </w:pPr>
      <w:r w:rsidRPr="00102A5B">
        <w:rPr>
          <w:sz w:val="20"/>
        </w:rPr>
        <w:t>El PBC, en su vigesimosegunda sesión, celebrada en septiembre de 2014, tomó nota de la estructura de gobernanza establecida para gestionar, supervisar y presentar informes sobre la ejecución de la cartera de proyectos del PMM, que se expone en el documento WO/PBC/22/21.</w:t>
      </w:r>
      <w:r w:rsidRPr="00102A5B">
        <w:rPr>
          <w:rStyle w:val="FootnoteReference"/>
          <w:sz w:val="20"/>
        </w:rPr>
        <w:footnoteReference w:id="114"/>
      </w:r>
    </w:p>
    <w:p w:rsidR="00BE17BF" w:rsidRPr="00102A5B" w:rsidRDefault="00BE17BF">
      <w:pPr>
        <w:rPr>
          <w:b/>
          <w:szCs w:val="24"/>
        </w:rPr>
      </w:pPr>
      <w:r w:rsidRPr="00102A5B">
        <w:rPr>
          <w:b/>
          <w:szCs w:val="24"/>
        </w:rPr>
        <w:br w:type="page"/>
      </w:r>
    </w:p>
    <w:p w:rsidR="00BE17BF" w:rsidRPr="00102A5B" w:rsidRDefault="00BE17BF" w:rsidP="00027A9C">
      <w:pPr>
        <w:rPr>
          <w:b/>
          <w:szCs w:val="24"/>
        </w:rPr>
      </w:pPr>
      <w:r w:rsidRPr="00102A5B">
        <w:rPr>
          <w:b/>
          <w:szCs w:val="24"/>
        </w:rPr>
        <w:lastRenderedPageBreak/>
        <w:t>PROYECTOS RELACIONADOS CON LAS TIC</w:t>
      </w:r>
    </w:p>
    <w:p w:rsidR="00BE17BF" w:rsidRPr="00102A5B" w:rsidRDefault="00BE17BF" w:rsidP="00027A9C">
      <w:pPr>
        <w:rPr>
          <w:b/>
          <w:szCs w:val="24"/>
        </w:rPr>
      </w:pPr>
    </w:p>
    <w:p w:rsidR="00BE17BF" w:rsidRPr="00102A5B" w:rsidRDefault="00BE17BF" w:rsidP="00027A9C">
      <w:pPr>
        <w:keepNext/>
        <w:ind w:left="1701" w:hanging="1701"/>
        <w:outlineLvl w:val="2"/>
        <w:rPr>
          <w:b/>
          <w:bCs/>
          <w:i/>
          <w:sz w:val="20"/>
          <w:szCs w:val="26"/>
        </w:rPr>
      </w:pPr>
      <w:bookmarkStart w:id="86" w:name="_Toc482711285"/>
      <w:r w:rsidRPr="00102A5B">
        <w:rPr>
          <w:b/>
          <w:bCs/>
          <w:i/>
          <w:sz w:val="20"/>
          <w:szCs w:val="26"/>
        </w:rPr>
        <w:t>PROYECTO 1:</w:t>
      </w:r>
      <w:r w:rsidRPr="00102A5B">
        <w:rPr>
          <w:bCs/>
          <w:sz w:val="20"/>
          <w:szCs w:val="26"/>
        </w:rPr>
        <w:tab/>
      </w:r>
      <w:r w:rsidRPr="00102A5B">
        <w:rPr>
          <w:b/>
          <w:bCs/>
          <w:i/>
          <w:sz w:val="20"/>
          <w:szCs w:val="26"/>
        </w:rPr>
        <w:t>MEJORA DE LA SEGURIDAD:  CIFRADO DE DATOS Y GESTIÓN DE USUARIOS (PMM 1)</w:t>
      </w:r>
      <w:bookmarkEnd w:id="86"/>
    </w:p>
    <w:p w:rsidR="00BE17BF" w:rsidRPr="00102A5B" w:rsidRDefault="00BE17BF" w:rsidP="00027A9C">
      <w:pPr>
        <w:rPr>
          <w:sz w:val="20"/>
        </w:rPr>
      </w:pPr>
    </w:p>
    <w:p w:rsidR="00BE17BF" w:rsidRPr="00102A5B" w:rsidRDefault="00BE17BF" w:rsidP="00027A9C">
      <w:pPr>
        <w:rPr>
          <w:b/>
          <w:sz w:val="20"/>
        </w:rPr>
      </w:pPr>
      <w:r w:rsidRPr="00102A5B">
        <w:rPr>
          <w:b/>
          <w:sz w:val="20"/>
        </w:rPr>
        <w:t>Director de proyecto</w:t>
      </w:r>
      <w:r w:rsidRPr="00102A5B">
        <w:rPr>
          <w:sz w:val="20"/>
        </w:rPr>
        <w:tab/>
      </w:r>
      <w:r w:rsidRPr="00102A5B">
        <w:rPr>
          <w:b/>
          <w:sz w:val="20"/>
        </w:rPr>
        <w:t>Sr. R. LANE</w:t>
      </w:r>
    </w:p>
    <w:p w:rsidR="00BE17BF" w:rsidRPr="00102A5B" w:rsidRDefault="00BE17BF" w:rsidP="00027A9C">
      <w:pPr>
        <w:rPr>
          <w:sz w:val="20"/>
        </w:rPr>
      </w:pPr>
    </w:p>
    <w:p w:rsidR="00BE17BF" w:rsidRPr="00102A5B" w:rsidRDefault="00BE17BF" w:rsidP="00027A9C">
      <w:pPr>
        <w:rPr>
          <w:bCs/>
          <w:sz w:val="20"/>
        </w:rPr>
      </w:pPr>
    </w:p>
    <w:p w:rsidR="00BE17BF" w:rsidRPr="00102A5B" w:rsidRDefault="00BE17BF" w:rsidP="00027A9C">
      <w:pPr>
        <w:rPr>
          <w:bCs/>
          <w:sz w:val="20"/>
        </w:rPr>
      </w:pPr>
      <w:r w:rsidRPr="00102A5B">
        <w:rPr>
          <w:bCs/>
          <w:sz w:val="20"/>
        </w:rPr>
        <w:t>RESULTADO PREVISTO</w:t>
      </w:r>
    </w:p>
    <w:p w:rsidR="00BE17BF" w:rsidRPr="00102A5B" w:rsidRDefault="00BE17BF" w:rsidP="00027A9C">
      <w:pPr>
        <w:rPr>
          <w:bCs/>
          <w:sz w:val="20"/>
        </w:rPr>
      </w:pPr>
    </w:p>
    <w:p w:rsidR="00BE17BF" w:rsidRPr="00102A5B" w:rsidRDefault="00BE17BF" w:rsidP="00027A9C">
      <w:pPr>
        <w:jc w:val="both"/>
        <w:rPr>
          <w:i/>
          <w:iCs/>
          <w:sz w:val="20"/>
        </w:rPr>
      </w:pPr>
      <w:r w:rsidRPr="00102A5B">
        <w:rPr>
          <w:i/>
          <w:iCs/>
          <w:sz w:val="20"/>
        </w:rPr>
        <w:t>IX.1  Servicios de apoyo eficaces, eficientes, de calidad y orientados al cliente, tanto a los usuarios internos como a las partes interesadas externas</w:t>
      </w:r>
    </w:p>
    <w:p w:rsidR="00BE17BF" w:rsidRPr="00102A5B" w:rsidRDefault="00BE17BF" w:rsidP="00027A9C">
      <w:pPr>
        <w:tabs>
          <w:tab w:val="left" w:pos="567"/>
        </w:tabs>
        <w:jc w:val="both"/>
        <w:rPr>
          <w:iCs/>
          <w:sz w:val="20"/>
        </w:rPr>
      </w:pPr>
    </w:p>
    <w:p w:rsidR="00BE17BF" w:rsidRPr="00102A5B" w:rsidRDefault="00BE17BF" w:rsidP="00027A9C">
      <w:pPr>
        <w:rPr>
          <w:bCs/>
          <w:sz w:val="20"/>
          <w:szCs w:val="22"/>
        </w:rPr>
      </w:pPr>
      <w:r w:rsidRPr="00102A5B">
        <w:rPr>
          <w:bCs/>
          <w:sz w:val="20"/>
          <w:szCs w:val="22"/>
        </w:rPr>
        <w:t>OBJETIVOS, ALCANCE Y ENFOQUE:  ANTECEDENTES</w:t>
      </w:r>
    </w:p>
    <w:p w:rsidR="00BE17BF" w:rsidRPr="00102A5B" w:rsidRDefault="00BE17BF" w:rsidP="00027A9C">
      <w:pPr>
        <w:rPr>
          <w:bCs/>
          <w:sz w:val="20"/>
        </w:rPr>
      </w:pPr>
    </w:p>
    <w:p w:rsidR="00BE17BF" w:rsidRPr="00102A5B" w:rsidRDefault="00BE17BF" w:rsidP="00BE17BF">
      <w:pPr>
        <w:numPr>
          <w:ilvl w:val="0"/>
          <w:numId w:val="108"/>
        </w:numPr>
        <w:tabs>
          <w:tab w:val="left" w:pos="567"/>
        </w:tabs>
        <w:spacing w:after="220"/>
        <w:ind w:left="360"/>
        <w:jc w:val="both"/>
        <w:rPr>
          <w:sz w:val="20"/>
        </w:rPr>
      </w:pPr>
      <w:r w:rsidRPr="00102A5B">
        <w:rPr>
          <w:sz w:val="20"/>
        </w:rPr>
        <w:t>Este proyecto tiene tres objetivos principales:  proteger los datos fundamentales, presentar opciones más costoeficaces de selección de proveedores y administrar de forma global los derechos de acceso de los usuarios.</w:t>
      </w:r>
    </w:p>
    <w:p w:rsidR="00BE17BF" w:rsidRPr="00102A5B" w:rsidRDefault="00BE17BF" w:rsidP="00BE17BF">
      <w:pPr>
        <w:numPr>
          <w:ilvl w:val="0"/>
          <w:numId w:val="108"/>
        </w:numPr>
        <w:tabs>
          <w:tab w:val="left" w:pos="567"/>
        </w:tabs>
        <w:spacing w:after="220"/>
        <w:ind w:left="360"/>
        <w:jc w:val="both"/>
        <w:rPr>
          <w:sz w:val="20"/>
        </w:rPr>
      </w:pPr>
      <w:r w:rsidRPr="00102A5B">
        <w:rPr>
          <w:sz w:val="20"/>
        </w:rPr>
        <w:t>La OMPI ya ha adoptado variados enfoques para proteger la información confidencial;  entre ellos cabe señalar mecanismos tradicionales de protección perimetral, sistemas de gestión de la información y los sucesos en materia de seguridad, y detección y prevención de intrusiones.  Sin embargo, en respuesta a amenazas cada vez más complejas a la seguridad, las mejores prácticas en materia de seguridad de la información también hacen hincapié actualmente en la protección directa de las fuentes.</w:t>
      </w:r>
    </w:p>
    <w:p w:rsidR="00BE17BF" w:rsidRPr="00102A5B" w:rsidRDefault="00BE17BF" w:rsidP="00BE17BF">
      <w:pPr>
        <w:numPr>
          <w:ilvl w:val="0"/>
          <w:numId w:val="108"/>
        </w:numPr>
        <w:tabs>
          <w:tab w:val="left" w:pos="567"/>
        </w:tabs>
        <w:spacing w:after="220"/>
        <w:ind w:left="360"/>
        <w:jc w:val="both"/>
        <w:rPr>
          <w:bCs/>
          <w:sz w:val="20"/>
        </w:rPr>
      </w:pPr>
      <w:r w:rsidRPr="00102A5B">
        <w:rPr>
          <w:bCs/>
          <w:sz w:val="20"/>
        </w:rPr>
        <w:t>Además, hoy en día, disponer de opciones costoeficaces de selección de proveedores es una necesidad en el ámbito de la gestión de las tecnologías de la información, en el que se espera poder, por una parte, contar con competencias diversificadas y ágiles y, por otra, con la posibilidad de movilizar rápidamente al personal para responder a las cambiantes prioridades de trabajo.  Sin embargo, el aumento de las opciones de selección de proveedores también expone a un mayor riesgo la seguridad de la información.</w:t>
      </w:r>
    </w:p>
    <w:p w:rsidR="00BE17BF" w:rsidRPr="00102A5B" w:rsidRDefault="00BE17BF" w:rsidP="00BE17BF">
      <w:pPr>
        <w:numPr>
          <w:ilvl w:val="0"/>
          <w:numId w:val="108"/>
        </w:numPr>
        <w:tabs>
          <w:tab w:val="left" w:pos="567"/>
        </w:tabs>
        <w:spacing w:after="220"/>
        <w:ind w:left="360"/>
        <w:jc w:val="both"/>
        <w:rPr>
          <w:bCs/>
          <w:sz w:val="20"/>
        </w:rPr>
      </w:pPr>
      <w:r w:rsidRPr="00102A5B">
        <w:rPr>
          <w:bCs/>
          <w:sz w:val="20"/>
        </w:rPr>
        <w:t>Las tecnologías de cifrado de datos institucionales pueden brindar soluciones eficaces a esos dos desafíos.  Esas soluciones complementan otras medidas de seguridad de la información mediante el cifrado de la fuente de los datos.  También permiten mayor flexibilidad para elegir proveedores de servicios costoeficaces, por mantener el cifrado bajo estricto control, permitiendo al mismo tiempo a los proveedores de servicios realizar sus funciones de apoyo.</w:t>
      </w:r>
    </w:p>
    <w:p w:rsidR="00BE17BF" w:rsidRPr="00102A5B" w:rsidRDefault="00BE17BF" w:rsidP="00BE17BF">
      <w:pPr>
        <w:numPr>
          <w:ilvl w:val="0"/>
          <w:numId w:val="108"/>
        </w:numPr>
        <w:tabs>
          <w:tab w:val="left" w:pos="567"/>
        </w:tabs>
        <w:spacing w:after="220"/>
        <w:ind w:left="360"/>
        <w:jc w:val="both"/>
        <w:rPr>
          <w:bCs/>
          <w:sz w:val="20"/>
        </w:rPr>
      </w:pPr>
      <w:r w:rsidRPr="00102A5B">
        <w:rPr>
          <w:bCs/>
          <w:sz w:val="20"/>
        </w:rPr>
        <w:t xml:space="preserve">La eficacia en la gestión de los derechos de acceso es otro complemento de las inversiones en mecanismos de cifrado de datos institucionales.  Tradicionalmente, la gestión de los derechos de acceso ha girado en torno a los sistemas;  es decir que, en un determinado sistema, debe resultar claro quién tiene acceso a qué.  Ese mecanismo puede ser eficaz cuando el número de usuarios y de aplicaciones informáticas es relativamente pequeño. </w:t>
      </w:r>
    </w:p>
    <w:p w:rsidR="00BE17BF" w:rsidRPr="00102A5B" w:rsidRDefault="00BE17BF" w:rsidP="00BE17BF">
      <w:pPr>
        <w:numPr>
          <w:ilvl w:val="0"/>
          <w:numId w:val="108"/>
        </w:numPr>
        <w:tabs>
          <w:tab w:val="left" w:pos="567"/>
        </w:tabs>
        <w:spacing w:after="220"/>
        <w:ind w:left="360"/>
        <w:jc w:val="both"/>
        <w:rPr>
          <w:bCs/>
          <w:sz w:val="20"/>
        </w:rPr>
      </w:pPr>
      <w:r w:rsidRPr="00102A5B">
        <w:rPr>
          <w:bCs/>
          <w:sz w:val="20"/>
        </w:rPr>
        <w:t>Sin embargo, en la medida en que la OMPI siga ampliando sus servicios en línea, se prevé que el número de usuarios aumentará constantemente en los próximos años.  Es necesario invertir en mecanismos que centren los derechos de acceso en los usuarios.  Es decir, debe ser claro qué derechos de acceso tiene un determinado usuario en todo el espectro de sistemas.</w:t>
      </w:r>
    </w:p>
    <w:p w:rsidR="00BE17BF" w:rsidRPr="00102A5B" w:rsidRDefault="00BE17BF" w:rsidP="00BE17BF">
      <w:pPr>
        <w:numPr>
          <w:ilvl w:val="0"/>
          <w:numId w:val="108"/>
        </w:numPr>
        <w:tabs>
          <w:tab w:val="left" w:pos="567"/>
        </w:tabs>
        <w:spacing w:after="220"/>
        <w:ind w:left="360"/>
        <w:jc w:val="both"/>
        <w:rPr>
          <w:bCs/>
          <w:sz w:val="20"/>
        </w:rPr>
      </w:pPr>
      <w:r w:rsidRPr="00102A5B">
        <w:rPr>
          <w:bCs/>
          <w:sz w:val="20"/>
        </w:rPr>
        <w:t>En el futuro, es posible que las tecnologías estén en mejores condiciones de administrar los derechos de acceso según las funciones de los usuarios en sistemas complejos, por ejemplo, el de PRI, y entre esos sistemas.  Actualmente, es difícil pronosticar cómo y hacía dónde evolucionarán esas tecnologías.  Por lo tanto, ello no forma parte del alcance de este proyecto.</w:t>
      </w:r>
    </w:p>
    <w:p w:rsidR="00BE17BF" w:rsidRPr="00102A5B" w:rsidRDefault="00BE17BF" w:rsidP="00027A9C">
      <w:pPr>
        <w:rPr>
          <w:iCs/>
          <w:sz w:val="20"/>
        </w:rPr>
      </w:pPr>
    </w:p>
    <w:p w:rsidR="00BE17BF" w:rsidRPr="00102A5B" w:rsidRDefault="00BE17BF" w:rsidP="00027A9C">
      <w:r w:rsidRPr="00102A5B">
        <w:rPr>
          <w:sz w:val="20"/>
        </w:rPr>
        <w:t>RESEÑA DE LOS AVANCES LOGRADOS EN 2016 (ETAPAS FUNDAMENTALES)</w:t>
      </w:r>
    </w:p>
    <w:p w:rsidR="00BE17BF" w:rsidRPr="00102A5B" w:rsidRDefault="00BE17BF" w:rsidP="00027A9C">
      <w:pPr>
        <w:keepNext/>
        <w:keepLines/>
        <w:rPr>
          <w:bCs/>
          <w:sz w:val="20"/>
          <w:szCs w:val="22"/>
        </w:rPr>
      </w:pPr>
    </w:p>
    <w:p w:rsidR="00BE17BF" w:rsidRPr="00102A5B" w:rsidRDefault="00BE17BF" w:rsidP="00BE17BF">
      <w:pPr>
        <w:pStyle w:val="ListParagraph"/>
        <w:numPr>
          <w:ilvl w:val="0"/>
          <w:numId w:val="108"/>
        </w:numPr>
        <w:ind w:left="360"/>
        <w:contextualSpacing/>
        <w:rPr>
          <w:bCs/>
          <w:szCs w:val="22"/>
          <w:lang w:val="es-ES"/>
        </w:rPr>
      </w:pPr>
      <w:r w:rsidRPr="00102A5B">
        <w:rPr>
          <w:bCs/>
          <w:szCs w:val="22"/>
          <w:lang w:val="es-ES"/>
        </w:rPr>
        <w:t>En 2016, se realizaron los avances siguientes:</w:t>
      </w:r>
    </w:p>
    <w:p w:rsidR="00BE17BF" w:rsidRPr="00102A5B" w:rsidRDefault="00BE17BF" w:rsidP="00027A9C">
      <w:pPr>
        <w:tabs>
          <w:tab w:val="left" w:pos="567"/>
        </w:tabs>
        <w:ind w:left="360"/>
        <w:jc w:val="both"/>
        <w:rPr>
          <w:bCs/>
          <w:sz w:val="20"/>
          <w:szCs w:val="22"/>
        </w:rPr>
      </w:pPr>
    </w:p>
    <w:p w:rsidR="00BE17BF" w:rsidRPr="00102A5B" w:rsidRDefault="00BE17BF" w:rsidP="00BE17BF">
      <w:pPr>
        <w:pStyle w:val="ListParagraph"/>
        <w:numPr>
          <w:ilvl w:val="0"/>
          <w:numId w:val="111"/>
        </w:numPr>
        <w:tabs>
          <w:tab w:val="left" w:pos="810"/>
        </w:tabs>
        <w:spacing w:after="220"/>
        <w:contextualSpacing/>
        <w:jc w:val="both"/>
        <w:rPr>
          <w:bCs/>
          <w:szCs w:val="22"/>
          <w:lang w:val="es-ES"/>
        </w:rPr>
      </w:pPr>
      <w:r w:rsidRPr="00102A5B">
        <w:rPr>
          <w:bCs/>
          <w:szCs w:val="22"/>
          <w:lang w:val="es-ES"/>
        </w:rPr>
        <w:lastRenderedPageBreak/>
        <w:t>Tras el proceso de solicitud de propuestas, en el cuarto trimestre de 2015 se contrató a una empresa independiente para que efectuara una evaluación de situación del sistema de cifrado para la administración de identidad y acceso (IAME), y desarrollar:  i) una arquitectura de referencia/planos del sistema IAME;  ii) una estrategia del sistema IAME;  y iii) una hoja de ruta detallada y aplicable por fases.  Los informes fueron presentados en 2016, y la estrategia y la hoja de ruta del sistema fueron aprobadas por el Comité Directivo de Seguridad y Aseguramiento de la Información en julio de 2016.</w:t>
      </w:r>
    </w:p>
    <w:p w:rsidR="00BE17BF" w:rsidRPr="00102A5B" w:rsidRDefault="00BE17BF" w:rsidP="00027A9C">
      <w:pPr>
        <w:pStyle w:val="ListParagraph"/>
        <w:tabs>
          <w:tab w:val="left" w:pos="567"/>
        </w:tabs>
        <w:spacing w:after="220"/>
        <w:ind w:left="1080"/>
        <w:jc w:val="both"/>
        <w:rPr>
          <w:bCs/>
          <w:szCs w:val="22"/>
          <w:lang w:val="es-ES"/>
        </w:rPr>
      </w:pPr>
    </w:p>
    <w:p w:rsidR="00BE17BF" w:rsidRPr="00102A5B" w:rsidRDefault="00BE17BF" w:rsidP="00BE17BF">
      <w:pPr>
        <w:pStyle w:val="ListParagraph"/>
        <w:numPr>
          <w:ilvl w:val="0"/>
          <w:numId w:val="111"/>
        </w:numPr>
        <w:tabs>
          <w:tab w:val="left" w:pos="720"/>
        </w:tabs>
        <w:contextualSpacing/>
        <w:jc w:val="both"/>
        <w:rPr>
          <w:bCs/>
          <w:szCs w:val="22"/>
          <w:lang w:val="es-ES"/>
        </w:rPr>
      </w:pPr>
      <w:r w:rsidRPr="00102A5B">
        <w:rPr>
          <w:bCs/>
          <w:szCs w:val="22"/>
          <w:lang w:val="es-ES"/>
        </w:rPr>
        <w:t>De conformidad con la hoja de ruta para la aplicación del sistema, se llevaron a cabo algunos proyectos de logros rápidos, incluida una evaluación independiente de la nueva plataforma de la OMPI de administración de identidad y acceso para usuarios externos (OpenAM) y el cumplimiento de políticas sobre contraseñas seguras en relación con las cuentas de correo electrónico de la OMPI.  Por otra parte, a finales de 2016 se emprendió el esbozo de los modelos de autorización de dos aplicaciones operativas básicas de conformidad con la arquitectura de referencia del sistema de IAME.  Dicho esbozo podrá servir de marco referencial en otros ámbitos de actividad y permitirá adoptar un enfoque de “formación de formadores” a fin de fortalecer las capacidades internas.</w:t>
      </w:r>
    </w:p>
    <w:p w:rsidR="00BE17BF" w:rsidRPr="00102A5B" w:rsidRDefault="00BE17BF" w:rsidP="00027A9C">
      <w:pPr>
        <w:keepNext/>
        <w:keepLines/>
        <w:rPr>
          <w:bCs/>
          <w:sz w:val="20"/>
          <w:szCs w:val="22"/>
        </w:rPr>
      </w:pPr>
    </w:p>
    <w:p w:rsidR="00BE17BF" w:rsidRPr="00102A5B" w:rsidRDefault="00BE17BF" w:rsidP="00027A9C">
      <w:pPr>
        <w:keepNext/>
        <w:keepLines/>
        <w:rPr>
          <w:bCs/>
          <w:sz w:val="20"/>
          <w:szCs w:val="22"/>
        </w:rPr>
      </w:pPr>
    </w:p>
    <w:p w:rsidR="00BE17BF" w:rsidRPr="00102A5B" w:rsidRDefault="00BE17BF" w:rsidP="00027A9C">
      <w:pPr>
        <w:keepNext/>
        <w:keepLines/>
        <w:rPr>
          <w:sz w:val="20"/>
          <w:szCs w:val="22"/>
        </w:rPr>
      </w:pPr>
      <w:r w:rsidRPr="00102A5B">
        <w:rPr>
          <w:sz w:val="20"/>
          <w:szCs w:val="22"/>
        </w:rPr>
        <w:t xml:space="preserve">OBTENCIÓN DE BENEFICIOS </w:t>
      </w:r>
    </w:p>
    <w:p w:rsidR="00BE17BF" w:rsidRPr="00102A5B" w:rsidRDefault="00BE17BF" w:rsidP="00027A9C">
      <w:pPr>
        <w:jc w:val="center"/>
        <w:rPr>
          <w:b/>
          <w:bCs/>
          <w:sz w:val="16"/>
          <w:szCs w:val="16"/>
        </w:rPr>
      </w:pPr>
    </w:p>
    <w:tbl>
      <w:tblPr>
        <w:tblW w:w="2444"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4539"/>
      </w:tblGrid>
      <w:tr w:rsidR="00BE17BF" w:rsidRPr="00102A5B" w:rsidTr="00027A9C">
        <w:trPr>
          <w:trHeight w:val="581"/>
          <w:tblHeader/>
          <w:jc w:val="center"/>
        </w:trPr>
        <w:tc>
          <w:tcPr>
            <w:tcW w:w="5000" w:type="pct"/>
            <w:shd w:val="clear" w:color="auto" w:fill="C6D9F1" w:themeFill="text2" w:themeFillTint="33"/>
            <w:vAlign w:val="center"/>
          </w:tcPr>
          <w:p w:rsidR="00BE17BF" w:rsidRPr="00102A5B" w:rsidRDefault="00BE17BF" w:rsidP="00027A9C">
            <w:pPr>
              <w:jc w:val="center"/>
              <w:rPr>
                <w:b/>
                <w:bCs/>
                <w:sz w:val="16"/>
                <w:szCs w:val="16"/>
              </w:rPr>
            </w:pPr>
            <w:r w:rsidRPr="00102A5B">
              <w:rPr>
                <w:b/>
                <w:bCs/>
                <w:sz w:val="16"/>
                <w:szCs w:val="16"/>
              </w:rPr>
              <w:t>Beneficios previstos para 2017</w:t>
            </w:r>
          </w:p>
        </w:tc>
      </w:tr>
      <w:tr w:rsidR="00BE17BF" w:rsidRPr="00102A5B" w:rsidTr="00027A9C">
        <w:trPr>
          <w:trHeight w:val="1786"/>
          <w:jc w:val="center"/>
        </w:trPr>
        <w:tc>
          <w:tcPr>
            <w:tcW w:w="5000" w:type="pct"/>
            <w:shd w:val="clear" w:color="auto" w:fill="auto"/>
          </w:tcPr>
          <w:p w:rsidR="00BE17BF" w:rsidRPr="00102A5B" w:rsidRDefault="00BE17BF" w:rsidP="00027A9C">
            <w:pPr>
              <w:rPr>
                <w:bCs/>
                <w:iCs/>
                <w:sz w:val="16"/>
                <w:szCs w:val="16"/>
              </w:rPr>
            </w:pPr>
          </w:p>
          <w:p w:rsidR="00BE17BF" w:rsidRPr="00102A5B" w:rsidRDefault="00BE17BF" w:rsidP="00027A9C">
            <w:pPr>
              <w:rPr>
                <w:bCs/>
                <w:iCs/>
                <w:sz w:val="16"/>
                <w:szCs w:val="16"/>
              </w:rPr>
            </w:pPr>
            <w:r w:rsidRPr="00102A5B">
              <w:rPr>
                <w:bCs/>
                <w:iCs/>
                <w:sz w:val="16"/>
                <w:szCs w:val="16"/>
              </w:rPr>
              <w:t>La puesta en práctica de soluciones técnicas, y de arquitectura y procedimiento para mejorar la gestión de la identidad y el acceso y el cifrado tendrá los siguientes resultados:</w:t>
            </w:r>
          </w:p>
          <w:p w:rsidR="00BE17BF" w:rsidRPr="00102A5B" w:rsidRDefault="00BE17BF" w:rsidP="00027A9C">
            <w:pPr>
              <w:rPr>
                <w:bCs/>
                <w:iCs/>
                <w:sz w:val="16"/>
                <w:szCs w:val="16"/>
              </w:rPr>
            </w:pPr>
          </w:p>
          <w:p w:rsidR="00BE17BF" w:rsidRPr="00102A5B" w:rsidRDefault="00BE17BF" w:rsidP="00BE17BF">
            <w:pPr>
              <w:numPr>
                <w:ilvl w:val="0"/>
                <w:numId w:val="109"/>
              </w:numPr>
              <w:ind w:left="461" w:hanging="461"/>
              <w:rPr>
                <w:bCs/>
                <w:iCs/>
                <w:sz w:val="16"/>
                <w:szCs w:val="16"/>
              </w:rPr>
            </w:pPr>
            <w:r w:rsidRPr="00102A5B">
              <w:rPr>
                <w:bCs/>
                <w:iCs/>
                <w:sz w:val="16"/>
                <w:szCs w:val="16"/>
              </w:rPr>
              <w:t>la normalización y reutilización de la arquitectura de cifrado y seguridad de referencia  para la gestión de la identidad y el acceso en los sistemas y aplicaciones esenciales de la OMPI;  y</w:t>
            </w:r>
          </w:p>
          <w:p w:rsidR="00BE17BF" w:rsidRPr="00102A5B" w:rsidRDefault="00BE17BF" w:rsidP="00BE17BF">
            <w:pPr>
              <w:numPr>
                <w:ilvl w:val="0"/>
                <w:numId w:val="109"/>
              </w:numPr>
              <w:ind w:left="461" w:hanging="461"/>
              <w:rPr>
                <w:bCs/>
                <w:iCs/>
                <w:sz w:val="16"/>
                <w:szCs w:val="16"/>
              </w:rPr>
            </w:pPr>
            <w:r w:rsidRPr="00102A5B">
              <w:rPr>
                <w:bCs/>
                <w:iCs/>
                <w:sz w:val="16"/>
                <w:szCs w:val="16"/>
              </w:rPr>
              <w:t xml:space="preserve">una mayor protección de los activos de información confidencial contra el acceso o la divulgación no autorizados. </w:t>
            </w:r>
          </w:p>
        </w:tc>
      </w:tr>
    </w:tbl>
    <w:p w:rsidR="00BE17BF" w:rsidRPr="00102A5B" w:rsidRDefault="00BE17BF" w:rsidP="00027A9C">
      <w:pPr>
        <w:keepNext/>
        <w:keepLines/>
        <w:rPr>
          <w:sz w:val="20"/>
          <w:szCs w:val="22"/>
        </w:rPr>
      </w:pPr>
    </w:p>
    <w:p w:rsidR="00BE17BF" w:rsidRPr="00102A5B" w:rsidRDefault="00BE17BF" w:rsidP="00027A9C">
      <w:pPr>
        <w:keepNext/>
        <w:keepLines/>
        <w:rPr>
          <w:sz w:val="20"/>
          <w:szCs w:val="22"/>
        </w:rPr>
      </w:pPr>
    </w:p>
    <w:p w:rsidR="00BE17BF" w:rsidRPr="00102A5B" w:rsidRDefault="00BE17BF" w:rsidP="00027A9C">
      <w:pPr>
        <w:rPr>
          <w:sz w:val="20"/>
        </w:rPr>
      </w:pPr>
      <w:r w:rsidRPr="00102A5B">
        <w:rPr>
          <w:sz w:val="20"/>
        </w:rPr>
        <w:t>UTILIZACIÓN DE LOS RECURSOS</w:t>
      </w:r>
      <w:r w:rsidRPr="00102A5B">
        <w:rPr>
          <w:rStyle w:val="FootnoteReference"/>
          <w:sz w:val="20"/>
        </w:rPr>
        <w:footnoteReference w:id="115"/>
      </w:r>
    </w:p>
    <w:p w:rsidR="00BE17BF" w:rsidRPr="00102A5B" w:rsidRDefault="00BE17BF" w:rsidP="00027A9C">
      <w:pPr>
        <w:keepNext/>
        <w:keepLines/>
        <w:rPr>
          <w:sz w:val="20"/>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 xml:space="preserve">Utilización del presupuesto del proyecto </w:t>
      </w:r>
    </w:p>
    <w:p w:rsidR="00BE17BF" w:rsidRPr="00102A5B" w:rsidRDefault="00BE17BF" w:rsidP="00027A9C">
      <w:pPr>
        <w:keepNext/>
        <w:keepLines/>
        <w:tabs>
          <w:tab w:val="left" w:pos="3261"/>
        </w:tabs>
        <w:autoSpaceDE w:val="0"/>
        <w:autoSpaceDN w:val="0"/>
        <w:adjustRightInd w:val="0"/>
        <w:spacing w:after="120"/>
        <w:jc w:val="center"/>
        <w:rPr>
          <w:szCs w:val="22"/>
        </w:rPr>
      </w:pPr>
      <w:r w:rsidRPr="00102A5B">
        <w:rPr>
          <w:i/>
          <w:sz w:val="18"/>
          <w:szCs w:val="22"/>
        </w:rPr>
        <w:t>(en francos suizos, al 31 de diciembre de 2016)</w:t>
      </w:r>
    </w:p>
    <w:tbl>
      <w:tblPr>
        <w:tblpPr w:leftFromText="180" w:rightFromText="180" w:vertAnchor="text" w:horzAnchor="margin" w:tblpX="182" w:tblpY="17"/>
        <w:tblW w:w="480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2994"/>
        <w:gridCol w:w="1376"/>
        <w:gridCol w:w="1519"/>
        <w:gridCol w:w="1519"/>
        <w:gridCol w:w="1517"/>
      </w:tblGrid>
      <w:tr w:rsidR="00BE17BF" w:rsidRPr="00102A5B" w:rsidTr="00027A9C">
        <w:trPr>
          <w:trHeight w:val="410"/>
        </w:trPr>
        <w:tc>
          <w:tcPr>
            <w:tcW w:w="167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Nombre del proyecto</w:t>
            </w:r>
          </w:p>
        </w:tc>
        <w:tc>
          <w:tcPr>
            <w:tcW w:w="771"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51"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51"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50"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677" w:type="pct"/>
            <w:vAlign w:val="center"/>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Mejora de la seguridad:  cifrado de datos y gestión de usuarios</w:t>
            </w:r>
          </w:p>
          <w:p w:rsidR="00BE17BF" w:rsidRPr="00102A5B" w:rsidRDefault="00BE17BF" w:rsidP="00027A9C">
            <w:pPr>
              <w:keepNext/>
              <w:keepLines/>
              <w:autoSpaceDE w:val="0"/>
              <w:autoSpaceDN w:val="0"/>
              <w:adjustRightInd w:val="0"/>
              <w:spacing w:before="40" w:after="40"/>
              <w:rPr>
                <w:sz w:val="16"/>
                <w:szCs w:val="16"/>
              </w:rPr>
            </w:pPr>
          </w:p>
        </w:tc>
        <w:tc>
          <w:tcPr>
            <w:tcW w:w="77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700.000</w:t>
            </w:r>
          </w:p>
        </w:tc>
        <w:tc>
          <w:tcPr>
            <w:tcW w:w="85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129.400</w:t>
            </w:r>
          </w:p>
        </w:tc>
        <w:tc>
          <w:tcPr>
            <w:tcW w:w="85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18,5%</w:t>
            </w:r>
          </w:p>
        </w:tc>
        <w:tc>
          <w:tcPr>
            <w:tcW w:w="850"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20%</w:t>
            </w:r>
          </w:p>
        </w:tc>
      </w:tr>
    </w:tbl>
    <w:p w:rsidR="00BE17BF" w:rsidRPr="00102A5B" w:rsidRDefault="00BE17BF" w:rsidP="00027A9C">
      <w:pPr>
        <w:keepNext/>
        <w:keepLines/>
        <w:tabs>
          <w:tab w:val="left" w:pos="3261"/>
        </w:tabs>
        <w:autoSpaceDE w:val="0"/>
        <w:autoSpaceDN w:val="0"/>
        <w:adjustRightInd w:val="0"/>
        <w:rPr>
          <w:b/>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etapa)</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05"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2994"/>
        <w:gridCol w:w="1348"/>
        <w:gridCol w:w="1615"/>
        <w:gridCol w:w="1440"/>
        <w:gridCol w:w="1528"/>
      </w:tblGrid>
      <w:tr w:rsidR="00BE17BF" w:rsidRPr="00102A5B" w:rsidTr="00027A9C">
        <w:trPr>
          <w:trHeight w:val="410"/>
        </w:trPr>
        <w:tc>
          <w:tcPr>
            <w:tcW w:w="167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Etapas fundamentales</w:t>
            </w:r>
          </w:p>
        </w:tc>
        <w:tc>
          <w:tcPr>
            <w:tcW w:w="75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90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0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56"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677" w:type="pct"/>
            <w:vAlign w:val="center"/>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Evaluación de la situación y concepción de arquitecturas de referencia del sistema IAME, y elaboración de una estrategia y una hoja de ruta para su ejecución</w:t>
            </w:r>
          </w:p>
        </w:tc>
        <w:tc>
          <w:tcPr>
            <w:tcW w:w="75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130.000</w:t>
            </w:r>
          </w:p>
        </w:tc>
        <w:tc>
          <w:tcPr>
            <w:tcW w:w="90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129.400</w:t>
            </w:r>
          </w:p>
        </w:tc>
        <w:tc>
          <w:tcPr>
            <w:tcW w:w="807"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99,5%</w:t>
            </w:r>
          </w:p>
        </w:tc>
        <w:tc>
          <w:tcPr>
            <w:tcW w:w="856"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100%</w:t>
            </w:r>
          </w:p>
        </w:tc>
      </w:tr>
      <w:tr w:rsidR="00BE17BF" w:rsidRPr="00102A5B" w:rsidTr="00027A9C">
        <w:trPr>
          <w:trHeight w:val="389"/>
        </w:trPr>
        <w:tc>
          <w:tcPr>
            <w:tcW w:w="1677" w:type="pct"/>
            <w:vAlign w:val="center"/>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lastRenderedPageBreak/>
              <w:t>Esbozar los modelos de autorización de dos aplicaciones operativas básicas de conformidad con las arquitecturas de referencia del sistema IAME</w:t>
            </w:r>
          </w:p>
        </w:tc>
        <w:tc>
          <w:tcPr>
            <w:tcW w:w="75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95.000</w:t>
            </w:r>
          </w:p>
        </w:tc>
        <w:tc>
          <w:tcPr>
            <w:tcW w:w="90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c>
          <w:tcPr>
            <w:tcW w:w="807"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c>
          <w:tcPr>
            <w:tcW w:w="856"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r>
      <w:tr w:rsidR="00BE17BF" w:rsidRPr="00102A5B" w:rsidTr="00027A9C">
        <w:trPr>
          <w:trHeight w:val="389"/>
        </w:trPr>
        <w:tc>
          <w:tcPr>
            <w:tcW w:w="1677" w:type="pct"/>
            <w:vAlign w:val="center"/>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Comprar e integrar una solución de administración del acceso </w:t>
            </w:r>
          </w:p>
        </w:tc>
        <w:tc>
          <w:tcPr>
            <w:tcW w:w="75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375.000</w:t>
            </w:r>
          </w:p>
        </w:tc>
        <w:tc>
          <w:tcPr>
            <w:tcW w:w="90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c>
          <w:tcPr>
            <w:tcW w:w="807"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c>
          <w:tcPr>
            <w:tcW w:w="856"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r>
      <w:tr w:rsidR="00BE17BF" w:rsidRPr="00102A5B" w:rsidTr="00027A9C">
        <w:trPr>
          <w:trHeight w:val="389"/>
        </w:trPr>
        <w:tc>
          <w:tcPr>
            <w:tcW w:w="1677" w:type="pct"/>
            <w:vAlign w:val="center"/>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Solución interna de “infraestructura de clave pública” (PKI) </w:t>
            </w:r>
          </w:p>
        </w:tc>
        <w:tc>
          <w:tcPr>
            <w:tcW w:w="75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100.000</w:t>
            </w:r>
          </w:p>
          <w:p w:rsidR="00BE17BF" w:rsidRPr="00102A5B" w:rsidRDefault="00BE17BF" w:rsidP="00027A9C">
            <w:pPr>
              <w:keepNext/>
              <w:keepLines/>
              <w:autoSpaceDE w:val="0"/>
              <w:autoSpaceDN w:val="0"/>
              <w:adjustRightInd w:val="0"/>
              <w:spacing w:before="40" w:after="40"/>
              <w:rPr>
                <w:sz w:val="16"/>
                <w:szCs w:val="16"/>
              </w:rPr>
            </w:pPr>
          </w:p>
        </w:tc>
        <w:tc>
          <w:tcPr>
            <w:tcW w:w="90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c>
          <w:tcPr>
            <w:tcW w:w="807"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c>
          <w:tcPr>
            <w:tcW w:w="856"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w:t>
            </w:r>
          </w:p>
        </w:tc>
      </w:tr>
      <w:tr w:rsidR="00BE17BF" w:rsidRPr="00102A5B" w:rsidTr="00027A9C">
        <w:trPr>
          <w:trHeight w:val="389"/>
        </w:trPr>
        <w:tc>
          <w:tcPr>
            <w:tcW w:w="167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rPr>
                <w:b/>
                <w:sz w:val="16"/>
                <w:szCs w:val="16"/>
              </w:rPr>
            </w:pPr>
            <w:r w:rsidRPr="00102A5B">
              <w:rPr>
                <w:b/>
                <w:sz w:val="16"/>
                <w:szCs w:val="16"/>
              </w:rPr>
              <w:t>Total</w:t>
            </w:r>
          </w:p>
        </w:tc>
        <w:tc>
          <w:tcPr>
            <w:tcW w:w="75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jc w:val="center"/>
              <w:rPr>
                <w:b/>
                <w:sz w:val="16"/>
                <w:szCs w:val="16"/>
              </w:rPr>
            </w:pPr>
            <w:r w:rsidRPr="00102A5B">
              <w:rPr>
                <w:b/>
                <w:sz w:val="16"/>
                <w:szCs w:val="16"/>
              </w:rPr>
              <w:t>700.000</w:t>
            </w:r>
          </w:p>
        </w:tc>
        <w:tc>
          <w:tcPr>
            <w:tcW w:w="905" w:type="pct"/>
            <w:shd w:val="clear" w:color="auto" w:fill="C6D9F1" w:themeFill="text2" w:themeFillTint="33"/>
          </w:tcPr>
          <w:p w:rsidR="00BE17BF" w:rsidRPr="00102A5B" w:rsidRDefault="00BE17BF" w:rsidP="00027A9C">
            <w:pPr>
              <w:keepNext/>
              <w:keepLines/>
              <w:autoSpaceDE w:val="0"/>
              <w:autoSpaceDN w:val="0"/>
              <w:adjustRightInd w:val="0"/>
              <w:spacing w:before="40" w:after="40"/>
              <w:jc w:val="center"/>
              <w:rPr>
                <w:b/>
                <w:sz w:val="16"/>
                <w:szCs w:val="16"/>
              </w:rPr>
            </w:pPr>
            <w:r w:rsidRPr="00102A5B">
              <w:rPr>
                <w:b/>
                <w:sz w:val="16"/>
                <w:szCs w:val="16"/>
              </w:rPr>
              <w:t>129.400</w:t>
            </w:r>
          </w:p>
        </w:tc>
        <w:tc>
          <w:tcPr>
            <w:tcW w:w="807" w:type="pct"/>
            <w:shd w:val="clear" w:color="auto" w:fill="C6D9F1" w:themeFill="text2" w:themeFillTint="33"/>
          </w:tcPr>
          <w:p w:rsidR="00BE17BF" w:rsidRPr="00102A5B" w:rsidRDefault="00BE17BF" w:rsidP="00027A9C">
            <w:pPr>
              <w:keepNext/>
              <w:keepLines/>
              <w:autoSpaceDE w:val="0"/>
              <w:autoSpaceDN w:val="0"/>
              <w:adjustRightInd w:val="0"/>
              <w:spacing w:before="40" w:after="40"/>
              <w:jc w:val="center"/>
              <w:rPr>
                <w:b/>
                <w:sz w:val="16"/>
                <w:szCs w:val="16"/>
              </w:rPr>
            </w:pPr>
            <w:r w:rsidRPr="00102A5B">
              <w:rPr>
                <w:b/>
                <w:sz w:val="16"/>
                <w:szCs w:val="16"/>
              </w:rPr>
              <w:t>18,5%</w:t>
            </w:r>
          </w:p>
        </w:tc>
        <w:tc>
          <w:tcPr>
            <w:tcW w:w="856" w:type="pct"/>
            <w:shd w:val="clear" w:color="auto" w:fill="C6D9F1" w:themeFill="text2" w:themeFillTint="33"/>
          </w:tcPr>
          <w:p w:rsidR="00BE17BF" w:rsidRPr="00102A5B" w:rsidRDefault="00BE17BF" w:rsidP="00027A9C">
            <w:pPr>
              <w:keepNext/>
              <w:keepLines/>
              <w:autoSpaceDE w:val="0"/>
              <w:autoSpaceDN w:val="0"/>
              <w:adjustRightInd w:val="0"/>
              <w:spacing w:before="40" w:after="40"/>
              <w:jc w:val="center"/>
              <w:rPr>
                <w:b/>
                <w:sz w:val="16"/>
                <w:szCs w:val="16"/>
              </w:rPr>
            </w:pPr>
          </w:p>
        </w:tc>
      </w:tr>
    </w:tbl>
    <w:p w:rsidR="00BE17BF" w:rsidRPr="00102A5B" w:rsidRDefault="00BE17BF" w:rsidP="00027A9C">
      <w:pPr>
        <w:keepNext/>
        <w:keepLines/>
        <w:tabs>
          <w:tab w:val="left" w:pos="3261"/>
        </w:tabs>
        <w:autoSpaceDE w:val="0"/>
        <w:autoSpaceDN w:val="0"/>
        <w:adjustRightInd w:val="0"/>
        <w:jc w:val="center"/>
        <w:rPr>
          <w:b/>
          <w:sz w:val="20"/>
          <w:szCs w:val="22"/>
        </w:rPr>
      </w:pPr>
    </w:p>
    <w:p w:rsidR="00BE17BF" w:rsidRPr="00102A5B" w:rsidRDefault="00BE17BF">
      <w:pPr>
        <w:rPr>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categoría de costo)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W w:w="4888"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326"/>
        <w:gridCol w:w="1785"/>
        <w:gridCol w:w="1785"/>
        <w:gridCol w:w="2183"/>
      </w:tblGrid>
      <w:tr w:rsidR="00BE17BF" w:rsidRPr="00102A5B" w:rsidTr="00027A9C">
        <w:trPr>
          <w:trHeight w:val="569"/>
        </w:trPr>
        <w:tc>
          <w:tcPr>
            <w:tcW w:w="183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ind w:left="-74" w:right="-60"/>
              <w:jc w:val="center"/>
              <w:rPr>
                <w:b/>
                <w:bCs/>
                <w:sz w:val="16"/>
                <w:szCs w:val="16"/>
              </w:rPr>
            </w:pPr>
            <w:r w:rsidRPr="00102A5B">
              <w:rPr>
                <w:b/>
                <w:bCs/>
                <w:sz w:val="16"/>
                <w:szCs w:val="16"/>
              </w:rPr>
              <w:t>Categoría de costo</w:t>
            </w:r>
          </w:p>
        </w:tc>
        <w:tc>
          <w:tcPr>
            <w:tcW w:w="983"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ind w:left="-107" w:right="-108"/>
              <w:jc w:val="center"/>
              <w:rPr>
                <w:b/>
                <w:bCs/>
                <w:sz w:val="16"/>
                <w:szCs w:val="16"/>
              </w:rPr>
            </w:pPr>
            <w:r w:rsidRPr="00102A5B">
              <w:rPr>
                <w:b/>
                <w:bCs/>
                <w:sz w:val="16"/>
                <w:szCs w:val="16"/>
              </w:rPr>
              <w:t>Presupuesto del proyecto</w:t>
            </w:r>
          </w:p>
        </w:tc>
        <w:tc>
          <w:tcPr>
            <w:tcW w:w="983"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ind w:left="-108"/>
              <w:jc w:val="center"/>
              <w:rPr>
                <w:b/>
                <w:bCs/>
                <w:sz w:val="16"/>
                <w:szCs w:val="16"/>
              </w:rPr>
            </w:pPr>
            <w:r w:rsidRPr="00102A5B">
              <w:rPr>
                <w:b/>
                <w:bCs/>
                <w:sz w:val="16"/>
                <w:szCs w:val="16"/>
              </w:rPr>
              <w:t xml:space="preserve">Gasto real hasta la fecha </w:t>
            </w:r>
          </w:p>
        </w:tc>
        <w:tc>
          <w:tcPr>
            <w:tcW w:w="120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ind w:left="-109"/>
              <w:jc w:val="center"/>
              <w:rPr>
                <w:b/>
                <w:bCs/>
                <w:sz w:val="16"/>
                <w:szCs w:val="16"/>
              </w:rPr>
            </w:pPr>
            <w:r w:rsidRPr="00102A5B">
              <w:rPr>
                <w:b/>
                <w:bCs/>
                <w:sz w:val="16"/>
                <w:szCs w:val="16"/>
              </w:rPr>
              <w:t>Utilización real del presupuesto</w:t>
            </w:r>
          </w:p>
        </w:tc>
      </w:tr>
      <w:tr w:rsidR="00BE17BF" w:rsidRPr="00102A5B" w:rsidTr="00027A9C">
        <w:tc>
          <w:tcPr>
            <w:tcW w:w="1832"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Servicios contractuales individuales</w:t>
            </w:r>
          </w:p>
        </w:tc>
        <w:tc>
          <w:tcPr>
            <w:tcW w:w="983"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225.000</w:t>
            </w:r>
          </w:p>
        </w:tc>
        <w:tc>
          <w:tcPr>
            <w:tcW w:w="983"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129.400</w:t>
            </w:r>
          </w:p>
        </w:tc>
        <w:tc>
          <w:tcPr>
            <w:tcW w:w="120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57,51%</w:t>
            </w:r>
          </w:p>
        </w:tc>
      </w:tr>
      <w:tr w:rsidR="00BE17BF" w:rsidRPr="00102A5B" w:rsidTr="00027A9C">
        <w:tc>
          <w:tcPr>
            <w:tcW w:w="1832"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 xml:space="preserve">Equipos y apoyo para la solución del sistema IAME </w:t>
            </w:r>
          </w:p>
        </w:tc>
        <w:tc>
          <w:tcPr>
            <w:tcW w:w="983"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325.000</w:t>
            </w:r>
          </w:p>
        </w:tc>
        <w:tc>
          <w:tcPr>
            <w:tcW w:w="983"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w:t>
            </w:r>
          </w:p>
        </w:tc>
        <w:tc>
          <w:tcPr>
            <w:tcW w:w="120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w:t>
            </w:r>
          </w:p>
        </w:tc>
      </w:tr>
      <w:tr w:rsidR="00BE17BF" w:rsidRPr="00102A5B" w:rsidTr="00027A9C">
        <w:tc>
          <w:tcPr>
            <w:tcW w:w="1832"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 xml:space="preserve"> Servicios contractuales </w:t>
            </w:r>
          </w:p>
        </w:tc>
        <w:tc>
          <w:tcPr>
            <w:tcW w:w="983"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150.000</w:t>
            </w:r>
          </w:p>
        </w:tc>
        <w:tc>
          <w:tcPr>
            <w:tcW w:w="983"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w:t>
            </w:r>
          </w:p>
        </w:tc>
        <w:tc>
          <w:tcPr>
            <w:tcW w:w="120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w:t>
            </w:r>
          </w:p>
        </w:tc>
      </w:tr>
      <w:tr w:rsidR="00BE17BF" w:rsidRPr="00102A5B" w:rsidTr="00027A9C">
        <w:tc>
          <w:tcPr>
            <w:tcW w:w="1832"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rPr>
                <w:b/>
                <w:sz w:val="16"/>
                <w:szCs w:val="16"/>
              </w:rPr>
            </w:pPr>
            <w:r w:rsidRPr="00102A5B">
              <w:rPr>
                <w:b/>
                <w:sz w:val="16"/>
                <w:szCs w:val="16"/>
              </w:rPr>
              <w:t>Total</w:t>
            </w:r>
          </w:p>
        </w:tc>
        <w:tc>
          <w:tcPr>
            <w:tcW w:w="983"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700.000</w:t>
            </w:r>
          </w:p>
        </w:tc>
        <w:tc>
          <w:tcPr>
            <w:tcW w:w="983" w:type="pct"/>
            <w:shd w:val="clear" w:color="auto" w:fill="C6D9F1" w:themeFill="text2" w:themeFillTint="33"/>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129.400</w:t>
            </w:r>
          </w:p>
        </w:tc>
        <w:tc>
          <w:tcPr>
            <w:tcW w:w="1202" w:type="pct"/>
            <w:shd w:val="clear" w:color="auto" w:fill="C6D9F1" w:themeFill="text2" w:themeFillTint="33"/>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18,5%</w:t>
            </w:r>
          </w:p>
        </w:tc>
      </w:tr>
    </w:tbl>
    <w:p w:rsidR="00BE17BF" w:rsidRPr="00102A5B" w:rsidRDefault="00BE17BF" w:rsidP="00027A9C">
      <w:pPr>
        <w:rPr>
          <w:sz w:val="20"/>
        </w:rPr>
      </w:pPr>
    </w:p>
    <w:p w:rsidR="00BE17BF" w:rsidRPr="00102A5B" w:rsidRDefault="00BE17BF" w:rsidP="00027A9C">
      <w:pPr>
        <w:rPr>
          <w:sz w:val="20"/>
        </w:rPr>
      </w:pPr>
    </w:p>
    <w:p w:rsidR="00BE17BF" w:rsidRPr="00102A5B" w:rsidRDefault="00BE17BF" w:rsidP="00027A9C">
      <w:pPr>
        <w:rPr>
          <w:sz w:val="20"/>
        </w:rPr>
      </w:pPr>
      <w:r w:rsidRPr="00102A5B">
        <w:rPr>
          <w:sz w:val="20"/>
        </w:rPr>
        <w:t>RIESGOS Y ESTRATEGIAS DE MITIGACIÓN</w:t>
      </w:r>
    </w:p>
    <w:p w:rsidR="00BE17BF" w:rsidRPr="00102A5B" w:rsidRDefault="00BE17BF" w:rsidP="00027A9C">
      <w:pPr>
        <w:rPr>
          <w:sz w:val="20"/>
        </w:rPr>
      </w:pPr>
    </w:p>
    <w:tbl>
      <w:tblPr>
        <w:tblW w:w="4855" w:type="pct"/>
        <w:jc w:val="center"/>
        <w:tblInd w:w="-2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211"/>
        <w:gridCol w:w="2981"/>
        <w:gridCol w:w="2826"/>
      </w:tblGrid>
      <w:tr w:rsidR="00BE17BF" w:rsidRPr="00102A5B" w:rsidTr="00027A9C">
        <w:trPr>
          <w:trHeight w:val="507"/>
          <w:tblHeader/>
          <w:jc w:val="center"/>
        </w:trPr>
        <w:tc>
          <w:tcPr>
            <w:tcW w:w="1780"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74" w:right="-60"/>
              <w:jc w:val="center"/>
              <w:rPr>
                <w:b/>
                <w:bCs/>
                <w:sz w:val="16"/>
                <w:szCs w:val="16"/>
              </w:rPr>
            </w:pPr>
            <w:r w:rsidRPr="00102A5B">
              <w:rPr>
                <w:b/>
                <w:bCs/>
                <w:sz w:val="16"/>
                <w:szCs w:val="16"/>
              </w:rPr>
              <w:t>Riesgo/Descripción del riesgo</w:t>
            </w:r>
          </w:p>
        </w:tc>
        <w:tc>
          <w:tcPr>
            <w:tcW w:w="1653"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Mitigación del riesgo</w:t>
            </w:r>
          </w:p>
        </w:tc>
        <w:tc>
          <w:tcPr>
            <w:tcW w:w="1567" w:type="pct"/>
            <w:shd w:val="clear" w:color="auto" w:fill="C6D9F1" w:themeFill="text2" w:themeFillTint="33"/>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Comentario</w:t>
            </w:r>
          </w:p>
        </w:tc>
      </w:tr>
      <w:tr w:rsidR="00BE17BF" w:rsidRPr="00102A5B" w:rsidTr="00027A9C">
        <w:trPr>
          <w:trHeight w:val="1571"/>
          <w:jc w:val="center"/>
        </w:trPr>
        <w:tc>
          <w:tcPr>
            <w:tcW w:w="1780"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Falta de presupuesto adecuado para poner en práctica la hoja de ruta relativa a la gestión de la identidad y el acceso y el cifrado</w:t>
            </w:r>
          </w:p>
        </w:tc>
        <w:tc>
          <w:tcPr>
            <w:tcW w:w="1653"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Dar prioridad a la hoja de ruta, en particular, tomar medidas en donde se planteen riesgos elevados</w:t>
            </w:r>
          </w:p>
        </w:tc>
        <w:tc>
          <w:tcPr>
            <w:tcW w:w="1567" w:type="pct"/>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En la hoja de ruta se establece un plan de aplicación prioritaria en 3 fases, a lo largo de tres años (2017-2020) para asegurar que se abarquen los elementos principales del alcance del proyecto. </w:t>
            </w:r>
          </w:p>
        </w:tc>
      </w:tr>
    </w:tbl>
    <w:p w:rsidR="00BE17BF" w:rsidRPr="00102A5B" w:rsidRDefault="00BE17BF" w:rsidP="00027A9C">
      <w:pPr>
        <w:rPr>
          <w:sz w:val="20"/>
          <w:szCs w:val="24"/>
        </w:rPr>
      </w:pPr>
    </w:p>
    <w:p w:rsidR="00BE17BF" w:rsidRPr="00102A5B" w:rsidRDefault="00BE17BF" w:rsidP="00027A9C">
      <w:pPr>
        <w:rPr>
          <w:sz w:val="20"/>
        </w:rPr>
      </w:pPr>
    </w:p>
    <w:p w:rsidR="00BE17BF" w:rsidRPr="00102A5B" w:rsidRDefault="00BE17BF" w:rsidP="00027A9C">
      <w:pPr>
        <w:rPr>
          <w:sz w:val="20"/>
        </w:rPr>
      </w:pPr>
      <w:r w:rsidRPr="00102A5B">
        <w:rPr>
          <w:sz w:val="20"/>
        </w:rPr>
        <w:t>CALENDARIO DEL PROYECTO, POR ETAPA</w:t>
      </w:r>
    </w:p>
    <w:p w:rsidR="00BE17BF" w:rsidRPr="00102A5B" w:rsidRDefault="00BE17BF" w:rsidP="00027A9C">
      <w:pPr>
        <w:rPr>
          <w:sz w:val="20"/>
          <w:szCs w:val="24"/>
        </w:rPr>
      </w:pPr>
    </w:p>
    <w:tbl>
      <w:tblPr>
        <w:tblW w:w="10874" w:type="dxa"/>
        <w:jc w:val="center"/>
        <w:tblInd w:w="1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ayout w:type="fixed"/>
        <w:tblLook w:val="04A0" w:firstRow="1" w:lastRow="0" w:firstColumn="1" w:lastColumn="0" w:noHBand="0" w:noVBand="1"/>
      </w:tblPr>
      <w:tblGrid>
        <w:gridCol w:w="2307"/>
        <w:gridCol w:w="517"/>
        <w:gridCol w:w="517"/>
        <w:gridCol w:w="518"/>
        <w:gridCol w:w="520"/>
        <w:gridCol w:w="571"/>
        <w:gridCol w:w="572"/>
        <w:gridCol w:w="572"/>
        <w:gridCol w:w="574"/>
        <w:gridCol w:w="518"/>
        <w:gridCol w:w="518"/>
        <w:gridCol w:w="518"/>
        <w:gridCol w:w="518"/>
        <w:gridCol w:w="6"/>
        <w:gridCol w:w="547"/>
        <w:gridCol w:w="540"/>
        <w:gridCol w:w="501"/>
        <w:gridCol w:w="540"/>
      </w:tblGrid>
      <w:tr w:rsidR="00BE17BF" w:rsidRPr="00102A5B" w:rsidTr="00027A9C">
        <w:trPr>
          <w:trHeight w:val="290"/>
          <w:tblHeader/>
          <w:jc w:val="center"/>
        </w:trPr>
        <w:tc>
          <w:tcPr>
            <w:tcW w:w="2307" w:type="dxa"/>
            <w:tcBorders>
              <w:top w:val="nil"/>
              <w:left w:val="nil"/>
              <w:bottom w:val="single" w:sz="6" w:space="0" w:color="A6A6A6" w:themeColor="background1" w:themeShade="A6"/>
            </w:tcBorders>
            <w:shd w:val="clear" w:color="auto" w:fill="auto"/>
            <w:noWrap/>
            <w:vAlign w:val="bottom"/>
            <w:hideMark/>
          </w:tcPr>
          <w:p w:rsidR="00BE17BF" w:rsidRPr="00102A5B" w:rsidRDefault="00BE17BF" w:rsidP="00027A9C">
            <w:pPr>
              <w:rPr>
                <w:sz w:val="16"/>
                <w:szCs w:val="16"/>
              </w:rPr>
            </w:pPr>
          </w:p>
        </w:tc>
        <w:tc>
          <w:tcPr>
            <w:tcW w:w="2072" w:type="dxa"/>
            <w:gridSpan w:val="4"/>
            <w:shd w:val="clear" w:color="auto" w:fill="C6D9F1" w:themeFill="text2" w:themeFillTint="33"/>
            <w:noWrap/>
            <w:vAlign w:val="bottom"/>
            <w:hideMark/>
          </w:tcPr>
          <w:p w:rsidR="00BE17BF" w:rsidRPr="00102A5B" w:rsidRDefault="00BE17BF" w:rsidP="00027A9C">
            <w:pPr>
              <w:jc w:val="center"/>
              <w:rPr>
                <w:b/>
                <w:bCs/>
                <w:sz w:val="16"/>
                <w:szCs w:val="16"/>
              </w:rPr>
            </w:pPr>
            <w:r w:rsidRPr="00102A5B">
              <w:rPr>
                <w:b/>
                <w:bCs/>
                <w:sz w:val="16"/>
                <w:szCs w:val="16"/>
              </w:rPr>
              <w:t>2015</w:t>
            </w:r>
          </w:p>
        </w:tc>
        <w:tc>
          <w:tcPr>
            <w:tcW w:w="2289" w:type="dxa"/>
            <w:gridSpan w:val="4"/>
            <w:shd w:val="clear" w:color="auto" w:fill="C6D9F1" w:themeFill="text2" w:themeFillTint="33"/>
            <w:noWrap/>
            <w:vAlign w:val="bottom"/>
            <w:hideMark/>
          </w:tcPr>
          <w:p w:rsidR="00BE17BF" w:rsidRPr="00102A5B" w:rsidRDefault="00BE17BF" w:rsidP="00027A9C">
            <w:pPr>
              <w:jc w:val="center"/>
              <w:rPr>
                <w:b/>
                <w:bCs/>
                <w:sz w:val="16"/>
                <w:szCs w:val="16"/>
              </w:rPr>
            </w:pPr>
            <w:r w:rsidRPr="00102A5B">
              <w:rPr>
                <w:b/>
                <w:bCs/>
                <w:sz w:val="16"/>
                <w:szCs w:val="16"/>
              </w:rPr>
              <w:t>2016</w:t>
            </w:r>
          </w:p>
        </w:tc>
        <w:tc>
          <w:tcPr>
            <w:tcW w:w="2078" w:type="dxa"/>
            <w:gridSpan w:val="5"/>
            <w:shd w:val="clear" w:color="auto" w:fill="C6D9F1" w:themeFill="text2" w:themeFillTint="33"/>
          </w:tcPr>
          <w:p w:rsidR="00BE17BF" w:rsidRPr="00102A5B" w:rsidRDefault="00BE17BF" w:rsidP="00027A9C">
            <w:pPr>
              <w:jc w:val="center"/>
              <w:rPr>
                <w:b/>
                <w:bCs/>
                <w:sz w:val="16"/>
                <w:szCs w:val="16"/>
              </w:rPr>
            </w:pPr>
          </w:p>
          <w:p w:rsidR="00BE17BF" w:rsidRPr="00102A5B" w:rsidRDefault="00BE17BF" w:rsidP="00027A9C">
            <w:pPr>
              <w:jc w:val="center"/>
              <w:rPr>
                <w:b/>
                <w:bCs/>
                <w:sz w:val="16"/>
                <w:szCs w:val="16"/>
              </w:rPr>
            </w:pPr>
            <w:r w:rsidRPr="00102A5B">
              <w:rPr>
                <w:b/>
                <w:bCs/>
                <w:sz w:val="16"/>
                <w:szCs w:val="16"/>
              </w:rPr>
              <w:t>2017</w:t>
            </w:r>
          </w:p>
        </w:tc>
        <w:tc>
          <w:tcPr>
            <w:tcW w:w="2128" w:type="dxa"/>
            <w:gridSpan w:val="4"/>
            <w:shd w:val="clear" w:color="auto" w:fill="C6D9F1" w:themeFill="text2" w:themeFillTint="33"/>
          </w:tcPr>
          <w:p w:rsidR="00BE17BF" w:rsidRPr="00102A5B" w:rsidRDefault="00BE17BF" w:rsidP="00027A9C">
            <w:pPr>
              <w:jc w:val="center"/>
              <w:rPr>
                <w:b/>
                <w:bCs/>
                <w:sz w:val="16"/>
                <w:szCs w:val="16"/>
              </w:rPr>
            </w:pPr>
          </w:p>
          <w:p w:rsidR="00BE17BF" w:rsidRPr="00102A5B" w:rsidRDefault="00BE17BF" w:rsidP="00027A9C">
            <w:pPr>
              <w:jc w:val="center"/>
              <w:rPr>
                <w:b/>
                <w:bCs/>
                <w:sz w:val="16"/>
                <w:szCs w:val="16"/>
              </w:rPr>
            </w:pPr>
            <w:r w:rsidRPr="00102A5B">
              <w:rPr>
                <w:b/>
                <w:bCs/>
                <w:sz w:val="16"/>
                <w:szCs w:val="16"/>
              </w:rPr>
              <w:t>2018</w:t>
            </w:r>
          </w:p>
        </w:tc>
      </w:tr>
      <w:tr w:rsidR="00BE17BF" w:rsidRPr="00102A5B" w:rsidTr="00027A9C">
        <w:trPr>
          <w:trHeight w:val="403"/>
          <w:tblHeader/>
          <w:jc w:val="center"/>
        </w:trPr>
        <w:tc>
          <w:tcPr>
            <w:tcW w:w="2307" w:type="dxa"/>
            <w:tcBorders>
              <w:top w:val="single" w:sz="6"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Etapas fundamentales</w:t>
            </w:r>
          </w:p>
        </w:tc>
        <w:tc>
          <w:tcPr>
            <w:tcW w:w="517"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T1.</w:t>
            </w:r>
          </w:p>
        </w:tc>
        <w:tc>
          <w:tcPr>
            <w:tcW w:w="517"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T2.</w:t>
            </w:r>
          </w:p>
        </w:tc>
        <w:tc>
          <w:tcPr>
            <w:tcW w:w="518"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T3</w:t>
            </w:r>
          </w:p>
        </w:tc>
        <w:tc>
          <w:tcPr>
            <w:tcW w:w="520"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T4</w:t>
            </w:r>
          </w:p>
        </w:tc>
        <w:tc>
          <w:tcPr>
            <w:tcW w:w="571"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T1.</w:t>
            </w:r>
          </w:p>
        </w:tc>
        <w:tc>
          <w:tcPr>
            <w:tcW w:w="572"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T2.</w:t>
            </w:r>
          </w:p>
        </w:tc>
        <w:tc>
          <w:tcPr>
            <w:tcW w:w="572"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T3</w:t>
            </w:r>
          </w:p>
        </w:tc>
        <w:tc>
          <w:tcPr>
            <w:tcW w:w="574"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T4</w:t>
            </w:r>
          </w:p>
        </w:tc>
        <w:tc>
          <w:tcPr>
            <w:tcW w:w="518"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T1.</w:t>
            </w:r>
          </w:p>
        </w:tc>
        <w:tc>
          <w:tcPr>
            <w:tcW w:w="518"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T2.</w:t>
            </w:r>
          </w:p>
        </w:tc>
        <w:tc>
          <w:tcPr>
            <w:tcW w:w="518"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T3</w:t>
            </w:r>
          </w:p>
        </w:tc>
        <w:tc>
          <w:tcPr>
            <w:tcW w:w="518" w:type="dxa"/>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T4</w:t>
            </w:r>
          </w:p>
        </w:tc>
        <w:tc>
          <w:tcPr>
            <w:tcW w:w="553" w:type="dxa"/>
            <w:gridSpan w:val="2"/>
            <w:shd w:val="clear" w:color="auto" w:fill="C6D9F1" w:themeFill="text2" w:themeFillTint="33"/>
          </w:tcPr>
          <w:p w:rsidR="00BE17BF" w:rsidRPr="00102A5B" w:rsidRDefault="00BE17BF" w:rsidP="00027A9C">
            <w:pPr>
              <w:rPr>
                <w:b/>
                <w:bCs/>
                <w:sz w:val="16"/>
                <w:szCs w:val="16"/>
              </w:rPr>
            </w:pPr>
          </w:p>
          <w:p w:rsidR="00BE17BF" w:rsidRPr="00102A5B" w:rsidRDefault="00BE17BF" w:rsidP="00027A9C">
            <w:pPr>
              <w:rPr>
                <w:b/>
                <w:bCs/>
                <w:sz w:val="16"/>
                <w:szCs w:val="16"/>
              </w:rPr>
            </w:pPr>
            <w:r w:rsidRPr="00102A5B">
              <w:rPr>
                <w:b/>
                <w:bCs/>
                <w:sz w:val="16"/>
                <w:szCs w:val="16"/>
              </w:rPr>
              <w:t>T1.</w:t>
            </w:r>
          </w:p>
        </w:tc>
        <w:tc>
          <w:tcPr>
            <w:tcW w:w="540" w:type="dxa"/>
            <w:shd w:val="clear" w:color="auto" w:fill="C6D9F1" w:themeFill="text2" w:themeFillTint="33"/>
          </w:tcPr>
          <w:p w:rsidR="00BE17BF" w:rsidRPr="00102A5B" w:rsidRDefault="00BE17BF" w:rsidP="00027A9C">
            <w:pPr>
              <w:rPr>
                <w:b/>
                <w:bCs/>
                <w:sz w:val="16"/>
                <w:szCs w:val="16"/>
              </w:rPr>
            </w:pPr>
          </w:p>
          <w:p w:rsidR="00BE17BF" w:rsidRPr="00102A5B" w:rsidRDefault="00BE17BF" w:rsidP="00027A9C">
            <w:pPr>
              <w:rPr>
                <w:b/>
                <w:bCs/>
                <w:sz w:val="16"/>
                <w:szCs w:val="16"/>
              </w:rPr>
            </w:pPr>
            <w:r w:rsidRPr="00102A5B">
              <w:rPr>
                <w:b/>
                <w:bCs/>
                <w:sz w:val="16"/>
                <w:szCs w:val="16"/>
              </w:rPr>
              <w:t>T2.</w:t>
            </w:r>
          </w:p>
        </w:tc>
        <w:tc>
          <w:tcPr>
            <w:tcW w:w="501" w:type="dxa"/>
            <w:shd w:val="clear" w:color="auto" w:fill="C6D9F1" w:themeFill="text2" w:themeFillTint="33"/>
          </w:tcPr>
          <w:p w:rsidR="00BE17BF" w:rsidRPr="00102A5B" w:rsidRDefault="00BE17BF" w:rsidP="00027A9C">
            <w:pPr>
              <w:tabs>
                <w:tab w:val="left" w:pos="860"/>
              </w:tabs>
              <w:rPr>
                <w:b/>
                <w:bCs/>
                <w:sz w:val="16"/>
                <w:szCs w:val="16"/>
              </w:rPr>
            </w:pPr>
          </w:p>
          <w:p w:rsidR="00BE17BF" w:rsidRPr="00102A5B" w:rsidRDefault="00BE17BF" w:rsidP="00027A9C">
            <w:pPr>
              <w:tabs>
                <w:tab w:val="left" w:pos="860"/>
              </w:tabs>
              <w:rPr>
                <w:b/>
                <w:bCs/>
                <w:sz w:val="16"/>
                <w:szCs w:val="16"/>
              </w:rPr>
            </w:pPr>
            <w:r w:rsidRPr="00102A5B">
              <w:rPr>
                <w:b/>
                <w:bCs/>
                <w:sz w:val="16"/>
                <w:szCs w:val="16"/>
              </w:rPr>
              <w:t>T3</w:t>
            </w:r>
            <w:r w:rsidRPr="00102A5B">
              <w:rPr>
                <w:b/>
                <w:bCs/>
                <w:sz w:val="16"/>
                <w:szCs w:val="16"/>
              </w:rPr>
              <w:tab/>
            </w:r>
          </w:p>
        </w:tc>
        <w:tc>
          <w:tcPr>
            <w:tcW w:w="540" w:type="dxa"/>
            <w:shd w:val="clear" w:color="auto" w:fill="C6D9F1" w:themeFill="text2" w:themeFillTint="33"/>
          </w:tcPr>
          <w:p w:rsidR="00BE17BF" w:rsidRPr="00102A5B" w:rsidRDefault="00BE17BF" w:rsidP="00027A9C">
            <w:pPr>
              <w:tabs>
                <w:tab w:val="left" w:pos="860"/>
              </w:tabs>
              <w:rPr>
                <w:b/>
                <w:bCs/>
                <w:sz w:val="16"/>
                <w:szCs w:val="16"/>
              </w:rPr>
            </w:pPr>
          </w:p>
          <w:p w:rsidR="00BE17BF" w:rsidRPr="00102A5B" w:rsidRDefault="00BE17BF" w:rsidP="00027A9C">
            <w:pPr>
              <w:tabs>
                <w:tab w:val="left" w:pos="860"/>
              </w:tabs>
              <w:rPr>
                <w:b/>
                <w:bCs/>
                <w:sz w:val="16"/>
                <w:szCs w:val="16"/>
              </w:rPr>
            </w:pPr>
            <w:r w:rsidRPr="00102A5B">
              <w:rPr>
                <w:b/>
                <w:bCs/>
                <w:sz w:val="16"/>
                <w:szCs w:val="16"/>
              </w:rPr>
              <w:t>T4</w:t>
            </w:r>
          </w:p>
        </w:tc>
      </w:tr>
      <w:tr w:rsidR="00BE17BF" w:rsidRPr="00102A5B" w:rsidTr="00027A9C">
        <w:trPr>
          <w:trHeight w:val="661"/>
          <w:jc w:val="center"/>
        </w:trPr>
        <w:tc>
          <w:tcPr>
            <w:tcW w:w="2307" w:type="dxa"/>
            <w:shd w:val="clear" w:color="auto" w:fill="auto"/>
            <w:noWrap/>
            <w:vAlign w:val="bottom"/>
          </w:tcPr>
          <w:p w:rsidR="00BE17BF" w:rsidRPr="00102A5B" w:rsidRDefault="00BE17BF" w:rsidP="00027A9C">
            <w:pPr>
              <w:spacing w:before="40" w:after="40"/>
              <w:rPr>
                <w:sz w:val="16"/>
                <w:szCs w:val="16"/>
              </w:rPr>
            </w:pPr>
            <w:r w:rsidRPr="00102A5B">
              <w:rPr>
                <w:sz w:val="16"/>
                <w:szCs w:val="16"/>
              </w:rPr>
              <w:t>Evaluación de la situación  y hoja de ruta relativa a una arquitectura de referencia y a la aplicación</w:t>
            </w:r>
          </w:p>
        </w:tc>
        <w:tc>
          <w:tcPr>
            <w:tcW w:w="517" w:type="dxa"/>
            <w:shd w:val="clear" w:color="auto" w:fill="auto"/>
            <w:noWrap/>
            <w:vAlign w:val="bottom"/>
          </w:tcPr>
          <w:p w:rsidR="00BE17BF" w:rsidRPr="00102A5B" w:rsidRDefault="00BE17BF" w:rsidP="00027A9C">
            <w:pPr>
              <w:spacing w:before="40" w:after="40"/>
              <w:rPr>
                <w:sz w:val="16"/>
                <w:szCs w:val="16"/>
              </w:rPr>
            </w:pPr>
          </w:p>
        </w:tc>
        <w:tc>
          <w:tcPr>
            <w:tcW w:w="517" w:type="dxa"/>
            <w:shd w:val="clear" w:color="auto" w:fill="auto"/>
            <w:noWrap/>
            <w:vAlign w:val="bottom"/>
          </w:tcPr>
          <w:p w:rsidR="00BE17BF" w:rsidRPr="00102A5B" w:rsidRDefault="00BE17BF" w:rsidP="00027A9C">
            <w:pPr>
              <w:spacing w:before="40" w:after="40"/>
              <w:rPr>
                <w:sz w:val="16"/>
                <w:szCs w:val="16"/>
              </w:rPr>
            </w:pPr>
          </w:p>
        </w:tc>
        <w:tc>
          <w:tcPr>
            <w:tcW w:w="518" w:type="dxa"/>
            <w:shd w:val="clear" w:color="auto" w:fill="auto"/>
            <w:noWrap/>
            <w:vAlign w:val="bottom"/>
          </w:tcPr>
          <w:p w:rsidR="00BE17BF" w:rsidRPr="00102A5B" w:rsidRDefault="00BE17BF" w:rsidP="00027A9C">
            <w:pPr>
              <w:spacing w:before="40" w:after="40"/>
              <w:rPr>
                <w:sz w:val="16"/>
                <w:szCs w:val="16"/>
              </w:rPr>
            </w:pPr>
          </w:p>
        </w:tc>
        <w:tc>
          <w:tcPr>
            <w:tcW w:w="520"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71"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72"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72"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74"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53" w:type="dxa"/>
            <w:gridSpan w:val="2"/>
          </w:tcPr>
          <w:p w:rsidR="00BE17BF" w:rsidRPr="00102A5B" w:rsidRDefault="00BE17BF" w:rsidP="00027A9C">
            <w:pPr>
              <w:spacing w:before="40" w:after="40"/>
              <w:jc w:val="center"/>
              <w:rPr>
                <w:sz w:val="16"/>
                <w:szCs w:val="16"/>
              </w:rPr>
            </w:pPr>
          </w:p>
        </w:tc>
        <w:tc>
          <w:tcPr>
            <w:tcW w:w="540" w:type="dxa"/>
          </w:tcPr>
          <w:p w:rsidR="00BE17BF" w:rsidRPr="00102A5B" w:rsidRDefault="00BE17BF" w:rsidP="00027A9C">
            <w:pPr>
              <w:spacing w:before="40" w:after="40"/>
              <w:jc w:val="center"/>
              <w:rPr>
                <w:sz w:val="16"/>
                <w:szCs w:val="16"/>
              </w:rPr>
            </w:pPr>
          </w:p>
        </w:tc>
        <w:tc>
          <w:tcPr>
            <w:tcW w:w="501" w:type="dxa"/>
          </w:tcPr>
          <w:p w:rsidR="00BE17BF" w:rsidRPr="00102A5B" w:rsidRDefault="00BE17BF" w:rsidP="00027A9C">
            <w:pPr>
              <w:spacing w:before="40" w:after="40"/>
              <w:jc w:val="center"/>
              <w:rPr>
                <w:sz w:val="16"/>
                <w:szCs w:val="16"/>
              </w:rPr>
            </w:pPr>
          </w:p>
        </w:tc>
        <w:tc>
          <w:tcPr>
            <w:tcW w:w="540" w:type="dxa"/>
          </w:tcPr>
          <w:p w:rsidR="00BE17BF" w:rsidRPr="00102A5B" w:rsidRDefault="00BE17BF" w:rsidP="00027A9C">
            <w:pPr>
              <w:spacing w:before="40" w:after="40"/>
              <w:jc w:val="center"/>
              <w:rPr>
                <w:sz w:val="16"/>
                <w:szCs w:val="16"/>
              </w:rPr>
            </w:pPr>
          </w:p>
        </w:tc>
      </w:tr>
      <w:tr w:rsidR="00BE17BF" w:rsidRPr="00102A5B" w:rsidTr="00027A9C">
        <w:trPr>
          <w:trHeight w:val="661"/>
          <w:jc w:val="center"/>
        </w:trPr>
        <w:tc>
          <w:tcPr>
            <w:tcW w:w="2307" w:type="dxa"/>
            <w:shd w:val="clear" w:color="auto" w:fill="auto"/>
            <w:noWrap/>
            <w:vAlign w:val="center"/>
          </w:tcPr>
          <w:p w:rsidR="00BE17BF" w:rsidRPr="00102A5B" w:rsidRDefault="00BE17BF" w:rsidP="00027A9C">
            <w:pPr>
              <w:spacing w:before="40" w:after="40"/>
              <w:rPr>
                <w:sz w:val="16"/>
                <w:szCs w:val="16"/>
              </w:rPr>
            </w:pPr>
            <w:r w:rsidRPr="00102A5B">
              <w:rPr>
                <w:sz w:val="16"/>
                <w:szCs w:val="16"/>
              </w:rPr>
              <w:t>Esbozar los modelos de autorización de 2 aplicaciones operativas básicas de conformidad con las arquitecturas de referencia del sistema IAME</w:t>
            </w:r>
          </w:p>
        </w:tc>
        <w:tc>
          <w:tcPr>
            <w:tcW w:w="517" w:type="dxa"/>
            <w:shd w:val="clear" w:color="auto" w:fill="auto"/>
            <w:noWrap/>
            <w:vAlign w:val="bottom"/>
          </w:tcPr>
          <w:p w:rsidR="00BE17BF" w:rsidRPr="00102A5B" w:rsidRDefault="00BE17BF" w:rsidP="00027A9C">
            <w:pPr>
              <w:spacing w:before="40" w:after="40"/>
              <w:rPr>
                <w:sz w:val="16"/>
                <w:szCs w:val="16"/>
              </w:rPr>
            </w:pPr>
          </w:p>
        </w:tc>
        <w:tc>
          <w:tcPr>
            <w:tcW w:w="517" w:type="dxa"/>
            <w:shd w:val="clear" w:color="auto" w:fill="auto"/>
            <w:noWrap/>
            <w:vAlign w:val="bottom"/>
          </w:tcPr>
          <w:p w:rsidR="00BE17BF" w:rsidRPr="00102A5B" w:rsidRDefault="00BE17BF" w:rsidP="00027A9C">
            <w:pPr>
              <w:spacing w:before="40" w:after="40"/>
              <w:rPr>
                <w:sz w:val="16"/>
                <w:szCs w:val="16"/>
              </w:rPr>
            </w:pPr>
          </w:p>
        </w:tc>
        <w:tc>
          <w:tcPr>
            <w:tcW w:w="518" w:type="dxa"/>
            <w:shd w:val="clear" w:color="auto" w:fill="auto"/>
            <w:noWrap/>
            <w:vAlign w:val="bottom"/>
          </w:tcPr>
          <w:p w:rsidR="00BE17BF" w:rsidRPr="00102A5B" w:rsidRDefault="00BE17BF" w:rsidP="00027A9C">
            <w:pPr>
              <w:spacing w:before="40" w:after="40"/>
              <w:rPr>
                <w:sz w:val="16"/>
                <w:szCs w:val="16"/>
              </w:rPr>
            </w:pPr>
          </w:p>
        </w:tc>
        <w:tc>
          <w:tcPr>
            <w:tcW w:w="520" w:type="dxa"/>
            <w:shd w:val="clear" w:color="auto" w:fill="auto"/>
            <w:noWrap/>
            <w:vAlign w:val="center"/>
          </w:tcPr>
          <w:p w:rsidR="00BE17BF" w:rsidRPr="00102A5B" w:rsidRDefault="00BE17BF" w:rsidP="00027A9C">
            <w:pPr>
              <w:spacing w:before="40" w:after="40"/>
              <w:jc w:val="center"/>
              <w:rPr>
                <w:sz w:val="16"/>
                <w:szCs w:val="16"/>
              </w:rPr>
            </w:pPr>
          </w:p>
        </w:tc>
        <w:tc>
          <w:tcPr>
            <w:tcW w:w="571" w:type="dxa"/>
            <w:shd w:val="clear" w:color="auto" w:fill="auto"/>
            <w:noWrap/>
            <w:vAlign w:val="center"/>
          </w:tcPr>
          <w:p w:rsidR="00BE17BF" w:rsidRPr="00102A5B" w:rsidRDefault="00BE17BF" w:rsidP="00027A9C">
            <w:pPr>
              <w:spacing w:before="40" w:after="40"/>
              <w:jc w:val="center"/>
              <w:rPr>
                <w:sz w:val="16"/>
                <w:szCs w:val="16"/>
              </w:rPr>
            </w:pPr>
          </w:p>
        </w:tc>
        <w:tc>
          <w:tcPr>
            <w:tcW w:w="572" w:type="dxa"/>
            <w:shd w:val="clear" w:color="auto" w:fill="auto"/>
            <w:noWrap/>
            <w:vAlign w:val="center"/>
          </w:tcPr>
          <w:p w:rsidR="00BE17BF" w:rsidRPr="00102A5B" w:rsidRDefault="00BE17BF" w:rsidP="00027A9C">
            <w:pPr>
              <w:spacing w:before="40" w:after="40"/>
              <w:jc w:val="center"/>
              <w:rPr>
                <w:sz w:val="16"/>
                <w:szCs w:val="16"/>
              </w:rPr>
            </w:pPr>
          </w:p>
        </w:tc>
        <w:tc>
          <w:tcPr>
            <w:tcW w:w="572" w:type="dxa"/>
            <w:shd w:val="clear" w:color="auto" w:fill="auto"/>
            <w:noWrap/>
            <w:vAlign w:val="center"/>
          </w:tcPr>
          <w:p w:rsidR="00BE17BF" w:rsidRPr="00102A5B" w:rsidRDefault="00BE17BF" w:rsidP="00027A9C">
            <w:pPr>
              <w:spacing w:before="40" w:after="40"/>
              <w:jc w:val="center"/>
              <w:rPr>
                <w:sz w:val="16"/>
                <w:szCs w:val="16"/>
              </w:rPr>
            </w:pPr>
          </w:p>
        </w:tc>
        <w:tc>
          <w:tcPr>
            <w:tcW w:w="574"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18"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53" w:type="dxa"/>
            <w:gridSpan w:val="2"/>
            <w:vAlign w:val="center"/>
          </w:tcPr>
          <w:p w:rsidR="00BE17BF" w:rsidRPr="00102A5B" w:rsidRDefault="00BE17BF" w:rsidP="00027A9C">
            <w:pPr>
              <w:spacing w:before="40" w:after="40"/>
              <w:jc w:val="center"/>
              <w:rPr>
                <w:sz w:val="16"/>
                <w:szCs w:val="16"/>
              </w:rPr>
            </w:pPr>
          </w:p>
        </w:tc>
        <w:tc>
          <w:tcPr>
            <w:tcW w:w="540" w:type="dxa"/>
            <w:vAlign w:val="center"/>
          </w:tcPr>
          <w:p w:rsidR="00BE17BF" w:rsidRPr="00102A5B" w:rsidRDefault="00BE17BF" w:rsidP="00027A9C">
            <w:pPr>
              <w:spacing w:before="40" w:after="40"/>
              <w:jc w:val="center"/>
              <w:rPr>
                <w:sz w:val="16"/>
                <w:szCs w:val="16"/>
              </w:rPr>
            </w:pPr>
          </w:p>
        </w:tc>
        <w:tc>
          <w:tcPr>
            <w:tcW w:w="501" w:type="dxa"/>
          </w:tcPr>
          <w:p w:rsidR="00BE17BF" w:rsidRPr="00102A5B" w:rsidRDefault="00BE17BF" w:rsidP="00027A9C">
            <w:pPr>
              <w:spacing w:before="40" w:after="40"/>
              <w:jc w:val="center"/>
              <w:rPr>
                <w:sz w:val="16"/>
                <w:szCs w:val="16"/>
              </w:rPr>
            </w:pPr>
          </w:p>
        </w:tc>
        <w:tc>
          <w:tcPr>
            <w:tcW w:w="540" w:type="dxa"/>
          </w:tcPr>
          <w:p w:rsidR="00BE17BF" w:rsidRPr="00102A5B" w:rsidRDefault="00BE17BF" w:rsidP="00027A9C">
            <w:pPr>
              <w:spacing w:before="40" w:after="40"/>
              <w:jc w:val="center"/>
              <w:rPr>
                <w:sz w:val="16"/>
                <w:szCs w:val="16"/>
              </w:rPr>
            </w:pPr>
          </w:p>
        </w:tc>
      </w:tr>
      <w:tr w:rsidR="00BE17BF" w:rsidRPr="00102A5B" w:rsidTr="00027A9C">
        <w:trPr>
          <w:trHeight w:val="661"/>
          <w:jc w:val="center"/>
        </w:trPr>
        <w:tc>
          <w:tcPr>
            <w:tcW w:w="2307" w:type="dxa"/>
            <w:shd w:val="clear" w:color="auto" w:fill="auto"/>
            <w:noWrap/>
            <w:vAlign w:val="center"/>
          </w:tcPr>
          <w:p w:rsidR="00BE17BF" w:rsidRPr="00102A5B" w:rsidRDefault="00BE17BF" w:rsidP="00027A9C">
            <w:pPr>
              <w:spacing w:before="40" w:after="40"/>
              <w:rPr>
                <w:sz w:val="16"/>
                <w:szCs w:val="16"/>
              </w:rPr>
            </w:pPr>
            <w:r w:rsidRPr="00102A5B">
              <w:rPr>
                <w:sz w:val="16"/>
                <w:szCs w:val="16"/>
              </w:rPr>
              <w:t>Comprar e integrar una solución de administración del acceso</w:t>
            </w:r>
          </w:p>
        </w:tc>
        <w:tc>
          <w:tcPr>
            <w:tcW w:w="517" w:type="dxa"/>
            <w:shd w:val="clear" w:color="auto" w:fill="auto"/>
            <w:noWrap/>
            <w:vAlign w:val="bottom"/>
          </w:tcPr>
          <w:p w:rsidR="00BE17BF" w:rsidRPr="00102A5B" w:rsidRDefault="00BE17BF" w:rsidP="00027A9C">
            <w:pPr>
              <w:spacing w:before="40" w:after="40"/>
              <w:rPr>
                <w:sz w:val="16"/>
                <w:szCs w:val="16"/>
              </w:rPr>
            </w:pPr>
          </w:p>
        </w:tc>
        <w:tc>
          <w:tcPr>
            <w:tcW w:w="517" w:type="dxa"/>
            <w:shd w:val="clear" w:color="auto" w:fill="auto"/>
            <w:noWrap/>
            <w:vAlign w:val="bottom"/>
          </w:tcPr>
          <w:p w:rsidR="00BE17BF" w:rsidRPr="00102A5B" w:rsidRDefault="00BE17BF" w:rsidP="00027A9C">
            <w:pPr>
              <w:spacing w:before="40" w:after="40"/>
              <w:rPr>
                <w:sz w:val="16"/>
                <w:szCs w:val="16"/>
              </w:rPr>
            </w:pPr>
          </w:p>
        </w:tc>
        <w:tc>
          <w:tcPr>
            <w:tcW w:w="518" w:type="dxa"/>
            <w:shd w:val="clear" w:color="auto" w:fill="auto"/>
            <w:noWrap/>
            <w:vAlign w:val="bottom"/>
          </w:tcPr>
          <w:p w:rsidR="00BE17BF" w:rsidRPr="00102A5B" w:rsidRDefault="00BE17BF" w:rsidP="00027A9C">
            <w:pPr>
              <w:spacing w:before="40" w:after="40"/>
              <w:rPr>
                <w:sz w:val="16"/>
                <w:szCs w:val="16"/>
              </w:rPr>
            </w:pPr>
          </w:p>
        </w:tc>
        <w:tc>
          <w:tcPr>
            <w:tcW w:w="520" w:type="dxa"/>
            <w:shd w:val="clear" w:color="auto" w:fill="auto"/>
            <w:noWrap/>
            <w:vAlign w:val="center"/>
          </w:tcPr>
          <w:p w:rsidR="00BE17BF" w:rsidRPr="00102A5B" w:rsidRDefault="00BE17BF" w:rsidP="00027A9C">
            <w:pPr>
              <w:spacing w:before="40" w:after="40"/>
              <w:jc w:val="center"/>
              <w:rPr>
                <w:sz w:val="16"/>
                <w:szCs w:val="16"/>
              </w:rPr>
            </w:pPr>
          </w:p>
        </w:tc>
        <w:tc>
          <w:tcPr>
            <w:tcW w:w="571" w:type="dxa"/>
            <w:shd w:val="clear" w:color="auto" w:fill="auto"/>
            <w:noWrap/>
            <w:vAlign w:val="center"/>
          </w:tcPr>
          <w:p w:rsidR="00BE17BF" w:rsidRPr="00102A5B" w:rsidRDefault="00BE17BF" w:rsidP="00027A9C">
            <w:pPr>
              <w:spacing w:before="40" w:after="40"/>
              <w:jc w:val="center"/>
              <w:rPr>
                <w:sz w:val="16"/>
                <w:szCs w:val="16"/>
              </w:rPr>
            </w:pPr>
          </w:p>
        </w:tc>
        <w:tc>
          <w:tcPr>
            <w:tcW w:w="572" w:type="dxa"/>
            <w:shd w:val="clear" w:color="auto" w:fill="auto"/>
            <w:noWrap/>
            <w:vAlign w:val="center"/>
          </w:tcPr>
          <w:p w:rsidR="00BE17BF" w:rsidRPr="00102A5B" w:rsidRDefault="00BE17BF" w:rsidP="00027A9C">
            <w:pPr>
              <w:spacing w:before="40" w:after="40"/>
              <w:jc w:val="center"/>
              <w:rPr>
                <w:sz w:val="16"/>
                <w:szCs w:val="16"/>
              </w:rPr>
            </w:pPr>
          </w:p>
        </w:tc>
        <w:tc>
          <w:tcPr>
            <w:tcW w:w="572" w:type="dxa"/>
            <w:shd w:val="clear" w:color="auto" w:fill="auto"/>
            <w:noWrap/>
            <w:vAlign w:val="center"/>
          </w:tcPr>
          <w:p w:rsidR="00BE17BF" w:rsidRPr="00102A5B" w:rsidRDefault="00BE17BF" w:rsidP="00027A9C">
            <w:pPr>
              <w:spacing w:before="40" w:after="40"/>
              <w:jc w:val="center"/>
              <w:rPr>
                <w:sz w:val="16"/>
                <w:szCs w:val="16"/>
              </w:rPr>
            </w:pPr>
          </w:p>
        </w:tc>
        <w:tc>
          <w:tcPr>
            <w:tcW w:w="574"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18"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18"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53" w:type="dxa"/>
            <w:gridSpan w:val="2"/>
            <w:vAlign w:val="center"/>
          </w:tcPr>
          <w:p w:rsidR="00BE17BF" w:rsidRPr="00102A5B" w:rsidRDefault="00BE17BF" w:rsidP="00027A9C">
            <w:pPr>
              <w:spacing w:before="40" w:after="40"/>
              <w:jc w:val="center"/>
              <w:rPr>
                <w:sz w:val="16"/>
                <w:szCs w:val="16"/>
              </w:rPr>
            </w:pPr>
            <w:r w:rsidRPr="00102A5B">
              <w:rPr>
                <w:sz w:val="16"/>
                <w:szCs w:val="16"/>
              </w:rPr>
              <w:t>X</w:t>
            </w:r>
          </w:p>
        </w:tc>
        <w:tc>
          <w:tcPr>
            <w:tcW w:w="540" w:type="dxa"/>
            <w:vAlign w:val="center"/>
          </w:tcPr>
          <w:p w:rsidR="00BE17BF" w:rsidRPr="00102A5B" w:rsidRDefault="00BE17BF" w:rsidP="00027A9C">
            <w:pPr>
              <w:spacing w:before="40" w:after="40"/>
              <w:jc w:val="center"/>
              <w:rPr>
                <w:sz w:val="16"/>
                <w:szCs w:val="16"/>
              </w:rPr>
            </w:pPr>
          </w:p>
        </w:tc>
        <w:tc>
          <w:tcPr>
            <w:tcW w:w="501" w:type="dxa"/>
          </w:tcPr>
          <w:p w:rsidR="00BE17BF" w:rsidRPr="00102A5B" w:rsidRDefault="00BE17BF" w:rsidP="00027A9C">
            <w:pPr>
              <w:spacing w:before="40" w:after="40"/>
              <w:jc w:val="center"/>
              <w:rPr>
                <w:sz w:val="16"/>
                <w:szCs w:val="16"/>
              </w:rPr>
            </w:pPr>
          </w:p>
        </w:tc>
        <w:tc>
          <w:tcPr>
            <w:tcW w:w="540" w:type="dxa"/>
          </w:tcPr>
          <w:p w:rsidR="00BE17BF" w:rsidRPr="00102A5B" w:rsidRDefault="00BE17BF" w:rsidP="00027A9C">
            <w:pPr>
              <w:spacing w:before="40" w:after="40"/>
              <w:jc w:val="center"/>
              <w:rPr>
                <w:sz w:val="16"/>
                <w:szCs w:val="16"/>
              </w:rPr>
            </w:pPr>
          </w:p>
        </w:tc>
      </w:tr>
      <w:tr w:rsidR="00BE17BF" w:rsidRPr="00102A5B" w:rsidTr="00027A9C">
        <w:trPr>
          <w:trHeight w:val="661"/>
          <w:jc w:val="center"/>
        </w:trPr>
        <w:tc>
          <w:tcPr>
            <w:tcW w:w="2307" w:type="dxa"/>
            <w:shd w:val="clear" w:color="auto" w:fill="auto"/>
            <w:noWrap/>
            <w:vAlign w:val="center"/>
          </w:tcPr>
          <w:p w:rsidR="00BE17BF" w:rsidRPr="00102A5B" w:rsidRDefault="00BE17BF" w:rsidP="00027A9C">
            <w:pPr>
              <w:spacing w:before="40" w:after="40"/>
              <w:rPr>
                <w:sz w:val="16"/>
                <w:szCs w:val="16"/>
              </w:rPr>
            </w:pPr>
            <w:r w:rsidRPr="00102A5B">
              <w:rPr>
                <w:sz w:val="16"/>
                <w:szCs w:val="16"/>
              </w:rPr>
              <w:t>Solución interna de PKI</w:t>
            </w:r>
          </w:p>
        </w:tc>
        <w:tc>
          <w:tcPr>
            <w:tcW w:w="517" w:type="dxa"/>
            <w:shd w:val="clear" w:color="auto" w:fill="auto"/>
            <w:noWrap/>
            <w:vAlign w:val="bottom"/>
          </w:tcPr>
          <w:p w:rsidR="00BE17BF" w:rsidRPr="00102A5B" w:rsidRDefault="00BE17BF" w:rsidP="00027A9C">
            <w:pPr>
              <w:spacing w:before="40" w:after="40"/>
              <w:rPr>
                <w:sz w:val="16"/>
                <w:szCs w:val="16"/>
              </w:rPr>
            </w:pPr>
          </w:p>
        </w:tc>
        <w:tc>
          <w:tcPr>
            <w:tcW w:w="517" w:type="dxa"/>
            <w:shd w:val="clear" w:color="auto" w:fill="auto"/>
            <w:noWrap/>
            <w:vAlign w:val="bottom"/>
          </w:tcPr>
          <w:p w:rsidR="00BE17BF" w:rsidRPr="00102A5B" w:rsidRDefault="00BE17BF" w:rsidP="00027A9C">
            <w:pPr>
              <w:spacing w:before="40" w:after="40"/>
              <w:rPr>
                <w:sz w:val="16"/>
                <w:szCs w:val="16"/>
              </w:rPr>
            </w:pPr>
          </w:p>
        </w:tc>
        <w:tc>
          <w:tcPr>
            <w:tcW w:w="518" w:type="dxa"/>
            <w:shd w:val="clear" w:color="auto" w:fill="auto"/>
            <w:noWrap/>
            <w:vAlign w:val="bottom"/>
          </w:tcPr>
          <w:p w:rsidR="00BE17BF" w:rsidRPr="00102A5B" w:rsidRDefault="00BE17BF" w:rsidP="00027A9C">
            <w:pPr>
              <w:spacing w:before="40" w:after="40"/>
              <w:rPr>
                <w:sz w:val="16"/>
                <w:szCs w:val="16"/>
              </w:rPr>
            </w:pPr>
          </w:p>
        </w:tc>
        <w:tc>
          <w:tcPr>
            <w:tcW w:w="520" w:type="dxa"/>
            <w:shd w:val="clear" w:color="auto" w:fill="auto"/>
            <w:noWrap/>
            <w:vAlign w:val="center"/>
          </w:tcPr>
          <w:p w:rsidR="00BE17BF" w:rsidRPr="00102A5B" w:rsidRDefault="00BE17BF" w:rsidP="00027A9C">
            <w:pPr>
              <w:spacing w:before="40" w:after="40"/>
              <w:jc w:val="center"/>
              <w:rPr>
                <w:sz w:val="16"/>
                <w:szCs w:val="16"/>
              </w:rPr>
            </w:pPr>
          </w:p>
        </w:tc>
        <w:tc>
          <w:tcPr>
            <w:tcW w:w="571" w:type="dxa"/>
            <w:shd w:val="clear" w:color="auto" w:fill="auto"/>
            <w:noWrap/>
            <w:vAlign w:val="center"/>
          </w:tcPr>
          <w:p w:rsidR="00BE17BF" w:rsidRPr="00102A5B" w:rsidRDefault="00BE17BF" w:rsidP="00027A9C">
            <w:pPr>
              <w:spacing w:before="40" w:after="40"/>
              <w:jc w:val="center"/>
              <w:rPr>
                <w:sz w:val="16"/>
                <w:szCs w:val="16"/>
              </w:rPr>
            </w:pPr>
          </w:p>
        </w:tc>
        <w:tc>
          <w:tcPr>
            <w:tcW w:w="572" w:type="dxa"/>
            <w:shd w:val="clear" w:color="auto" w:fill="auto"/>
            <w:noWrap/>
            <w:vAlign w:val="center"/>
          </w:tcPr>
          <w:p w:rsidR="00BE17BF" w:rsidRPr="00102A5B" w:rsidRDefault="00BE17BF" w:rsidP="00027A9C">
            <w:pPr>
              <w:spacing w:before="40" w:after="40"/>
              <w:jc w:val="center"/>
              <w:rPr>
                <w:sz w:val="16"/>
                <w:szCs w:val="16"/>
              </w:rPr>
            </w:pPr>
          </w:p>
        </w:tc>
        <w:tc>
          <w:tcPr>
            <w:tcW w:w="572" w:type="dxa"/>
            <w:shd w:val="clear" w:color="auto" w:fill="auto"/>
            <w:noWrap/>
            <w:vAlign w:val="center"/>
          </w:tcPr>
          <w:p w:rsidR="00BE17BF" w:rsidRPr="00102A5B" w:rsidRDefault="00BE17BF" w:rsidP="00027A9C">
            <w:pPr>
              <w:spacing w:before="40" w:after="40"/>
              <w:jc w:val="center"/>
              <w:rPr>
                <w:sz w:val="16"/>
                <w:szCs w:val="16"/>
              </w:rPr>
            </w:pPr>
          </w:p>
        </w:tc>
        <w:tc>
          <w:tcPr>
            <w:tcW w:w="574"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p>
        </w:tc>
        <w:tc>
          <w:tcPr>
            <w:tcW w:w="518"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18" w:type="dxa"/>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553" w:type="dxa"/>
            <w:gridSpan w:val="2"/>
            <w:vAlign w:val="center"/>
          </w:tcPr>
          <w:p w:rsidR="00BE17BF" w:rsidRPr="00102A5B" w:rsidRDefault="00BE17BF" w:rsidP="00027A9C">
            <w:pPr>
              <w:spacing w:before="40" w:after="40"/>
              <w:jc w:val="center"/>
              <w:rPr>
                <w:sz w:val="16"/>
                <w:szCs w:val="16"/>
              </w:rPr>
            </w:pPr>
            <w:r w:rsidRPr="00102A5B">
              <w:rPr>
                <w:sz w:val="16"/>
                <w:szCs w:val="16"/>
              </w:rPr>
              <w:t>X</w:t>
            </w:r>
          </w:p>
        </w:tc>
        <w:tc>
          <w:tcPr>
            <w:tcW w:w="540" w:type="dxa"/>
            <w:vAlign w:val="center"/>
          </w:tcPr>
          <w:p w:rsidR="00BE17BF" w:rsidRPr="00102A5B" w:rsidRDefault="00BE17BF" w:rsidP="00027A9C">
            <w:pPr>
              <w:spacing w:before="40" w:after="40"/>
              <w:jc w:val="center"/>
              <w:rPr>
                <w:sz w:val="16"/>
                <w:szCs w:val="16"/>
              </w:rPr>
            </w:pPr>
            <w:r w:rsidRPr="00102A5B">
              <w:rPr>
                <w:sz w:val="16"/>
                <w:szCs w:val="16"/>
              </w:rPr>
              <w:t>X</w:t>
            </w:r>
          </w:p>
        </w:tc>
        <w:tc>
          <w:tcPr>
            <w:tcW w:w="501" w:type="dxa"/>
            <w:vAlign w:val="center"/>
          </w:tcPr>
          <w:p w:rsidR="00BE17BF" w:rsidRPr="00102A5B" w:rsidRDefault="00BE17BF" w:rsidP="00027A9C">
            <w:pPr>
              <w:spacing w:before="40" w:after="40"/>
              <w:jc w:val="center"/>
              <w:rPr>
                <w:sz w:val="16"/>
                <w:szCs w:val="16"/>
              </w:rPr>
            </w:pPr>
            <w:r w:rsidRPr="00102A5B">
              <w:rPr>
                <w:sz w:val="16"/>
                <w:szCs w:val="16"/>
              </w:rPr>
              <w:t>X</w:t>
            </w:r>
          </w:p>
        </w:tc>
        <w:tc>
          <w:tcPr>
            <w:tcW w:w="540" w:type="dxa"/>
            <w:vAlign w:val="center"/>
          </w:tcPr>
          <w:p w:rsidR="00BE17BF" w:rsidRPr="00102A5B" w:rsidRDefault="00BE17BF" w:rsidP="00027A9C">
            <w:pPr>
              <w:spacing w:before="40" w:after="40"/>
              <w:rPr>
                <w:sz w:val="16"/>
                <w:szCs w:val="16"/>
              </w:rPr>
            </w:pPr>
          </w:p>
        </w:tc>
      </w:tr>
    </w:tbl>
    <w:p w:rsidR="00BE17BF" w:rsidRDefault="00BE17BF" w:rsidP="00027A9C">
      <w:pPr>
        <w:rPr>
          <w:sz w:val="20"/>
          <w:szCs w:val="24"/>
        </w:rPr>
      </w:pPr>
    </w:p>
    <w:p w:rsidR="00BE17BF" w:rsidRPr="00102A5B" w:rsidRDefault="00BE17BF" w:rsidP="00027A9C">
      <w:pPr>
        <w:rPr>
          <w:sz w:val="20"/>
          <w:szCs w:val="24"/>
        </w:rPr>
      </w:pPr>
    </w:p>
    <w:p w:rsidR="00BE17BF" w:rsidRPr="00102A5B" w:rsidRDefault="00BE17BF" w:rsidP="00027A9C">
      <w:pPr>
        <w:keepNext/>
        <w:rPr>
          <w:b/>
        </w:rPr>
      </w:pPr>
      <w:r w:rsidRPr="00102A5B">
        <w:rPr>
          <w:b/>
        </w:rPr>
        <w:lastRenderedPageBreak/>
        <w:t>PROYECTOS RELACIONADOS CON LAS TIC</w:t>
      </w:r>
    </w:p>
    <w:p w:rsidR="00BE17BF" w:rsidRPr="00102A5B" w:rsidRDefault="00BE17BF" w:rsidP="00027A9C">
      <w:pPr>
        <w:keepNext/>
        <w:rPr>
          <w:sz w:val="20"/>
          <w:szCs w:val="24"/>
        </w:rPr>
      </w:pPr>
    </w:p>
    <w:p w:rsidR="00BE17BF" w:rsidRPr="00102A5B" w:rsidRDefault="00BE17BF" w:rsidP="00027A9C">
      <w:pPr>
        <w:keepNext/>
        <w:ind w:left="1701" w:hanging="1701"/>
        <w:outlineLvl w:val="2"/>
        <w:rPr>
          <w:b/>
          <w:bCs/>
          <w:i/>
          <w:sz w:val="20"/>
        </w:rPr>
      </w:pPr>
      <w:bookmarkStart w:id="87" w:name="_Toc482711286"/>
      <w:r w:rsidRPr="00102A5B">
        <w:rPr>
          <w:b/>
          <w:bCs/>
          <w:i/>
          <w:sz w:val="20"/>
        </w:rPr>
        <w:t>PROYECTO 2:</w:t>
      </w:r>
      <w:r w:rsidRPr="00102A5B">
        <w:rPr>
          <w:bCs/>
          <w:sz w:val="20"/>
        </w:rPr>
        <w:tab/>
      </w:r>
      <w:r w:rsidRPr="00102A5B">
        <w:rPr>
          <w:b/>
          <w:bCs/>
          <w:i/>
          <w:sz w:val="20"/>
        </w:rPr>
        <w:t>APLICACIÓN DE LA GESTIÓN DE CONTENIDOS INSTITUCIONALES (PMM 2)</w:t>
      </w:r>
      <w:bookmarkEnd w:id="87"/>
    </w:p>
    <w:p w:rsidR="00BE17BF" w:rsidRPr="00102A5B" w:rsidRDefault="00BE17BF" w:rsidP="00027A9C">
      <w:pPr>
        <w:rPr>
          <w:b/>
          <w:sz w:val="20"/>
        </w:rPr>
      </w:pPr>
    </w:p>
    <w:p w:rsidR="00BE17BF" w:rsidRPr="00102A5B" w:rsidRDefault="00BE17BF" w:rsidP="00027A9C">
      <w:pPr>
        <w:rPr>
          <w:b/>
          <w:sz w:val="20"/>
        </w:rPr>
      </w:pPr>
      <w:r w:rsidRPr="00102A5B">
        <w:rPr>
          <w:b/>
          <w:sz w:val="20"/>
        </w:rPr>
        <w:t>Director de proyecto</w:t>
      </w:r>
      <w:r w:rsidRPr="00102A5B">
        <w:rPr>
          <w:sz w:val="20"/>
        </w:rPr>
        <w:tab/>
      </w:r>
      <w:r w:rsidRPr="00102A5B">
        <w:rPr>
          <w:b/>
          <w:sz w:val="20"/>
        </w:rPr>
        <w:t>Sr. G. Beaver</w:t>
      </w:r>
    </w:p>
    <w:p w:rsidR="00BE17BF" w:rsidRPr="00102A5B" w:rsidRDefault="00BE17BF" w:rsidP="00027A9C">
      <w:pPr>
        <w:rPr>
          <w:b/>
          <w:sz w:val="20"/>
        </w:rPr>
      </w:pPr>
    </w:p>
    <w:p w:rsidR="00BE17BF" w:rsidRPr="00102A5B" w:rsidRDefault="00BE17BF" w:rsidP="00027A9C">
      <w:pPr>
        <w:rPr>
          <w:b/>
          <w:sz w:val="20"/>
        </w:rPr>
      </w:pPr>
    </w:p>
    <w:p w:rsidR="00BE17BF" w:rsidRPr="00102A5B" w:rsidRDefault="00BE17BF" w:rsidP="00027A9C">
      <w:pPr>
        <w:rPr>
          <w:bCs/>
          <w:sz w:val="20"/>
        </w:rPr>
      </w:pPr>
      <w:r w:rsidRPr="00102A5B">
        <w:rPr>
          <w:bCs/>
          <w:sz w:val="20"/>
        </w:rPr>
        <w:t>RESULTADO PREVISTO</w:t>
      </w:r>
    </w:p>
    <w:p w:rsidR="00BE17BF" w:rsidRPr="00102A5B" w:rsidRDefault="00BE17BF" w:rsidP="00027A9C">
      <w:pPr>
        <w:rPr>
          <w:bCs/>
          <w:sz w:val="20"/>
        </w:rPr>
      </w:pPr>
    </w:p>
    <w:p w:rsidR="00BE17BF" w:rsidRPr="001D5818" w:rsidRDefault="00BE17BF" w:rsidP="00027A9C">
      <w:pPr>
        <w:rPr>
          <w:bCs/>
          <w:i/>
          <w:sz w:val="20"/>
        </w:rPr>
      </w:pPr>
      <w:r w:rsidRPr="001D5818">
        <w:rPr>
          <w:bCs/>
          <w:i/>
          <w:sz w:val="20"/>
        </w:rPr>
        <w:t>IX.2  Funcionamiento sin contratiempos de la Secretaría, provista de un personal bien dirigido, dotado de las competencias adecuadas, y capaz de conseguir resultados</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Cs/>
          <w:sz w:val="20"/>
        </w:rPr>
      </w:pPr>
      <w:r w:rsidRPr="00102A5B">
        <w:rPr>
          <w:bCs/>
          <w:sz w:val="20"/>
        </w:rPr>
        <w:t>OBJETIVOS, ALCANCE Y ENFOQUE:  ANTECEDENTES</w:t>
      </w:r>
    </w:p>
    <w:p w:rsidR="00BE17BF" w:rsidRPr="00102A5B" w:rsidRDefault="00BE17BF" w:rsidP="00027A9C">
      <w:pPr>
        <w:rPr>
          <w:bCs/>
          <w:sz w:val="20"/>
        </w:rPr>
      </w:pPr>
    </w:p>
    <w:p w:rsidR="00BE17BF" w:rsidRPr="00102A5B" w:rsidRDefault="00BE17BF" w:rsidP="00BE17BF">
      <w:pPr>
        <w:numPr>
          <w:ilvl w:val="0"/>
          <w:numId w:val="112"/>
        </w:numPr>
        <w:tabs>
          <w:tab w:val="left" w:pos="567"/>
        </w:tabs>
        <w:spacing w:after="220"/>
        <w:jc w:val="both"/>
        <w:rPr>
          <w:iCs/>
          <w:sz w:val="20"/>
        </w:rPr>
      </w:pPr>
      <w:r w:rsidRPr="00102A5B">
        <w:rPr>
          <w:iCs/>
          <w:sz w:val="20"/>
        </w:rPr>
        <w:t xml:space="preserve">El proyecto consiste en establecer un depósito institucional central para almacenar documentos.  Ello permitirá a los usuarios trabajar juntos (colaborar) en la creación de documentos, buscar información y acceder a ella con mayor facilidad, y permitirá además vincular los documentos a las distintas transacciones que se realizan en el sistema de PRI, cuando proceda. </w:t>
      </w:r>
    </w:p>
    <w:p w:rsidR="00BE17BF" w:rsidRPr="00102A5B" w:rsidRDefault="00BE17BF" w:rsidP="00BE17BF">
      <w:pPr>
        <w:numPr>
          <w:ilvl w:val="0"/>
          <w:numId w:val="112"/>
        </w:numPr>
        <w:tabs>
          <w:tab w:val="left" w:pos="567"/>
        </w:tabs>
        <w:spacing w:after="220"/>
        <w:jc w:val="both"/>
        <w:rPr>
          <w:iCs/>
          <w:sz w:val="20"/>
        </w:rPr>
      </w:pPr>
      <w:r w:rsidRPr="00102A5B">
        <w:rPr>
          <w:iCs/>
          <w:sz w:val="20"/>
        </w:rPr>
        <w:t>Durante la fase de planificación de la ejecución del proyecto de gestión de contenidos institucionales (ECM, por sus siglas en inglés), se propuso introducir modificaciones en el enfoque y el alcance del proyecto, aunque manteniendo los objetivos originales.  Dichas modificaciones sirven para seguir incrementando la probabilidad de éxito en lo relativo tanto a los cambios que conciernen a la Organización, como a los elementos técnicos necesarios para implantar la ECM.  El enfoque revisado se basa en una aplicación gradual a una serie de subproyectos “principiantes” (detallados más adelante), en la que el trabajo de determinados sectores se verá beneficiado por la automatización de varios de los procesos centrados en documentos, aun antes de la puesta en funcionamiento de la ECM a escala institucional.</w:t>
      </w:r>
    </w:p>
    <w:p w:rsidR="00BE17BF" w:rsidRPr="00102A5B" w:rsidRDefault="00BE17BF" w:rsidP="00BE17BF">
      <w:pPr>
        <w:numPr>
          <w:ilvl w:val="0"/>
          <w:numId w:val="112"/>
        </w:numPr>
        <w:tabs>
          <w:tab w:val="left" w:pos="567"/>
        </w:tabs>
        <w:jc w:val="both"/>
        <w:rPr>
          <w:iCs/>
          <w:sz w:val="20"/>
        </w:rPr>
      </w:pPr>
      <w:r w:rsidRPr="00102A5B">
        <w:rPr>
          <w:iCs/>
          <w:sz w:val="20"/>
        </w:rPr>
        <w:t>Los objetivos del proyecto de ECM son los siguientes:</w:t>
      </w:r>
    </w:p>
    <w:p w:rsidR="00BE17BF" w:rsidRPr="00102A5B" w:rsidRDefault="00BE17BF" w:rsidP="00027A9C">
      <w:pPr>
        <w:tabs>
          <w:tab w:val="left" w:pos="567"/>
        </w:tabs>
        <w:jc w:val="both"/>
        <w:rPr>
          <w:iCs/>
          <w:sz w:val="20"/>
        </w:rPr>
      </w:pPr>
    </w:p>
    <w:p w:rsidR="00BE17BF" w:rsidRPr="00102A5B" w:rsidRDefault="00BE17BF" w:rsidP="00BE17BF">
      <w:pPr>
        <w:numPr>
          <w:ilvl w:val="0"/>
          <w:numId w:val="113"/>
        </w:numPr>
        <w:spacing w:after="120"/>
        <w:jc w:val="both"/>
        <w:rPr>
          <w:sz w:val="20"/>
        </w:rPr>
      </w:pPr>
      <w:r w:rsidRPr="00102A5B">
        <w:rPr>
          <w:sz w:val="20"/>
        </w:rPr>
        <w:t>la implantación en toda la Organización de un sistema de almacenamiento, recuperación y gestión de documentos, expedientes y archivos de la OMPI (la aplicación ECM);</w:t>
      </w:r>
    </w:p>
    <w:p w:rsidR="00BE17BF" w:rsidRPr="00102A5B" w:rsidRDefault="00BE17BF" w:rsidP="00BE17BF">
      <w:pPr>
        <w:numPr>
          <w:ilvl w:val="0"/>
          <w:numId w:val="113"/>
        </w:numPr>
        <w:spacing w:after="120"/>
        <w:jc w:val="both"/>
        <w:rPr>
          <w:sz w:val="20"/>
        </w:rPr>
      </w:pPr>
      <w:r w:rsidRPr="00102A5B">
        <w:rPr>
          <w:sz w:val="20"/>
        </w:rPr>
        <w:t>la implantación en la aplicación ECM de las configuraciones, específicas para cada proceso, correspondientes a los procesos de la ECM, para respaldar los procesos de trabajo que son ricos en contenidos;  podrá tratarse de procesos específicos de determinados sectores o generales de la Organización;</w:t>
      </w:r>
    </w:p>
    <w:p w:rsidR="00BE17BF" w:rsidRPr="00102A5B" w:rsidRDefault="00BE17BF" w:rsidP="00BE17BF">
      <w:pPr>
        <w:numPr>
          <w:ilvl w:val="0"/>
          <w:numId w:val="113"/>
        </w:numPr>
        <w:spacing w:after="120"/>
        <w:jc w:val="both"/>
        <w:rPr>
          <w:sz w:val="20"/>
        </w:rPr>
      </w:pPr>
      <w:r w:rsidRPr="00102A5B">
        <w:rPr>
          <w:sz w:val="20"/>
        </w:rPr>
        <w:t>cuando sea necesario, la integración con los subcomponentes de la PRI, para permitir la creación de vínculos entre el contenido de que se trate (que esté incluido en la ECM) y los registros de transacciones (que estén incluidos en la PRI), cuando así lo exija el funcionamiento de la PRI;</w:t>
      </w:r>
    </w:p>
    <w:p w:rsidR="00BE17BF" w:rsidRPr="00102A5B" w:rsidRDefault="00BE17BF" w:rsidP="00BE17BF">
      <w:pPr>
        <w:numPr>
          <w:ilvl w:val="0"/>
          <w:numId w:val="113"/>
        </w:numPr>
        <w:spacing w:after="120"/>
        <w:jc w:val="both"/>
        <w:rPr>
          <w:sz w:val="20"/>
        </w:rPr>
      </w:pPr>
      <w:r w:rsidRPr="00102A5B">
        <w:rPr>
          <w:sz w:val="20"/>
        </w:rPr>
        <w:t>la aplicación ECM y la infraestructura de apoyo se alojarán y administrarán de manera que cumplan con los criterios de disponibilidad del servicio y los objetivos de seguridad de un sistema de esa índole, en función de su carácter vital para el trabajo;</w:t>
      </w:r>
    </w:p>
    <w:p w:rsidR="00BE17BF" w:rsidRPr="00102A5B" w:rsidRDefault="00BE17BF" w:rsidP="00BE17BF">
      <w:pPr>
        <w:numPr>
          <w:ilvl w:val="0"/>
          <w:numId w:val="113"/>
        </w:numPr>
        <w:spacing w:after="120"/>
        <w:jc w:val="both"/>
        <w:rPr>
          <w:sz w:val="20"/>
        </w:rPr>
      </w:pPr>
      <w:r w:rsidRPr="00102A5B">
        <w:rPr>
          <w:sz w:val="20"/>
        </w:rPr>
        <w:t>la implantación de los componentes de expedientes y archivos de la aplicación ECM y los procesos correspondientes cumplirán con la Política de la OMPI de gestión de los expedientes y archivos (Orden de servicio 15/2013);</w:t>
      </w:r>
    </w:p>
    <w:p w:rsidR="00BE17BF" w:rsidRPr="00102A5B" w:rsidRDefault="00BE17BF" w:rsidP="00BE17BF">
      <w:pPr>
        <w:numPr>
          <w:ilvl w:val="0"/>
          <w:numId w:val="113"/>
        </w:numPr>
        <w:spacing w:after="120"/>
        <w:jc w:val="both"/>
        <w:rPr>
          <w:sz w:val="20"/>
        </w:rPr>
      </w:pPr>
      <w:r w:rsidRPr="00102A5B">
        <w:rPr>
          <w:sz w:val="20"/>
        </w:rPr>
        <w:t>se impartirá formación a los usuarios finales sobre el uso del sistema, así como sobre los procesos y procedimientos, para velar por que no deje de cumplirse lo dispuesto en la orden de servicio de la OMPI 15/2013 (procesos de la ECM);</w:t>
      </w:r>
    </w:p>
    <w:p w:rsidR="00BE17BF" w:rsidRPr="00102A5B" w:rsidRDefault="00BE17BF" w:rsidP="00BE17BF">
      <w:pPr>
        <w:numPr>
          <w:ilvl w:val="0"/>
          <w:numId w:val="113"/>
        </w:numPr>
        <w:spacing w:after="120"/>
        <w:jc w:val="both"/>
        <w:rPr>
          <w:sz w:val="20"/>
        </w:rPr>
      </w:pPr>
      <w:r w:rsidRPr="00102A5B">
        <w:rPr>
          <w:sz w:val="20"/>
        </w:rPr>
        <w:t>en el marco del sistema, se aplicarán controles de seguridad suficientes para mantener el cumplimiento con las políticas de seguridad de la OMPI;  y</w:t>
      </w:r>
    </w:p>
    <w:p w:rsidR="00BE17BF" w:rsidRPr="00102A5B" w:rsidRDefault="00BE17BF" w:rsidP="00BE17BF">
      <w:pPr>
        <w:numPr>
          <w:ilvl w:val="0"/>
          <w:numId w:val="113"/>
        </w:numPr>
        <w:spacing w:after="120"/>
        <w:jc w:val="both"/>
        <w:rPr>
          <w:sz w:val="20"/>
        </w:rPr>
      </w:pPr>
      <w:r w:rsidRPr="00102A5B">
        <w:rPr>
          <w:sz w:val="20"/>
        </w:rPr>
        <w:t xml:space="preserve">en relación con la aplicación ECM, el diseño, la adquisición de licencias, la implantación, la configuración de base, cada una de las configuraciones específicas de los subproyectos “principiantes”, la capacidad básica de utilización de la ECM en toda la Organización, la formación que se imparta a los usuarios y la transición hacia el pleno funcionamiento se </w:t>
      </w:r>
      <w:r w:rsidRPr="00102A5B">
        <w:rPr>
          <w:sz w:val="20"/>
        </w:rPr>
        <w:lastRenderedPageBreak/>
        <w:t>llevarán a cabo con arreglo al presupuesto asignado al proyecto en el marco del Plan maestro de mejoras de infraestructura (véase WO/PBC/21/18, 31 de julio de 2013).</w:t>
      </w:r>
    </w:p>
    <w:p w:rsidR="00BE17BF" w:rsidRPr="00102A5B" w:rsidRDefault="00BE17BF" w:rsidP="00027A9C">
      <w:pPr>
        <w:jc w:val="both"/>
        <w:rPr>
          <w:sz w:val="20"/>
        </w:rPr>
      </w:pPr>
    </w:p>
    <w:p w:rsidR="00BE17BF" w:rsidRPr="00102A5B" w:rsidRDefault="00BE17BF" w:rsidP="00BE17BF">
      <w:pPr>
        <w:numPr>
          <w:ilvl w:val="0"/>
          <w:numId w:val="112"/>
        </w:numPr>
        <w:tabs>
          <w:tab w:val="left" w:pos="567"/>
        </w:tabs>
        <w:jc w:val="both"/>
        <w:rPr>
          <w:sz w:val="20"/>
        </w:rPr>
      </w:pPr>
      <w:r w:rsidRPr="00102A5B">
        <w:rPr>
          <w:sz w:val="20"/>
        </w:rPr>
        <w:t>El proyecto se repartirá en varias fases/subproyectos, cada uno de los cuales redundará en una serie de beneficios para una o más esferas de trabajo.  Cada uno de los subproyectos incluirá lo siguiente:</w:t>
      </w:r>
    </w:p>
    <w:p w:rsidR="00BE17BF" w:rsidRPr="00102A5B" w:rsidRDefault="00BE17BF" w:rsidP="00027A9C">
      <w:pPr>
        <w:tabs>
          <w:tab w:val="left" w:pos="567"/>
        </w:tabs>
        <w:jc w:val="both"/>
        <w:rPr>
          <w:sz w:val="20"/>
        </w:rPr>
      </w:pPr>
    </w:p>
    <w:p w:rsidR="00BE17BF" w:rsidRPr="00102A5B" w:rsidRDefault="00BE17BF" w:rsidP="00BE17BF">
      <w:pPr>
        <w:numPr>
          <w:ilvl w:val="0"/>
          <w:numId w:val="113"/>
        </w:numPr>
        <w:spacing w:after="120"/>
        <w:jc w:val="both"/>
        <w:rPr>
          <w:sz w:val="20"/>
        </w:rPr>
      </w:pPr>
      <w:r w:rsidRPr="00102A5B">
        <w:rPr>
          <w:sz w:val="20"/>
        </w:rPr>
        <w:t>el análisis de las tareas necesario para especificar el proceso de trabajo que será respaldado por la solución de ECM;</w:t>
      </w:r>
    </w:p>
    <w:p w:rsidR="00BE17BF" w:rsidRPr="00102A5B" w:rsidRDefault="00BE17BF" w:rsidP="00BE17BF">
      <w:pPr>
        <w:numPr>
          <w:ilvl w:val="0"/>
          <w:numId w:val="113"/>
        </w:numPr>
        <w:spacing w:after="120"/>
        <w:jc w:val="both"/>
        <w:rPr>
          <w:sz w:val="20"/>
        </w:rPr>
      </w:pPr>
      <w:r w:rsidRPr="00102A5B">
        <w:rPr>
          <w:sz w:val="20"/>
        </w:rPr>
        <w:t>el reconocimiento y la catalogación de la interrelación con los sistemas existentes, entre otros, el sistema de PRI, cuando sea necesario;</w:t>
      </w:r>
    </w:p>
    <w:p w:rsidR="00BE17BF" w:rsidRPr="00102A5B" w:rsidRDefault="00BE17BF" w:rsidP="00BE17BF">
      <w:pPr>
        <w:numPr>
          <w:ilvl w:val="0"/>
          <w:numId w:val="113"/>
        </w:numPr>
        <w:spacing w:after="120"/>
        <w:jc w:val="both"/>
        <w:rPr>
          <w:sz w:val="20"/>
        </w:rPr>
      </w:pPr>
      <w:r w:rsidRPr="00102A5B">
        <w:rPr>
          <w:sz w:val="20"/>
        </w:rPr>
        <w:t>el diseño de la configuración de la ECM, sobre la base del proceso de trabajo;</w:t>
      </w:r>
    </w:p>
    <w:p w:rsidR="00BE17BF" w:rsidRPr="00102A5B" w:rsidRDefault="00BE17BF" w:rsidP="00BE17BF">
      <w:pPr>
        <w:numPr>
          <w:ilvl w:val="0"/>
          <w:numId w:val="113"/>
        </w:numPr>
        <w:spacing w:after="120"/>
        <w:jc w:val="both"/>
        <w:rPr>
          <w:sz w:val="20"/>
        </w:rPr>
      </w:pPr>
      <w:r w:rsidRPr="00102A5B">
        <w:rPr>
          <w:sz w:val="20"/>
        </w:rPr>
        <w:t>la implantación de la configuración del sistema de ECM para respaldar el proceso de trabajo;</w:t>
      </w:r>
    </w:p>
    <w:p w:rsidR="00BE17BF" w:rsidRPr="00102A5B" w:rsidRDefault="00BE17BF" w:rsidP="00BE17BF">
      <w:pPr>
        <w:numPr>
          <w:ilvl w:val="0"/>
          <w:numId w:val="113"/>
        </w:numPr>
        <w:spacing w:after="120"/>
        <w:jc w:val="both"/>
        <w:rPr>
          <w:sz w:val="20"/>
        </w:rPr>
      </w:pPr>
      <w:r w:rsidRPr="00102A5B">
        <w:rPr>
          <w:sz w:val="20"/>
        </w:rPr>
        <w:t>la prueba del sistema y de la aceptación de la configuración del sistema ECM por los usuarios para respaldar el proceso de trabajo;  y</w:t>
      </w:r>
    </w:p>
    <w:p w:rsidR="00BE17BF" w:rsidRPr="00102A5B" w:rsidRDefault="00BE17BF" w:rsidP="00BE17BF">
      <w:pPr>
        <w:numPr>
          <w:ilvl w:val="0"/>
          <w:numId w:val="113"/>
        </w:numPr>
        <w:spacing w:after="120"/>
        <w:jc w:val="both"/>
        <w:rPr>
          <w:sz w:val="20"/>
        </w:rPr>
      </w:pPr>
      <w:r w:rsidRPr="00102A5B">
        <w:rPr>
          <w:sz w:val="20"/>
        </w:rPr>
        <w:t>la formación de los usuarios finales en la configuración de la ECM específica para el proceso de trabajo de cada uno.</w:t>
      </w:r>
    </w:p>
    <w:p w:rsidR="00BE17BF" w:rsidRPr="00102A5B" w:rsidRDefault="00BE17BF" w:rsidP="00027A9C">
      <w:pPr>
        <w:jc w:val="both"/>
        <w:rPr>
          <w:sz w:val="20"/>
        </w:rPr>
      </w:pPr>
    </w:p>
    <w:p w:rsidR="00BE17BF" w:rsidRPr="00102A5B" w:rsidRDefault="00BE17BF" w:rsidP="00BE17BF">
      <w:pPr>
        <w:numPr>
          <w:ilvl w:val="0"/>
          <w:numId w:val="112"/>
        </w:numPr>
        <w:tabs>
          <w:tab w:val="left" w:pos="567"/>
        </w:tabs>
        <w:jc w:val="both"/>
        <w:rPr>
          <w:sz w:val="20"/>
        </w:rPr>
      </w:pPr>
      <w:r w:rsidRPr="00102A5B">
        <w:rPr>
          <w:sz w:val="20"/>
        </w:rPr>
        <w:t>Los subproyectos que se han identificado de momento son, por orden de ejecución:</w:t>
      </w:r>
      <w:r w:rsidRPr="00102A5B">
        <w:rPr>
          <w:rStyle w:val="FootnoteReference"/>
          <w:sz w:val="20"/>
        </w:rPr>
        <w:footnoteReference w:id="116"/>
      </w:r>
    </w:p>
    <w:p w:rsidR="00BE17BF" w:rsidRPr="00102A5B" w:rsidRDefault="00BE17BF" w:rsidP="00027A9C">
      <w:pPr>
        <w:tabs>
          <w:tab w:val="left" w:pos="567"/>
        </w:tabs>
        <w:jc w:val="both"/>
        <w:rPr>
          <w:sz w:val="20"/>
        </w:rPr>
      </w:pPr>
    </w:p>
    <w:p w:rsidR="00BE17BF" w:rsidRPr="00102A5B" w:rsidRDefault="00BE17BF" w:rsidP="00027A9C">
      <w:pPr>
        <w:ind w:left="360"/>
        <w:contextualSpacing/>
        <w:jc w:val="both"/>
        <w:rPr>
          <w:sz w:val="20"/>
        </w:rPr>
      </w:pPr>
      <w:r w:rsidRPr="00102A5B">
        <w:rPr>
          <w:b/>
          <w:sz w:val="20"/>
        </w:rPr>
        <w:t>Expedientes y archivos institucionales</w:t>
      </w:r>
      <w:r w:rsidRPr="00102A5B">
        <w:rPr>
          <w:sz w:val="20"/>
        </w:rPr>
        <w:t xml:space="preserve"> – subproyecto destinado a incrementar la funcionalidad del servicio de expedientes y archivos, que incluye el mejoramiento/la sustitución de los procesos de escaneo de documentos, así como la implantación de un proceso de escaneo y seguimiento del correo entrante y saliente (escaneo y flujo de trabajo), y la implantación de un mecanismo de archivo en las distintas secciones, sobre la base de la política de la OMPI de gestión de expedientes (gestión de expedientes y archivos). </w:t>
      </w:r>
    </w:p>
    <w:p w:rsidR="00BE17BF" w:rsidRPr="00102A5B" w:rsidRDefault="00BE17BF" w:rsidP="00027A9C">
      <w:pPr>
        <w:ind w:left="360"/>
        <w:contextualSpacing/>
        <w:jc w:val="both"/>
        <w:rPr>
          <w:sz w:val="20"/>
        </w:rPr>
      </w:pPr>
    </w:p>
    <w:p w:rsidR="00BE17BF" w:rsidRPr="00102A5B" w:rsidRDefault="00BE17BF" w:rsidP="00027A9C">
      <w:pPr>
        <w:ind w:left="360"/>
        <w:contextualSpacing/>
        <w:jc w:val="both"/>
        <w:rPr>
          <w:sz w:val="20"/>
        </w:rPr>
      </w:pPr>
      <w:r w:rsidRPr="00102A5B">
        <w:rPr>
          <w:b/>
          <w:sz w:val="20"/>
        </w:rPr>
        <w:t xml:space="preserve">Peticiones de traducción – </w:t>
      </w:r>
      <w:r w:rsidRPr="00102A5B">
        <w:rPr>
          <w:sz w:val="20"/>
        </w:rPr>
        <w:t xml:space="preserve">automatización de un flujo de trabajo relativo a documentos, con rastreo y presentación de informes, para la asignación de los documentos que ha de traducir la División Lingüística. </w:t>
      </w:r>
    </w:p>
    <w:p w:rsidR="00BE17BF" w:rsidRPr="00102A5B" w:rsidRDefault="00BE17BF" w:rsidP="00027A9C">
      <w:pPr>
        <w:ind w:left="360"/>
        <w:contextualSpacing/>
        <w:jc w:val="both"/>
        <w:rPr>
          <w:b/>
          <w:sz w:val="20"/>
        </w:rPr>
      </w:pPr>
    </w:p>
    <w:p w:rsidR="00BE17BF" w:rsidRPr="00102A5B" w:rsidRDefault="00BE17BF" w:rsidP="00027A9C">
      <w:pPr>
        <w:ind w:left="360"/>
        <w:contextualSpacing/>
        <w:jc w:val="both"/>
        <w:rPr>
          <w:sz w:val="20"/>
        </w:rPr>
      </w:pPr>
      <w:r w:rsidRPr="00102A5B">
        <w:rPr>
          <w:b/>
          <w:sz w:val="20"/>
        </w:rPr>
        <w:t xml:space="preserve">Informes de misión </w:t>
      </w:r>
      <w:r w:rsidRPr="00102A5B">
        <w:rPr>
          <w:sz w:val="20"/>
        </w:rPr>
        <w:t>– la gestión de la creación de informes de misión (gestión de documentos), los procesos de revisión y publicación del informe de misión (flujo de trabajo), y la búsqueda de informes de misión anteriores (búsqueda) sobre la base de la categorización (lugar, miembros del personal, tema y organizaciones visitadas).</w:t>
      </w:r>
    </w:p>
    <w:p w:rsidR="00BE17BF" w:rsidRPr="00102A5B" w:rsidRDefault="00BE17BF" w:rsidP="00027A9C">
      <w:pPr>
        <w:ind w:left="360"/>
        <w:contextualSpacing/>
        <w:jc w:val="both"/>
        <w:rPr>
          <w:sz w:val="20"/>
        </w:rPr>
      </w:pPr>
    </w:p>
    <w:p w:rsidR="00BE17BF" w:rsidRPr="00102A5B" w:rsidRDefault="00BE17BF" w:rsidP="00027A9C">
      <w:pPr>
        <w:ind w:left="360"/>
        <w:contextualSpacing/>
        <w:jc w:val="both"/>
        <w:rPr>
          <w:sz w:val="20"/>
        </w:rPr>
      </w:pPr>
      <w:r w:rsidRPr="00102A5B">
        <w:rPr>
          <w:b/>
          <w:sz w:val="20"/>
        </w:rPr>
        <w:t xml:space="preserve">Sistema de gestión de proveedores y contratos </w:t>
      </w:r>
      <w:r w:rsidRPr="00102A5B">
        <w:rPr>
          <w:sz w:val="20"/>
        </w:rPr>
        <w:t xml:space="preserve">– subproyecto “principiante” encaminado a implantar una solución o procesos para gestionar la información sobre contratos, permitiendo crear documentos contractuales (gestión de documentos), almacenar documentos relacionados con un contrato (gestión de carpetas), disponer de informes y alertas sobre los distintos acontecimientos que se producen durante el ciclo de un contrato (flujo de trabajo y gestión de carpetas), así como realizar búsquedas en relación con los contratos (búsqueda). </w:t>
      </w:r>
    </w:p>
    <w:p w:rsidR="00BE17BF" w:rsidRPr="00102A5B" w:rsidRDefault="00BE17BF" w:rsidP="00027A9C">
      <w:pPr>
        <w:ind w:left="360"/>
        <w:contextualSpacing/>
        <w:jc w:val="both"/>
        <w:rPr>
          <w:sz w:val="20"/>
        </w:rPr>
      </w:pPr>
    </w:p>
    <w:p w:rsidR="00BE17BF" w:rsidRPr="00102A5B" w:rsidRDefault="00BE17BF" w:rsidP="00027A9C">
      <w:pPr>
        <w:ind w:left="360"/>
        <w:contextualSpacing/>
        <w:jc w:val="both"/>
        <w:rPr>
          <w:sz w:val="20"/>
        </w:rPr>
      </w:pPr>
      <w:r w:rsidRPr="00102A5B">
        <w:rPr>
          <w:b/>
          <w:sz w:val="20"/>
        </w:rPr>
        <w:t>Correo entrante en la Oficina del Director General</w:t>
      </w:r>
      <w:r w:rsidRPr="00102A5B">
        <w:rPr>
          <w:sz w:val="20"/>
        </w:rPr>
        <w:t xml:space="preserve"> – escaneo y flujo de documentos del correo entrante en la Oficina del Director General, con enlaces a las correspondientes respuestas, y seguimiento de la evolución para asegurarse de que la respuesta se redacta y envía dentro de los plazos adecuados.</w:t>
      </w:r>
    </w:p>
    <w:p w:rsidR="00BE17BF" w:rsidRPr="00102A5B" w:rsidRDefault="00BE17BF" w:rsidP="00027A9C">
      <w:pPr>
        <w:ind w:left="360"/>
        <w:contextualSpacing/>
        <w:jc w:val="both"/>
        <w:rPr>
          <w:sz w:val="20"/>
        </w:rPr>
      </w:pPr>
    </w:p>
    <w:p w:rsidR="00BE17BF" w:rsidRPr="00102A5B" w:rsidRDefault="00BE17BF" w:rsidP="00027A9C">
      <w:pPr>
        <w:ind w:left="360"/>
        <w:contextualSpacing/>
        <w:jc w:val="both"/>
        <w:rPr>
          <w:sz w:val="20"/>
        </w:rPr>
      </w:pPr>
      <w:r w:rsidRPr="00102A5B">
        <w:rPr>
          <w:b/>
          <w:sz w:val="20"/>
        </w:rPr>
        <w:t xml:space="preserve">Recursos humanos (archivo electrónico del personal) </w:t>
      </w:r>
      <w:r w:rsidRPr="00102A5B">
        <w:rPr>
          <w:sz w:val="20"/>
        </w:rPr>
        <w:t>– creación en el Departamento de Gestión de RR.HH. de ficheros seguros (carpetas) para cada empleado, con los documentos electrónicos y los registros correspondientes al empleado, previéndose la digitalización de los registros existentes en papel (creación de imágenes y escaneo).  El personal del Departamento de Gestión de RR.HH. estará en condiciones de realizar búsquedas en los archivos electrónicos para localizar y recuperar cualquier archivo que se necesite (búsqueda).</w:t>
      </w:r>
    </w:p>
    <w:p w:rsidR="00BE17BF" w:rsidRPr="00102A5B" w:rsidRDefault="00BE17BF" w:rsidP="00027A9C">
      <w:pPr>
        <w:ind w:left="360"/>
        <w:contextualSpacing/>
        <w:jc w:val="both"/>
        <w:rPr>
          <w:sz w:val="20"/>
        </w:rPr>
      </w:pPr>
    </w:p>
    <w:p w:rsidR="00BE17BF" w:rsidRPr="00102A5B" w:rsidRDefault="00BE17BF" w:rsidP="00027A9C">
      <w:pPr>
        <w:ind w:left="360"/>
        <w:contextualSpacing/>
        <w:jc w:val="both"/>
        <w:rPr>
          <w:sz w:val="20"/>
        </w:rPr>
      </w:pPr>
      <w:r w:rsidRPr="00102A5B">
        <w:rPr>
          <w:b/>
          <w:sz w:val="20"/>
        </w:rPr>
        <w:t>Función ECM para toda la Organización</w:t>
      </w:r>
      <w:r w:rsidRPr="00102A5B">
        <w:rPr>
          <w:sz w:val="20"/>
        </w:rPr>
        <w:t xml:space="preserve"> – la integración de la ECM en la interfaz estándar de escritorio de la OMPI, para que los usuarios de la OMPI puedan realizar tareas de gestión de documentos (almacenamiento, categorización, búsqueda y recuperación, y control de las versiones) respecto del contenido creado en distintos niveles:  usuarios, unidades y Organización.  Entre esos tipos de contenido figurará el que se cree en las computadoras de escritorio, como los archivos de tratamiento de texto (por ejemplo, documentos Microsoft Word y PDF), las hojas de cálculo (por ejemplo, Microsoft Excel), las presentaciones (por ejemplo, Microsoft PowerPoint), los diagramas (por ejemplo, Microsoft Visio), los mensajes de correo–e sobre planes de proyecto (por ejemplo Microsoft Project).</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
          <w:bCs/>
          <w:sz w:val="20"/>
        </w:rPr>
      </w:pPr>
      <w:r w:rsidRPr="00102A5B">
        <w:rPr>
          <w:bCs/>
          <w:sz w:val="20"/>
        </w:rPr>
        <w:t>RESEÑA DE LOS AVANCES LOGRADOS EN 2016 (ETAPAS FUNDAMENTALES)</w:t>
      </w:r>
    </w:p>
    <w:p w:rsidR="00BE17BF" w:rsidRPr="00102A5B" w:rsidRDefault="00BE17BF" w:rsidP="00027A9C">
      <w:pPr>
        <w:rPr>
          <w:b/>
          <w:bCs/>
          <w:sz w:val="20"/>
        </w:rPr>
      </w:pPr>
    </w:p>
    <w:p w:rsidR="00BE17BF" w:rsidRPr="00102A5B" w:rsidRDefault="00BE17BF" w:rsidP="00027A9C">
      <w:pPr>
        <w:jc w:val="both"/>
        <w:rPr>
          <w:bCs/>
          <w:sz w:val="20"/>
        </w:rPr>
      </w:pPr>
      <w:r w:rsidRPr="00102A5B">
        <w:rPr>
          <w:bCs/>
          <w:sz w:val="20"/>
        </w:rPr>
        <w:t>En 2016, se realizaron los avances siguientes:</w:t>
      </w:r>
    </w:p>
    <w:p w:rsidR="00BE17BF" w:rsidRPr="00102A5B" w:rsidRDefault="00BE17BF" w:rsidP="00027A9C">
      <w:pPr>
        <w:jc w:val="both"/>
        <w:rPr>
          <w:bCs/>
          <w:sz w:val="20"/>
        </w:rPr>
      </w:pPr>
    </w:p>
    <w:p w:rsidR="00BE17BF" w:rsidRPr="00102A5B" w:rsidRDefault="00BE17BF" w:rsidP="00BE17BF">
      <w:pPr>
        <w:pStyle w:val="ListParagraph"/>
        <w:numPr>
          <w:ilvl w:val="0"/>
          <w:numId w:val="114"/>
        </w:numPr>
        <w:contextualSpacing/>
        <w:jc w:val="both"/>
        <w:rPr>
          <w:bCs/>
          <w:lang w:val="es-ES"/>
        </w:rPr>
      </w:pPr>
      <w:r w:rsidRPr="00102A5B">
        <w:rPr>
          <w:bCs/>
          <w:lang w:val="es-ES"/>
        </w:rPr>
        <w:t>Finalización de las actividades de adquisición relativas a la solicitud de propuestas para seleccionar a un  proveedor de servicios de concepción, configuración, aplicación y de apoyo de proyectos.  La solicitud de propuestas se publicó en el primer trimestre de 2016 y el contrato se adjudicó al proveedor seleccionado en julio de 2016;</w:t>
      </w:r>
    </w:p>
    <w:p w:rsidR="00BE17BF" w:rsidRPr="00102A5B" w:rsidRDefault="00BE17BF" w:rsidP="00027A9C">
      <w:pPr>
        <w:pStyle w:val="ListParagraph"/>
        <w:jc w:val="both"/>
        <w:rPr>
          <w:bCs/>
          <w:lang w:val="es-ES"/>
        </w:rPr>
      </w:pPr>
    </w:p>
    <w:p w:rsidR="00BE17BF" w:rsidRPr="00102A5B" w:rsidRDefault="00BE17BF" w:rsidP="00BE17BF">
      <w:pPr>
        <w:pStyle w:val="ListParagraph"/>
        <w:numPr>
          <w:ilvl w:val="0"/>
          <w:numId w:val="114"/>
        </w:numPr>
        <w:contextualSpacing/>
        <w:jc w:val="both"/>
        <w:rPr>
          <w:bCs/>
          <w:lang w:val="es-ES"/>
        </w:rPr>
      </w:pPr>
      <w:r w:rsidRPr="00102A5B">
        <w:rPr>
          <w:bCs/>
          <w:lang w:val="es-ES"/>
        </w:rPr>
        <w:t>Selección y designación del gestor del proyecto de ECM en marzo de 2016;</w:t>
      </w:r>
    </w:p>
    <w:p w:rsidR="00BE17BF" w:rsidRPr="00102A5B" w:rsidRDefault="00BE17BF" w:rsidP="00027A9C">
      <w:pPr>
        <w:pStyle w:val="ListParagraph"/>
        <w:jc w:val="both"/>
        <w:rPr>
          <w:bCs/>
          <w:lang w:val="es-ES"/>
        </w:rPr>
      </w:pPr>
    </w:p>
    <w:p w:rsidR="00BE17BF" w:rsidRPr="00102A5B" w:rsidRDefault="00BE17BF" w:rsidP="00BE17BF">
      <w:pPr>
        <w:pStyle w:val="ListParagraph"/>
        <w:numPr>
          <w:ilvl w:val="0"/>
          <w:numId w:val="114"/>
        </w:numPr>
        <w:contextualSpacing/>
        <w:jc w:val="both"/>
        <w:rPr>
          <w:bCs/>
          <w:lang w:val="es-ES"/>
        </w:rPr>
      </w:pPr>
      <w:r w:rsidRPr="00102A5B">
        <w:rPr>
          <w:bCs/>
          <w:lang w:val="es-ES"/>
        </w:rPr>
        <w:t>Finalización de la planificación detallada relativa a la especificación, la concepción y la aplicación del sistema de ECM con el proveedor seleccionado, de suerte que se vuelva a dar una leve prioridad a los “subproyectos principiantes”;</w:t>
      </w:r>
    </w:p>
    <w:p w:rsidR="00BE17BF" w:rsidRPr="00102A5B" w:rsidRDefault="00BE17BF" w:rsidP="00027A9C">
      <w:pPr>
        <w:jc w:val="both"/>
        <w:rPr>
          <w:bCs/>
          <w:sz w:val="20"/>
        </w:rPr>
      </w:pPr>
    </w:p>
    <w:p w:rsidR="00BE17BF" w:rsidRPr="00102A5B" w:rsidRDefault="00BE17BF" w:rsidP="00BE17BF">
      <w:pPr>
        <w:pStyle w:val="ListParagraph"/>
        <w:numPr>
          <w:ilvl w:val="0"/>
          <w:numId w:val="114"/>
        </w:numPr>
        <w:contextualSpacing/>
        <w:jc w:val="both"/>
        <w:rPr>
          <w:bCs/>
          <w:lang w:val="es-ES"/>
        </w:rPr>
      </w:pPr>
      <w:r w:rsidRPr="00102A5B">
        <w:rPr>
          <w:bCs/>
          <w:lang w:val="es-ES"/>
        </w:rPr>
        <w:t>Finalización de las fases correspondientes a las especificaciones y el diseño de los entornos de aceptación y de producción en octubre de 2016 e inicio de la infraestructura de TIC del sistema de ECM en noviembre de 2016.</w:t>
      </w:r>
    </w:p>
    <w:p w:rsidR="00BE17BF" w:rsidRPr="00102A5B" w:rsidRDefault="00BE17BF" w:rsidP="00027A9C">
      <w:pPr>
        <w:jc w:val="both"/>
        <w:rPr>
          <w:bCs/>
          <w:sz w:val="20"/>
        </w:rPr>
      </w:pPr>
    </w:p>
    <w:p w:rsidR="00BE17BF" w:rsidRPr="00102A5B" w:rsidRDefault="00BE17BF" w:rsidP="00027A9C">
      <w:pPr>
        <w:jc w:val="both"/>
        <w:rPr>
          <w:bCs/>
          <w:sz w:val="20"/>
        </w:rPr>
      </w:pPr>
      <w:r w:rsidRPr="00102A5B">
        <w:rPr>
          <w:bCs/>
          <w:sz w:val="20"/>
        </w:rPr>
        <w:t xml:space="preserve">La selección y la elección del proveedor llevaron más tiempo del previsto, lo que produjo retrasos en el calendario del proyecto.  El calendario de obtención de beneficios y el plazo de ejecución del proyecto se actualizaron en consecuencia.  </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Cs/>
          <w:sz w:val="20"/>
        </w:rPr>
      </w:pPr>
      <w:r w:rsidRPr="00102A5B">
        <w:rPr>
          <w:bCs/>
          <w:sz w:val="20"/>
        </w:rPr>
        <w:t>OBTENCIÓN DE BENEFICIOS</w:t>
      </w:r>
    </w:p>
    <w:p w:rsidR="00BE17BF" w:rsidRPr="00102A5B" w:rsidRDefault="00BE17BF" w:rsidP="00027A9C">
      <w:pPr>
        <w:tabs>
          <w:tab w:val="left" w:pos="567"/>
        </w:tabs>
        <w:jc w:val="both"/>
        <w:rPr>
          <w:sz w:val="20"/>
        </w:rPr>
      </w:pPr>
    </w:p>
    <w:tbl>
      <w:tblPr>
        <w:tblW w:w="45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4179"/>
        <w:gridCol w:w="4179"/>
      </w:tblGrid>
      <w:tr w:rsidR="00BE17BF" w:rsidRPr="00102A5B" w:rsidTr="00027A9C">
        <w:trPr>
          <w:trHeight w:val="868"/>
          <w:tblHeader/>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pPr>
              <w:jc w:val="center"/>
              <w:rPr>
                <w:b/>
                <w:bCs/>
                <w:sz w:val="16"/>
                <w:szCs w:val="16"/>
              </w:rPr>
            </w:pPr>
            <w:r w:rsidRPr="00102A5B">
              <w:rPr>
                <w:b/>
                <w:bCs/>
                <w:sz w:val="16"/>
                <w:szCs w:val="16"/>
              </w:rPr>
              <w:t>Beneficios previstos para 2017</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jc w:val="center"/>
              <w:rPr>
                <w:b/>
                <w:bCs/>
                <w:sz w:val="16"/>
                <w:szCs w:val="16"/>
              </w:rPr>
            </w:pPr>
            <w:r w:rsidRPr="00102A5B">
              <w:rPr>
                <w:b/>
                <w:bCs/>
                <w:sz w:val="16"/>
                <w:szCs w:val="16"/>
              </w:rPr>
              <w:t>Beneficios previstos para 2018</w:t>
            </w:r>
          </w:p>
        </w:tc>
      </w:tr>
      <w:tr w:rsidR="00BE17BF" w:rsidRPr="00102A5B" w:rsidTr="00027A9C">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BE17BF" w:rsidRPr="00102A5B" w:rsidRDefault="00BE17BF" w:rsidP="00027A9C">
            <w:pPr>
              <w:rPr>
                <w:b/>
                <w:bCs/>
                <w:i/>
                <w:iCs/>
                <w:sz w:val="16"/>
                <w:szCs w:val="16"/>
              </w:rPr>
            </w:pPr>
            <w:r w:rsidRPr="00102A5B">
              <w:rPr>
                <w:b/>
                <w:bCs/>
                <w:i/>
                <w:iCs/>
                <w:sz w:val="16"/>
                <w:szCs w:val="16"/>
              </w:rPr>
              <w:t>Tras las mejoras introducidas en los expedientes y archivos institucionales:</w:t>
            </w:r>
          </w:p>
          <w:p w:rsidR="00BE17BF" w:rsidRPr="00102A5B" w:rsidRDefault="00BE17BF" w:rsidP="00027A9C">
            <w:pPr>
              <w:rPr>
                <w:sz w:val="16"/>
                <w:szCs w:val="24"/>
              </w:rPr>
            </w:pPr>
            <w:r w:rsidRPr="00102A5B">
              <w:rPr>
                <w:sz w:val="16"/>
                <w:szCs w:val="24"/>
              </w:rPr>
              <w:t>Uno de los beneficios de los “subproyectos principiantes” será el aumento de la eficacia en el escaneo de documentos, también en el escaneo de la correspondencia entrante, con la consiguiente reducción del tiempo que debe invertir el personal en esa tarea.</w:t>
            </w:r>
          </w:p>
          <w:p w:rsidR="00BE17BF" w:rsidRPr="00102A5B" w:rsidRDefault="00BE17BF">
            <w:pPr>
              <w:rPr>
                <w:sz w:val="16"/>
                <w:szCs w:val="24"/>
              </w:rPr>
            </w:pPr>
          </w:p>
          <w:p w:rsidR="00BE17BF" w:rsidRPr="00102A5B" w:rsidRDefault="00BE17BF" w:rsidP="00027A9C">
            <w:pPr>
              <w:rPr>
                <w:sz w:val="16"/>
                <w:szCs w:val="24"/>
              </w:rPr>
            </w:pPr>
            <w:r w:rsidRPr="00102A5B">
              <w:rPr>
                <w:sz w:val="16"/>
                <w:szCs w:val="24"/>
              </w:rPr>
              <w:t>Se obtendrán beneficios a largo plazo en 2018, con la puesta en funcionamiento en toda la Organización de la configuración del sistema de ECM.</w:t>
            </w:r>
          </w:p>
          <w:p w:rsidR="00BE17BF" w:rsidRPr="00102A5B" w:rsidRDefault="00BE17BF">
            <w:pPr>
              <w:rPr>
                <w:b/>
                <w:bCs/>
                <w:i/>
                <w:iCs/>
                <w:sz w:val="16"/>
                <w:szCs w:val="16"/>
              </w:rPr>
            </w:pP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BE17BF" w:rsidRPr="00102A5B" w:rsidRDefault="00BE17BF" w:rsidP="00027A9C">
            <w:pPr>
              <w:rPr>
                <w:b/>
                <w:bCs/>
                <w:i/>
                <w:iCs/>
                <w:sz w:val="16"/>
                <w:szCs w:val="16"/>
              </w:rPr>
            </w:pPr>
            <w:r w:rsidRPr="00102A5B">
              <w:rPr>
                <w:b/>
                <w:bCs/>
                <w:i/>
                <w:iCs/>
                <w:sz w:val="16"/>
                <w:szCs w:val="16"/>
              </w:rPr>
              <w:t>Tras la puesta en funcionamiento de la configuración del sistema de ECM para los registros electrónicos de RR.HH. del personal</w:t>
            </w:r>
          </w:p>
          <w:p w:rsidR="00BE17BF" w:rsidRPr="00102A5B" w:rsidRDefault="00BE17BF" w:rsidP="00027A9C">
            <w:pPr>
              <w:ind w:left="35"/>
              <w:contextualSpacing/>
              <w:rPr>
                <w:sz w:val="16"/>
              </w:rPr>
            </w:pPr>
            <w:r w:rsidRPr="00102A5B">
              <w:rPr>
                <w:sz w:val="16"/>
              </w:rPr>
              <w:t>El Departamento de Gestión de los Recursos Humanos dispondrá de un depósito único para almacenar los documentos relativos al personal, tanto para los documentos antiguos, que serán escaneados, como para la captura de documentos recientemente creados;  en consecuencia:</w:t>
            </w:r>
          </w:p>
          <w:p w:rsidR="00BE17BF" w:rsidRPr="00102A5B" w:rsidRDefault="00BE17BF" w:rsidP="00BE17BF">
            <w:pPr>
              <w:numPr>
                <w:ilvl w:val="0"/>
                <w:numId w:val="115"/>
              </w:numPr>
              <w:ind w:left="318" w:hanging="283"/>
              <w:contextualSpacing/>
              <w:rPr>
                <w:sz w:val="16"/>
              </w:rPr>
            </w:pPr>
            <w:r w:rsidRPr="00102A5B">
              <w:rPr>
                <w:sz w:val="16"/>
              </w:rPr>
              <w:t>habrá continuidad en la captura, gestión y preservación de archivos clave de RR.HH. y documentos conexos.  El depósito único de información permitirá reducir el tiempo y los esfuerzos necesarios para que el personal de RR.HH. reconozca y recupere los documentos pertinentes necesarios para procesos esenciales en la Organización;</w:t>
            </w:r>
          </w:p>
          <w:p w:rsidR="00BE17BF" w:rsidRPr="00102A5B" w:rsidRDefault="00BE17BF" w:rsidP="00BE17BF">
            <w:pPr>
              <w:numPr>
                <w:ilvl w:val="0"/>
                <w:numId w:val="115"/>
              </w:numPr>
              <w:ind w:left="318" w:hanging="283"/>
              <w:contextualSpacing/>
              <w:rPr>
                <w:b/>
                <w:bCs/>
                <w:i/>
                <w:iCs/>
                <w:sz w:val="16"/>
                <w:szCs w:val="16"/>
              </w:rPr>
            </w:pPr>
            <w:r w:rsidRPr="00102A5B">
              <w:rPr>
                <w:sz w:val="16"/>
              </w:rPr>
              <w:t>será posible reconocer claramente la versión más reciente de cada documento de RR.HH. relacionado con el personal de la OMPI, lo que reducirá el tiempo y el esfuerzo necesarios para reconocer la versión más reciente de cada documento, al igual que la necesidad de introducir modificaciones.</w:t>
            </w:r>
          </w:p>
        </w:tc>
      </w:tr>
      <w:tr w:rsidR="00BE17BF" w:rsidRPr="00102A5B" w:rsidTr="00027A9C">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BE17BF" w:rsidRPr="00102A5B" w:rsidRDefault="00BE17BF" w:rsidP="00027A9C">
            <w:pPr>
              <w:rPr>
                <w:b/>
                <w:bCs/>
                <w:i/>
                <w:iCs/>
                <w:sz w:val="16"/>
                <w:szCs w:val="16"/>
              </w:rPr>
            </w:pPr>
            <w:r w:rsidRPr="00102A5B">
              <w:rPr>
                <w:b/>
                <w:bCs/>
                <w:i/>
                <w:iCs/>
                <w:sz w:val="16"/>
                <w:szCs w:val="16"/>
              </w:rPr>
              <w:lastRenderedPageBreak/>
              <w:t>Tras la puesta en funcionamiento de la configuración del sistema de ECM para el flujo de trabajo de traducción:</w:t>
            </w:r>
          </w:p>
          <w:p w:rsidR="00BE17BF" w:rsidRPr="00102A5B" w:rsidRDefault="00BE17BF" w:rsidP="00027A9C">
            <w:pPr>
              <w:rPr>
                <w:sz w:val="16"/>
                <w:szCs w:val="24"/>
              </w:rPr>
            </w:pPr>
            <w:r w:rsidRPr="00102A5B">
              <w:rPr>
                <w:sz w:val="16"/>
                <w:szCs w:val="24"/>
              </w:rPr>
              <w:t>La creación del sistema de flujo de trabajo y seguimiento de la situación de los documentos por traducir, para la División Lingüística, tendrá como consecuencia:</w:t>
            </w:r>
          </w:p>
          <w:p w:rsidR="00BE17BF" w:rsidRPr="00102A5B" w:rsidRDefault="00BE17BF" w:rsidP="00BE17BF">
            <w:pPr>
              <w:numPr>
                <w:ilvl w:val="0"/>
                <w:numId w:val="115"/>
              </w:numPr>
              <w:ind w:left="306" w:hanging="283"/>
              <w:contextualSpacing/>
              <w:rPr>
                <w:sz w:val="16"/>
              </w:rPr>
            </w:pPr>
            <w:r w:rsidRPr="00102A5B">
              <w:rPr>
                <w:sz w:val="16"/>
              </w:rPr>
              <w:t>una disminución de los esfuerzos necesarios para que el personal informe sobre la situación de las peticiones de traducción, puesto que el sistema producirá informes automatizados;</w:t>
            </w:r>
          </w:p>
          <w:p w:rsidR="00BE17BF" w:rsidRPr="00102A5B" w:rsidRDefault="00BE17BF" w:rsidP="00BE17BF">
            <w:pPr>
              <w:pStyle w:val="ListParagraph"/>
              <w:numPr>
                <w:ilvl w:val="0"/>
                <w:numId w:val="115"/>
              </w:numPr>
              <w:ind w:left="306" w:hanging="306"/>
              <w:contextualSpacing/>
              <w:rPr>
                <w:bCs/>
                <w:iCs/>
                <w:sz w:val="16"/>
                <w:szCs w:val="16"/>
                <w:lang w:val="es-ES"/>
              </w:rPr>
            </w:pPr>
            <w:r w:rsidRPr="00102A5B">
              <w:rPr>
                <w:bCs/>
                <w:iCs/>
                <w:sz w:val="16"/>
                <w:szCs w:val="16"/>
                <w:lang w:val="es-ES"/>
              </w:rPr>
              <w:t>la capacidad de velar por que se alcancen los niveles de traducción previstos, gracias a la supervisión activa y la presentación de informes sobre la situación de cada petición de traducción.</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BE17BF" w:rsidRPr="00102A5B" w:rsidRDefault="00BE17BF" w:rsidP="00027A9C">
            <w:pPr>
              <w:rPr>
                <w:b/>
                <w:bCs/>
                <w:i/>
                <w:iCs/>
                <w:sz w:val="16"/>
                <w:szCs w:val="16"/>
              </w:rPr>
            </w:pPr>
            <w:r w:rsidRPr="00102A5B">
              <w:rPr>
                <w:b/>
                <w:bCs/>
                <w:i/>
                <w:iCs/>
                <w:sz w:val="16"/>
                <w:szCs w:val="16"/>
              </w:rPr>
              <w:t>Tras la puesta en funcionamiento de la configuración del sistema de ECM para toda la Organización:</w:t>
            </w:r>
          </w:p>
          <w:p w:rsidR="00BE17BF" w:rsidRPr="00102A5B" w:rsidRDefault="00BE17BF" w:rsidP="00027A9C">
            <w:pPr>
              <w:rPr>
                <w:sz w:val="16"/>
                <w:szCs w:val="16"/>
              </w:rPr>
            </w:pPr>
            <w:r w:rsidRPr="00102A5B">
              <w:rPr>
                <w:sz w:val="16"/>
                <w:szCs w:val="16"/>
              </w:rPr>
              <w:t>La implantación de la gestión de contenidos institucionales en la OMPI en su conjunto, al respaldar los cambios culturales relativos al intercambio de conocimientos y la gestión de la información en la Organización, además del subproyecto “principiante”, tendrá como consecuencia:</w:t>
            </w:r>
          </w:p>
          <w:p w:rsidR="00BE17BF" w:rsidRPr="00102A5B" w:rsidRDefault="00BE17BF" w:rsidP="00BE17BF">
            <w:pPr>
              <w:numPr>
                <w:ilvl w:val="0"/>
                <w:numId w:val="115"/>
              </w:numPr>
              <w:ind w:left="335" w:hanging="283"/>
              <w:contextualSpacing/>
              <w:rPr>
                <w:sz w:val="16"/>
                <w:szCs w:val="16"/>
              </w:rPr>
            </w:pPr>
            <w:r w:rsidRPr="00102A5B">
              <w:rPr>
                <w:sz w:val="16"/>
                <w:szCs w:val="16"/>
              </w:rPr>
              <w:t>la capacidad de realizar búsquedas en la totalidad de la base de conocimientos de la OMPI, reduciendo el volumen de creación y el registro por duplicado de conocimientos, gracias al intercambio de información;</w:t>
            </w:r>
          </w:p>
          <w:p w:rsidR="00BE17BF" w:rsidRPr="00102A5B" w:rsidRDefault="00BE17BF" w:rsidP="00BE17BF">
            <w:pPr>
              <w:numPr>
                <w:ilvl w:val="0"/>
                <w:numId w:val="115"/>
              </w:numPr>
              <w:ind w:left="335" w:hanging="283"/>
              <w:contextualSpacing/>
              <w:rPr>
                <w:sz w:val="16"/>
                <w:szCs w:val="16"/>
              </w:rPr>
            </w:pPr>
            <w:r w:rsidRPr="00102A5B">
              <w:rPr>
                <w:sz w:val="16"/>
                <w:szCs w:val="16"/>
              </w:rPr>
              <w:t>la capacidad de extender la aplicación efectiva de la Política de gestión de los expedientes y archivos (orden de servicio 15/2013) a un número mayor de unidades operativas;</w:t>
            </w:r>
          </w:p>
          <w:p w:rsidR="00BE17BF" w:rsidRPr="00102A5B" w:rsidRDefault="00BE17BF" w:rsidP="00BE17BF">
            <w:pPr>
              <w:numPr>
                <w:ilvl w:val="0"/>
                <w:numId w:val="115"/>
              </w:numPr>
              <w:ind w:left="335" w:hanging="283"/>
              <w:contextualSpacing/>
              <w:rPr>
                <w:sz w:val="16"/>
                <w:szCs w:val="16"/>
              </w:rPr>
            </w:pPr>
            <w:r w:rsidRPr="00102A5B">
              <w:rPr>
                <w:sz w:val="16"/>
                <w:szCs w:val="16"/>
              </w:rPr>
              <w:t>la capacidad de reducir los costos actuales de archivo físico de documentos, a medida que esos documentos pasan al formato electrónico;</w:t>
            </w:r>
          </w:p>
          <w:p w:rsidR="00BE17BF" w:rsidRPr="00102A5B" w:rsidRDefault="00BE17BF" w:rsidP="00BE17BF">
            <w:pPr>
              <w:pStyle w:val="ListParagraph"/>
              <w:numPr>
                <w:ilvl w:val="0"/>
                <w:numId w:val="115"/>
              </w:numPr>
              <w:ind w:left="329" w:hanging="284"/>
              <w:contextualSpacing/>
              <w:rPr>
                <w:bCs/>
                <w:iCs/>
                <w:sz w:val="16"/>
                <w:szCs w:val="16"/>
                <w:lang w:val="es-ES"/>
              </w:rPr>
            </w:pPr>
            <w:r w:rsidRPr="00102A5B">
              <w:rPr>
                <w:bCs/>
                <w:iCs/>
                <w:sz w:val="16"/>
                <w:szCs w:val="16"/>
                <w:lang w:val="es-ES"/>
              </w:rPr>
              <w:t>la capacidad de reducir los costos de almacenamiento electrónico de documentos, pues la capacidad de realizar búsquedas en la totalidad del acervo de conocimientos de la Organización debería reducir el nivel de modificaciones introducidas y de registro por duplicado de conocimientos.</w:t>
            </w:r>
          </w:p>
        </w:tc>
      </w:tr>
      <w:tr w:rsidR="00BE17BF" w:rsidRPr="00102A5B" w:rsidTr="00027A9C">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BE17BF" w:rsidRPr="00102A5B" w:rsidRDefault="00BE17BF" w:rsidP="00027A9C">
            <w:pPr>
              <w:rPr>
                <w:b/>
                <w:bCs/>
                <w:i/>
                <w:iCs/>
                <w:sz w:val="16"/>
                <w:szCs w:val="16"/>
              </w:rPr>
            </w:pPr>
            <w:r w:rsidRPr="00102A5B">
              <w:rPr>
                <w:b/>
                <w:bCs/>
                <w:i/>
                <w:iCs/>
                <w:sz w:val="16"/>
                <w:szCs w:val="16"/>
              </w:rPr>
              <w:t>Tras la puesta en funcionamiento de la configuración del sistema de ECM para la gestión de proveedores y contratos:</w:t>
            </w:r>
          </w:p>
          <w:p w:rsidR="00BE17BF" w:rsidRPr="00102A5B" w:rsidRDefault="00BE17BF" w:rsidP="00027A9C">
            <w:pPr>
              <w:rPr>
                <w:sz w:val="16"/>
                <w:szCs w:val="24"/>
              </w:rPr>
            </w:pPr>
            <w:r w:rsidRPr="00102A5B">
              <w:rPr>
                <w:sz w:val="16"/>
                <w:szCs w:val="24"/>
              </w:rPr>
              <w:t>La Sección de Adquisiciones dispondrá de una única fuente para la búsqueda de información relativa a las licitaciones en curso y finalizadas;  en consecuencia:</w:t>
            </w:r>
          </w:p>
          <w:p w:rsidR="00BE17BF" w:rsidRPr="00102A5B" w:rsidRDefault="00BE17BF" w:rsidP="00BE17BF">
            <w:pPr>
              <w:numPr>
                <w:ilvl w:val="0"/>
                <w:numId w:val="115"/>
              </w:numPr>
              <w:ind w:left="306" w:hanging="283"/>
              <w:contextualSpacing/>
              <w:rPr>
                <w:sz w:val="16"/>
              </w:rPr>
            </w:pPr>
            <w:r w:rsidRPr="00102A5B">
              <w:rPr>
                <w:sz w:val="16"/>
              </w:rPr>
              <w:t>disminuirá el tiempo necesario para encontrar y recuperar información de actualidad;</w:t>
            </w:r>
          </w:p>
          <w:p w:rsidR="00BE17BF" w:rsidRPr="00102A5B" w:rsidRDefault="00BE17BF" w:rsidP="00BE17BF">
            <w:pPr>
              <w:numPr>
                <w:ilvl w:val="0"/>
                <w:numId w:val="115"/>
              </w:numPr>
              <w:ind w:left="306" w:hanging="283"/>
              <w:contextualSpacing/>
              <w:rPr>
                <w:sz w:val="16"/>
                <w:szCs w:val="24"/>
              </w:rPr>
            </w:pPr>
            <w:r w:rsidRPr="00102A5B">
              <w:rPr>
                <w:sz w:val="16"/>
              </w:rPr>
              <w:t xml:space="preserve">disminuirán tanto el número de errores como la necesidad de modificación, debido a que la última versión de cada documento podrá reconocerse claramente. </w:t>
            </w:r>
          </w:p>
          <w:p w:rsidR="00BE17BF" w:rsidRPr="00102A5B" w:rsidRDefault="00BE17BF" w:rsidP="00027A9C">
            <w:pPr>
              <w:rPr>
                <w:sz w:val="16"/>
                <w:szCs w:val="24"/>
              </w:rPr>
            </w:pPr>
            <w:r w:rsidRPr="00102A5B">
              <w:rPr>
                <w:sz w:val="16"/>
                <w:szCs w:val="24"/>
              </w:rPr>
              <w:t xml:space="preserve">La Sección de Adquisiciones dispondrá de un tablero único en el que se indicará el avance de las licitaciones activas y la información acerca de los plazos para volver a licitar los contratos existentes;  en consecuencia: </w:t>
            </w:r>
          </w:p>
          <w:p w:rsidR="00BE17BF" w:rsidRPr="00102A5B" w:rsidRDefault="00BE17BF" w:rsidP="00BE17BF">
            <w:pPr>
              <w:pStyle w:val="ListParagraph"/>
              <w:numPr>
                <w:ilvl w:val="0"/>
                <w:numId w:val="115"/>
              </w:numPr>
              <w:ind w:left="306" w:hanging="283"/>
              <w:contextualSpacing/>
              <w:rPr>
                <w:bCs/>
                <w:iCs/>
                <w:sz w:val="16"/>
                <w:szCs w:val="16"/>
                <w:lang w:val="es-ES"/>
              </w:rPr>
            </w:pPr>
            <w:r w:rsidRPr="00102A5B">
              <w:rPr>
                <w:bCs/>
                <w:iCs/>
                <w:sz w:val="16"/>
                <w:szCs w:val="16"/>
                <w:lang w:val="es-ES"/>
              </w:rPr>
              <w:t>el personal podrá realizar un número mayor de tareas productivas gracias a una mejor planificación de las actividades de adquisición.</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BE17BF" w:rsidRPr="00102A5B" w:rsidRDefault="00BE17BF">
            <w:pPr>
              <w:rPr>
                <w:b/>
                <w:bCs/>
                <w:i/>
                <w:iCs/>
                <w:sz w:val="16"/>
                <w:szCs w:val="16"/>
              </w:rPr>
            </w:pPr>
          </w:p>
        </w:tc>
      </w:tr>
      <w:tr w:rsidR="00BE17BF" w:rsidRPr="00102A5B" w:rsidTr="00027A9C">
        <w:trPr>
          <w:trHeight w:val="396"/>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BE17BF" w:rsidRPr="00102A5B" w:rsidRDefault="00BE17BF" w:rsidP="00027A9C">
            <w:pPr>
              <w:rPr>
                <w:b/>
                <w:bCs/>
                <w:i/>
                <w:iCs/>
                <w:sz w:val="16"/>
                <w:szCs w:val="16"/>
              </w:rPr>
            </w:pPr>
            <w:r w:rsidRPr="00102A5B">
              <w:rPr>
                <w:b/>
                <w:bCs/>
                <w:i/>
                <w:iCs/>
                <w:sz w:val="16"/>
                <w:szCs w:val="16"/>
              </w:rPr>
              <w:t>Tras la puesta en funcionamiento de la configuración del sistema de ECM para los informes de misión</w:t>
            </w:r>
          </w:p>
          <w:p w:rsidR="00BE17BF" w:rsidRPr="00102A5B" w:rsidRDefault="00BE17BF" w:rsidP="00027A9C">
            <w:pPr>
              <w:rPr>
                <w:sz w:val="16"/>
                <w:szCs w:val="24"/>
              </w:rPr>
            </w:pPr>
            <w:r w:rsidRPr="00102A5B">
              <w:rPr>
                <w:sz w:val="16"/>
                <w:szCs w:val="24"/>
              </w:rPr>
              <w:t>El contenido de los informes de misión, así como la información relativa a las misiones previstas, será susceptible de búsqueda en toda la Organización;  en consecuencia;</w:t>
            </w:r>
          </w:p>
          <w:p w:rsidR="00BE17BF" w:rsidRPr="00102A5B" w:rsidRDefault="00BE17BF" w:rsidP="00BE17BF">
            <w:pPr>
              <w:numPr>
                <w:ilvl w:val="0"/>
                <w:numId w:val="115"/>
              </w:numPr>
              <w:ind w:left="318" w:hanging="318"/>
              <w:contextualSpacing/>
              <w:rPr>
                <w:sz w:val="16"/>
              </w:rPr>
            </w:pPr>
            <w:r w:rsidRPr="00102A5B">
              <w:rPr>
                <w:sz w:val="16"/>
              </w:rPr>
              <w:t>podría reducirse el número de misiones, en el caso de que se superpongan los viajes o los puntos a tratar que figuran en las agendas de misión, lo que permitiría reducir los costos;</w:t>
            </w:r>
          </w:p>
          <w:p w:rsidR="00BE17BF" w:rsidRPr="00102A5B" w:rsidRDefault="00BE17BF" w:rsidP="00BE17BF">
            <w:pPr>
              <w:numPr>
                <w:ilvl w:val="0"/>
                <w:numId w:val="115"/>
              </w:numPr>
              <w:ind w:left="318" w:hanging="318"/>
              <w:contextualSpacing/>
              <w:rPr>
                <w:bCs/>
                <w:iCs/>
                <w:sz w:val="16"/>
                <w:szCs w:val="16"/>
              </w:rPr>
            </w:pPr>
            <w:r w:rsidRPr="00102A5B">
              <w:rPr>
                <w:bCs/>
                <w:iCs/>
                <w:sz w:val="16"/>
                <w:szCs w:val="16"/>
              </w:rPr>
              <w:t xml:space="preserve">las misiones resultarán más productivas porque el personal de la OMPI tendrá acceso a mayor cantidad de información relativa a misiones anteriores a un país u organización determinados, y estará preparado para responder a las preguntas pendientes que puedan haber sido formuladas en una misión anterior.  </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BE17BF" w:rsidRPr="00102A5B" w:rsidRDefault="00BE17BF">
            <w:pPr>
              <w:rPr>
                <w:b/>
                <w:bCs/>
                <w:i/>
                <w:iCs/>
                <w:sz w:val="16"/>
                <w:szCs w:val="16"/>
              </w:rPr>
            </w:pPr>
          </w:p>
        </w:tc>
      </w:tr>
      <w:tr w:rsidR="00BE17BF" w:rsidRPr="00102A5B" w:rsidTr="00027A9C">
        <w:trPr>
          <w:trHeight w:val="564"/>
          <w:jc w:val="center"/>
        </w:trPr>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hideMark/>
          </w:tcPr>
          <w:p w:rsidR="00BE17BF" w:rsidRPr="00102A5B" w:rsidRDefault="00BE17BF" w:rsidP="00027A9C">
            <w:pPr>
              <w:rPr>
                <w:b/>
                <w:bCs/>
                <w:i/>
                <w:iCs/>
                <w:sz w:val="16"/>
                <w:szCs w:val="16"/>
              </w:rPr>
            </w:pPr>
            <w:r w:rsidRPr="00102A5B">
              <w:rPr>
                <w:b/>
                <w:bCs/>
                <w:i/>
                <w:iCs/>
                <w:sz w:val="16"/>
                <w:szCs w:val="16"/>
              </w:rPr>
              <w:t>Tras la puesta en funcionamiento de la configuración del sistema de ECM para el correo entrante (eCourier)</w:t>
            </w:r>
          </w:p>
          <w:p w:rsidR="00BE17BF" w:rsidRPr="00102A5B" w:rsidRDefault="00BE17BF" w:rsidP="00027A9C">
            <w:pPr>
              <w:rPr>
                <w:sz w:val="16"/>
                <w:szCs w:val="24"/>
              </w:rPr>
            </w:pPr>
            <w:r w:rsidRPr="00102A5B">
              <w:rPr>
                <w:sz w:val="16"/>
                <w:szCs w:val="24"/>
              </w:rPr>
              <w:t xml:space="preserve">La Oficina del Director General y el Equipo Directivo </w:t>
            </w:r>
            <w:r w:rsidRPr="00102A5B">
              <w:rPr>
                <w:sz w:val="16"/>
                <w:szCs w:val="24"/>
              </w:rPr>
              <w:lastRenderedPageBreak/>
              <w:t>Superior dispondrán de un único sistema para la distribución y el seguimiento de la creación de respuestas a los mensajes externos de correo;  en consecuencia:</w:t>
            </w:r>
          </w:p>
          <w:p w:rsidR="00BE17BF" w:rsidRPr="00102A5B" w:rsidRDefault="00BE17BF" w:rsidP="00BE17BF">
            <w:pPr>
              <w:numPr>
                <w:ilvl w:val="0"/>
                <w:numId w:val="115"/>
              </w:numPr>
              <w:ind w:left="318" w:hanging="318"/>
              <w:contextualSpacing/>
              <w:rPr>
                <w:sz w:val="16"/>
              </w:rPr>
            </w:pPr>
            <w:r w:rsidRPr="00102A5B">
              <w:rPr>
                <w:sz w:val="16"/>
              </w:rPr>
              <w:t>se reducirá el tiempo necesario para redactar las respuestas a los mensajes externos de correo, pues no será necesario distribuir materialmente los mensajes y las respuestas entre los edificios de la OMPI, lo que contribuirá al logro de los objetivos relativos a los tiempos de respuesta;</w:t>
            </w:r>
          </w:p>
          <w:p w:rsidR="00BE17BF" w:rsidRPr="00102A5B" w:rsidRDefault="00BE17BF" w:rsidP="00027A9C">
            <w:pPr>
              <w:rPr>
                <w:bCs/>
                <w:iCs/>
                <w:sz w:val="16"/>
                <w:szCs w:val="16"/>
              </w:rPr>
            </w:pPr>
            <w:r w:rsidRPr="00102A5B">
              <w:rPr>
                <w:bCs/>
                <w:iCs/>
                <w:sz w:val="16"/>
                <w:szCs w:val="16"/>
              </w:rPr>
              <w:t>Será posible utilizar un tablero único de gestión para conocer la situación y el progreso de cada respuesta a un mensaje externo, lo que reducirá el esfuerzo necesario para que el personal realice el seguimiento de las respuestas con miras al cumplimiento de los objetivos, permitiendo al personal administrativo centrarse en otras actividades.</w:t>
            </w:r>
          </w:p>
        </w:tc>
        <w:tc>
          <w:tcPr>
            <w:tcW w:w="250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85" w:type="dxa"/>
              <w:left w:w="108" w:type="dxa"/>
              <w:bottom w:w="0" w:type="dxa"/>
              <w:right w:w="108" w:type="dxa"/>
            </w:tcMar>
          </w:tcPr>
          <w:p w:rsidR="00BE17BF" w:rsidRPr="00102A5B" w:rsidRDefault="00BE17BF">
            <w:pPr>
              <w:rPr>
                <w:b/>
                <w:bCs/>
                <w:i/>
                <w:iCs/>
                <w:sz w:val="16"/>
                <w:szCs w:val="16"/>
              </w:rPr>
            </w:pPr>
          </w:p>
        </w:tc>
      </w:tr>
    </w:tbl>
    <w:p w:rsidR="00BE17BF" w:rsidRPr="00102A5B" w:rsidRDefault="00BE17BF" w:rsidP="00027A9C">
      <w:pPr>
        <w:rPr>
          <w:szCs w:val="22"/>
        </w:rPr>
      </w:pPr>
    </w:p>
    <w:p w:rsidR="00BE17BF" w:rsidRPr="00102A5B" w:rsidRDefault="00BE17BF" w:rsidP="00027A9C">
      <w:pPr>
        <w:rPr>
          <w:sz w:val="20"/>
        </w:rPr>
      </w:pPr>
    </w:p>
    <w:p w:rsidR="00BE17BF" w:rsidRPr="00102A5B" w:rsidRDefault="00BE17BF" w:rsidP="00027A9C">
      <w:pPr>
        <w:keepNext/>
        <w:keepLines/>
        <w:rPr>
          <w:sz w:val="20"/>
        </w:rPr>
      </w:pPr>
      <w:r w:rsidRPr="00102A5B">
        <w:rPr>
          <w:sz w:val="20"/>
        </w:rPr>
        <w:t>UTILIZACIÓN DE LOS RECURSOS</w:t>
      </w:r>
      <w:r w:rsidRPr="00102A5B">
        <w:rPr>
          <w:rStyle w:val="FootnoteReference"/>
          <w:sz w:val="20"/>
        </w:rPr>
        <w:footnoteReference w:id="117"/>
      </w:r>
    </w:p>
    <w:p w:rsidR="00BE17BF" w:rsidRPr="00102A5B" w:rsidRDefault="00BE17BF" w:rsidP="00027A9C">
      <w:pPr>
        <w:keepNext/>
        <w:keepLines/>
        <w:rPr>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 xml:space="preserve">Utilización del presupuesto del proyecto </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5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38"/>
        <w:gridCol w:w="1542"/>
        <w:gridCol w:w="1544"/>
        <w:gridCol w:w="1544"/>
        <w:gridCol w:w="1540"/>
      </w:tblGrid>
      <w:tr w:rsidR="00BE17BF" w:rsidRPr="00102A5B" w:rsidTr="00027A9C">
        <w:trPr>
          <w:trHeight w:val="431"/>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Nombre del proyecto</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40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Proyecto de aplicación de la ECM</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2.068.000</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524.491</w:t>
            </w:r>
          </w:p>
        </w:tc>
        <w:tc>
          <w:tcPr>
            <w:tcW w:w="85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25,4%</w:t>
            </w:r>
          </w:p>
        </w:tc>
        <w:tc>
          <w:tcPr>
            <w:tcW w:w="8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25%</w:t>
            </w:r>
          </w:p>
        </w:tc>
      </w:tr>
    </w:tbl>
    <w:p w:rsidR="00BE17BF" w:rsidRPr="00102A5B" w:rsidRDefault="00BE17BF" w:rsidP="00027A9C">
      <w:pPr>
        <w:rPr>
          <w:szCs w:val="22"/>
        </w:rPr>
      </w:pPr>
    </w:p>
    <w:p w:rsidR="00BE17BF" w:rsidRPr="00102A5B" w:rsidRDefault="00BE17BF" w:rsidP="00027A9C">
      <w:pPr>
        <w:jc w:val="center"/>
        <w:rPr>
          <w:b/>
          <w:sz w:val="20"/>
          <w:szCs w:val="22"/>
        </w:rPr>
      </w:pPr>
      <w:r w:rsidRPr="00102A5B">
        <w:rPr>
          <w:b/>
          <w:sz w:val="20"/>
          <w:szCs w:val="22"/>
        </w:rPr>
        <w:t>Utilización del presupuesto del proyecto (por etapa)</w:t>
      </w:r>
    </w:p>
    <w:p w:rsidR="00BE17BF" w:rsidRPr="00102A5B" w:rsidRDefault="00BE17BF" w:rsidP="00027A9C">
      <w:pPr>
        <w:keepNext/>
        <w:keepLine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14"/>
        <w:gridCol w:w="1572"/>
        <w:gridCol w:w="1572"/>
        <w:gridCol w:w="1572"/>
        <w:gridCol w:w="1516"/>
      </w:tblGrid>
      <w:tr w:rsidR="00BE17BF" w:rsidRPr="00102A5B" w:rsidTr="00027A9C">
        <w:trPr>
          <w:trHeight w:val="410"/>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Etapas fundamentales</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Estudio y desarrollo del enfoque, incluida la selección de la tecnología para el sistema de ECM</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36.000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36.000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100%</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100%</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Creación de una nueva plataforma y actualización de la versión relativa a los expedientes y archivos institucionales existentes</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42.000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42.000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100%</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100%</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Adjudicación del contrato respecto del jefe del proyecto en el lado cliente y especialista en ECM</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400.000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100.336</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25,1%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25%</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Gastos de alojamiento y mantenimiento del sistema de ECM</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978.000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294.766</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30,1%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30%</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Instalación y configuración de base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205.000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51.388</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25,1%</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25%</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Proyecto 1:  Gestión de peticiones de traducción</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58.000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Proyecto 2:  Correspondencia entrante de la Oficina del Director General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80.000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Proyecto 3:  Gestión de proveedores y contratos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46.000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Proyecto 4:  Informes de misión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37.000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lastRenderedPageBreak/>
              <w:t>Proyecto 5:  Expedientes de cada empleado, en el Depto. de RR.HH.</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140.000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Proyecto 6:  Función ECM para toda la Organización </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46.000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after="40"/>
              <w:jc w:val="center"/>
              <w:rPr>
                <w:sz w:val="16"/>
                <w:szCs w:val="16"/>
              </w:rPr>
            </w:pPr>
            <w:r w:rsidRPr="00102A5B">
              <w:rPr>
                <w:sz w:val="16"/>
                <w:szCs w:val="16"/>
              </w:rPr>
              <w:t>-</w:t>
            </w:r>
          </w:p>
        </w:tc>
      </w:tr>
      <w:tr w:rsidR="00BE17BF" w:rsidRPr="00102A5B" w:rsidTr="00027A9C">
        <w:trPr>
          <w:trHeight w:val="389"/>
        </w:trPr>
        <w:tc>
          <w:tcPr>
            <w:tcW w:w="155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after="40"/>
              <w:rPr>
                <w:b/>
                <w:sz w:val="16"/>
                <w:szCs w:val="16"/>
              </w:rPr>
            </w:pPr>
            <w:r w:rsidRPr="00102A5B">
              <w:rPr>
                <w:b/>
                <w:sz w:val="16"/>
                <w:szCs w:val="16"/>
              </w:rPr>
              <w:t>Total</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after="40"/>
              <w:jc w:val="center"/>
              <w:rPr>
                <w:b/>
                <w:sz w:val="16"/>
                <w:szCs w:val="16"/>
              </w:rPr>
            </w:pPr>
            <w:r w:rsidRPr="00102A5B">
              <w:rPr>
                <w:b/>
                <w:sz w:val="16"/>
                <w:szCs w:val="16"/>
              </w:rPr>
              <w:t>2.068.000</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after="40"/>
              <w:jc w:val="center"/>
              <w:rPr>
                <w:b/>
                <w:sz w:val="16"/>
                <w:szCs w:val="16"/>
              </w:rPr>
            </w:pPr>
            <w:r w:rsidRPr="00102A5B">
              <w:rPr>
                <w:b/>
                <w:sz w:val="16"/>
                <w:szCs w:val="16"/>
              </w:rPr>
              <w:t>524.491</w:t>
            </w:r>
          </w:p>
        </w:tc>
        <w:tc>
          <w:tcPr>
            <w:tcW w:w="86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after="40"/>
              <w:jc w:val="center"/>
              <w:rPr>
                <w:b/>
                <w:sz w:val="16"/>
                <w:szCs w:val="16"/>
              </w:rPr>
            </w:pPr>
            <w:r w:rsidRPr="00102A5B">
              <w:rPr>
                <w:b/>
                <w:sz w:val="16"/>
                <w:szCs w:val="16"/>
              </w:rPr>
              <w:t>25,4%</w:t>
            </w:r>
          </w:p>
        </w:tc>
        <w:tc>
          <w:tcPr>
            <w:tcW w:w="83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BE17BF" w:rsidRPr="00102A5B" w:rsidRDefault="00BE17BF" w:rsidP="00027A9C">
            <w:pPr>
              <w:keepNext/>
              <w:keepLines/>
              <w:autoSpaceDE w:val="0"/>
              <w:autoSpaceDN w:val="0"/>
              <w:adjustRightInd w:val="0"/>
              <w:spacing w:after="40"/>
              <w:jc w:val="center"/>
              <w:rPr>
                <w:b/>
                <w:sz w:val="16"/>
                <w:szCs w:val="16"/>
              </w:rPr>
            </w:pPr>
          </w:p>
        </w:tc>
      </w:tr>
    </w:tbl>
    <w:p w:rsidR="00BE17BF" w:rsidRPr="00102A5B" w:rsidRDefault="00BE17BF" w:rsidP="00027A9C">
      <w:pPr>
        <w:rPr>
          <w:szCs w:val="22"/>
        </w:rPr>
      </w:pPr>
    </w:p>
    <w:p w:rsidR="00BE17BF" w:rsidRPr="00102A5B" w:rsidRDefault="00BE17BF" w:rsidP="00027A9C">
      <w:pPr>
        <w:tabs>
          <w:tab w:val="left" w:pos="3261"/>
        </w:tabs>
        <w:autoSpaceDE w:val="0"/>
        <w:autoSpaceDN w:val="0"/>
        <w:adjustRightInd w:val="0"/>
        <w:rPr>
          <w:b/>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categoría de costo)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W w:w="4665" w:type="pct"/>
        <w:tblInd w:w="39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156"/>
        <w:gridCol w:w="1785"/>
        <w:gridCol w:w="1785"/>
        <w:gridCol w:w="1939"/>
      </w:tblGrid>
      <w:tr w:rsidR="00BE17BF" w:rsidRPr="00102A5B" w:rsidTr="00027A9C">
        <w:trPr>
          <w:trHeight w:val="569"/>
        </w:trPr>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line="260" w:lineRule="exact"/>
              <w:ind w:left="-74" w:right="-60"/>
              <w:jc w:val="center"/>
              <w:rPr>
                <w:b/>
                <w:bCs/>
                <w:sz w:val="16"/>
                <w:szCs w:val="16"/>
              </w:rPr>
            </w:pPr>
            <w:r w:rsidRPr="00102A5B">
              <w:rPr>
                <w:b/>
                <w:bCs/>
                <w:sz w:val="16"/>
                <w:szCs w:val="16"/>
              </w:rPr>
              <w:t>Categoría de costo</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line="260" w:lineRule="exact"/>
              <w:ind w:left="-107" w:right="-108"/>
              <w:jc w:val="center"/>
              <w:rPr>
                <w:b/>
                <w:bCs/>
                <w:sz w:val="16"/>
                <w:szCs w:val="16"/>
              </w:rPr>
            </w:pPr>
            <w:r w:rsidRPr="00102A5B">
              <w:rPr>
                <w:b/>
                <w:bCs/>
                <w:sz w:val="16"/>
                <w:szCs w:val="16"/>
              </w:rPr>
              <w:t>Presupuesto del proyecto</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line="260" w:lineRule="exact"/>
              <w:ind w:left="-108"/>
              <w:jc w:val="center"/>
              <w:rPr>
                <w:b/>
                <w:bCs/>
                <w:sz w:val="16"/>
                <w:szCs w:val="16"/>
              </w:rPr>
            </w:pPr>
            <w:r w:rsidRPr="00102A5B">
              <w:rPr>
                <w:b/>
                <w:bCs/>
                <w:sz w:val="16"/>
                <w:szCs w:val="16"/>
              </w:rPr>
              <w:t xml:space="preserve">Gasto real hasta la fecha </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line="260" w:lineRule="exact"/>
              <w:ind w:left="-109"/>
              <w:jc w:val="center"/>
              <w:rPr>
                <w:b/>
                <w:bCs/>
                <w:sz w:val="16"/>
                <w:szCs w:val="16"/>
              </w:rPr>
            </w:pPr>
            <w:r w:rsidRPr="00102A5B">
              <w:rPr>
                <w:b/>
                <w:bCs/>
                <w:sz w:val="16"/>
                <w:szCs w:val="16"/>
              </w:rPr>
              <w:t>Utilización real del presupuesto</w:t>
            </w:r>
          </w:p>
        </w:tc>
      </w:tr>
      <w:tr w:rsidR="00BE17BF" w:rsidRPr="00102A5B" w:rsidTr="00027A9C">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Servicios contractuales individuales</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autoSpaceDE w:val="0"/>
              <w:autoSpaceDN w:val="0"/>
              <w:adjustRightInd w:val="0"/>
              <w:spacing w:before="40" w:after="40" w:line="260" w:lineRule="exact"/>
              <w:jc w:val="center"/>
              <w:rPr>
                <w:sz w:val="16"/>
                <w:szCs w:val="16"/>
              </w:rPr>
            </w:pPr>
            <w:r w:rsidRPr="00102A5B">
              <w:rPr>
                <w:sz w:val="16"/>
                <w:szCs w:val="16"/>
              </w:rPr>
              <w:t>400.000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autoSpaceDE w:val="0"/>
              <w:autoSpaceDN w:val="0"/>
              <w:adjustRightInd w:val="0"/>
              <w:spacing w:before="40" w:after="40" w:line="260" w:lineRule="exact"/>
              <w:jc w:val="center"/>
              <w:rPr>
                <w:sz w:val="16"/>
                <w:szCs w:val="16"/>
              </w:rPr>
            </w:pPr>
            <w:r w:rsidRPr="00102A5B">
              <w:rPr>
                <w:sz w:val="16"/>
                <w:szCs w:val="16"/>
              </w:rPr>
              <w:t>100.336</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autoSpaceDE w:val="0"/>
              <w:autoSpaceDN w:val="0"/>
              <w:adjustRightInd w:val="0"/>
              <w:spacing w:before="40" w:after="40" w:line="260" w:lineRule="exact"/>
              <w:jc w:val="center"/>
              <w:rPr>
                <w:sz w:val="16"/>
                <w:szCs w:val="16"/>
              </w:rPr>
            </w:pPr>
            <w:r w:rsidRPr="00102A5B">
              <w:rPr>
                <w:sz w:val="16"/>
                <w:szCs w:val="16"/>
              </w:rPr>
              <w:t>25,1%</w:t>
            </w:r>
          </w:p>
        </w:tc>
      </w:tr>
      <w:tr w:rsidR="00BE17BF" w:rsidRPr="00102A5B" w:rsidTr="00027A9C">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Servicios contractuales</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autoSpaceDE w:val="0"/>
              <w:autoSpaceDN w:val="0"/>
              <w:adjustRightInd w:val="0"/>
              <w:spacing w:before="40" w:after="40" w:line="260" w:lineRule="exact"/>
              <w:jc w:val="center"/>
              <w:rPr>
                <w:sz w:val="16"/>
                <w:szCs w:val="16"/>
              </w:rPr>
            </w:pPr>
            <w:r w:rsidRPr="00102A5B">
              <w:rPr>
                <w:sz w:val="16"/>
                <w:szCs w:val="16"/>
              </w:rPr>
              <w:t>690.000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123.649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17,9%</w:t>
            </w:r>
          </w:p>
        </w:tc>
      </w:tr>
      <w:tr w:rsidR="00BE17BF" w:rsidRPr="00102A5B" w:rsidTr="00027A9C">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Apoyo del programa informático OpenText (gastos de mantenimiento) </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autoSpaceDE w:val="0"/>
              <w:autoSpaceDN w:val="0"/>
              <w:adjustRightInd w:val="0"/>
              <w:spacing w:before="40" w:after="40" w:line="260" w:lineRule="exact"/>
              <w:jc w:val="center"/>
              <w:rPr>
                <w:sz w:val="16"/>
                <w:szCs w:val="16"/>
              </w:rPr>
            </w:pPr>
            <w:r w:rsidRPr="00102A5B">
              <w:rPr>
                <w:sz w:val="16"/>
                <w:szCs w:val="16"/>
              </w:rPr>
              <w:t>514.000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280.077</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54,5%</w:t>
            </w:r>
          </w:p>
        </w:tc>
      </w:tr>
      <w:tr w:rsidR="00BE17BF" w:rsidRPr="00102A5B" w:rsidTr="00027A9C">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Alojamiento (CICE)</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autoSpaceDE w:val="0"/>
              <w:autoSpaceDN w:val="0"/>
              <w:adjustRightInd w:val="0"/>
              <w:spacing w:before="40" w:after="40" w:line="260" w:lineRule="exact"/>
              <w:jc w:val="center"/>
              <w:rPr>
                <w:sz w:val="16"/>
                <w:szCs w:val="16"/>
              </w:rPr>
            </w:pPr>
            <w:r w:rsidRPr="00102A5B">
              <w:rPr>
                <w:sz w:val="16"/>
                <w:szCs w:val="16"/>
              </w:rPr>
              <w:t>144.000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14.689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10,2%</w:t>
            </w:r>
          </w:p>
        </w:tc>
      </w:tr>
      <w:tr w:rsidR="00BE17BF" w:rsidRPr="00102A5B" w:rsidTr="00027A9C">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Diversos e imprevistos</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autoSpaceDE w:val="0"/>
              <w:autoSpaceDN w:val="0"/>
              <w:adjustRightInd w:val="0"/>
              <w:spacing w:before="40" w:after="40" w:line="260" w:lineRule="exact"/>
              <w:jc w:val="center"/>
              <w:rPr>
                <w:sz w:val="16"/>
                <w:szCs w:val="16"/>
              </w:rPr>
            </w:pPr>
            <w:r w:rsidRPr="00102A5B">
              <w:rPr>
                <w:sz w:val="16"/>
                <w:szCs w:val="16"/>
              </w:rPr>
              <w:t>320.000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5.739</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1,8%</w:t>
            </w:r>
          </w:p>
        </w:tc>
      </w:tr>
      <w:tr w:rsidR="00BE17BF" w:rsidRPr="00102A5B" w:rsidTr="00027A9C">
        <w:tc>
          <w:tcPr>
            <w:tcW w:w="182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rPr>
                <w:b/>
                <w:sz w:val="16"/>
                <w:szCs w:val="16"/>
              </w:rPr>
            </w:pPr>
            <w:r w:rsidRPr="00102A5B">
              <w:rPr>
                <w:b/>
                <w:sz w:val="16"/>
                <w:szCs w:val="16"/>
              </w:rPr>
              <w:t>Total</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pPr>
              <w:autoSpaceDE w:val="0"/>
              <w:autoSpaceDN w:val="0"/>
              <w:adjustRightInd w:val="0"/>
              <w:spacing w:before="40" w:after="40" w:line="260" w:lineRule="exact"/>
              <w:jc w:val="center"/>
              <w:rPr>
                <w:b/>
                <w:sz w:val="16"/>
                <w:szCs w:val="16"/>
              </w:rPr>
            </w:pPr>
            <w:r w:rsidRPr="00102A5B">
              <w:rPr>
                <w:b/>
                <w:sz w:val="16"/>
                <w:szCs w:val="16"/>
              </w:rPr>
              <w:t>2.068.000</w:t>
            </w:r>
          </w:p>
        </w:tc>
        <w:tc>
          <w:tcPr>
            <w:tcW w:w="103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pPr>
              <w:autoSpaceDE w:val="0"/>
              <w:autoSpaceDN w:val="0"/>
              <w:adjustRightInd w:val="0"/>
              <w:spacing w:before="40" w:after="40" w:line="260" w:lineRule="exact"/>
              <w:jc w:val="center"/>
              <w:rPr>
                <w:b/>
                <w:sz w:val="16"/>
                <w:szCs w:val="16"/>
              </w:rPr>
            </w:pPr>
            <w:r w:rsidRPr="00102A5B">
              <w:rPr>
                <w:b/>
                <w:sz w:val="16"/>
                <w:szCs w:val="16"/>
              </w:rPr>
              <w:t>524.491</w:t>
            </w:r>
          </w:p>
        </w:tc>
        <w:tc>
          <w:tcPr>
            <w:tcW w:w="1119"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BE17BF" w:rsidRPr="00102A5B" w:rsidRDefault="00BE17BF">
            <w:pPr>
              <w:autoSpaceDE w:val="0"/>
              <w:autoSpaceDN w:val="0"/>
              <w:adjustRightInd w:val="0"/>
              <w:spacing w:before="40" w:after="40" w:line="260" w:lineRule="exact"/>
              <w:jc w:val="center"/>
              <w:rPr>
                <w:b/>
                <w:sz w:val="16"/>
                <w:szCs w:val="16"/>
              </w:rPr>
            </w:pPr>
            <w:r w:rsidRPr="00102A5B">
              <w:rPr>
                <w:b/>
                <w:sz w:val="16"/>
                <w:szCs w:val="16"/>
              </w:rPr>
              <w:t>25,4%</w:t>
            </w:r>
          </w:p>
        </w:tc>
      </w:tr>
    </w:tbl>
    <w:p w:rsidR="00BE17BF" w:rsidRDefault="00BE17BF" w:rsidP="00027A9C">
      <w:pPr>
        <w:rPr>
          <w:sz w:val="20"/>
        </w:rPr>
      </w:pPr>
    </w:p>
    <w:p w:rsidR="000E7E3A" w:rsidRPr="000E7E3A" w:rsidRDefault="000E7E3A" w:rsidP="00027A9C">
      <w:pPr>
        <w:rPr>
          <w:sz w:val="20"/>
        </w:rPr>
      </w:pPr>
    </w:p>
    <w:p w:rsidR="00BE17BF" w:rsidRPr="000E7E3A" w:rsidRDefault="00BE17BF" w:rsidP="00027A9C">
      <w:pPr>
        <w:rPr>
          <w:sz w:val="20"/>
        </w:rPr>
      </w:pPr>
      <w:r w:rsidRPr="000E7E3A">
        <w:rPr>
          <w:sz w:val="20"/>
        </w:rPr>
        <w:t>RIESGOS Y ESTRATEGIAS DE MITIGACIÓN</w:t>
      </w:r>
    </w:p>
    <w:p w:rsidR="00BE17BF" w:rsidRPr="000E7E3A" w:rsidRDefault="00BE17BF">
      <w:pPr>
        <w:rPr>
          <w:sz w:val="20"/>
        </w:rPr>
      </w:pPr>
    </w:p>
    <w:tbl>
      <w:tblPr>
        <w:tblW w:w="4855" w:type="pct"/>
        <w:jc w:val="center"/>
        <w:tblInd w:w="-239"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6" w:space="0" w:color="A6A6A6" w:themeColor="background1" w:themeShade="A6"/>
          <w:insideV w:val="single" w:sz="6" w:space="0" w:color="A6A6A6" w:themeColor="background1" w:themeShade="A6"/>
        </w:tblBorders>
        <w:tblLook w:val="01E0" w:firstRow="1" w:lastRow="1" w:firstColumn="1" w:lastColumn="1" w:noHBand="0" w:noVBand="0"/>
      </w:tblPr>
      <w:tblGrid>
        <w:gridCol w:w="3211"/>
        <w:gridCol w:w="2981"/>
        <w:gridCol w:w="2826"/>
      </w:tblGrid>
      <w:tr w:rsidR="00BE17BF" w:rsidRPr="00102A5B" w:rsidTr="00027A9C">
        <w:trPr>
          <w:trHeight w:val="507"/>
          <w:tblHeader/>
          <w:jc w:val="center"/>
        </w:trPr>
        <w:tc>
          <w:tcPr>
            <w:tcW w:w="1780"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74" w:right="-60"/>
              <w:jc w:val="center"/>
              <w:rPr>
                <w:b/>
                <w:bCs/>
                <w:sz w:val="16"/>
                <w:szCs w:val="16"/>
              </w:rPr>
            </w:pPr>
            <w:r w:rsidRPr="00102A5B">
              <w:rPr>
                <w:b/>
                <w:bCs/>
                <w:sz w:val="16"/>
                <w:szCs w:val="16"/>
              </w:rPr>
              <w:t>Riesgo/Descripción del riesgo</w:t>
            </w:r>
          </w:p>
        </w:tc>
        <w:tc>
          <w:tcPr>
            <w:tcW w:w="1653"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Mitigación del riesgo</w:t>
            </w:r>
          </w:p>
        </w:tc>
        <w:tc>
          <w:tcPr>
            <w:tcW w:w="1567" w:type="pct"/>
            <w:shd w:val="clear" w:color="auto" w:fill="C6D9F1" w:themeFill="text2" w:themeFillTint="33"/>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Comentario</w:t>
            </w:r>
          </w:p>
        </w:tc>
      </w:tr>
      <w:tr w:rsidR="00BE17BF" w:rsidRPr="00102A5B" w:rsidTr="00027A9C">
        <w:trPr>
          <w:trHeight w:val="1571"/>
          <w:jc w:val="center"/>
        </w:trPr>
        <w:tc>
          <w:tcPr>
            <w:tcW w:w="1780"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Si no se atienden suficientemente las necesidades y estrategias de la Organización en su conjunto, la aplicación de los diferentes subproyectos en el marco del ECM podría tener como consecuencia la duplicación de trabajos y la ineficiencia en materia de costos</w:t>
            </w:r>
            <w:r w:rsidRPr="00102A5B">
              <w:rPr>
                <w:b/>
                <w:bCs/>
                <w:noProof/>
                <w:sz w:val="16"/>
                <w:szCs w:val="16"/>
                <w:lang w:val="en-US" w:eastAsia="en-US"/>
              </w:rPr>
              <mc:AlternateContent>
                <mc:Choice Requires="wps">
                  <w:drawing>
                    <wp:anchor distT="0" distB="0" distL="114300" distR="114300" simplePos="0" relativeHeight="251661312" behindDoc="0" locked="0" layoutInCell="1" allowOverlap="1" wp14:anchorId="125DFB33" wp14:editId="3A7A9697">
                      <wp:simplePos x="0" y="0"/>
                      <wp:positionH relativeFrom="column">
                        <wp:posOffset>-479066</wp:posOffset>
                      </wp:positionH>
                      <wp:positionV relativeFrom="paragraph">
                        <wp:posOffset>22225</wp:posOffset>
                      </wp:positionV>
                      <wp:extent cx="401320" cy="317500"/>
                      <wp:effectExtent l="0" t="0" r="0" b="6350"/>
                      <wp:wrapNone/>
                      <wp:docPr id="1138" name="Text Box 1138"/>
                      <wp:cNvGraphicFramePr/>
                      <a:graphic xmlns:a="http://schemas.openxmlformats.org/drawingml/2006/main">
                        <a:graphicData uri="http://schemas.microsoft.com/office/word/2010/wordprocessingShape">
                          <wps:wsp>
                            <wps:cNvSpPr txBox="1"/>
                            <wps:spPr>
                              <a:xfrm>
                                <a:off x="0" y="0"/>
                                <a:ext cx="40132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EAB" w:rsidRDefault="00653EAB">
                                  <w:r w:rsidRPr="009A321A">
                                    <w:rPr>
                                      <w:noProof/>
                                      <w:lang w:val="en-US" w:eastAsia="en-US"/>
                                    </w:rPr>
                                    <w:drawing>
                                      <wp:inline distT="0" distB="0" distL="0" distR="0" wp14:anchorId="28026C0E" wp14:editId="7FF8161F">
                                        <wp:extent cx="210709" cy="202520"/>
                                        <wp:effectExtent l="0" t="0" r="0" b="762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38" o:spid="_x0000_s1026" type="#_x0000_t202" style="position:absolute;margin-left:-37.7pt;margin-top:1.75pt;width:31.6pt;height: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" fillcolor="white [3201]" stroked="f" strokeweight=".5pt">
                      <v:textbox>
                        <w:txbxContent>
                          <w:p w:rsidR="00653EAB" w:rsidRDefault="00653EAB">
                            <w:r w:rsidRPr="009A321A">
                              <w:rPr>
                                <w:noProof/>
                                <w:lang w:val="en-US" w:eastAsia="en-US"/>
                              </w:rPr>
                              <w:drawing>
                                <wp:inline distT="0" distB="0" distL="0" distR="0" wp14:anchorId="28026C0E" wp14:editId="7FF8161F">
                                  <wp:extent cx="210709" cy="202520"/>
                                  <wp:effectExtent l="0" t="0" r="0" b="7620"/>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v:textbox>
                    </v:shape>
                  </w:pict>
                </mc:Fallback>
              </mc:AlternateContent>
            </w:r>
            <w:r w:rsidRPr="00102A5B">
              <w:rPr>
                <w:sz w:val="16"/>
                <w:szCs w:val="16"/>
              </w:rPr>
              <w:t>.</w:t>
            </w:r>
          </w:p>
        </w:tc>
        <w:tc>
          <w:tcPr>
            <w:tcW w:w="1653" w:type="pct"/>
            <w:shd w:val="clear" w:color="auto" w:fill="auto"/>
          </w:tcPr>
          <w:p w:rsidR="00BE17BF" w:rsidRPr="00102A5B" w:rsidRDefault="00BE17BF" w:rsidP="00027A9C">
            <w:pPr>
              <w:autoSpaceDE w:val="0"/>
              <w:autoSpaceDN w:val="0"/>
              <w:adjustRightInd w:val="0"/>
              <w:spacing w:before="40" w:after="40"/>
              <w:rPr>
                <w:sz w:val="16"/>
                <w:szCs w:val="16"/>
              </w:rPr>
            </w:pPr>
            <w:r w:rsidRPr="004C206E">
              <w:rPr>
                <w:sz w:val="16"/>
                <w:szCs w:val="16"/>
              </w:rPr>
              <w:t>Asegurar que la ejecución de todos los subproyectos en el marco del ECM esté orientada por las estrategias pertinentes de todos los ámbitos de la Organización y se halle en concordancia con ellas.</w:t>
            </w:r>
          </w:p>
        </w:tc>
        <w:tc>
          <w:tcPr>
            <w:tcW w:w="1567" w:type="pct"/>
          </w:tcPr>
          <w:p w:rsidR="00BE17BF" w:rsidRPr="004C206E" w:rsidRDefault="00BE17BF" w:rsidP="00027A9C">
            <w:pPr>
              <w:autoSpaceDE w:val="0"/>
              <w:autoSpaceDN w:val="0"/>
              <w:adjustRightInd w:val="0"/>
              <w:spacing w:before="40" w:after="40"/>
              <w:rPr>
                <w:sz w:val="16"/>
                <w:szCs w:val="16"/>
                <w:highlight w:val="yellow"/>
              </w:rPr>
            </w:pPr>
            <w:r w:rsidRPr="004C206E">
              <w:rPr>
                <w:sz w:val="16"/>
                <w:szCs w:val="16"/>
              </w:rPr>
              <w:t>Como parte de las medidas de mitigación, están en curso de elaboración las estrategias de gestión de registros y archivos y de aseguramiento de la información.  Se seguirán elaborando otras estrategias pertinentes.</w:t>
            </w:r>
          </w:p>
        </w:tc>
      </w:tr>
    </w:tbl>
    <w:p w:rsidR="00BE17BF" w:rsidRDefault="00BE17BF" w:rsidP="00027A9C">
      <w:pPr>
        <w:rPr>
          <w:sz w:val="20"/>
        </w:rPr>
      </w:pPr>
    </w:p>
    <w:p w:rsidR="000E7E3A" w:rsidRPr="000E7E3A" w:rsidRDefault="000E7E3A" w:rsidP="00027A9C">
      <w:pPr>
        <w:rPr>
          <w:sz w:val="20"/>
        </w:rPr>
      </w:pPr>
    </w:p>
    <w:p w:rsidR="00BE17BF" w:rsidRPr="000E7E3A" w:rsidRDefault="00BE17BF" w:rsidP="00027A9C">
      <w:pPr>
        <w:rPr>
          <w:sz w:val="20"/>
        </w:rPr>
      </w:pPr>
      <w:r w:rsidRPr="000E7E3A">
        <w:rPr>
          <w:sz w:val="20"/>
        </w:rPr>
        <w:t>CALENDARIO DEL PROYECTO, POR ETAPA</w:t>
      </w:r>
    </w:p>
    <w:p w:rsidR="00BE17BF" w:rsidRPr="000E7E3A" w:rsidRDefault="00BE17BF" w:rsidP="00027A9C">
      <w:pPr>
        <w:autoSpaceDE w:val="0"/>
        <w:autoSpaceDN w:val="0"/>
        <w:jc w:val="both"/>
        <w:rPr>
          <w:sz w:val="20"/>
        </w:rPr>
      </w:pPr>
    </w:p>
    <w:tbl>
      <w:tblPr>
        <w:tblW w:w="10260" w:type="dxa"/>
        <w:jc w:val="center"/>
        <w:tblInd w:w="93"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1876"/>
        <w:gridCol w:w="465"/>
        <w:gridCol w:w="466"/>
        <w:gridCol w:w="465"/>
        <w:gridCol w:w="466"/>
        <w:gridCol w:w="7"/>
        <w:gridCol w:w="459"/>
        <w:gridCol w:w="465"/>
        <w:gridCol w:w="466"/>
        <w:gridCol w:w="465"/>
        <w:gridCol w:w="35"/>
        <w:gridCol w:w="431"/>
        <w:gridCol w:w="466"/>
        <w:gridCol w:w="465"/>
        <w:gridCol w:w="438"/>
        <w:gridCol w:w="28"/>
        <w:gridCol w:w="465"/>
        <w:gridCol w:w="466"/>
        <w:gridCol w:w="466"/>
        <w:gridCol w:w="465"/>
        <w:gridCol w:w="466"/>
        <w:gridCol w:w="469"/>
      </w:tblGrid>
      <w:tr w:rsidR="00BE17BF" w:rsidRPr="00102A5B" w:rsidTr="00027A9C">
        <w:trPr>
          <w:trHeight w:val="269"/>
          <w:tblHeader/>
          <w:jc w:val="center"/>
        </w:trPr>
        <w:tc>
          <w:tcPr>
            <w:tcW w:w="1874" w:type="dxa"/>
            <w:tcBorders>
              <w:top w:val="nil"/>
              <w:left w:val="nil"/>
              <w:bottom w:val="nil"/>
              <w:right w:val="nil"/>
            </w:tcBorders>
            <w:noWrap/>
            <w:vAlign w:val="bottom"/>
            <w:hideMark/>
          </w:tcPr>
          <w:p w:rsidR="00BE17BF" w:rsidRPr="00102A5B" w:rsidRDefault="00BE17BF">
            <w:pPr>
              <w:rPr>
                <w:sz w:val="20"/>
              </w:rPr>
            </w:pPr>
          </w:p>
        </w:tc>
        <w:tc>
          <w:tcPr>
            <w:tcW w:w="1868" w:type="dxa"/>
            <w:gridSpan w:val="5"/>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pPr>
              <w:jc w:val="center"/>
              <w:rPr>
                <w:b/>
                <w:bCs/>
                <w:sz w:val="16"/>
                <w:szCs w:val="16"/>
              </w:rPr>
            </w:pPr>
            <w:r w:rsidRPr="00102A5B">
              <w:rPr>
                <w:b/>
                <w:bCs/>
                <w:sz w:val="16"/>
                <w:szCs w:val="16"/>
              </w:rPr>
              <w:t>2014</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pPr>
              <w:jc w:val="center"/>
              <w:rPr>
                <w:b/>
                <w:bCs/>
                <w:sz w:val="16"/>
                <w:szCs w:val="16"/>
              </w:rPr>
            </w:pPr>
            <w:r w:rsidRPr="00102A5B">
              <w:rPr>
                <w:b/>
                <w:bCs/>
                <w:sz w:val="16"/>
                <w:szCs w:val="16"/>
              </w:rPr>
              <w:t>2015</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pPr>
              <w:jc w:val="center"/>
              <w:rPr>
                <w:b/>
                <w:bCs/>
                <w:sz w:val="16"/>
                <w:szCs w:val="16"/>
              </w:rPr>
            </w:pPr>
            <w:r w:rsidRPr="00102A5B">
              <w:rPr>
                <w:b/>
                <w:bCs/>
                <w:sz w:val="16"/>
                <w:szCs w:val="16"/>
              </w:rPr>
              <w:t>2016</w:t>
            </w:r>
          </w:p>
        </w:tc>
        <w:tc>
          <w:tcPr>
            <w:tcW w:w="1890" w:type="dxa"/>
            <w:gridSpan w:val="5"/>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pPr>
              <w:jc w:val="center"/>
              <w:rPr>
                <w:b/>
                <w:bCs/>
                <w:sz w:val="16"/>
                <w:szCs w:val="16"/>
              </w:rPr>
            </w:pPr>
            <w:r w:rsidRPr="00102A5B">
              <w:rPr>
                <w:b/>
                <w:bCs/>
                <w:sz w:val="16"/>
                <w:szCs w:val="16"/>
              </w:rPr>
              <w:t>2017</w:t>
            </w:r>
          </w:p>
        </w:tc>
        <w:tc>
          <w:tcPr>
            <w:tcW w:w="935"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pPr>
              <w:jc w:val="center"/>
              <w:rPr>
                <w:b/>
                <w:bCs/>
                <w:sz w:val="16"/>
                <w:szCs w:val="16"/>
              </w:rPr>
            </w:pPr>
          </w:p>
          <w:p w:rsidR="00BE17BF" w:rsidRPr="00102A5B" w:rsidRDefault="00BE17BF">
            <w:pPr>
              <w:jc w:val="center"/>
              <w:rPr>
                <w:b/>
                <w:bCs/>
                <w:sz w:val="16"/>
                <w:szCs w:val="16"/>
              </w:rPr>
            </w:pPr>
            <w:r w:rsidRPr="00102A5B">
              <w:rPr>
                <w:b/>
                <w:bCs/>
                <w:sz w:val="16"/>
                <w:szCs w:val="16"/>
              </w:rPr>
              <w:t>2018</w:t>
            </w:r>
          </w:p>
        </w:tc>
      </w:tr>
      <w:tr w:rsidR="00BE17BF" w:rsidRPr="00102A5B" w:rsidTr="00027A9C">
        <w:trPr>
          <w:trHeight w:val="374"/>
          <w:tblHeader/>
          <w:jc w:val="center"/>
        </w:trPr>
        <w:tc>
          <w:tcPr>
            <w:tcW w:w="1874" w:type="dxa"/>
            <w:tcBorders>
              <w:top w:val="nil"/>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Etapas fundamentales</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T1</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T2</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T3</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T4</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T1</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T2</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T3</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T4</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T1</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T2</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T3</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T4</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T1</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T2</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T3</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6"/>
                <w:szCs w:val="16"/>
              </w:rPr>
            </w:pPr>
            <w:r w:rsidRPr="00102A5B">
              <w:rPr>
                <w:b/>
                <w:bCs/>
                <w:sz w:val="16"/>
                <w:szCs w:val="16"/>
              </w:rPr>
              <w:t>T4</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pPr>
              <w:rPr>
                <w:b/>
                <w:bCs/>
                <w:sz w:val="16"/>
                <w:szCs w:val="16"/>
              </w:rPr>
            </w:pPr>
          </w:p>
          <w:p w:rsidR="00BE17BF" w:rsidRPr="00102A5B" w:rsidRDefault="00BE17BF" w:rsidP="00027A9C">
            <w:pPr>
              <w:rPr>
                <w:b/>
                <w:bCs/>
                <w:sz w:val="16"/>
                <w:szCs w:val="16"/>
              </w:rPr>
            </w:pPr>
            <w:r w:rsidRPr="00102A5B">
              <w:rPr>
                <w:b/>
                <w:bCs/>
                <w:sz w:val="16"/>
                <w:szCs w:val="16"/>
              </w:rPr>
              <w:t>T1</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pPr>
              <w:rPr>
                <w:b/>
                <w:bCs/>
                <w:sz w:val="16"/>
                <w:szCs w:val="16"/>
              </w:rPr>
            </w:pPr>
          </w:p>
          <w:p w:rsidR="00BE17BF" w:rsidRPr="00102A5B" w:rsidRDefault="00BE17BF" w:rsidP="00027A9C">
            <w:pPr>
              <w:rPr>
                <w:b/>
                <w:bCs/>
                <w:sz w:val="16"/>
                <w:szCs w:val="16"/>
              </w:rPr>
            </w:pPr>
            <w:r w:rsidRPr="00102A5B">
              <w:rPr>
                <w:b/>
                <w:bCs/>
                <w:sz w:val="16"/>
                <w:szCs w:val="16"/>
              </w:rPr>
              <w:t>T2</w:t>
            </w:r>
          </w:p>
        </w:tc>
      </w:tr>
      <w:tr w:rsidR="00BE17BF" w:rsidRPr="00102A5B" w:rsidTr="00027A9C">
        <w:trPr>
          <w:trHeight w:val="537"/>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Estudio y desarrollo de enfoque</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Selección de tecnología de ECM</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61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Creación de una nueva plataforma y actualización de la versión relativa a los expedientes y archivos institucionales existentes </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40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Finalización de la licitación relativa al socio externo encargado de la ejecución</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448"/>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Aceptación de la configuración de base de la ECM</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61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lastRenderedPageBreak/>
              <w:t>Aceptación de la configuración perfeccionada para expedientes y archivos</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rPr>
                <w:sz w:val="20"/>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613"/>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Puesta en funcionamiento de la configuración de ECM para el flujo de trabajo de traducción</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Puesta en funcionamiento de la configuración de ECM para la gestión de proveedores y contratos</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Puesta en funcionamiento de la configuración de ECM para informes de misión</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439"/>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Puesta en funcionamiento de la configuración de ECM para correo entrante en la Oficina del Director General</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pPr>
              <w:jc w:val="center"/>
              <w:rPr>
                <w:sz w:val="16"/>
                <w:szCs w:val="16"/>
              </w:rPr>
            </w:pPr>
            <w:r w:rsidRPr="00102A5B">
              <w:rPr>
                <w:sz w:val="16"/>
                <w:szCs w:val="16"/>
              </w:rPr>
              <w:t>X</w:t>
            </w: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528"/>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Puesta en funcionamiento de la configuración de ECM para los expedientes electrónicos de cada empleado, en el Depto. de RR.HH.</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X</w:t>
            </w: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r>
      <w:tr w:rsidR="00BE17BF" w:rsidRPr="00102A5B" w:rsidTr="00027A9C">
        <w:trPr>
          <w:trHeight w:val="641"/>
          <w:jc w:val="center"/>
        </w:trPr>
        <w:tc>
          <w:tcPr>
            <w:tcW w:w="187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hideMark/>
          </w:tcPr>
          <w:p w:rsidR="00BE17BF" w:rsidRPr="00102A5B" w:rsidRDefault="00BE17BF" w:rsidP="00027A9C">
            <w:pPr>
              <w:autoSpaceDE w:val="0"/>
              <w:autoSpaceDN w:val="0"/>
              <w:adjustRightInd w:val="0"/>
              <w:spacing w:before="40" w:after="40"/>
              <w:rPr>
                <w:sz w:val="16"/>
                <w:szCs w:val="16"/>
              </w:rPr>
            </w:pPr>
            <w:r w:rsidRPr="00102A5B">
              <w:rPr>
                <w:sz w:val="16"/>
                <w:szCs w:val="16"/>
              </w:rPr>
              <w:t>Puesta en funcionamiento de la configuración del sistema de ECM para toda la Organización</w:t>
            </w:r>
          </w:p>
        </w:tc>
        <w:tc>
          <w:tcPr>
            <w:tcW w:w="46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pPr>
              <w:jc w:val="center"/>
              <w:rPr>
                <w:sz w:val="16"/>
                <w:szCs w:val="16"/>
              </w:rPr>
            </w:pPr>
          </w:p>
        </w:tc>
        <w:tc>
          <w:tcPr>
            <w:tcW w:w="46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jc w:val="center"/>
              <w:rPr>
                <w:sz w:val="16"/>
                <w:szCs w:val="16"/>
              </w:rPr>
            </w:pPr>
          </w:p>
        </w:tc>
        <w:tc>
          <w:tcPr>
            <w:tcW w:w="46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X</w:t>
            </w:r>
          </w:p>
        </w:tc>
      </w:tr>
    </w:tbl>
    <w:p w:rsidR="00BE17BF" w:rsidRPr="00102A5B" w:rsidRDefault="00BE17BF" w:rsidP="00027A9C">
      <w:pPr>
        <w:rPr>
          <w:sz w:val="20"/>
          <w:szCs w:val="24"/>
        </w:rPr>
      </w:pPr>
    </w:p>
    <w:p w:rsidR="00BE17BF" w:rsidRPr="00102A5B" w:rsidRDefault="00BE17BF" w:rsidP="00027A9C">
      <w:pPr>
        <w:rPr>
          <w:b/>
          <w:sz w:val="20"/>
        </w:rPr>
      </w:pPr>
    </w:p>
    <w:p w:rsidR="00BE17BF" w:rsidRPr="00102A5B" w:rsidRDefault="00BE17BF">
      <w:pPr>
        <w:rPr>
          <w:b/>
          <w:sz w:val="20"/>
        </w:rPr>
      </w:pPr>
      <w:r w:rsidRPr="00102A5B">
        <w:rPr>
          <w:b/>
          <w:sz w:val="20"/>
        </w:rPr>
        <w:br w:type="page"/>
      </w:r>
    </w:p>
    <w:p w:rsidR="00BE17BF" w:rsidRPr="00B63CC5" w:rsidRDefault="00BE17BF" w:rsidP="00027A9C">
      <w:pPr>
        <w:rPr>
          <w:b/>
          <w:szCs w:val="22"/>
        </w:rPr>
      </w:pPr>
      <w:r w:rsidRPr="00B63CC5">
        <w:rPr>
          <w:b/>
          <w:szCs w:val="22"/>
        </w:rPr>
        <w:lastRenderedPageBreak/>
        <w:t>PROYECTOS RELACIONADOS CON LOS EDIFICIOS</w:t>
      </w:r>
    </w:p>
    <w:p w:rsidR="00BE17BF" w:rsidRPr="00102A5B" w:rsidRDefault="00BE17BF" w:rsidP="00027A9C">
      <w:pPr>
        <w:keepNext/>
        <w:spacing w:before="240" w:after="60"/>
        <w:ind w:left="1701" w:hanging="1701"/>
        <w:outlineLvl w:val="2"/>
        <w:rPr>
          <w:b/>
          <w:bCs/>
          <w:i/>
          <w:sz w:val="20"/>
        </w:rPr>
      </w:pPr>
      <w:bookmarkStart w:id="88" w:name="_Toc482711287"/>
      <w:r w:rsidRPr="00102A5B">
        <w:rPr>
          <w:b/>
          <w:bCs/>
          <w:i/>
          <w:sz w:val="20"/>
        </w:rPr>
        <w:t>PROYECTO 3</w:t>
      </w:r>
      <w:r w:rsidRPr="00102A5B">
        <w:rPr>
          <w:bCs/>
          <w:sz w:val="20"/>
        </w:rPr>
        <w:tab/>
      </w:r>
      <w:r w:rsidRPr="00102A5B">
        <w:rPr>
          <w:b/>
          <w:bCs/>
          <w:i/>
          <w:sz w:val="20"/>
        </w:rPr>
        <w:t>RENOVACIÓN DE LAS FACHADAS E INSTALACIÓN DE REFRIGERACIÓN/CALEFACCIÓN EN EL EDIFICIO PCT (PMM 3)</w:t>
      </w:r>
      <w:bookmarkEnd w:id="88"/>
    </w:p>
    <w:p w:rsidR="00BE17BF" w:rsidRPr="00102A5B" w:rsidRDefault="00BE17BF" w:rsidP="00027A9C">
      <w:pPr>
        <w:rPr>
          <w:b/>
          <w:sz w:val="20"/>
          <w:szCs w:val="24"/>
        </w:rPr>
      </w:pPr>
    </w:p>
    <w:p w:rsidR="00BE17BF" w:rsidRPr="00102A5B" w:rsidRDefault="00BE17BF" w:rsidP="00027A9C">
      <w:pPr>
        <w:rPr>
          <w:b/>
          <w:sz w:val="20"/>
          <w:szCs w:val="24"/>
        </w:rPr>
      </w:pPr>
      <w:r w:rsidRPr="00102A5B">
        <w:rPr>
          <w:b/>
          <w:sz w:val="20"/>
          <w:szCs w:val="24"/>
        </w:rPr>
        <w:t>Director de proyecto:</w:t>
      </w:r>
      <w:r w:rsidRPr="00102A5B">
        <w:rPr>
          <w:sz w:val="20"/>
          <w:szCs w:val="24"/>
        </w:rPr>
        <w:tab/>
      </w:r>
      <w:r w:rsidRPr="00102A5B">
        <w:rPr>
          <w:b/>
          <w:sz w:val="20"/>
          <w:szCs w:val="24"/>
        </w:rPr>
        <w:t>Sr. A. Favero</w:t>
      </w:r>
    </w:p>
    <w:p w:rsidR="00BE17BF" w:rsidRPr="00102A5B" w:rsidRDefault="00BE17BF" w:rsidP="00027A9C">
      <w:pPr>
        <w:rPr>
          <w:b/>
          <w:sz w:val="20"/>
          <w:szCs w:val="24"/>
        </w:rPr>
      </w:pPr>
    </w:p>
    <w:p w:rsidR="00BE17BF" w:rsidRPr="00102A5B" w:rsidRDefault="00BE17BF" w:rsidP="00027A9C">
      <w:pPr>
        <w:rPr>
          <w:bCs/>
          <w:sz w:val="20"/>
        </w:rPr>
      </w:pPr>
    </w:p>
    <w:p w:rsidR="00BE17BF" w:rsidRPr="00102A5B" w:rsidRDefault="00BE17BF" w:rsidP="00027A9C">
      <w:pPr>
        <w:rPr>
          <w:bCs/>
          <w:sz w:val="20"/>
          <w:szCs w:val="22"/>
        </w:rPr>
      </w:pPr>
      <w:r w:rsidRPr="00102A5B">
        <w:rPr>
          <w:bCs/>
          <w:sz w:val="20"/>
          <w:szCs w:val="22"/>
        </w:rPr>
        <w:t>RESULTADO PREVISTO</w:t>
      </w:r>
    </w:p>
    <w:p w:rsidR="00BE17BF" w:rsidRPr="00102A5B" w:rsidRDefault="00BE17BF" w:rsidP="00027A9C">
      <w:pPr>
        <w:rPr>
          <w:bCs/>
          <w:sz w:val="20"/>
        </w:rPr>
      </w:pPr>
    </w:p>
    <w:p w:rsidR="00BE17BF" w:rsidRPr="00102A5B" w:rsidRDefault="00BE17BF" w:rsidP="00027A9C">
      <w:pPr>
        <w:rPr>
          <w:i/>
          <w:iCs/>
          <w:sz w:val="20"/>
        </w:rPr>
      </w:pPr>
      <w:r w:rsidRPr="00102A5B">
        <w:rPr>
          <w:i/>
          <w:iCs/>
          <w:sz w:val="20"/>
        </w:rPr>
        <w:t>IX.1  Servicios de apoyo eficaces, eficientes, de calidad y orientados al cliente, tanto a los usuarios internos como a las partes interesadas externas</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Cs/>
          <w:sz w:val="20"/>
          <w:szCs w:val="22"/>
        </w:rPr>
      </w:pPr>
      <w:r w:rsidRPr="00102A5B">
        <w:rPr>
          <w:bCs/>
          <w:sz w:val="20"/>
          <w:szCs w:val="22"/>
        </w:rPr>
        <w:t>OBJETIVOS, ALCANCE Y ENFOQUE:  ANTECEDENTES</w:t>
      </w:r>
    </w:p>
    <w:p w:rsidR="00BE17BF" w:rsidRPr="00102A5B" w:rsidRDefault="00BE17BF" w:rsidP="00027A9C">
      <w:pPr>
        <w:rPr>
          <w:bCs/>
          <w:sz w:val="20"/>
        </w:rPr>
      </w:pPr>
    </w:p>
    <w:p w:rsidR="00BE17BF" w:rsidRPr="00102A5B" w:rsidRDefault="00BE17BF" w:rsidP="00BE17BF">
      <w:pPr>
        <w:numPr>
          <w:ilvl w:val="0"/>
          <w:numId w:val="116"/>
        </w:numPr>
        <w:tabs>
          <w:tab w:val="left" w:pos="360"/>
        </w:tabs>
        <w:spacing w:after="220"/>
        <w:ind w:left="360"/>
        <w:jc w:val="both"/>
        <w:rPr>
          <w:sz w:val="20"/>
        </w:rPr>
      </w:pPr>
      <w:r w:rsidRPr="00102A5B">
        <w:rPr>
          <w:sz w:val="20"/>
        </w:rPr>
        <w:t xml:space="preserve">Este proyecto tiene dos objetivos:  i) sustituir totalmente la instalación del sistema de refrigeración y calefacción en el falso techo de los pisos superiores del edificio PCT, y ii) realizar una importante renovación de los elementos estructurales de todas las fachadas de ese edificio (es decir, dejando de lado, por lo general, las ventanas).  En los últimos años, se ha determinado que ya no eran sostenibles las pequeñas reparaciones menores </w:t>
      </w:r>
      <w:r w:rsidRPr="00102A5B">
        <w:rPr>
          <w:i/>
          <w:sz w:val="20"/>
        </w:rPr>
        <w:t>ad hoc</w:t>
      </w:r>
      <w:r w:rsidRPr="00102A5B">
        <w:rPr>
          <w:sz w:val="20"/>
        </w:rPr>
        <w:t xml:space="preserve"> que se han hecho durante unos 10 años, para eventualidades como averías e imposibilidad de controlar la temperatura, demasiado alta o baja, en las oficinas.  Además, varios componentes de la instalación actual de refrigeración y calefacción ya no están disponibles en el comercio, al igual que los repuestos, lo que pondría en riesgo, a corto plazo, la viabilidad de toda la instalación de refrigeración y calefacción del edificio.  El desperdicio de energía causado por los sistemas e instalaciones defectuosos y por los elementos estructurales defectuosos de las fachadas es significativo y no hará más que aumentar año tras año.  En 2011, se realizó una auditoría técnica de la instalación de refrigeración y calefacción;  en el primer semestre de 2013 se realizó una auditoría técnica de las fachadas.</w:t>
      </w:r>
    </w:p>
    <w:p w:rsidR="00BE17BF" w:rsidRPr="00102A5B" w:rsidRDefault="00BE17BF" w:rsidP="00BE17BF">
      <w:pPr>
        <w:numPr>
          <w:ilvl w:val="0"/>
          <w:numId w:val="116"/>
        </w:numPr>
        <w:tabs>
          <w:tab w:val="left" w:pos="360"/>
        </w:tabs>
        <w:spacing w:after="220"/>
        <w:ind w:left="360"/>
        <w:jc w:val="both"/>
        <w:rPr>
          <w:sz w:val="20"/>
        </w:rPr>
      </w:pPr>
      <w:r w:rsidRPr="00102A5B">
        <w:rPr>
          <w:sz w:val="20"/>
        </w:rPr>
        <w:t xml:space="preserve">Los resultados previstos de la renovación son el pleno funcionamiento y la fiabilidad de la instalación de refrigeración y calefacción y de las fachadas, así como una significativa reducción del consumo de energía, poniendo fin al desperdicio actual.  </w:t>
      </w:r>
    </w:p>
    <w:p w:rsidR="00BE17BF" w:rsidRPr="00102A5B" w:rsidRDefault="00BE17BF" w:rsidP="00BE17BF">
      <w:pPr>
        <w:numPr>
          <w:ilvl w:val="0"/>
          <w:numId w:val="116"/>
        </w:numPr>
        <w:tabs>
          <w:tab w:val="left" w:pos="360"/>
        </w:tabs>
        <w:ind w:left="360"/>
        <w:jc w:val="both"/>
        <w:rPr>
          <w:sz w:val="20"/>
        </w:rPr>
      </w:pPr>
      <w:r w:rsidRPr="00102A5B">
        <w:rPr>
          <w:sz w:val="20"/>
        </w:rPr>
        <w:t xml:space="preserve">Los objetivos del proyecto son:  i) reducir el desperdicio de energía (fachadas);  ii) reducir el consumo de energía (falso techo térmico y fachadas);  iii) mejorar las instalaciones técnicas para reducir la necesidad de mantenimiento (falso techo térmico y fachadas);  iv) mejorar la comodidad de los ocupantes;  v) utilizar tecnologías modernas y respetuosas del medio amiente;  y vi) modernizar las instalaciones para alargar sus ciclos de vida útil (falso techo térmico). </w:t>
      </w:r>
    </w:p>
    <w:p w:rsidR="00BE17BF" w:rsidRPr="00102A5B" w:rsidRDefault="00BE17BF" w:rsidP="00027A9C">
      <w:pPr>
        <w:rPr>
          <w:bCs/>
          <w:sz w:val="20"/>
          <w:szCs w:val="22"/>
        </w:rPr>
      </w:pPr>
    </w:p>
    <w:p w:rsidR="00BE17BF" w:rsidRPr="00102A5B" w:rsidRDefault="00BE17BF" w:rsidP="00027A9C">
      <w:pPr>
        <w:rPr>
          <w:bCs/>
          <w:sz w:val="20"/>
          <w:szCs w:val="22"/>
        </w:rPr>
      </w:pPr>
    </w:p>
    <w:p w:rsidR="00BE17BF" w:rsidRPr="00102A5B" w:rsidRDefault="00BE17BF" w:rsidP="00027A9C">
      <w:pPr>
        <w:rPr>
          <w:bCs/>
          <w:sz w:val="18"/>
        </w:rPr>
      </w:pPr>
      <w:r w:rsidRPr="00102A5B">
        <w:rPr>
          <w:bCs/>
          <w:sz w:val="20"/>
        </w:rPr>
        <w:t>RESEÑA DE LOS AVANCES LOGRADOS EN 2016 (ETAPAS FUNDAMENTALES)</w:t>
      </w:r>
    </w:p>
    <w:p w:rsidR="00BE17BF" w:rsidRPr="00102A5B" w:rsidRDefault="00BE17BF" w:rsidP="00027A9C">
      <w:pPr>
        <w:tabs>
          <w:tab w:val="left" w:pos="567"/>
        </w:tabs>
        <w:jc w:val="both"/>
        <w:rPr>
          <w:sz w:val="20"/>
        </w:rPr>
      </w:pPr>
    </w:p>
    <w:p w:rsidR="00BE17BF" w:rsidRPr="00102A5B" w:rsidRDefault="00BE17BF" w:rsidP="00BE17BF">
      <w:pPr>
        <w:numPr>
          <w:ilvl w:val="0"/>
          <w:numId w:val="116"/>
        </w:numPr>
        <w:tabs>
          <w:tab w:val="left" w:pos="360"/>
        </w:tabs>
        <w:spacing w:after="220"/>
        <w:ind w:left="360"/>
        <w:jc w:val="both"/>
        <w:rPr>
          <w:sz w:val="20"/>
        </w:rPr>
      </w:pPr>
      <w:r w:rsidRPr="00102A5B">
        <w:rPr>
          <w:sz w:val="20"/>
        </w:rPr>
        <w:t>En 2016, se realizaron los avances siguientes:</w:t>
      </w:r>
    </w:p>
    <w:p w:rsidR="00BE17BF" w:rsidRPr="00102A5B" w:rsidRDefault="00BE17BF" w:rsidP="00BE17BF">
      <w:pPr>
        <w:pStyle w:val="ListParagraph"/>
        <w:numPr>
          <w:ilvl w:val="0"/>
          <w:numId w:val="117"/>
        </w:numPr>
        <w:tabs>
          <w:tab w:val="left" w:pos="567"/>
        </w:tabs>
        <w:contextualSpacing/>
        <w:jc w:val="both"/>
        <w:rPr>
          <w:rFonts w:eastAsia="SimSun"/>
          <w:lang w:val="es-ES" w:eastAsia="zh-CN"/>
        </w:rPr>
      </w:pPr>
      <w:r w:rsidRPr="00102A5B">
        <w:rPr>
          <w:rFonts w:eastAsia="SimSun"/>
          <w:lang w:val="es-ES" w:eastAsia="zh-CN"/>
        </w:rPr>
        <w:t>Finalización de los mandatos técnicos y publicación de las licitaciones para seleccionar a los ingenieros expertos en calefacción y refrigeración, en fachadas y en seguridad contra incendios eléctricos siguiendo la orientación del piloto/arquitecto.  Si bien al principio se previó completar y publicar las licitaciones independientemente de la contratación del piloto o el arquitecto, se revisó el enfoque para reflejar más adecuadamente la función y las responsabilidades del mandato del piloto/arquitecto.  El calendario de ejecución del proyecto se modificó en consecuencia;</w:t>
      </w:r>
    </w:p>
    <w:p w:rsidR="00BE17BF" w:rsidRPr="00102A5B" w:rsidRDefault="00BE17BF" w:rsidP="00027A9C">
      <w:pPr>
        <w:pStyle w:val="ListParagraph"/>
        <w:tabs>
          <w:tab w:val="left" w:pos="567"/>
        </w:tabs>
        <w:ind w:left="930"/>
        <w:jc w:val="both"/>
        <w:rPr>
          <w:rFonts w:eastAsia="SimSun"/>
          <w:lang w:val="es-ES" w:eastAsia="zh-CN"/>
        </w:rPr>
      </w:pPr>
      <w:r w:rsidRPr="00102A5B">
        <w:rPr>
          <w:rFonts w:eastAsia="SimSun"/>
          <w:lang w:val="es-ES" w:eastAsia="zh-CN"/>
        </w:rPr>
        <w:t xml:space="preserve"> </w:t>
      </w:r>
    </w:p>
    <w:p w:rsidR="00BE17BF" w:rsidRPr="00102A5B" w:rsidRDefault="00BE17BF" w:rsidP="00BE17BF">
      <w:pPr>
        <w:pStyle w:val="ListParagraph"/>
        <w:numPr>
          <w:ilvl w:val="0"/>
          <w:numId w:val="117"/>
        </w:numPr>
        <w:tabs>
          <w:tab w:val="left" w:pos="567"/>
        </w:tabs>
        <w:contextualSpacing/>
        <w:jc w:val="both"/>
        <w:rPr>
          <w:rFonts w:eastAsia="SimSun"/>
          <w:lang w:val="es-ES" w:eastAsia="zh-CN"/>
        </w:rPr>
      </w:pPr>
      <w:r w:rsidRPr="00102A5B">
        <w:rPr>
          <w:rFonts w:eastAsia="SimSun"/>
          <w:lang w:val="es-ES" w:eastAsia="zh-CN"/>
        </w:rPr>
        <w:t>Adjudicación de contratos a los ingenieros expertos en calefacción y refrigeración, en fachadas y en seguridad contra incendios eléctricos;</w:t>
      </w:r>
    </w:p>
    <w:p w:rsidR="00BE17BF" w:rsidRPr="00102A5B" w:rsidRDefault="00BE17BF" w:rsidP="00027A9C">
      <w:pPr>
        <w:tabs>
          <w:tab w:val="left" w:pos="567"/>
        </w:tabs>
        <w:jc w:val="both"/>
        <w:rPr>
          <w:sz w:val="20"/>
        </w:rPr>
      </w:pPr>
    </w:p>
    <w:p w:rsidR="00BE17BF" w:rsidRPr="00102A5B" w:rsidRDefault="00BE17BF" w:rsidP="00BE17BF">
      <w:pPr>
        <w:pStyle w:val="ListParagraph"/>
        <w:numPr>
          <w:ilvl w:val="0"/>
          <w:numId w:val="117"/>
        </w:numPr>
        <w:tabs>
          <w:tab w:val="left" w:pos="567"/>
        </w:tabs>
        <w:contextualSpacing/>
        <w:jc w:val="both"/>
        <w:rPr>
          <w:rFonts w:eastAsia="SimSun"/>
          <w:lang w:val="es-ES" w:eastAsia="zh-CN"/>
        </w:rPr>
      </w:pPr>
      <w:r w:rsidRPr="00102A5B">
        <w:rPr>
          <w:rFonts w:eastAsia="SimSun"/>
          <w:lang w:val="es-ES" w:eastAsia="zh-CN"/>
        </w:rPr>
        <w:t xml:space="preserve">Elaboración de un estudio exhaustivo, a cargo de todos los ingenieros, sobre varias opciones técnicas (teniendo en cuenta sus respectivas responsabilidades, contraídas previamente) siguiendo la orientación de la empresa del piloto/arquitecto y del personal de </w:t>
      </w:r>
      <w:r w:rsidRPr="00102A5B">
        <w:rPr>
          <w:rFonts w:eastAsia="SimSun"/>
          <w:lang w:val="es-ES" w:eastAsia="zh-CN"/>
        </w:rPr>
        <w:lastRenderedPageBreak/>
        <w:t>la OMPI encargado de cuestiones relacionadas con el edificio y cuestiones de seguridad y vigilancia;</w:t>
      </w:r>
    </w:p>
    <w:p w:rsidR="00BE17BF" w:rsidRPr="00102A5B" w:rsidRDefault="00BE17BF" w:rsidP="00027A9C">
      <w:pPr>
        <w:tabs>
          <w:tab w:val="left" w:pos="567"/>
        </w:tabs>
        <w:jc w:val="both"/>
        <w:rPr>
          <w:sz w:val="20"/>
        </w:rPr>
      </w:pPr>
      <w:r w:rsidRPr="00102A5B">
        <w:rPr>
          <w:sz w:val="20"/>
        </w:rPr>
        <w:t xml:space="preserve"> </w:t>
      </w:r>
    </w:p>
    <w:p w:rsidR="00BE17BF" w:rsidRPr="00102A5B" w:rsidRDefault="00BE17BF" w:rsidP="00BE17BF">
      <w:pPr>
        <w:pStyle w:val="ListParagraph"/>
        <w:numPr>
          <w:ilvl w:val="0"/>
          <w:numId w:val="117"/>
        </w:numPr>
        <w:tabs>
          <w:tab w:val="left" w:pos="567"/>
        </w:tabs>
        <w:contextualSpacing/>
        <w:jc w:val="both"/>
        <w:rPr>
          <w:rFonts w:eastAsia="SimSun"/>
          <w:lang w:val="es-ES" w:eastAsia="zh-CN"/>
        </w:rPr>
      </w:pPr>
      <w:r w:rsidRPr="00102A5B">
        <w:rPr>
          <w:rFonts w:eastAsia="SimSun"/>
          <w:lang w:val="es-ES" w:eastAsia="zh-CN"/>
        </w:rPr>
        <w:t xml:space="preserve">Las soluciones técnicas de preferencia en lo que respecta a los aspectos de calefacción y refrigeración y de fachada fueron adoptadas por la Secretaría antes del final de 2016. </w:t>
      </w:r>
    </w:p>
    <w:p w:rsidR="00BE17BF" w:rsidRPr="00102A5B" w:rsidRDefault="00BE17BF" w:rsidP="00027A9C">
      <w:pPr>
        <w:tabs>
          <w:tab w:val="left" w:pos="567"/>
        </w:tabs>
        <w:jc w:val="both"/>
        <w:rPr>
          <w:sz w:val="20"/>
        </w:rPr>
      </w:pPr>
    </w:p>
    <w:p w:rsidR="00BE17BF" w:rsidRPr="00102A5B" w:rsidRDefault="00BE17BF" w:rsidP="00027A9C">
      <w:pPr>
        <w:tabs>
          <w:tab w:val="left" w:pos="567"/>
        </w:tabs>
        <w:ind w:left="426" w:hanging="426"/>
        <w:jc w:val="both"/>
        <w:rPr>
          <w:bCs/>
          <w:sz w:val="20"/>
        </w:rPr>
      </w:pPr>
    </w:p>
    <w:p w:rsidR="00BE17BF" w:rsidRPr="00102A5B" w:rsidRDefault="00BE17BF" w:rsidP="00027A9C">
      <w:pPr>
        <w:keepNext/>
        <w:keepLines/>
        <w:rPr>
          <w:bCs/>
          <w:sz w:val="20"/>
        </w:rPr>
      </w:pPr>
      <w:r w:rsidRPr="00102A5B">
        <w:rPr>
          <w:bCs/>
          <w:sz w:val="20"/>
        </w:rPr>
        <w:t>OBTENCIÓN DE BENEFICIOS</w:t>
      </w:r>
    </w:p>
    <w:p w:rsidR="00BE17BF" w:rsidRPr="00102A5B" w:rsidRDefault="00BE17BF" w:rsidP="00027A9C">
      <w:pPr>
        <w:keepNext/>
        <w:keepLines/>
        <w:rPr>
          <w:sz w:val="20"/>
        </w:rPr>
      </w:pPr>
    </w:p>
    <w:tbl>
      <w:tblPr>
        <w:tblW w:w="7086" w:type="dxa"/>
        <w:jc w:val="center"/>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392"/>
        <w:gridCol w:w="2392"/>
        <w:gridCol w:w="2302"/>
      </w:tblGrid>
      <w:tr w:rsidR="00BE17BF" w:rsidRPr="00102A5B" w:rsidTr="00027A9C">
        <w:trPr>
          <w:trHeight w:val="552"/>
          <w:tblHeader/>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jc w:val="center"/>
              <w:rPr>
                <w:b/>
                <w:bCs/>
                <w:sz w:val="16"/>
                <w:szCs w:val="16"/>
              </w:rPr>
            </w:pPr>
            <w:r w:rsidRPr="00102A5B">
              <w:rPr>
                <w:b/>
                <w:bCs/>
                <w:sz w:val="16"/>
                <w:szCs w:val="16"/>
              </w:rPr>
              <w:t>Beneficios previstos para 2017</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jc w:val="center"/>
              <w:rPr>
                <w:b/>
                <w:bCs/>
                <w:sz w:val="16"/>
                <w:szCs w:val="16"/>
              </w:rPr>
            </w:pPr>
            <w:r w:rsidRPr="00102A5B">
              <w:rPr>
                <w:b/>
                <w:bCs/>
                <w:sz w:val="16"/>
                <w:szCs w:val="16"/>
              </w:rPr>
              <w:t>Beneficios previstos para 2018</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jc w:val="center"/>
              <w:rPr>
                <w:b/>
                <w:bCs/>
                <w:sz w:val="16"/>
                <w:szCs w:val="16"/>
              </w:rPr>
            </w:pPr>
            <w:r w:rsidRPr="00102A5B">
              <w:rPr>
                <w:b/>
                <w:bCs/>
                <w:sz w:val="16"/>
                <w:szCs w:val="16"/>
              </w:rPr>
              <w:t>Beneficios previstos para 2019</w:t>
            </w:r>
          </w:p>
        </w:tc>
      </w:tr>
      <w:tr w:rsidR="00BE17BF" w:rsidRPr="00102A5B" w:rsidTr="00027A9C">
        <w:trPr>
          <w:trHeight w:val="41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rPr>
                <w:bCs/>
                <w:iCs/>
                <w:sz w:val="16"/>
                <w:szCs w:val="16"/>
              </w:rPr>
            </w:pPr>
            <w:r w:rsidRPr="00102A5B">
              <w:rPr>
                <w:bCs/>
                <w:iCs/>
                <w:sz w:val="16"/>
                <w:szCs w:val="16"/>
              </w:rPr>
              <w:t>Mejoras parciales en las instalaciones técnicas de climatización</w:t>
            </w: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rPr>
                <w:bCs/>
                <w:iCs/>
                <w:sz w:val="16"/>
                <w:szCs w:val="16"/>
              </w:rPr>
            </w:pPr>
            <w:r w:rsidRPr="00102A5B">
              <w:rPr>
                <w:bCs/>
                <w:iCs/>
                <w:sz w:val="16"/>
                <w:szCs w:val="16"/>
              </w:rPr>
              <w:t>Mejora constante de las instalaciones de calefacción y refrigeración e instalaciones técnicas.</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rPr>
                <w:bCs/>
                <w:iCs/>
                <w:sz w:val="16"/>
                <w:szCs w:val="16"/>
              </w:rPr>
            </w:pPr>
            <w:r w:rsidRPr="00102A5B">
              <w:rPr>
                <w:bCs/>
                <w:iCs/>
                <w:sz w:val="16"/>
                <w:szCs w:val="16"/>
              </w:rPr>
              <w:t>Mejora total de las instalaciones técnicas</w:t>
            </w:r>
          </w:p>
        </w:tc>
      </w:tr>
      <w:tr w:rsidR="00BE17BF" w:rsidRPr="00102A5B" w:rsidTr="00027A9C">
        <w:trPr>
          <w:trHeight w:val="423"/>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keepNext/>
              <w:keepLines/>
              <w:rPr>
                <w:bCs/>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rPr>
                <w:bCs/>
                <w:iCs/>
                <w:sz w:val="16"/>
                <w:szCs w:val="16"/>
              </w:rPr>
            </w:pPr>
            <w:r w:rsidRPr="00102A5B">
              <w:rPr>
                <w:bCs/>
                <w:iCs/>
                <w:sz w:val="16"/>
                <w:szCs w:val="16"/>
              </w:rPr>
              <w:t>Mejora parcial de la comodidad de los ocupantes</w:t>
            </w: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rPr>
                <w:bCs/>
                <w:iCs/>
                <w:sz w:val="16"/>
                <w:szCs w:val="16"/>
              </w:rPr>
            </w:pPr>
            <w:r w:rsidRPr="00102A5B">
              <w:rPr>
                <w:bCs/>
                <w:iCs/>
                <w:sz w:val="16"/>
                <w:szCs w:val="16"/>
              </w:rPr>
              <w:t>Mejora total de la comodidad de los ocupantes</w:t>
            </w:r>
          </w:p>
        </w:tc>
      </w:tr>
      <w:tr w:rsidR="00BE17BF" w:rsidRPr="00102A5B" w:rsidTr="00027A9C">
        <w:trPr>
          <w:trHeight w:val="416"/>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Cs/>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Cs/>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rPr>
                <w:bCs/>
                <w:iCs/>
                <w:sz w:val="16"/>
                <w:szCs w:val="16"/>
              </w:rPr>
            </w:pPr>
            <w:r w:rsidRPr="00102A5B">
              <w:rPr>
                <w:bCs/>
                <w:iCs/>
                <w:sz w:val="16"/>
                <w:szCs w:val="16"/>
              </w:rPr>
              <w:t>Reducción parcial de la pérdida de energía gracias a la mejora de las fachadas</w:t>
            </w:r>
          </w:p>
        </w:tc>
      </w:tr>
      <w:tr w:rsidR="00BE17BF" w:rsidRPr="00102A5B" w:rsidTr="00027A9C">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Cs/>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Cs/>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rPr>
                <w:bCs/>
                <w:iCs/>
                <w:sz w:val="16"/>
                <w:szCs w:val="16"/>
              </w:rPr>
            </w:pPr>
            <w:r w:rsidRPr="00102A5B">
              <w:rPr>
                <w:bCs/>
                <w:iCs/>
                <w:sz w:val="16"/>
                <w:szCs w:val="16"/>
              </w:rPr>
              <w:t>Reducción parcial del consumo de energía gracias al nuevo falso techo térmico</w:t>
            </w:r>
          </w:p>
        </w:tc>
      </w:tr>
      <w:tr w:rsidR="00BE17BF" w:rsidRPr="00102A5B" w:rsidTr="00027A9C">
        <w:trPr>
          <w:trHeight w:val="427"/>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
                <w:bCs/>
                <w:i/>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
                <w:bCs/>
                <w:i/>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rPr>
                <w:bCs/>
                <w:iCs/>
                <w:sz w:val="16"/>
                <w:szCs w:val="16"/>
              </w:rPr>
            </w:pPr>
            <w:r w:rsidRPr="00102A5B">
              <w:rPr>
                <w:bCs/>
                <w:iCs/>
                <w:sz w:val="16"/>
                <w:szCs w:val="16"/>
              </w:rPr>
              <w:t>Aumento del ciclo de vida útil del nuevo falso techo térmico</w:t>
            </w:r>
          </w:p>
        </w:tc>
      </w:tr>
      <w:tr w:rsidR="00BE17BF" w:rsidRPr="00102A5B" w:rsidTr="00027A9C">
        <w:trPr>
          <w:trHeight w:val="552"/>
          <w:jc w:val="center"/>
        </w:trPr>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
                <w:bCs/>
                <w:i/>
                <w:iCs/>
                <w:sz w:val="16"/>
                <w:szCs w:val="16"/>
              </w:rPr>
            </w:pPr>
          </w:p>
        </w:tc>
        <w:tc>
          <w:tcPr>
            <w:tcW w:w="239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rPr>
                <w:b/>
                <w:bCs/>
                <w:i/>
                <w:iCs/>
                <w:sz w:val="16"/>
                <w:szCs w:val="16"/>
              </w:rPr>
            </w:pPr>
          </w:p>
        </w:tc>
        <w:tc>
          <w:tcPr>
            <w:tcW w:w="230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rPr>
                <w:bCs/>
                <w:iCs/>
                <w:sz w:val="16"/>
                <w:szCs w:val="16"/>
              </w:rPr>
            </w:pPr>
            <w:r w:rsidRPr="00102A5B">
              <w:rPr>
                <w:bCs/>
                <w:iCs/>
                <w:sz w:val="16"/>
                <w:szCs w:val="16"/>
              </w:rPr>
              <w:t>Reducción de los costos de mantenimiento correctivo gracias al nuevo falso techo térmico</w:t>
            </w:r>
          </w:p>
        </w:tc>
      </w:tr>
    </w:tbl>
    <w:p w:rsidR="00BE17BF" w:rsidRPr="00102A5B" w:rsidRDefault="00BE17BF" w:rsidP="00027A9C">
      <w:pPr>
        <w:rPr>
          <w:b/>
          <w:sz w:val="18"/>
        </w:rPr>
      </w:pPr>
    </w:p>
    <w:p w:rsidR="00BE17BF" w:rsidRPr="00102A5B" w:rsidRDefault="00BE17BF" w:rsidP="00027A9C">
      <w:pPr>
        <w:rPr>
          <w:b/>
          <w:sz w:val="18"/>
        </w:rPr>
      </w:pPr>
    </w:p>
    <w:p w:rsidR="00BE17BF" w:rsidRPr="00102A5B" w:rsidRDefault="00BE17BF" w:rsidP="00027A9C">
      <w:pPr>
        <w:rPr>
          <w:sz w:val="20"/>
        </w:rPr>
      </w:pPr>
      <w:r w:rsidRPr="00102A5B">
        <w:rPr>
          <w:sz w:val="20"/>
        </w:rPr>
        <w:t>UTILIZACIÓN DE LOS RECURSOS</w:t>
      </w:r>
      <w:r w:rsidRPr="00102A5B">
        <w:rPr>
          <w:rStyle w:val="FootnoteReference"/>
          <w:sz w:val="20"/>
        </w:rPr>
        <w:footnoteReference w:id="118"/>
      </w:r>
    </w:p>
    <w:p w:rsidR="00BE17BF" w:rsidRPr="00102A5B" w:rsidRDefault="00BE17BF" w:rsidP="00027A9C">
      <w:pPr>
        <w:rPr>
          <w:sz w:val="20"/>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 xml:space="preserve">Utilización del presupuesto del proyecto </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49"/>
        <w:gridCol w:w="1515"/>
        <w:gridCol w:w="1518"/>
        <w:gridCol w:w="1518"/>
        <w:gridCol w:w="1516"/>
      </w:tblGrid>
      <w:tr w:rsidR="00BE17BF" w:rsidRPr="00102A5B" w:rsidTr="00027A9C">
        <w:trPr>
          <w:trHeight w:val="410"/>
        </w:trPr>
        <w:tc>
          <w:tcPr>
            <w:tcW w:w="1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Nombre del proyecto</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598"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Renovación de las fachadas e instalación de refrigeración/calefacción en el edificio PCT (PMM 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6.000.000</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436.922</w:t>
            </w:r>
          </w:p>
        </w:tc>
        <w:tc>
          <w:tcPr>
            <w:tcW w:w="8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7,3%</w:t>
            </w:r>
          </w:p>
        </w:tc>
        <w:tc>
          <w:tcPr>
            <w:tcW w:w="850"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20%</w:t>
            </w:r>
          </w:p>
        </w:tc>
      </w:tr>
    </w:tbl>
    <w:p w:rsidR="00BE17BF" w:rsidRPr="00102A5B" w:rsidRDefault="00BE17BF" w:rsidP="00027A9C">
      <w:pPr>
        <w:rPr>
          <w:b/>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etapa)</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10"/>
        <w:gridCol w:w="1527"/>
        <w:gridCol w:w="1527"/>
        <w:gridCol w:w="1526"/>
        <w:gridCol w:w="1526"/>
      </w:tblGrid>
      <w:tr w:rsidR="00BE17BF" w:rsidRPr="00102A5B" w:rsidTr="00027A9C">
        <w:trPr>
          <w:trHeight w:val="410"/>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Etapas fundamentales</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Adjudicación del contrato al piloto/arquitecto</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124.000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124.000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 xml:space="preserve">100 % </w:t>
            </w:r>
          </w:p>
        </w:tc>
      </w:tr>
      <w:tr w:rsidR="00BE17BF" w:rsidRPr="00102A5B" w:rsidTr="00027A9C">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Adjudicación de contratos a los agentes</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900.000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97.490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10,8%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FFFFF" w:themeFill="background1"/>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100 %</w:t>
            </w:r>
          </w:p>
        </w:tc>
      </w:tr>
      <w:tr w:rsidR="00BE17BF" w:rsidRPr="00102A5B" w:rsidTr="00027A9C">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Compromiso de recursos, internos y externos</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867.000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211.634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24,4%</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40%</w:t>
            </w:r>
          </w:p>
        </w:tc>
      </w:tr>
      <w:tr w:rsidR="00BE17BF" w:rsidRPr="00102A5B" w:rsidTr="00027A9C">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Obra y puesta en servicio</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4.109.000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3.798</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0,1%</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w:t>
            </w:r>
          </w:p>
        </w:tc>
      </w:tr>
      <w:tr w:rsidR="00BE17BF" w:rsidRPr="00102A5B" w:rsidTr="00027A9C">
        <w:trPr>
          <w:trHeight w:val="389"/>
        </w:trPr>
        <w:tc>
          <w:tcPr>
            <w:tcW w:w="1575"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rPr>
                <w:b/>
                <w:sz w:val="16"/>
                <w:szCs w:val="16"/>
              </w:rPr>
            </w:pPr>
            <w:r w:rsidRPr="00102A5B">
              <w:rPr>
                <w:b/>
                <w:sz w:val="16"/>
                <w:szCs w:val="16"/>
              </w:rPr>
              <w:t>Total</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jc w:val="center"/>
              <w:rPr>
                <w:b/>
                <w:sz w:val="16"/>
                <w:szCs w:val="16"/>
              </w:rPr>
            </w:pPr>
            <w:r w:rsidRPr="00102A5B">
              <w:rPr>
                <w:b/>
                <w:sz w:val="16"/>
                <w:szCs w:val="16"/>
              </w:rPr>
              <w:t>6.000.000</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jc w:val="center"/>
              <w:rPr>
                <w:b/>
                <w:sz w:val="16"/>
                <w:szCs w:val="16"/>
              </w:rPr>
            </w:pPr>
            <w:r w:rsidRPr="00102A5B">
              <w:rPr>
                <w:b/>
                <w:sz w:val="16"/>
                <w:szCs w:val="16"/>
              </w:rPr>
              <w:t>436.922</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jc w:val="center"/>
              <w:rPr>
                <w:b/>
                <w:sz w:val="16"/>
                <w:szCs w:val="16"/>
              </w:rPr>
            </w:pPr>
            <w:r w:rsidRPr="00102A5B">
              <w:rPr>
                <w:b/>
                <w:sz w:val="16"/>
                <w:szCs w:val="16"/>
              </w:rPr>
              <w:t>7,3%</w:t>
            </w:r>
          </w:p>
        </w:tc>
        <w:tc>
          <w:tcPr>
            <w:tcW w:w="85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BE17BF" w:rsidRPr="00102A5B" w:rsidRDefault="00BE17BF" w:rsidP="00027A9C">
            <w:pPr>
              <w:keepNext/>
              <w:keepLines/>
              <w:autoSpaceDE w:val="0"/>
              <w:autoSpaceDN w:val="0"/>
              <w:adjustRightInd w:val="0"/>
              <w:jc w:val="center"/>
              <w:rPr>
                <w:b/>
                <w:sz w:val="16"/>
                <w:szCs w:val="16"/>
              </w:rPr>
            </w:pPr>
          </w:p>
        </w:tc>
      </w:tr>
    </w:tbl>
    <w:p w:rsidR="00BE17BF" w:rsidRPr="00102A5B" w:rsidRDefault="00BE17BF" w:rsidP="00027A9C">
      <w:pPr>
        <w:tabs>
          <w:tab w:val="left" w:pos="3261"/>
        </w:tabs>
        <w:autoSpaceDE w:val="0"/>
        <w:autoSpaceDN w:val="0"/>
        <w:adjustRightInd w:val="0"/>
        <w:jc w:val="center"/>
        <w:rPr>
          <w:b/>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lastRenderedPageBreak/>
        <w:t>Utilización del presupuesto del proyecto (por categoría de costo)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W w:w="4940" w:type="pct"/>
        <w:tblInd w:w="1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528"/>
        <w:gridCol w:w="1787"/>
        <w:gridCol w:w="1784"/>
        <w:gridCol w:w="2077"/>
      </w:tblGrid>
      <w:tr w:rsidR="00BE17BF" w:rsidRPr="00102A5B" w:rsidTr="00027A9C">
        <w:trPr>
          <w:trHeight w:val="569"/>
        </w:trPr>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line="260" w:lineRule="exact"/>
              <w:ind w:left="-74" w:right="-60"/>
              <w:jc w:val="center"/>
              <w:rPr>
                <w:b/>
                <w:bCs/>
                <w:sz w:val="16"/>
                <w:szCs w:val="16"/>
              </w:rPr>
            </w:pPr>
            <w:r w:rsidRPr="00102A5B">
              <w:rPr>
                <w:b/>
                <w:bCs/>
                <w:sz w:val="16"/>
                <w:szCs w:val="16"/>
              </w:rPr>
              <w:t>Categoría de costo</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r>
      <w:tr w:rsidR="00BE17BF" w:rsidRPr="00102A5B" w:rsidTr="00027A9C">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Costos relacionados con las obras</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3.569.000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w:t>
            </w:r>
          </w:p>
        </w:tc>
      </w:tr>
      <w:tr w:rsidR="00BE17BF" w:rsidRPr="00102A5B" w:rsidTr="00027A9C">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Honorarios</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1.024.000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221.490</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21,6%</w:t>
            </w:r>
          </w:p>
        </w:tc>
      </w:tr>
      <w:tr w:rsidR="00BE17BF" w:rsidRPr="00102A5B" w:rsidTr="00027A9C">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Recursos internos/externos</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867.000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211.634</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24,4%</w:t>
            </w:r>
          </w:p>
        </w:tc>
      </w:tr>
      <w:tr w:rsidR="00BE17BF" w:rsidRPr="00102A5B" w:rsidTr="00027A9C">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Tasas</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120.000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3.798</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3,2%</w:t>
            </w:r>
          </w:p>
        </w:tc>
      </w:tr>
      <w:tr w:rsidR="00BE17BF" w:rsidRPr="00102A5B" w:rsidTr="00027A9C">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Diversos e imprevistos</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420.000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rsidP="00027A9C">
            <w:pPr>
              <w:keepNext/>
              <w:keepLines/>
              <w:jc w:val="center"/>
              <w:rPr>
                <w:sz w:val="16"/>
                <w:szCs w:val="16"/>
              </w:rPr>
            </w:pPr>
            <w:r w:rsidRPr="00102A5B">
              <w:rPr>
                <w:sz w:val="16"/>
                <w:szCs w:val="16"/>
              </w:rPr>
              <w:t>-</w:t>
            </w:r>
          </w:p>
        </w:tc>
      </w:tr>
      <w:tr w:rsidR="00BE17BF" w:rsidRPr="00102A5B" w:rsidTr="00027A9C">
        <w:tc>
          <w:tcPr>
            <w:tcW w:w="192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rPr>
                <w:b/>
                <w:sz w:val="16"/>
                <w:szCs w:val="16"/>
              </w:rPr>
            </w:pPr>
            <w:r w:rsidRPr="00102A5B">
              <w:rPr>
                <w:b/>
                <w:sz w:val="16"/>
                <w:szCs w:val="16"/>
              </w:rPr>
              <w:t>Total</w:t>
            </w:r>
          </w:p>
        </w:tc>
        <w:tc>
          <w:tcPr>
            <w:tcW w:w="974"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6.000.000</w:t>
            </w:r>
          </w:p>
        </w:tc>
        <w:tc>
          <w:tcPr>
            <w:tcW w:w="97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436.922</w:t>
            </w:r>
          </w:p>
        </w:tc>
        <w:tc>
          <w:tcPr>
            <w:tcW w:w="113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7,3%</w:t>
            </w:r>
          </w:p>
        </w:tc>
      </w:tr>
    </w:tbl>
    <w:p w:rsidR="00BE17BF" w:rsidRPr="00102A5B" w:rsidRDefault="00BE17BF" w:rsidP="00027A9C">
      <w:pPr>
        <w:rPr>
          <w:sz w:val="20"/>
          <w:szCs w:val="22"/>
        </w:rPr>
      </w:pPr>
    </w:p>
    <w:p w:rsidR="00BE17BF" w:rsidRPr="00102A5B" w:rsidRDefault="00BE17BF" w:rsidP="00027A9C">
      <w:pPr>
        <w:rPr>
          <w:sz w:val="20"/>
          <w:szCs w:val="22"/>
        </w:rPr>
      </w:pPr>
      <w:r w:rsidRPr="00102A5B">
        <w:rPr>
          <w:sz w:val="20"/>
          <w:szCs w:val="22"/>
        </w:rPr>
        <w:t>RIESGOS Y ESTRATEGIAS DE MITIGACIÓN</w:t>
      </w:r>
    </w:p>
    <w:p w:rsidR="00BE17BF" w:rsidRPr="00102A5B" w:rsidRDefault="00BE17BF" w:rsidP="00027A9C">
      <w:pPr>
        <w:rPr>
          <w:sz w:val="20"/>
          <w:szCs w:val="22"/>
        </w:rPr>
      </w:pPr>
    </w:p>
    <w:tbl>
      <w:tblPr>
        <w:tblW w:w="4947" w:type="pct"/>
        <w:jc w:val="center"/>
        <w:tblInd w:w="-1812"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220"/>
        <w:gridCol w:w="2751"/>
        <w:gridCol w:w="3218"/>
      </w:tblGrid>
      <w:tr w:rsidR="00BE17BF" w:rsidRPr="00102A5B" w:rsidTr="00027A9C">
        <w:trPr>
          <w:trHeight w:val="507"/>
          <w:tblHeader/>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74" w:right="-60"/>
              <w:jc w:val="center"/>
              <w:rPr>
                <w:b/>
                <w:bCs/>
                <w:sz w:val="16"/>
                <w:szCs w:val="16"/>
              </w:rPr>
            </w:pPr>
            <w:r w:rsidRPr="00102A5B">
              <w:rPr>
                <w:b/>
                <w:bCs/>
                <w:sz w:val="16"/>
                <w:szCs w:val="16"/>
              </w:rPr>
              <w:t xml:space="preserve">Riesgo/Descripción del riesgo </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iCs/>
                <w:sz w:val="18"/>
                <w:szCs w:val="18"/>
              </w:rPr>
              <w:t xml:space="preserve">Mitigación del riesgo </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hideMark/>
          </w:tcPr>
          <w:p w:rsidR="00BE17BF" w:rsidRPr="00102A5B" w:rsidRDefault="00BE17BF" w:rsidP="00027A9C">
            <w:pPr>
              <w:autoSpaceDE w:val="0"/>
              <w:autoSpaceDN w:val="0"/>
              <w:adjustRightInd w:val="0"/>
              <w:spacing w:before="40" w:after="40" w:line="260" w:lineRule="exact"/>
              <w:ind w:left="-109"/>
              <w:jc w:val="center"/>
              <w:rPr>
                <w:b/>
                <w:bCs/>
                <w:sz w:val="16"/>
                <w:szCs w:val="16"/>
              </w:rPr>
            </w:pPr>
            <w:r w:rsidRPr="00102A5B">
              <w:rPr>
                <w:b/>
                <w:bCs/>
                <w:iCs/>
                <w:sz w:val="18"/>
                <w:szCs w:val="18"/>
              </w:rPr>
              <w:t xml:space="preserve">Comentario </w:t>
            </w:r>
          </w:p>
        </w:tc>
      </w:tr>
      <w:tr w:rsidR="00BE17BF" w:rsidRPr="00102A5B" w:rsidTr="00027A9C">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sz w:val="16"/>
                <w:szCs w:val="16"/>
              </w:rPr>
            </w:pPr>
            <w:r w:rsidRPr="00102A5B">
              <w:rPr>
                <w:sz w:val="16"/>
                <w:szCs w:val="16"/>
              </w:rPr>
              <w:t>Demora en el inicio de las obras al depender del tiempo necesario para elegir la solución técnica</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Modificar el calendario de las obras </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rsidP="00027A9C">
            <w:pPr>
              <w:autoSpaceDE w:val="0"/>
              <w:autoSpaceDN w:val="0"/>
              <w:adjustRightInd w:val="0"/>
              <w:spacing w:before="40" w:after="40"/>
              <w:rPr>
                <w:sz w:val="16"/>
                <w:szCs w:val="16"/>
              </w:rPr>
            </w:pPr>
            <w:r w:rsidRPr="00102A5B">
              <w:rPr>
                <w:sz w:val="16"/>
                <w:szCs w:val="16"/>
              </w:rPr>
              <w:t>Dado que la finalización del proyecto relativo a la nueva sala de conferencias tardó más de lo previsto, el plazo del proyecto sufrió todavía más demoras, estimándose el inicio de las obras en el tercer trimestre de 2017 y no en el primer trimestre de ese año, como se había informado anteriormente.  No hubo incidencia en los aportes concretos</w:t>
            </w:r>
          </w:p>
          <w:p w:rsidR="00BE17BF" w:rsidRPr="00102A5B" w:rsidRDefault="00BE17BF">
            <w:pPr>
              <w:autoSpaceDE w:val="0"/>
              <w:autoSpaceDN w:val="0"/>
              <w:adjustRightInd w:val="0"/>
              <w:spacing w:before="40" w:after="40"/>
              <w:rPr>
                <w:sz w:val="16"/>
                <w:szCs w:val="16"/>
              </w:rPr>
            </w:pPr>
          </w:p>
          <w:p w:rsidR="00BE17BF" w:rsidRPr="00102A5B" w:rsidRDefault="00BE17BF" w:rsidP="00027A9C">
            <w:pPr>
              <w:autoSpaceDE w:val="0"/>
              <w:autoSpaceDN w:val="0"/>
              <w:adjustRightInd w:val="0"/>
              <w:spacing w:before="40" w:after="40"/>
              <w:rPr>
                <w:i/>
                <w:sz w:val="16"/>
                <w:szCs w:val="16"/>
              </w:rPr>
            </w:pPr>
            <w:r w:rsidRPr="00102A5B">
              <w:rPr>
                <w:i/>
                <w:sz w:val="16"/>
                <w:szCs w:val="16"/>
              </w:rPr>
              <w:t xml:space="preserve">Este riesgo se ha dado por concluido. </w:t>
            </w:r>
          </w:p>
        </w:tc>
      </w:tr>
      <w:tr w:rsidR="00BE17BF" w:rsidRPr="00102A5B" w:rsidTr="00027A9C">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bCs/>
                <w:sz w:val="16"/>
                <w:szCs w:val="16"/>
              </w:rPr>
            </w:pPr>
            <w:r w:rsidRPr="00102A5B">
              <w:rPr>
                <w:sz w:val="18"/>
                <w:szCs w:val="16"/>
              </w:rPr>
              <w:t xml:space="preserve">Demora en la puesta en servicio de la renovación debido a la solución técnica elegida y/o la logística interna de redistribución de oficinas </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BE17BF">
            <w:pPr>
              <w:numPr>
                <w:ilvl w:val="0"/>
                <w:numId w:val="118"/>
              </w:numPr>
              <w:autoSpaceDE w:val="0"/>
              <w:autoSpaceDN w:val="0"/>
              <w:adjustRightInd w:val="0"/>
              <w:spacing w:before="40" w:after="40"/>
              <w:rPr>
                <w:sz w:val="16"/>
                <w:szCs w:val="16"/>
              </w:rPr>
            </w:pPr>
            <w:r w:rsidRPr="00102A5B">
              <w:rPr>
                <w:sz w:val="16"/>
                <w:szCs w:val="16"/>
              </w:rPr>
              <w:t>Evaluar la elección de la solución técnica</w:t>
            </w:r>
          </w:p>
          <w:p w:rsidR="00BE17BF" w:rsidRPr="00102A5B" w:rsidRDefault="00BE17BF" w:rsidP="00BE17BF">
            <w:pPr>
              <w:numPr>
                <w:ilvl w:val="0"/>
                <w:numId w:val="118"/>
              </w:numPr>
              <w:autoSpaceDE w:val="0"/>
              <w:autoSpaceDN w:val="0"/>
              <w:adjustRightInd w:val="0"/>
              <w:spacing w:before="40" w:after="40"/>
              <w:rPr>
                <w:sz w:val="16"/>
                <w:szCs w:val="16"/>
              </w:rPr>
            </w:pPr>
            <w:r w:rsidRPr="00102A5B">
              <w:rPr>
                <w:sz w:val="16"/>
                <w:szCs w:val="16"/>
              </w:rPr>
              <w:t>Evaluar la posibilidad de acortar el calendario</w:t>
            </w:r>
          </w:p>
          <w:p w:rsidR="00BE17BF" w:rsidRPr="00102A5B" w:rsidRDefault="00BE17BF" w:rsidP="00BE17BF">
            <w:pPr>
              <w:numPr>
                <w:ilvl w:val="0"/>
                <w:numId w:val="118"/>
              </w:numPr>
              <w:autoSpaceDE w:val="0"/>
              <w:autoSpaceDN w:val="0"/>
              <w:adjustRightInd w:val="0"/>
              <w:spacing w:before="40" w:after="40"/>
              <w:rPr>
                <w:sz w:val="16"/>
                <w:szCs w:val="16"/>
              </w:rPr>
            </w:pPr>
            <w:r w:rsidRPr="00102A5B">
              <w:rPr>
                <w:sz w:val="16"/>
                <w:szCs w:val="16"/>
              </w:rPr>
              <w:t>Planificar con el PCT, el Departamento de Tecnologías de la Información y las Comunicaciones (TIC) y el Servicio de Coordinación en materia de Seguridad y Vigilancia</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sz w:val="16"/>
                <w:szCs w:val="16"/>
              </w:rPr>
            </w:pPr>
            <w:r w:rsidRPr="00102A5B">
              <w:rPr>
                <w:sz w:val="16"/>
                <w:szCs w:val="16"/>
              </w:rPr>
              <w:t>El calendario actual de ejecución del Proyecto incluye unas 15 series repetitivas, integradas por:  i) trasladar a los empleados desde sus oficinas a espacios provisionales;  ii) llevar a cabo la sustitución interior de la instalación en el falso techo;  iii) recolocar a los empleados en sus espacios renovados.  Todo ello se logró tras un examen complejo y riguroso del equilibrio necesario entre la creación de un espacio de trabajo óptimo conforme a las soluciones técnicas elegidas y las prioridades de las distintas unidades de la Organización ubicadas en el edificio.  Los trabajos en las fachadas se llevarán a cabo sin interferir con la ocupación interna del edificio, aunque, a veces, será necesario modificar o reducir el acceso en torno al mismo.</w:t>
            </w:r>
          </w:p>
        </w:tc>
      </w:tr>
      <w:tr w:rsidR="00BE17BF" w:rsidRPr="00102A5B" w:rsidTr="00027A9C">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bCs/>
                <w:sz w:val="16"/>
                <w:szCs w:val="16"/>
              </w:rPr>
            </w:pPr>
            <w:r w:rsidRPr="00102A5B">
              <w:rPr>
                <w:bCs/>
                <w:sz w:val="16"/>
                <w:szCs w:val="16"/>
              </w:rPr>
              <w:t>Riesgo financiero por no conocerse el costo de la solución técnica que será elegida.  El costo del proyecto puede ser superior al presupuestado debido a la situación del mercado de la construcción durante el llamado a licitación de empresas en 2016</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rsidP="00027A9C">
            <w:pPr>
              <w:autoSpaceDE w:val="0"/>
              <w:autoSpaceDN w:val="0"/>
              <w:adjustRightInd w:val="0"/>
              <w:spacing w:before="40" w:after="40"/>
              <w:rPr>
                <w:sz w:val="16"/>
                <w:szCs w:val="16"/>
              </w:rPr>
            </w:pPr>
            <w:r w:rsidRPr="00102A5B">
              <w:rPr>
                <w:sz w:val="16"/>
                <w:szCs w:val="16"/>
              </w:rPr>
              <w:t>Revisar la elección de la solución técnica y supervisar la situación del mercado – según proceda, incluir cláusulas de mitigación en los contratos</w:t>
            </w:r>
          </w:p>
          <w:p w:rsidR="00BE17BF" w:rsidRPr="00102A5B" w:rsidRDefault="00BE17BF">
            <w:pPr>
              <w:autoSpaceDE w:val="0"/>
              <w:autoSpaceDN w:val="0"/>
              <w:adjustRightInd w:val="0"/>
              <w:spacing w:before="40" w:after="40"/>
              <w:rPr>
                <w:sz w:val="16"/>
                <w:szCs w:val="16"/>
              </w:rPr>
            </w:pP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Todavía no se ha publicado la propuesta de solicitudes.  El riesgo sigue estando vigente. </w:t>
            </w:r>
          </w:p>
        </w:tc>
      </w:tr>
      <w:tr w:rsidR="00BE17BF" w:rsidRPr="00102A5B" w:rsidTr="00027A9C">
        <w:trPr>
          <w:trHeight w:val="539"/>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sz w:val="16"/>
                <w:szCs w:val="16"/>
              </w:rPr>
            </w:pPr>
            <w:r w:rsidRPr="00102A5B">
              <w:rPr>
                <w:b/>
                <w:bCs/>
                <w:noProof/>
                <w:sz w:val="16"/>
                <w:szCs w:val="16"/>
                <w:lang w:val="en-US" w:eastAsia="en-US"/>
              </w:rPr>
              <mc:AlternateContent>
                <mc:Choice Requires="wps">
                  <w:drawing>
                    <wp:anchor distT="0" distB="0" distL="114300" distR="114300" simplePos="0" relativeHeight="251660288" behindDoc="0" locked="0" layoutInCell="1" allowOverlap="1" wp14:anchorId="565EE031" wp14:editId="10CB8FD8">
                      <wp:simplePos x="0" y="0"/>
                      <wp:positionH relativeFrom="column">
                        <wp:posOffset>-480695</wp:posOffset>
                      </wp:positionH>
                      <wp:positionV relativeFrom="paragraph">
                        <wp:posOffset>40640</wp:posOffset>
                      </wp:positionV>
                      <wp:extent cx="401320" cy="317500"/>
                      <wp:effectExtent l="0" t="0" r="0" b="6350"/>
                      <wp:wrapNone/>
                      <wp:docPr id="1139" name="Text Box 1139"/>
                      <wp:cNvGraphicFramePr/>
                      <a:graphic xmlns:a="http://schemas.openxmlformats.org/drawingml/2006/main">
                        <a:graphicData uri="http://schemas.microsoft.com/office/word/2010/wordprocessingShape">
                          <wps:wsp>
                            <wps:cNvSpPr txBox="1"/>
                            <wps:spPr>
                              <a:xfrm>
                                <a:off x="0" y="0"/>
                                <a:ext cx="40132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EAB" w:rsidRDefault="00653EAB" w:rsidP="00027A9C">
                                  <w:r w:rsidRPr="009A321A">
                                    <w:rPr>
                                      <w:noProof/>
                                      <w:lang w:val="en-US" w:eastAsia="en-US"/>
                                    </w:rPr>
                                    <w:drawing>
                                      <wp:inline distT="0" distB="0" distL="0" distR="0" wp14:anchorId="191E7439" wp14:editId="405D7B0F">
                                        <wp:extent cx="210709" cy="202520"/>
                                        <wp:effectExtent l="0" t="0" r="0" b="762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39" o:spid="_x0000_s1027" type="#_x0000_t202" style="position:absolute;margin-left:-37.85pt;margin-top:3.2pt;width:31.6pt;height: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" fillcolor="white [3201]" stroked="f" strokeweight=".5pt">
                      <v:textbox>
                        <w:txbxContent>
                          <w:p w:rsidR="00653EAB" w:rsidRDefault="00653EAB" w:rsidP="00027A9C">
                            <w:r w:rsidRPr="009A321A">
                              <w:rPr>
                                <w:noProof/>
                                <w:lang w:val="en-US" w:eastAsia="en-US"/>
                              </w:rPr>
                              <w:drawing>
                                <wp:inline distT="0" distB="0" distL="0" distR="0" wp14:anchorId="191E7439" wp14:editId="405D7B0F">
                                  <wp:extent cx="210709" cy="202520"/>
                                  <wp:effectExtent l="0" t="0" r="0" b="7620"/>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v:textbox>
                    </v:shape>
                  </w:pict>
                </mc:Fallback>
              </mc:AlternateContent>
            </w:r>
            <w:r w:rsidRPr="00102A5B">
              <w:rPr>
                <w:sz w:val="16"/>
                <w:szCs w:val="16"/>
              </w:rPr>
              <w:t>Incapacidad de comenzar las obras a fines de 2017 por no estar disponibles las empresas en los plazos del proyecto.</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BE17BF">
            <w:pPr>
              <w:pStyle w:val="ListParagraph"/>
              <w:numPr>
                <w:ilvl w:val="0"/>
                <w:numId w:val="119"/>
              </w:numPr>
              <w:autoSpaceDE w:val="0"/>
              <w:autoSpaceDN w:val="0"/>
              <w:adjustRightInd w:val="0"/>
              <w:spacing w:before="40" w:after="40"/>
              <w:contextualSpacing/>
              <w:rPr>
                <w:sz w:val="16"/>
                <w:szCs w:val="16"/>
                <w:lang w:val="es-ES"/>
              </w:rPr>
            </w:pPr>
            <w:r w:rsidRPr="00102A5B">
              <w:rPr>
                <w:sz w:val="16"/>
                <w:szCs w:val="16"/>
                <w:lang w:val="es-ES"/>
              </w:rPr>
              <w:t>Revisar el calendario y de las disposiciones contractuales;</w:t>
            </w:r>
          </w:p>
          <w:p w:rsidR="00BE17BF" w:rsidRPr="00102A5B" w:rsidRDefault="00BE17BF" w:rsidP="00BE17BF">
            <w:pPr>
              <w:pStyle w:val="ListParagraph"/>
              <w:numPr>
                <w:ilvl w:val="0"/>
                <w:numId w:val="119"/>
              </w:numPr>
              <w:autoSpaceDE w:val="0"/>
              <w:autoSpaceDN w:val="0"/>
              <w:adjustRightInd w:val="0"/>
              <w:spacing w:before="40" w:after="40"/>
              <w:contextualSpacing/>
              <w:rPr>
                <w:sz w:val="16"/>
                <w:szCs w:val="16"/>
                <w:lang w:val="es-ES"/>
              </w:rPr>
            </w:pPr>
            <w:r w:rsidRPr="00102A5B">
              <w:rPr>
                <w:sz w:val="16"/>
                <w:szCs w:val="16"/>
                <w:lang w:val="es-ES"/>
              </w:rPr>
              <w:t>Sopesar la magnitud del retraso con respecto a las etapas de la ejecución del proyecto y los posibles costos adicionales.</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Actualmente, Ginebra es una ciudad saturada de obras, en particular, las importantes obras que se están acometiendo para otras organizaciones de las NN.UU. u otras principales OIG, además de importantes obras en edificios públicos y privados y para viviendas.  </w:t>
            </w:r>
          </w:p>
        </w:tc>
      </w:tr>
      <w:tr w:rsidR="00BE17BF" w:rsidRPr="00102A5B" w:rsidTr="00027A9C">
        <w:trPr>
          <w:trHeight w:val="776"/>
          <w:jc w:val="center"/>
        </w:trPr>
        <w:tc>
          <w:tcPr>
            <w:tcW w:w="1752"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027A9C">
            <w:pPr>
              <w:autoSpaceDE w:val="0"/>
              <w:autoSpaceDN w:val="0"/>
              <w:adjustRightInd w:val="0"/>
              <w:spacing w:before="40" w:after="40"/>
              <w:rPr>
                <w:sz w:val="16"/>
                <w:szCs w:val="16"/>
              </w:rPr>
            </w:pPr>
            <w:r w:rsidRPr="00102A5B">
              <w:rPr>
                <w:sz w:val="16"/>
                <w:szCs w:val="16"/>
              </w:rPr>
              <w:t>Dificultades imprevistas que se descubren al iniciar las obras o al desmantelar los equipos, las instalaciones o las infraestructuras existentes</w:t>
            </w:r>
            <w:r w:rsidRPr="00102A5B">
              <w:rPr>
                <w:b/>
                <w:bCs/>
                <w:noProof/>
                <w:sz w:val="16"/>
                <w:szCs w:val="16"/>
                <w:lang w:val="en-US" w:eastAsia="en-US"/>
              </w:rPr>
              <mc:AlternateContent>
                <mc:Choice Requires="wps">
                  <w:drawing>
                    <wp:anchor distT="0" distB="0" distL="114300" distR="114300" simplePos="0" relativeHeight="251659264" behindDoc="0" locked="0" layoutInCell="1" allowOverlap="1" wp14:anchorId="28377D49" wp14:editId="73CE2C2A">
                      <wp:simplePos x="0" y="0"/>
                      <wp:positionH relativeFrom="column">
                        <wp:posOffset>-493395</wp:posOffset>
                      </wp:positionH>
                      <wp:positionV relativeFrom="paragraph">
                        <wp:posOffset>31750</wp:posOffset>
                      </wp:positionV>
                      <wp:extent cx="401320" cy="317500"/>
                      <wp:effectExtent l="0" t="0" r="0" b="6350"/>
                      <wp:wrapNone/>
                      <wp:docPr id="1140" name="Text Box 1140"/>
                      <wp:cNvGraphicFramePr/>
                      <a:graphic xmlns:a="http://schemas.openxmlformats.org/drawingml/2006/main">
                        <a:graphicData uri="http://schemas.microsoft.com/office/word/2010/wordprocessingShape">
                          <wps:wsp>
                            <wps:cNvSpPr txBox="1"/>
                            <wps:spPr>
                              <a:xfrm>
                                <a:off x="0" y="0"/>
                                <a:ext cx="40132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EAB" w:rsidRDefault="00653EAB" w:rsidP="00027A9C">
                                  <w:r w:rsidRPr="009A321A">
                                    <w:rPr>
                                      <w:noProof/>
                                      <w:lang w:val="en-US" w:eastAsia="en-US"/>
                                    </w:rPr>
                                    <w:drawing>
                                      <wp:inline distT="0" distB="0" distL="0" distR="0" wp14:anchorId="0005AA7B" wp14:editId="7469E1D5">
                                        <wp:extent cx="210709" cy="202520"/>
                                        <wp:effectExtent l="0" t="0" r="0" b="762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0" o:spid="_x0000_s1028" type="#_x0000_t202" style="position:absolute;margin-left:-38.85pt;margin-top:2.5pt;width:31.6pt;height: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" fillcolor="white [3201]" stroked="f" strokeweight=".5pt">
                      <v:textbox>
                        <w:txbxContent>
                          <w:p w:rsidR="00653EAB" w:rsidRDefault="00653EAB" w:rsidP="00027A9C">
                            <w:r w:rsidRPr="009A321A">
                              <w:rPr>
                                <w:noProof/>
                                <w:lang w:val="en-US" w:eastAsia="en-US"/>
                              </w:rPr>
                              <w:drawing>
                                <wp:inline distT="0" distB="0" distL="0" distR="0" wp14:anchorId="0005AA7B" wp14:editId="7469E1D5">
                                  <wp:extent cx="210709" cy="202520"/>
                                  <wp:effectExtent l="0" t="0" r="0" b="762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v:textbox>
                    </v:shape>
                  </w:pict>
                </mc:Fallback>
              </mc:AlternateContent>
            </w:r>
            <w:r w:rsidRPr="00102A5B">
              <w:rPr>
                <w:sz w:val="16"/>
                <w:szCs w:val="16"/>
              </w:rPr>
              <w:t>.</w:t>
            </w:r>
          </w:p>
        </w:tc>
        <w:tc>
          <w:tcPr>
            <w:tcW w:w="149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hideMark/>
          </w:tcPr>
          <w:p w:rsidR="00BE17BF" w:rsidRPr="00102A5B" w:rsidRDefault="00BE17BF" w:rsidP="00BE17BF">
            <w:pPr>
              <w:pStyle w:val="ListParagraph"/>
              <w:numPr>
                <w:ilvl w:val="0"/>
                <w:numId w:val="119"/>
              </w:numPr>
              <w:autoSpaceDE w:val="0"/>
              <w:autoSpaceDN w:val="0"/>
              <w:adjustRightInd w:val="0"/>
              <w:spacing w:before="40" w:after="40"/>
              <w:contextualSpacing/>
              <w:rPr>
                <w:sz w:val="16"/>
                <w:szCs w:val="16"/>
                <w:lang w:val="es-ES"/>
              </w:rPr>
            </w:pPr>
            <w:r w:rsidRPr="00102A5B">
              <w:rPr>
                <w:sz w:val="16"/>
                <w:szCs w:val="16"/>
                <w:lang w:val="es-ES"/>
              </w:rPr>
              <w:t>Evaluar la necesidad de interrumpir la obra y la medida de dicha interrupción;</w:t>
            </w:r>
          </w:p>
          <w:p w:rsidR="00BE17BF" w:rsidRPr="00102A5B" w:rsidRDefault="00BE17BF" w:rsidP="00BE17BF">
            <w:pPr>
              <w:pStyle w:val="ListParagraph"/>
              <w:numPr>
                <w:ilvl w:val="0"/>
                <w:numId w:val="119"/>
              </w:numPr>
              <w:autoSpaceDE w:val="0"/>
              <w:autoSpaceDN w:val="0"/>
              <w:adjustRightInd w:val="0"/>
              <w:spacing w:before="40" w:after="40"/>
              <w:contextualSpacing/>
              <w:rPr>
                <w:sz w:val="16"/>
                <w:szCs w:val="16"/>
                <w:lang w:val="es-ES"/>
              </w:rPr>
            </w:pPr>
            <w:r w:rsidRPr="00102A5B">
              <w:rPr>
                <w:sz w:val="16"/>
                <w:szCs w:val="16"/>
                <w:lang w:val="es-ES"/>
              </w:rPr>
              <w:t>Evaluar las posibles reparaciones/obras de sustitución necesarias;</w:t>
            </w:r>
          </w:p>
          <w:p w:rsidR="00BE17BF" w:rsidRPr="00102A5B" w:rsidRDefault="00BE17BF" w:rsidP="00BE17BF">
            <w:pPr>
              <w:pStyle w:val="ListParagraph"/>
              <w:numPr>
                <w:ilvl w:val="0"/>
                <w:numId w:val="119"/>
              </w:numPr>
              <w:autoSpaceDE w:val="0"/>
              <w:autoSpaceDN w:val="0"/>
              <w:adjustRightInd w:val="0"/>
              <w:spacing w:before="40" w:after="40"/>
              <w:contextualSpacing/>
              <w:rPr>
                <w:sz w:val="16"/>
                <w:szCs w:val="16"/>
                <w:lang w:val="es-ES"/>
              </w:rPr>
            </w:pPr>
            <w:r w:rsidRPr="00102A5B">
              <w:rPr>
                <w:sz w:val="16"/>
                <w:szCs w:val="16"/>
                <w:lang w:val="es-ES"/>
              </w:rPr>
              <w:lastRenderedPageBreak/>
              <w:t>Efectuar las reparaciones/sustituciones necesarias;</w:t>
            </w:r>
          </w:p>
          <w:p w:rsidR="00BE17BF" w:rsidRPr="00102A5B" w:rsidRDefault="00BE17BF" w:rsidP="00BE17BF">
            <w:pPr>
              <w:pStyle w:val="ListParagraph"/>
              <w:numPr>
                <w:ilvl w:val="0"/>
                <w:numId w:val="119"/>
              </w:numPr>
              <w:autoSpaceDE w:val="0"/>
              <w:autoSpaceDN w:val="0"/>
              <w:adjustRightInd w:val="0"/>
              <w:spacing w:before="40" w:after="40"/>
              <w:contextualSpacing/>
              <w:rPr>
                <w:sz w:val="16"/>
                <w:szCs w:val="16"/>
                <w:lang w:val="es-ES"/>
              </w:rPr>
            </w:pPr>
            <w:r w:rsidRPr="00102A5B">
              <w:rPr>
                <w:sz w:val="16"/>
                <w:szCs w:val="16"/>
                <w:lang w:val="es-ES"/>
              </w:rPr>
              <w:t>Actualizar el calendario en caso necesario.</w:t>
            </w:r>
          </w:p>
        </w:tc>
        <w:tc>
          <w:tcPr>
            <w:tcW w:w="1751"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rsidR="00BE17BF" w:rsidRPr="00102A5B" w:rsidRDefault="00BE17BF">
            <w:pPr>
              <w:autoSpaceDE w:val="0"/>
              <w:autoSpaceDN w:val="0"/>
              <w:adjustRightInd w:val="0"/>
              <w:spacing w:before="40" w:after="40"/>
              <w:rPr>
                <w:sz w:val="16"/>
                <w:szCs w:val="16"/>
              </w:rPr>
            </w:pPr>
          </w:p>
        </w:tc>
      </w:tr>
    </w:tbl>
    <w:p w:rsidR="00BE17BF" w:rsidRDefault="00BE17BF" w:rsidP="00027A9C">
      <w:pPr>
        <w:rPr>
          <w:sz w:val="20"/>
          <w:szCs w:val="22"/>
        </w:rPr>
      </w:pPr>
    </w:p>
    <w:p w:rsidR="00BE17BF" w:rsidRPr="00102A5B" w:rsidRDefault="00BE17BF" w:rsidP="00027A9C">
      <w:pPr>
        <w:rPr>
          <w:sz w:val="20"/>
          <w:szCs w:val="22"/>
        </w:rPr>
      </w:pPr>
    </w:p>
    <w:p w:rsidR="00BE17BF" w:rsidRPr="00102A5B" w:rsidRDefault="00BE17BF" w:rsidP="00027A9C">
      <w:pPr>
        <w:keepNext/>
        <w:keepLines/>
        <w:rPr>
          <w:sz w:val="20"/>
          <w:szCs w:val="22"/>
        </w:rPr>
      </w:pPr>
      <w:r w:rsidRPr="00102A5B">
        <w:rPr>
          <w:sz w:val="20"/>
          <w:szCs w:val="22"/>
        </w:rPr>
        <w:t>CALENDARIO DEL PROYECTO, POR ETAPA</w:t>
      </w:r>
    </w:p>
    <w:p w:rsidR="00BE17BF" w:rsidRPr="00102A5B" w:rsidRDefault="00BE17BF" w:rsidP="00027A9C">
      <w:pPr>
        <w:keepNext/>
        <w:keepLines/>
        <w:rPr>
          <w:sz w:val="20"/>
          <w:szCs w:val="22"/>
        </w:rPr>
      </w:pPr>
    </w:p>
    <w:tbl>
      <w:tblPr>
        <w:tblW w:w="9885" w:type="dxa"/>
        <w:jc w:val="center"/>
        <w:tblLayout w:type="fixed"/>
        <w:tblLook w:val="04A0" w:firstRow="1" w:lastRow="0" w:firstColumn="1" w:lastColumn="0" w:noHBand="0" w:noVBand="1"/>
      </w:tblPr>
      <w:tblGrid>
        <w:gridCol w:w="1335"/>
        <w:gridCol w:w="390"/>
        <w:gridCol w:w="383"/>
        <w:gridCol w:w="383"/>
        <w:gridCol w:w="383"/>
        <w:gridCol w:w="383"/>
        <w:gridCol w:w="352"/>
        <w:gridCol w:w="384"/>
        <w:gridCol w:w="384"/>
        <w:gridCol w:w="385"/>
        <w:gridCol w:w="385"/>
        <w:gridCol w:w="385"/>
        <w:gridCol w:w="385"/>
        <w:gridCol w:w="385"/>
        <w:gridCol w:w="385"/>
        <w:gridCol w:w="385"/>
        <w:gridCol w:w="385"/>
        <w:gridCol w:w="334"/>
        <w:gridCol w:w="341"/>
        <w:gridCol w:w="436"/>
        <w:gridCol w:w="430"/>
        <w:gridCol w:w="457"/>
        <w:gridCol w:w="430"/>
      </w:tblGrid>
      <w:tr w:rsidR="00BE17BF" w:rsidRPr="00102A5B" w:rsidTr="00027A9C">
        <w:trPr>
          <w:trHeight w:val="375"/>
          <w:tblHeader/>
          <w:jc w:val="center"/>
        </w:trPr>
        <w:tc>
          <w:tcPr>
            <w:tcW w:w="1335" w:type="dxa"/>
            <w:tcBorders>
              <w:top w:val="nil"/>
              <w:left w:val="nil"/>
              <w:bottom w:val="single" w:sz="4" w:space="0" w:color="A6A6A6" w:themeColor="background1" w:themeShade="A6"/>
              <w:right w:val="single" w:sz="4" w:space="0" w:color="A6A6A6" w:themeColor="background1" w:themeShade="A6"/>
            </w:tcBorders>
            <w:noWrap/>
            <w:vAlign w:val="bottom"/>
          </w:tcPr>
          <w:p w:rsidR="00BE17BF" w:rsidRPr="00102A5B" w:rsidRDefault="00BE17BF">
            <w:pPr>
              <w:keepNext/>
              <w:keepLines/>
              <w:rPr>
                <w:b/>
                <w:bCs/>
                <w:sz w:val="16"/>
                <w:szCs w:val="16"/>
              </w:rPr>
            </w:pPr>
          </w:p>
        </w:tc>
        <w:tc>
          <w:tcPr>
            <w:tcW w:w="1539"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pPr>
              <w:keepNext/>
              <w:keepLines/>
              <w:jc w:val="center"/>
              <w:rPr>
                <w:b/>
                <w:bCs/>
                <w:sz w:val="16"/>
                <w:szCs w:val="16"/>
              </w:rPr>
            </w:pPr>
            <w:r w:rsidRPr="00102A5B">
              <w:rPr>
                <w:b/>
                <w:bCs/>
                <w:sz w:val="16"/>
                <w:szCs w:val="16"/>
              </w:rPr>
              <w:t>2014</w:t>
            </w:r>
          </w:p>
        </w:tc>
        <w:tc>
          <w:tcPr>
            <w:tcW w:w="1503"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pPr>
              <w:keepNext/>
              <w:keepLines/>
              <w:jc w:val="center"/>
              <w:rPr>
                <w:b/>
                <w:bCs/>
                <w:sz w:val="16"/>
                <w:szCs w:val="16"/>
              </w:rPr>
            </w:pPr>
            <w:r w:rsidRPr="00102A5B">
              <w:rPr>
                <w:b/>
                <w:bCs/>
                <w:sz w:val="16"/>
                <w:szCs w:val="16"/>
              </w:rPr>
              <w:t>2015</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pPr>
              <w:keepNext/>
              <w:keepLines/>
              <w:jc w:val="center"/>
              <w:rPr>
                <w:b/>
                <w:bCs/>
                <w:sz w:val="16"/>
                <w:szCs w:val="16"/>
              </w:rPr>
            </w:pPr>
            <w:r w:rsidRPr="00102A5B">
              <w:rPr>
                <w:b/>
                <w:bCs/>
                <w:sz w:val="16"/>
                <w:szCs w:val="16"/>
              </w:rPr>
              <w:t>2016</w:t>
            </w:r>
          </w:p>
        </w:tc>
        <w:tc>
          <w:tcPr>
            <w:tcW w:w="154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pPr>
              <w:keepNext/>
              <w:keepLines/>
              <w:jc w:val="center"/>
              <w:rPr>
                <w:b/>
                <w:bCs/>
                <w:sz w:val="16"/>
                <w:szCs w:val="16"/>
              </w:rPr>
            </w:pPr>
            <w:r w:rsidRPr="00102A5B">
              <w:rPr>
                <w:b/>
                <w:bCs/>
                <w:sz w:val="16"/>
                <w:szCs w:val="16"/>
              </w:rPr>
              <w:t>2017</w:t>
            </w:r>
          </w:p>
        </w:tc>
        <w:tc>
          <w:tcPr>
            <w:tcW w:w="1541"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BE17BF" w:rsidRPr="00102A5B" w:rsidRDefault="00BE17BF">
            <w:pPr>
              <w:keepNext/>
              <w:keepLines/>
              <w:jc w:val="center"/>
              <w:rPr>
                <w:b/>
                <w:bCs/>
                <w:sz w:val="16"/>
                <w:szCs w:val="16"/>
              </w:rPr>
            </w:pPr>
            <w:r w:rsidRPr="00102A5B">
              <w:rPr>
                <w:b/>
                <w:bCs/>
                <w:sz w:val="16"/>
                <w:szCs w:val="16"/>
              </w:rPr>
              <w:t>2018</w:t>
            </w:r>
          </w:p>
        </w:tc>
        <w:tc>
          <w:tcPr>
            <w:tcW w:w="887"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BE17BF" w:rsidRPr="00102A5B" w:rsidRDefault="00BE17BF">
            <w:pPr>
              <w:keepNext/>
              <w:keepLines/>
              <w:jc w:val="center"/>
              <w:rPr>
                <w:b/>
                <w:bCs/>
                <w:sz w:val="16"/>
                <w:szCs w:val="16"/>
              </w:rPr>
            </w:pPr>
            <w:r w:rsidRPr="00102A5B">
              <w:rPr>
                <w:b/>
                <w:bCs/>
                <w:sz w:val="16"/>
                <w:szCs w:val="16"/>
              </w:rPr>
              <w:t>2019</w:t>
            </w:r>
          </w:p>
        </w:tc>
      </w:tr>
      <w:tr w:rsidR="00BE17BF" w:rsidRPr="00102A5B" w:rsidTr="00027A9C">
        <w:trPr>
          <w:trHeight w:val="375"/>
          <w:tblHeader/>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rPr>
                <w:b/>
                <w:bCs/>
                <w:sz w:val="16"/>
                <w:szCs w:val="16"/>
              </w:rPr>
            </w:pPr>
            <w:r w:rsidRPr="00102A5B">
              <w:rPr>
                <w:b/>
                <w:bCs/>
                <w:sz w:val="16"/>
                <w:szCs w:val="16"/>
              </w:rPr>
              <w:t>Etapas clave</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T1</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T2</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T3</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T4</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T1</w:t>
            </w: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T2</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T3</w:t>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T4</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T1</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T2</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T3</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T4</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T1</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T2</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T3</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T4</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T1</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tcMar>
              <w:top w:w="0" w:type="dxa"/>
              <w:left w:w="0" w:type="dxa"/>
              <w:bottom w:w="0" w:type="dxa"/>
              <w:right w:w="0" w:type="dxa"/>
            </w:tcMar>
            <w:vAlign w:val="bottom"/>
            <w:hideMark/>
          </w:tcPr>
          <w:p w:rsidR="00BE17BF" w:rsidRPr="00102A5B" w:rsidRDefault="00BE17BF" w:rsidP="00027A9C">
            <w:pPr>
              <w:keepNext/>
              <w:keepLines/>
              <w:jc w:val="center"/>
              <w:rPr>
                <w:b/>
                <w:bCs/>
                <w:sz w:val="16"/>
                <w:szCs w:val="16"/>
              </w:rPr>
            </w:pPr>
            <w:r w:rsidRPr="00102A5B">
              <w:rPr>
                <w:b/>
                <w:bCs/>
                <w:sz w:val="16"/>
                <w:szCs w:val="16"/>
              </w:rPr>
              <w:t>T2</w:t>
            </w: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BE17BF" w:rsidRPr="00102A5B" w:rsidRDefault="00BE17BF" w:rsidP="00027A9C">
            <w:pPr>
              <w:keepNext/>
              <w:keepLines/>
              <w:jc w:val="center"/>
              <w:rPr>
                <w:b/>
                <w:bCs/>
                <w:sz w:val="16"/>
                <w:szCs w:val="16"/>
              </w:rPr>
            </w:pPr>
            <w:r w:rsidRPr="00102A5B">
              <w:rPr>
                <w:b/>
                <w:bCs/>
                <w:sz w:val="16"/>
                <w:szCs w:val="16"/>
              </w:rPr>
              <w:t>T3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BE17BF" w:rsidRPr="00102A5B" w:rsidRDefault="00BE17BF" w:rsidP="00027A9C">
            <w:pPr>
              <w:keepNext/>
              <w:keepLines/>
              <w:jc w:val="center"/>
              <w:rPr>
                <w:b/>
                <w:bCs/>
                <w:sz w:val="16"/>
                <w:szCs w:val="16"/>
              </w:rPr>
            </w:pPr>
            <w:r w:rsidRPr="00102A5B">
              <w:rPr>
                <w:b/>
                <w:bCs/>
                <w:sz w:val="16"/>
                <w:szCs w:val="16"/>
              </w:rPr>
              <w:t>T4</w:t>
            </w: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BE17BF" w:rsidRPr="00102A5B" w:rsidRDefault="00BE17BF" w:rsidP="00027A9C">
            <w:pPr>
              <w:keepNext/>
              <w:keepLines/>
              <w:jc w:val="center"/>
              <w:rPr>
                <w:b/>
                <w:bCs/>
                <w:sz w:val="16"/>
                <w:szCs w:val="16"/>
              </w:rPr>
            </w:pPr>
            <w:r w:rsidRPr="00102A5B">
              <w:rPr>
                <w:b/>
                <w:bCs/>
                <w:sz w:val="16"/>
                <w:szCs w:val="16"/>
              </w:rPr>
              <w:t>T1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hideMark/>
          </w:tcPr>
          <w:p w:rsidR="00BE17BF" w:rsidRPr="00102A5B" w:rsidRDefault="00BE17BF" w:rsidP="00027A9C">
            <w:pPr>
              <w:keepNext/>
              <w:keepLines/>
              <w:jc w:val="center"/>
              <w:rPr>
                <w:b/>
                <w:bCs/>
                <w:sz w:val="16"/>
                <w:szCs w:val="16"/>
              </w:rPr>
            </w:pPr>
            <w:r w:rsidRPr="00102A5B">
              <w:rPr>
                <w:b/>
                <w:bCs/>
                <w:sz w:val="16"/>
                <w:szCs w:val="16"/>
              </w:rPr>
              <w:t>T2</w:t>
            </w:r>
          </w:p>
        </w:tc>
      </w:tr>
      <w:tr w:rsidR="00BE17BF" w:rsidRPr="00102A5B" w:rsidTr="00027A9C">
        <w:trPr>
          <w:trHeight w:val="512"/>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Convocación a presentar expresiones de interés para el piloto / arquitecto</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r>
      <w:tr w:rsidR="00BE17BF" w:rsidRPr="00102A5B" w:rsidTr="00027A9C">
        <w:trPr>
          <w:trHeight w:val="413"/>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Llamado a licitación y selección del piloto / arquitecto y los ingenieros</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r w:rsidRPr="00102A5B">
              <w:rPr>
                <w:rStyle w:val="FootnoteReference"/>
                <w:sz w:val="16"/>
                <w:szCs w:val="16"/>
              </w:rPr>
              <w:footnoteReference w:id="119"/>
            </w: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rsidP="00027A9C">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r w:rsidRPr="00102A5B">
              <w:rPr>
                <w:rStyle w:val="FootnoteReference"/>
                <w:sz w:val="16"/>
                <w:szCs w:val="16"/>
              </w:rPr>
              <w:footnoteReference w:id="120"/>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rsidP="00027A9C">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rsidP="00027A9C">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r>
      <w:tr w:rsidR="00BE17BF" w:rsidRPr="00102A5B" w:rsidTr="00027A9C">
        <w:trPr>
          <w:trHeight w:val="494"/>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Estudio detallado de la ejecución</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r>
      <w:tr w:rsidR="00BE17BF" w:rsidRPr="00102A5B" w:rsidTr="00027A9C">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Elección de la solución técnica</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r>
      <w:tr w:rsidR="00BE17BF" w:rsidRPr="00102A5B" w:rsidTr="00027A9C">
        <w:trPr>
          <w:trHeight w:val="43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Llamado a licitación para empresas</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rPr>
                <w:sz w:val="20"/>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r>
      <w:tr w:rsidR="00BE17BF" w:rsidRPr="00102A5B" w:rsidTr="00027A9C">
        <w:trPr>
          <w:trHeight w:val="427"/>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rPr>
                <w:bCs/>
                <w:sz w:val="16"/>
                <w:szCs w:val="16"/>
              </w:rPr>
            </w:pPr>
            <w:r w:rsidRPr="00102A5B">
              <w:rPr>
                <w:bCs/>
                <w:sz w:val="16"/>
                <w:szCs w:val="16"/>
              </w:rPr>
              <w:t>Obra</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hideMark/>
          </w:tcPr>
          <w:p w:rsidR="00BE17BF" w:rsidRPr="00102A5B" w:rsidRDefault="00BE17BF">
            <w:pPr>
              <w:jc w:val="center"/>
              <w:rPr>
                <w:sz w:val="16"/>
                <w:szCs w:val="16"/>
              </w:rPr>
            </w:pPr>
            <w:r w:rsidRPr="00102A5B">
              <w:rPr>
                <w:sz w:val="16"/>
                <w:szCs w:val="16"/>
              </w:rPr>
              <w:t>X</w:t>
            </w: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X</w:t>
            </w: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X</w:t>
            </w:r>
          </w:p>
        </w:tc>
      </w:tr>
      <w:tr w:rsidR="00BE17BF" w:rsidRPr="00102A5B" w:rsidTr="00027A9C">
        <w:trPr>
          <w:trHeight w:val="391"/>
          <w:jc w:val="center"/>
        </w:trPr>
        <w:tc>
          <w:tcPr>
            <w:tcW w:w="133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autoSpaceDE w:val="0"/>
              <w:autoSpaceDN w:val="0"/>
              <w:adjustRightInd w:val="0"/>
              <w:spacing w:before="40" w:after="40"/>
              <w:rPr>
                <w:bCs/>
                <w:sz w:val="16"/>
                <w:szCs w:val="16"/>
              </w:rPr>
            </w:pPr>
            <w:r w:rsidRPr="00102A5B">
              <w:rPr>
                <w:bCs/>
                <w:sz w:val="16"/>
                <w:szCs w:val="16"/>
              </w:rPr>
              <w:t>Puesta en servicio</w:t>
            </w:r>
          </w:p>
        </w:tc>
        <w:tc>
          <w:tcPr>
            <w:tcW w:w="39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5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tcMar>
              <w:top w:w="0" w:type="dxa"/>
              <w:left w:w="0" w:type="dxa"/>
              <w:bottom w:w="0" w:type="dxa"/>
              <w:right w:w="0" w:type="dxa"/>
            </w:tcMar>
            <w:vAlign w:val="center"/>
          </w:tcPr>
          <w:p w:rsidR="00BE17BF" w:rsidRPr="00102A5B" w:rsidRDefault="00BE17BF">
            <w:pPr>
              <w:jc w:val="center"/>
              <w:rPr>
                <w:sz w:val="16"/>
                <w:szCs w:val="16"/>
              </w:rPr>
            </w:pPr>
          </w:p>
        </w:tc>
        <w:tc>
          <w:tcPr>
            <w:tcW w:w="33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34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Mar>
              <w:top w:w="0" w:type="dxa"/>
              <w:left w:w="0" w:type="dxa"/>
              <w:bottom w:w="0" w:type="dxa"/>
              <w:right w:w="0" w:type="dxa"/>
            </w:tcMar>
            <w:vAlign w:val="center"/>
          </w:tcPr>
          <w:p w:rsidR="00BE17BF" w:rsidRPr="00102A5B" w:rsidRDefault="00BE17BF">
            <w:pPr>
              <w:jc w:val="center"/>
              <w:rPr>
                <w:sz w:val="16"/>
                <w:szCs w:val="16"/>
              </w:rPr>
            </w:pPr>
          </w:p>
        </w:tc>
        <w:tc>
          <w:tcPr>
            <w:tcW w:w="43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5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pPr>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hideMark/>
          </w:tcPr>
          <w:p w:rsidR="00BE17BF" w:rsidRPr="00102A5B" w:rsidRDefault="00BE17BF">
            <w:pPr>
              <w:jc w:val="center"/>
              <w:rPr>
                <w:sz w:val="16"/>
                <w:szCs w:val="16"/>
              </w:rPr>
            </w:pPr>
            <w:r w:rsidRPr="00102A5B">
              <w:rPr>
                <w:sz w:val="16"/>
                <w:szCs w:val="16"/>
              </w:rPr>
              <w:t>X</w:t>
            </w:r>
          </w:p>
        </w:tc>
      </w:tr>
    </w:tbl>
    <w:p w:rsidR="00BE17BF" w:rsidRPr="00102A5B" w:rsidRDefault="00BE17BF" w:rsidP="00027A9C">
      <w:pPr>
        <w:rPr>
          <w:b/>
          <w:szCs w:val="24"/>
        </w:rPr>
      </w:pPr>
    </w:p>
    <w:p w:rsidR="00BE17BF" w:rsidRPr="00102A5B" w:rsidRDefault="00BE17BF" w:rsidP="00027A9C">
      <w:pPr>
        <w:spacing w:after="200" w:line="276" w:lineRule="auto"/>
        <w:rPr>
          <w:sz w:val="20"/>
          <w:szCs w:val="24"/>
        </w:rPr>
      </w:pPr>
    </w:p>
    <w:p w:rsidR="00BE17BF" w:rsidRPr="00102A5B" w:rsidRDefault="00BE17BF">
      <w:pPr>
        <w:rPr>
          <w:b/>
          <w:szCs w:val="24"/>
        </w:rPr>
      </w:pPr>
      <w:r w:rsidRPr="00102A5B">
        <w:rPr>
          <w:b/>
          <w:szCs w:val="24"/>
        </w:rPr>
        <w:br w:type="page"/>
      </w:r>
    </w:p>
    <w:p w:rsidR="00BE17BF" w:rsidRPr="00102A5B" w:rsidRDefault="00BE17BF" w:rsidP="00027A9C">
      <w:pPr>
        <w:rPr>
          <w:b/>
          <w:szCs w:val="24"/>
        </w:rPr>
      </w:pPr>
      <w:r w:rsidRPr="00102A5B">
        <w:rPr>
          <w:b/>
          <w:szCs w:val="24"/>
        </w:rPr>
        <w:lastRenderedPageBreak/>
        <w:t>PROYECTOS RELACIONADOS CON LOS EDIFICIOS</w:t>
      </w:r>
    </w:p>
    <w:p w:rsidR="00BE17BF" w:rsidRPr="00102A5B" w:rsidRDefault="00BE17BF" w:rsidP="00027A9C">
      <w:pPr>
        <w:keepNext/>
        <w:spacing w:before="240" w:after="60"/>
        <w:ind w:left="1701" w:hanging="1701"/>
        <w:outlineLvl w:val="2"/>
        <w:rPr>
          <w:b/>
          <w:bCs/>
          <w:i/>
          <w:sz w:val="20"/>
          <w:szCs w:val="26"/>
        </w:rPr>
      </w:pPr>
      <w:bookmarkStart w:id="89" w:name="_Toc482711288"/>
      <w:r w:rsidRPr="00102A5B">
        <w:rPr>
          <w:b/>
          <w:bCs/>
          <w:i/>
          <w:sz w:val="20"/>
          <w:szCs w:val="26"/>
        </w:rPr>
        <w:t>PROYECTO 4:</w:t>
      </w:r>
      <w:r w:rsidRPr="00102A5B">
        <w:rPr>
          <w:bCs/>
          <w:sz w:val="20"/>
          <w:szCs w:val="26"/>
        </w:rPr>
        <w:tab/>
      </w:r>
      <w:r w:rsidRPr="00102A5B">
        <w:rPr>
          <w:b/>
          <w:bCs/>
          <w:i/>
          <w:sz w:val="20"/>
          <w:szCs w:val="26"/>
        </w:rPr>
        <w:t>INSTALACIÓN EN LOS EDIFICIOS AB Y PCT DE UN SISTEMA DE REFRIGERACIÓN QUE UTILIZA EL AGUA DEL LAGO DE GINEBRA (“GLN”) (PMM 4)</w:t>
      </w:r>
      <w:bookmarkEnd w:id="89"/>
    </w:p>
    <w:p w:rsidR="00BE17BF" w:rsidRPr="00102A5B" w:rsidRDefault="00BE17BF" w:rsidP="00027A9C">
      <w:pPr>
        <w:rPr>
          <w:sz w:val="20"/>
        </w:rPr>
      </w:pPr>
    </w:p>
    <w:p w:rsidR="00BE17BF" w:rsidRPr="00102A5B" w:rsidRDefault="00BE17BF" w:rsidP="00027A9C">
      <w:pPr>
        <w:rPr>
          <w:b/>
          <w:sz w:val="20"/>
        </w:rPr>
      </w:pPr>
      <w:r w:rsidRPr="00102A5B">
        <w:rPr>
          <w:b/>
          <w:sz w:val="20"/>
        </w:rPr>
        <w:t>Director de proyecto:</w:t>
      </w:r>
      <w:r w:rsidRPr="00102A5B">
        <w:rPr>
          <w:sz w:val="20"/>
        </w:rPr>
        <w:tab/>
      </w:r>
      <w:r w:rsidRPr="00102A5B">
        <w:rPr>
          <w:b/>
          <w:sz w:val="20"/>
        </w:rPr>
        <w:t>Sr. A. Favero</w:t>
      </w:r>
    </w:p>
    <w:p w:rsidR="00BE17BF" w:rsidRPr="00102A5B" w:rsidRDefault="00BE17BF" w:rsidP="00027A9C">
      <w:pPr>
        <w:rPr>
          <w:sz w:val="20"/>
        </w:rPr>
      </w:pPr>
    </w:p>
    <w:p w:rsidR="00BE17BF" w:rsidRPr="00102A5B" w:rsidRDefault="00BE17BF" w:rsidP="00027A9C">
      <w:pPr>
        <w:rPr>
          <w:bCs/>
          <w:sz w:val="20"/>
          <w:szCs w:val="22"/>
        </w:rPr>
      </w:pPr>
      <w:r w:rsidRPr="00102A5B">
        <w:rPr>
          <w:bCs/>
          <w:sz w:val="20"/>
          <w:szCs w:val="22"/>
        </w:rPr>
        <w:t>RESULTADO PREVISTO</w:t>
      </w:r>
    </w:p>
    <w:p w:rsidR="00BE17BF" w:rsidRPr="00102A5B" w:rsidRDefault="00BE17BF" w:rsidP="00027A9C">
      <w:pPr>
        <w:rPr>
          <w:bCs/>
          <w:sz w:val="18"/>
        </w:rPr>
      </w:pPr>
    </w:p>
    <w:p w:rsidR="00BE17BF" w:rsidRPr="00102A5B" w:rsidRDefault="00BE17BF" w:rsidP="00027A9C">
      <w:pPr>
        <w:rPr>
          <w:i/>
          <w:iCs/>
          <w:sz w:val="20"/>
        </w:rPr>
      </w:pPr>
      <w:r w:rsidRPr="00102A5B">
        <w:rPr>
          <w:i/>
          <w:iCs/>
          <w:sz w:val="20"/>
        </w:rPr>
        <w:t>IX.1  Servicios de apoyo eficaces, eficientes, de calidad y orientados al cliente, tanto a los usuarios internos como a las partes interesadas externas</w:t>
      </w:r>
    </w:p>
    <w:p w:rsidR="00BE17BF" w:rsidRPr="00102A5B" w:rsidRDefault="00BE17BF" w:rsidP="00027A9C">
      <w:pPr>
        <w:rPr>
          <w:bCs/>
          <w:sz w:val="18"/>
        </w:rPr>
      </w:pPr>
    </w:p>
    <w:p w:rsidR="00BE17BF" w:rsidRPr="00102A5B" w:rsidRDefault="00BE17BF" w:rsidP="00027A9C">
      <w:pPr>
        <w:rPr>
          <w:bCs/>
          <w:sz w:val="20"/>
          <w:szCs w:val="22"/>
        </w:rPr>
      </w:pPr>
    </w:p>
    <w:p w:rsidR="00BE17BF" w:rsidRPr="00102A5B" w:rsidRDefault="00BE17BF" w:rsidP="00027A9C">
      <w:pPr>
        <w:rPr>
          <w:bCs/>
          <w:szCs w:val="22"/>
        </w:rPr>
      </w:pPr>
      <w:r w:rsidRPr="00102A5B">
        <w:rPr>
          <w:bCs/>
          <w:szCs w:val="22"/>
        </w:rPr>
        <w:t>OBJETIVOS, ALCANCE Y ENFOQUE:  ANTECEDENTES</w:t>
      </w:r>
    </w:p>
    <w:p w:rsidR="00BE17BF" w:rsidRPr="00102A5B" w:rsidRDefault="00BE17BF" w:rsidP="00027A9C">
      <w:pPr>
        <w:rPr>
          <w:bCs/>
          <w:sz w:val="20"/>
        </w:rPr>
      </w:pPr>
    </w:p>
    <w:p w:rsidR="00BE17BF" w:rsidRPr="00102A5B" w:rsidRDefault="00BE17BF" w:rsidP="00BE17BF">
      <w:pPr>
        <w:pStyle w:val="ListParagraph"/>
        <w:numPr>
          <w:ilvl w:val="0"/>
          <w:numId w:val="121"/>
        </w:numPr>
        <w:ind w:left="567" w:hanging="567"/>
        <w:contextualSpacing/>
        <w:jc w:val="both"/>
        <w:rPr>
          <w:lang w:val="es-ES"/>
        </w:rPr>
      </w:pPr>
      <w:r w:rsidRPr="00102A5B">
        <w:rPr>
          <w:lang w:val="es-ES"/>
        </w:rPr>
        <w:t>El sistema de refrigeración que utiliza el agua del lago de Ginebra (“GLN”) -creado hace algunos años y administrado y puesto en funcionamiento por la empresa local de suministro de energía (</w:t>
      </w:r>
      <w:r w:rsidRPr="00102A5B">
        <w:rPr>
          <w:i/>
          <w:lang w:val="es-ES"/>
        </w:rPr>
        <w:t>Services Industriels de Genève</w:t>
      </w:r>
      <w:r w:rsidRPr="00102A5B">
        <w:rPr>
          <w:lang w:val="es-ES"/>
        </w:rPr>
        <w:t xml:space="preserve"> – SIG), por el cual se recolecta agua fría de las profundidades del lago de Ginebra que se transporta a la zona Norte de la ciudad para utilizarla en un sistema de refrigeración de varios edificios administrativos en la zona de la Plaza de las Naciones.  Hace algunos años, la OMPI fue uno de los primeros clientes, entre los organismos de las Naciones Unidas, en celebrar un acuerdo con la empresa SIG para reservar la capacidad necesaria para todos sus edificios (incluidos los que entonces eran proyectos de construcción).  A finales de 2013, estaban totalmente conectados al sistema GLN de refrigeración los edificios siguientes del recinto de la OMPI: el nue</w:t>
      </w:r>
      <w:r>
        <w:rPr>
          <w:lang w:val="es-ES"/>
        </w:rPr>
        <w:t>vo edificio (conectado desde </w:t>
      </w:r>
      <w:r w:rsidRPr="00102A5B">
        <w:rPr>
          <w:lang w:val="es-ES"/>
        </w:rPr>
        <w:t xml:space="preserve">2011), los edificios GBI y GBII (conectados a mediados de 2013), la nueva sala de conferencias (el sistema se integró durante la fase de construcción y está conectado desde fines de 2013).  Los únicos dos edificios que queda conectar al sistema GLN son el edificio AB y el edificio PCT, que son objeto de esta parte del proyecto del Plan Maestro de mejoras de infraestructura.  También cabe observar que las demás máquinas de refrigeración existentes para los edificios AB y PCT ya han tenido una vida útil que oscila entre los 10 y los 33 años, aproximadamente, teniendo en cuenta que su vida útil prevista es de 30 años. </w:t>
      </w:r>
    </w:p>
    <w:p w:rsidR="00BE17BF" w:rsidRPr="00102A5B" w:rsidRDefault="00BE17BF" w:rsidP="00027A9C">
      <w:pPr>
        <w:jc w:val="both"/>
        <w:rPr>
          <w:sz w:val="20"/>
        </w:rPr>
      </w:pPr>
    </w:p>
    <w:p w:rsidR="00BE17BF" w:rsidRPr="00102A5B" w:rsidRDefault="00BE17BF" w:rsidP="00BE17BF">
      <w:pPr>
        <w:pStyle w:val="ListParagraph"/>
        <w:numPr>
          <w:ilvl w:val="0"/>
          <w:numId w:val="121"/>
        </w:numPr>
        <w:ind w:left="567" w:hanging="567"/>
        <w:contextualSpacing/>
        <w:jc w:val="both"/>
        <w:rPr>
          <w:lang w:val="es-ES"/>
        </w:rPr>
      </w:pPr>
      <w:r w:rsidRPr="00102A5B">
        <w:rPr>
          <w:lang w:val="es-ES"/>
        </w:rPr>
        <w:t>Los objetivos de este proyecto son i) completar la incorporación de un sistema tecnológico mejorado en el mantenimiento de los edificios, relacionado con las instalaciones de refrigeración que ya están en funcionamiento en más de la mitad de los volúmenes interesados del recinto de la OMPI;  ii) anticipar la necesidad de reemplazar los aparatos clásicos de refrigeración en los otros dos edificios, haciéndolo antes de que se averíen las instalaciones (lo cual ocurrió en 2011 en el edificio GBII);  iii) reducir los costos de mantenimiento de las instalaciones, en comparación con los costos de mantenimiento de las instalaciones clásicas de refrigeración;  y iv) modernizar este tipo de instalación técnica y equipo con sistemas más respetuosos del medio ambiente.</w:t>
      </w:r>
    </w:p>
    <w:p w:rsidR="00BE17BF" w:rsidRPr="00102A5B" w:rsidRDefault="00BE17BF" w:rsidP="00027A9C">
      <w:pPr>
        <w:jc w:val="both"/>
        <w:rPr>
          <w:sz w:val="20"/>
        </w:rPr>
      </w:pPr>
    </w:p>
    <w:p w:rsidR="00BE17BF" w:rsidRPr="00102A5B" w:rsidRDefault="00BE17BF" w:rsidP="00027A9C">
      <w:pPr>
        <w:jc w:val="both"/>
        <w:rPr>
          <w:bCs/>
          <w:sz w:val="20"/>
        </w:rPr>
      </w:pPr>
    </w:p>
    <w:p w:rsidR="00BE17BF" w:rsidRPr="00102A5B" w:rsidRDefault="00BE17BF" w:rsidP="00027A9C">
      <w:pPr>
        <w:jc w:val="both"/>
        <w:rPr>
          <w:bCs/>
          <w:sz w:val="20"/>
        </w:rPr>
      </w:pPr>
      <w:r w:rsidRPr="00102A5B">
        <w:rPr>
          <w:bCs/>
          <w:sz w:val="20"/>
        </w:rPr>
        <w:t>RESEÑA DE LOS AVANCES LOGRADOS EN 2016 (ETAPAS FUNDAMENTALES)</w:t>
      </w:r>
    </w:p>
    <w:p w:rsidR="00BE17BF" w:rsidRPr="00102A5B" w:rsidRDefault="00BE17BF" w:rsidP="00027A9C">
      <w:pPr>
        <w:tabs>
          <w:tab w:val="left" w:pos="567"/>
        </w:tabs>
        <w:jc w:val="both"/>
        <w:rPr>
          <w:bCs/>
          <w:sz w:val="20"/>
        </w:rPr>
      </w:pPr>
    </w:p>
    <w:p w:rsidR="00BE17BF" w:rsidRPr="00102A5B" w:rsidRDefault="00BE17BF" w:rsidP="00BE17BF">
      <w:pPr>
        <w:pStyle w:val="ListParagraph"/>
        <w:numPr>
          <w:ilvl w:val="0"/>
          <w:numId w:val="121"/>
        </w:numPr>
        <w:ind w:left="567" w:hanging="567"/>
        <w:contextualSpacing/>
        <w:jc w:val="both"/>
        <w:rPr>
          <w:bCs/>
          <w:lang w:val="es-ES"/>
        </w:rPr>
      </w:pPr>
      <w:r w:rsidRPr="00102A5B">
        <w:rPr>
          <w:bCs/>
          <w:lang w:val="es-ES"/>
        </w:rPr>
        <w:t>En 2016, se realizaron los avances siguientes:</w:t>
      </w:r>
    </w:p>
    <w:p w:rsidR="00BE17BF" w:rsidRPr="00102A5B" w:rsidRDefault="00BE17BF" w:rsidP="00027A9C">
      <w:pPr>
        <w:jc w:val="both"/>
        <w:rPr>
          <w:bCs/>
          <w:sz w:val="18"/>
          <w:szCs w:val="24"/>
        </w:rPr>
      </w:pPr>
    </w:p>
    <w:p w:rsidR="00BE17BF" w:rsidRPr="00102A5B" w:rsidRDefault="00BE17BF" w:rsidP="00BE17BF">
      <w:pPr>
        <w:pStyle w:val="ListParagraph"/>
        <w:numPr>
          <w:ilvl w:val="0"/>
          <w:numId w:val="120"/>
        </w:numPr>
        <w:ind w:left="630"/>
        <w:contextualSpacing/>
        <w:jc w:val="both"/>
        <w:rPr>
          <w:lang w:val="es-ES"/>
        </w:rPr>
      </w:pPr>
      <w:r w:rsidRPr="00102A5B">
        <w:rPr>
          <w:lang w:val="es-ES"/>
        </w:rPr>
        <w:t>Edificio AB:  El plazo de la garantía de la obra venció en octubre de 2016 sin que se descubrieran defectos en las instalaciones o el equipo;  por ello, en 2016 no fue necesario efectuar obras de reparación;  la instalación ha funcionado de manera plenamente satisfactoria.</w:t>
      </w:r>
    </w:p>
    <w:p w:rsidR="00BE17BF" w:rsidRPr="00102A5B" w:rsidRDefault="00BE17BF" w:rsidP="00027A9C">
      <w:pPr>
        <w:pStyle w:val="ListParagraph"/>
        <w:ind w:left="1080"/>
        <w:jc w:val="both"/>
        <w:rPr>
          <w:lang w:val="es-ES"/>
        </w:rPr>
      </w:pPr>
    </w:p>
    <w:p w:rsidR="00BE17BF" w:rsidRPr="00102A5B" w:rsidRDefault="00BE17BF" w:rsidP="00BE17BF">
      <w:pPr>
        <w:pStyle w:val="ListParagraph"/>
        <w:numPr>
          <w:ilvl w:val="0"/>
          <w:numId w:val="120"/>
        </w:numPr>
        <w:ind w:left="630"/>
        <w:contextualSpacing/>
        <w:jc w:val="both"/>
        <w:rPr>
          <w:lang w:val="es-ES"/>
        </w:rPr>
      </w:pPr>
      <w:r w:rsidRPr="00102A5B">
        <w:rPr>
          <w:lang w:val="es-ES"/>
        </w:rPr>
        <w:t>Edificio del PCT:  El plazo de la garantía de obra vencerá en diciembre de 2017;  en 2016 no se descubrieron defectos en las instalaciones ni los equipos;  por ello, no fue necesario efectuar obras de reparación;  las tareas de supervisión se mantendrán durante el plazo restante de la garantía de la construcción hasta diciembre de 2017.</w:t>
      </w:r>
    </w:p>
    <w:p w:rsidR="00BE17BF" w:rsidRPr="00102A5B" w:rsidRDefault="00BE17BF" w:rsidP="00027A9C">
      <w:pPr>
        <w:pStyle w:val="ListParagraph"/>
        <w:ind w:left="630"/>
        <w:jc w:val="both"/>
        <w:rPr>
          <w:lang w:val="es-ES"/>
        </w:rPr>
      </w:pPr>
    </w:p>
    <w:p w:rsidR="00BE17BF" w:rsidRPr="00102A5B" w:rsidRDefault="00BE17BF" w:rsidP="00BE17BF">
      <w:pPr>
        <w:pStyle w:val="ListParagraph"/>
        <w:numPr>
          <w:ilvl w:val="0"/>
          <w:numId w:val="120"/>
        </w:numPr>
        <w:ind w:left="630"/>
        <w:contextualSpacing/>
        <w:jc w:val="both"/>
        <w:rPr>
          <w:lang w:val="es-ES"/>
        </w:rPr>
      </w:pPr>
      <w:r w:rsidRPr="00102A5B">
        <w:rPr>
          <w:lang w:val="es-ES"/>
        </w:rPr>
        <w:lastRenderedPageBreak/>
        <w:t>El Proyecto se ha terminado y su clausura oficial tendrá lugar en el curso de 2017.  El saldo presupuesto estimado de 487.273</w:t>
      </w:r>
      <w:r w:rsidRPr="00102A5B">
        <w:rPr>
          <w:rStyle w:val="FootnoteReference"/>
          <w:lang w:val="es-ES"/>
        </w:rPr>
        <w:footnoteReference w:id="121"/>
      </w:r>
      <w:r w:rsidRPr="00102A5B">
        <w:rPr>
          <w:lang w:val="es-ES"/>
        </w:rPr>
        <w:t xml:space="preserve"> francos suizos se devo</w:t>
      </w:r>
      <w:r w:rsidR="00EF3DB5">
        <w:rPr>
          <w:lang w:val="es-ES"/>
        </w:rPr>
        <w:t>lverá a las reservas a fines de </w:t>
      </w:r>
      <w:r w:rsidRPr="00102A5B">
        <w:rPr>
          <w:lang w:val="es-ES"/>
        </w:rPr>
        <w:t>2017.</w:t>
      </w:r>
    </w:p>
    <w:p w:rsidR="00BE17BF" w:rsidRPr="00102A5B" w:rsidRDefault="00BE17BF" w:rsidP="00027A9C">
      <w:pPr>
        <w:rPr>
          <w:bCs/>
          <w:sz w:val="20"/>
          <w:szCs w:val="22"/>
        </w:rPr>
      </w:pPr>
    </w:p>
    <w:p w:rsidR="00BE17BF" w:rsidRPr="00102A5B" w:rsidRDefault="00BE17BF" w:rsidP="00027A9C">
      <w:pPr>
        <w:rPr>
          <w:bCs/>
          <w:sz w:val="20"/>
          <w:szCs w:val="22"/>
        </w:rPr>
      </w:pPr>
      <w:r w:rsidRPr="00102A5B">
        <w:rPr>
          <w:bCs/>
          <w:sz w:val="20"/>
          <w:szCs w:val="22"/>
        </w:rPr>
        <w:t>OBTENCIÓN DE BENEFICIOS</w:t>
      </w:r>
    </w:p>
    <w:p w:rsidR="00BE17BF" w:rsidRPr="00102A5B" w:rsidRDefault="00BE17BF" w:rsidP="00027A9C">
      <w:pPr>
        <w:rPr>
          <w:sz w:val="20"/>
        </w:rPr>
      </w:pPr>
    </w:p>
    <w:tbl>
      <w:tblPr>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097"/>
        <w:gridCol w:w="3096"/>
        <w:gridCol w:w="3094"/>
      </w:tblGrid>
      <w:tr w:rsidR="00BE17BF" w:rsidRPr="00102A5B" w:rsidTr="00027A9C">
        <w:trPr>
          <w:trHeight w:val="314"/>
          <w:tblHeader/>
        </w:trPr>
        <w:tc>
          <w:tcPr>
            <w:tcW w:w="1667" w:type="pct"/>
            <w:shd w:val="clear" w:color="auto" w:fill="C6D9F1" w:themeFill="text2" w:themeFillTint="33"/>
            <w:tcMar>
              <w:top w:w="113" w:type="dxa"/>
              <w:bottom w:w="113" w:type="dxa"/>
            </w:tcMar>
            <w:vAlign w:val="center"/>
          </w:tcPr>
          <w:p w:rsidR="00BE17BF" w:rsidRPr="00102A5B" w:rsidRDefault="00BE17BF" w:rsidP="00027A9C">
            <w:pPr>
              <w:jc w:val="center"/>
              <w:rPr>
                <w:b/>
                <w:bCs/>
                <w:sz w:val="16"/>
                <w:szCs w:val="16"/>
              </w:rPr>
            </w:pPr>
            <w:r w:rsidRPr="00102A5B">
              <w:rPr>
                <w:b/>
                <w:bCs/>
                <w:sz w:val="16"/>
                <w:szCs w:val="16"/>
              </w:rPr>
              <w:t>Beneficios obtenidos en 2014</w:t>
            </w:r>
          </w:p>
        </w:tc>
        <w:tc>
          <w:tcPr>
            <w:tcW w:w="1667" w:type="pct"/>
            <w:shd w:val="clear" w:color="auto" w:fill="C6D9F1" w:themeFill="text2" w:themeFillTint="33"/>
            <w:vAlign w:val="center"/>
          </w:tcPr>
          <w:p w:rsidR="00BE17BF" w:rsidRPr="00102A5B" w:rsidRDefault="00BE17BF" w:rsidP="00027A9C">
            <w:pPr>
              <w:jc w:val="center"/>
              <w:rPr>
                <w:b/>
                <w:bCs/>
                <w:sz w:val="16"/>
                <w:szCs w:val="16"/>
              </w:rPr>
            </w:pPr>
            <w:r w:rsidRPr="00102A5B">
              <w:rPr>
                <w:b/>
                <w:bCs/>
                <w:sz w:val="16"/>
                <w:szCs w:val="16"/>
              </w:rPr>
              <w:t>Beneficios obtenidos en 2015</w:t>
            </w:r>
          </w:p>
        </w:tc>
        <w:tc>
          <w:tcPr>
            <w:tcW w:w="1666" w:type="pct"/>
            <w:shd w:val="clear" w:color="auto" w:fill="C6D9F1" w:themeFill="text2" w:themeFillTint="33"/>
            <w:vAlign w:val="center"/>
          </w:tcPr>
          <w:p w:rsidR="00BE17BF" w:rsidRPr="00102A5B" w:rsidRDefault="00BE17BF" w:rsidP="00027A9C">
            <w:pPr>
              <w:jc w:val="center"/>
              <w:rPr>
                <w:bCs/>
                <w:i/>
                <w:sz w:val="16"/>
                <w:szCs w:val="16"/>
              </w:rPr>
            </w:pPr>
            <w:r w:rsidRPr="00102A5B">
              <w:rPr>
                <w:b/>
                <w:bCs/>
                <w:sz w:val="16"/>
                <w:szCs w:val="16"/>
              </w:rPr>
              <w:t>Beneficios obtenidos en 2016</w:t>
            </w:r>
          </w:p>
        </w:tc>
      </w:tr>
      <w:tr w:rsidR="00BE17BF" w:rsidRPr="00102A5B" w:rsidTr="00027A9C">
        <w:trPr>
          <w:trHeight w:val="564"/>
        </w:trPr>
        <w:tc>
          <w:tcPr>
            <w:tcW w:w="1667" w:type="pct"/>
            <w:shd w:val="clear" w:color="auto" w:fill="auto"/>
            <w:tcMar>
              <w:top w:w="113" w:type="dxa"/>
              <w:bottom w:w="113" w:type="dxa"/>
            </w:tcMar>
          </w:tcPr>
          <w:p w:rsidR="00BE17BF" w:rsidRPr="00102A5B" w:rsidRDefault="00BE17BF" w:rsidP="00027A9C">
            <w:pPr>
              <w:rPr>
                <w:bCs/>
                <w:sz w:val="16"/>
                <w:szCs w:val="16"/>
              </w:rPr>
            </w:pPr>
            <w:r w:rsidRPr="00102A5B">
              <w:rPr>
                <w:bCs/>
                <w:sz w:val="16"/>
                <w:szCs w:val="16"/>
              </w:rPr>
              <w:t>Puesta en servicio del sistema de refrigeración del edificio AB el 13 de agosto de 2014;  reducción parcial del consumo de energía eléctrica</w:t>
            </w:r>
          </w:p>
        </w:tc>
        <w:tc>
          <w:tcPr>
            <w:tcW w:w="1667" w:type="pct"/>
          </w:tcPr>
          <w:p w:rsidR="00BE17BF" w:rsidRPr="00102A5B" w:rsidRDefault="00BE17BF" w:rsidP="00027A9C">
            <w:pPr>
              <w:rPr>
                <w:bCs/>
                <w:sz w:val="16"/>
                <w:szCs w:val="16"/>
              </w:rPr>
            </w:pPr>
            <w:r w:rsidRPr="00102A5B">
              <w:rPr>
                <w:bCs/>
                <w:sz w:val="16"/>
                <w:szCs w:val="16"/>
              </w:rPr>
              <w:t>Reducción del uso de energía eléctrica y del impacto medioambiental del consumo de electricidad necesario para refrigerar el edificio AB</w:t>
            </w:r>
          </w:p>
        </w:tc>
        <w:tc>
          <w:tcPr>
            <w:tcW w:w="1666" w:type="pct"/>
          </w:tcPr>
          <w:p w:rsidR="00BE17BF" w:rsidRPr="00102A5B" w:rsidRDefault="00BE17BF" w:rsidP="00027A9C">
            <w:pPr>
              <w:rPr>
                <w:bCs/>
                <w:iCs/>
                <w:sz w:val="16"/>
                <w:szCs w:val="16"/>
              </w:rPr>
            </w:pPr>
            <w:r w:rsidRPr="00102A5B">
              <w:rPr>
                <w:bCs/>
                <w:iCs/>
                <w:sz w:val="16"/>
                <w:szCs w:val="16"/>
              </w:rPr>
              <w:t>Reducción del consumo de electricidad y del impacto medioambiental del uso de electricidad para refrigerar el edificio PCT</w:t>
            </w:r>
          </w:p>
        </w:tc>
      </w:tr>
      <w:tr w:rsidR="00BE17BF" w:rsidRPr="00102A5B" w:rsidTr="00027A9C">
        <w:trPr>
          <w:trHeight w:val="516"/>
        </w:trPr>
        <w:tc>
          <w:tcPr>
            <w:tcW w:w="1667" w:type="pct"/>
            <w:shd w:val="clear" w:color="auto" w:fill="auto"/>
            <w:tcMar>
              <w:top w:w="113" w:type="dxa"/>
              <w:bottom w:w="113" w:type="dxa"/>
            </w:tcMar>
          </w:tcPr>
          <w:p w:rsidR="00BE17BF" w:rsidRPr="00102A5B" w:rsidRDefault="00BE17BF" w:rsidP="00027A9C">
            <w:pPr>
              <w:rPr>
                <w:bCs/>
                <w:sz w:val="16"/>
                <w:szCs w:val="16"/>
              </w:rPr>
            </w:pPr>
          </w:p>
        </w:tc>
        <w:tc>
          <w:tcPr>
            <w:tcW w:w="1667" w:type="pct"/>
          </w:tcPr>
          <w:p w:rsidR="00BE17BF" w:rsidRPr="00102A5B" w:rsidRDefault="00BE17BF" w:rsidP="00027A9C">
            <w:pPr>
              <w:rPr>
                <w:bCs/>
                <w:sz w:val="16"/>
                <w:szCs w:val="16"/>
              </w:rPr>
            </w:pPr>
            <w:r w:rsidRPr="00102A5B">
              <w:rPr>
                <w:bCs/>
                <w:sz w:val="16"/>
                <w:szCs w:val="16"/>
              </w:rPr>
              <w:t>Reducción de los costos de mantenimiento correctivo del sistema de refrigeración del edificio AB</w:t>
            </w:r>
          </w:p>
        </w:tc>
        <w:tc>
          <w:tcPr>
            <w:tcW w:w="1666" w:type="pct"/>
          </w:tcPr>
          <w:p w:rsidR="00BE17BF" w:rsidRPr="00102A5B" w:rsidRDefault="00BE17BF" w:rsidP="00027A9C">
            <w:pPr>
              <w:rPr>
                <w:bCs/>
                <w:iCs/>
                <w:sz w:val="16"/>
                <w:szCs w:val="16"/>
              </w:rPr>
            </w:pPr>
            <w:r w:rsidRPr="00102A5B">
              <w:rPr>
                <w:bCs/>
                <w:iCs/>
                <w:sz w:val="16"/>
                <w:szCs w:val="16"/>
              </w:rPr>
              <w:t>Reducción de los costos de mantenimiento correctivo del sistema de refrigeración del edificio PCT</w:t>
            </w:r>
          </w:p>
        </w:tc>
      </w:tr>
      <w:tr w:rsidR="00BE17BF" w:rsidRPr="00102A5B" w:rsidTr="00027A9C">
        <w:trPr>
          <w:trHeight w:val="414"/>
        </w:trPr>
        <w:tc>
          <w:tcPr>
            <w:tcW w:w="1667" w:type="pct"/>
            <w:shd w:val="clear" w:color="auto" w:fill="auto"/>
            <w:tcMar>
              <w:top w:w="113" w:type="dxa"/>
              <w:bottom w:w="113" w:type="dxa"/>
            </w:tcMar>
          </w:tcPr>
          <w:p w:rsidR="00BE17BF" w:rsidRPr="00102A5B" w:rsidRDefault="00BE17BF" w:rsidP="00027A9C">
            <w:pPr>
              <w:rPr>
                <w:b/>
                <w:bCs/>
                <w:sz w:val="16"/>
                <w:szCs w:val="16"/>
                <w:u w:val="single"/>
              </w:rPr>
            </w:pPr>
          </w:p>
        </w:tc>
        <w:tc>
          <w:tcPr>
            <w:tcW w:w="1667" w:type="pct"/>
          </w:tcPr>
          <w:p w:rsidR="00BE17BF" w:rsidRPr="00102A5B" w:rsidRDefault="00BE17BF" w:rsidP="00027A9C">
            <w:pPr>
              <w:rPr>
                <w:bCs/>
                <w:sz w:val="16"/>
                <w:szCs w:val="16"/>
              </w:rPr>
            </w:pPr>
            <w:r w:rsidRPr="00102A5B">
              <w:rPr>
                <w:bCs/>
                <w:sz w:val="16"/>
                <w:szCs w:val="16"/>
              </w:rPr>
              <w:t>Aumento del ciclo de vida útil del sistema de refrigeración del edificio AB</w:t>
            </w:r>
          </w:p>
        </w:tc>
        <w:tc>
          <w:tcPr>
            <w:tcW w:w="1666" w:type="pct"/>
          </w:tcPr>
          <w:p w:rsidR="00BE17BF" w:rsidRPr="00102A5B" w:rsidRDefault="00BE17BF" w:rsidP="00027A9C">
            <w:pPr>
              <w:rPr>
                <w:bCs/>
                <w:iCs/>
                <w:sz w:val="16"/>
                <w:szCs w:val="16"/>
              </w:rPr>
            </w:pPr>
            <w:r w:rsidRPr="00102A5B">
              <w:rPr>
                <w:bCs/>
                <w:iCs/>
                <w:sz w:val="16"/>
                <w:szCs w:val="16"/>
              </w:rPr>
              <w:t>Aumento del ciclo de vida útil del sistema de refrigeración del edificio PCT</w:t>
            </w:r>
          </w:p>
        </w:tc>
      </w:tr>
      <w:tr w:rsidR="00BE17BF" w:rsidRPr="00102A5B" w:rsidTr="00027A9C">
        <w:trPr>
          <w:trHeight w:val="564"/>
        </w:trPr>
        <w:tc>
          <w:tcPr>
            <w:tcW w:w="1667" w:type="pct"/>
            <w:shd w:val="clear" w:color="auto" w:fill="auto"/>
            <w:tcMar>
              <w:top w:w="113" w:type="dxa"/>
              <w:bottom w:w="113" w:type="dxa"/>
            </w:tcMar>
          </w:tcPr>
          <w:p w:rsidR="00BE17BF" w:rsidRPr="00102A5B" w:rsidRDefault="00BE17BF" w:rsidP="00027A9C">
            <w:pPr>
              <w:rPr>
                <w:b/>
                <w:bCs/>
                <w:sz w:val="16"/>
                <w:szCs w:val="16"/>
                <w:u w:val="single"/>
              </w:rPr>
            </w:pPr>
          </w:p>
        </w:tc>
        <w:tc>
          <w:tcPr>
            <w:tcW w:w="1667" w:type="pct"/>
          </w:tcPr>
          <w:p w:rsidR="00BE17BF" w:rsidRPr="00102A5B" w:rsidRDefault="00BE17BF" w:rsidP="00027A9C">
            <w:pPr>
              <w:rPr>
                <w:bCs/>
                <w:sz w:val="16"/>
                <w:szCs w:val="16"/>
              </w:rPr>
            </w:pPr>
            <w:r w:rsidRPr="00102A5B">
              <w:rPr>
                <w:bCs/>
                <w:sz w:val="16"/>
                <w:szCs w:val="16"/>
              </w:rPr>
              <w:t>Instalación y mantenimiento de un sistema de refrigeración más respetuoso del medio ambiente en el edificio AB</w:t>
            </w:r>
          </w:p>
        </w:tc>
        <w:tc>
          <w:tcPr>
            <w:tcW w:w="1666" w:type="pct"/>
          </w:tcPr>
          <w:p w:rsidR="00BE17BF" w:rsidRPr="00102A5B" w:rsidRDefault="00BE17BF" w:rsidP="00027A9C">
            <w:pPr>
              <w:rPr>
                <w:bCs/>
                <w:iCs/>
                <w:sz w:val="16"/>
                <w:szCs w:val="16"/>
              </w:rPr>
            </w:pPr>
            <w:r w:rsidRPr="00102A5B">
              <w:rPr>
                <w:bCs/>
                <w:iCs/>
                <w:sz w:val="16"/>
                <w:szCs w:val="16"/>
              </w:rPr>
              <w:t>Instalación y mantenimiento de un sistema de refrigeración más respetuoso del medio ambiente en el edificio PCT</w:t>
            </w:r>
          </w:p>
        </w:tc>
      </w:tr>
      <w:tr w:rsidR="00BE17BF" w:rsidRPr="00102A5B" w:rsidTr="00027A9C">
        <w:trPr>
          <w:trHeight w:val="564"/>
        </w:trPr>
        <w:tc>
          <w:tcPr>
            <w:tcW w:w="1667" w:type="pct"/>
            <w:shd w:val="clear" w:color="auto" w:fill="auto"/>
            <w:tcMar>
              <w:top w:w="113" w:type="dxa"/>
              <w:bottom w:w="113" w:type="dxa"/>
            </w:tcMar>
          </w:tcPr>
          <w:p w:rsidR="00BE17BF" w:rsidRPr="00102A5B" w:rsidRDefault="00BE17BF" w:rsidP="00027A9C">
            <w:pPr>
              <w:rPr>
                <w:b/>
                <w:bCs/>
                <w:sz w:val="16"/>
                <w:szCs w:val="16"/>
                <w:u w:val="single"/>
              </w:rPr>
            </w:pPr>
          </w:p>
        </w:tc>
        <w:tc>
          <w:tcPr>
            <w:tcW w:w="1667" w:type="pct"/>
          </w:tcPr>
          <w:p w:rsidR="00BE17BF" w:rsidRPr="00102A5B" w:rsidRDefault="00BE17BF" w:rsidP="00027A9C">
            <w:pPr>
              <w:rPr>
                <w:bCs/>
                <w:sz w:val="16"/>
                <w:szCs w:val="16"/>
              </w:rPr>
            </w:pPr>
            <w:r w:rsidRPr="00102A5B">
              <w:rPr>
                <w:bCs/>
                <w:sz w:val="16"/>
                <w:szCs w:val="16"/>
              </w:rPr>
              <w:t>Puesta en servicio del sistema de refrigeración del edificio PCT en octubre de 2015 y reducción parcial del consumo de electricidad</w:t>
            </w:r>
          </w:p>
        </w:tc>
        <w:tc>
          <w:tcPr>
            <w:tcW w:w="1666" w:type="pct"/>
          </w:tcPr>
          <w:p w:rsidR="00BE17BF" w:rsidRPr="00102A5B" w:rsidRDefault="00BE17BF" w:rsidP="00027A9C">
            <w:pPr>
              <w:rPr>
                <w:bCs/>
                <w:iCs/>
                <w:sz w:val="16"/>
                <w:szCs w:val="16"/>
              </w:rPr>
            </w:pPr>
          </w:p>
        </w:tc>
      </w:tr>
    </w:tbl>
    <w:p w:rsidR="00BE17BF" w:rsidRPr="00102A5B" w:rsidRDefault="00BE17BF" w:rsidP="00027A9C">
      <w:pPr>
        <w:rPr>
          <w:sz w:val="20"/>
        </w:rPr>
      </w:pPr>
    </w:p>
    <w:p w:rsidR="00BE17BF" w:rsidRPr="00102A5B" w:rsidRDefault="00BE17BF" w:rsidP="00027A9C">
      <w:pPr>
        <w:rPr>
          <w:sz w:val="20"/>
        </w:rPr>
      </w:pPr>
    </w:p>
    <w:p w:rsidR="00BE17BF" w:rsidRPr="00102A5B" w:rsidRDefault="00BE17BF" w:rsidP="00027A9C">
      <w:pPr>
        <w:rPr>
          <w:sz w:val="20"/>
        </w:rPr>
      </w:pPr>
      <w:r w:rsidRPr="00102A5B">
        <w:rPr>
          <w:sz w:val="20"/>
        </w:rPr>
        <w:t>UTILIZACIÓN DE LOS RECURSOS</w:t>
      </w:r>
      <w:r w:rsidRPr="00102A5B">
        <w:rPr>
          <w:rStyle w:val="FootnoteReference"/>
          <w:sz w:val="20"/>
        </w:rPr>
        <w:footnoteReference w:id="122"/>
      </w:r>
    </w:p>
    <w:p w:rsidR="00BE17BF" w:rsidRPr="00102A5B" w:rsidRDefault="00BE17BF" w:rsidP="00027A9C">
      <w:pPr>
        <w:rPr>
          <w:sz w:val="20"/>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134"/>
        <w:gridCol w:w="1373"/>
        <w:gridCol w:w="1514"/>
        <w:gridCol w:w="1391"/>
        <w:gridCol w:w="1634"/>
      </w:tblGrid>
      <w:tr w:rsidR="00BE17BF" w:rsidRPr="00102A5B" w:rsidTr="00027A9C">
        <w:trPr>
          <w:trHeight w:val="410"/>
        </w:trPr>
        <w:tc>
          <w:tcPr>
            <w:tcW w:w="173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Nombre del proyecto</w:t>
            </w:r>
          </w:p>
        </w:tc>
        <w:tc>
          <w:tcPr>
            <w:tcW w:w="759"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3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769"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903"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732" w:type="pct"/>
            <w:vAlign w:val="center"/>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Instalación en los edificios AB y PCT de un sistema de refrigeración que utiliza el agua del lago de Ginebra (“GLN”)</w:t>
            </w:r>
          </w:p>
        </w:tc>
        <w:tc>
          <w:tcPr>
            <w:tcW w:w="759"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750.000</w:t>
            </w:r>
          </w:p>
        </w:tc>
        <w:tc>
          <w:tcPr>
            <w:tcW w:w="837"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262.727</w:t>
            </w:r>
          </w:p>
        </w:tc>
        <w:tc>
          <w:tcPr>
            <w:tcW w:w="769"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35%</w:t>
            </w:r>
          </w:p>
        </w:tc>
        <w:tc>
          <w:tcPr>
            <w:tcW w:w="903"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AB 100%</w:t>
            </w:r>
          </w:p>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PCT 95%</w:t>
            </w:r>
          </w:p>
        </w:tc>
      </w:tr>
    </w:tbl>
    <w:p w:rsidR="00BE17BF" w:rsidRPr="00102A5B" w:rsidRDefault="00BE17BF" w:rsidP="00027A9C">
      <w:pPr>
        <w:tabs>
          <w:tab w:val="left" w:pos="1588"/>
        </w:tabs>
        <w:rPr>
          <w:sz w:val="16"/>
          <w:szCs w:val="16"/>
        </w:rPr>
      </w:pPr>
    </w:p>
    <w:p w:rsidR="00BE17BF" w:rsidRPr="00102A5B" w:rsidRDefault="00BE17BF" w:rsidP="00027A9C">
      <w:pPr>
        <w:tabs>
          <w:tab w:val="left" w:pos="3261"/>
        </w:tabs>
        <w:autoSpaceDE w:val="0"/>
        <w:autoSpaceDN w:val="0"/>
        <w:adjustRightInd w:val="0"/>
        <w:jc w:val="center"/>
        <w:rPr>
          <w:b/>
          <w:sz w:val="20"/>
          <w:szCs w:val="22"/>
        </w:rPr>
      </w:pPr>
      <w:r w:rsidRPr="00102A5B">
        <w:rPr>
          <w:b/>
          <w:sz w:val="20"/>
          <w:szCs w:val="22"/>
        </w:rPr>
        <w:t>Utilización del presupuesto del proyecto (por etapa)</w:t>
      </w:r>
    </w:p>
    <w:p w:rsidR="00BE17BF" w:rsidRPr="00102A5B" w:rsidRDefault="00BE17BF" w:rsidP="00027A9C">
      <w:pPr>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14" w:tblpY="17"/>
        <w:tblW w:w="490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203"/>
        <w:gridCol w:w="1372"/>
        <w:gridCol w:w="1514"/>
        <w:gridCol w:w="1372"/>
        <w:gridCol w:w="1651"/>
      </w:tblGrid>
      <w:tr w:rsidR="00BE17BF" w:rsidRPr="00102A5B" w:rsidTr="00027A9C">
        <w:trPr>
          <w:trHeight w:val="389"/>
        </w:trPr>
        <w:tc>
          <w:tcPr>
            <w:tcW w:w="1757" w:type="pct"/>
            <w:shd w:val="clear" w:color="auto" w:fill="C6D9F1" w:themeFill="text2" w:themeFillTint="33"/>
            <w:vAlign w:val="center"/>
          </w:tcPr>
          <w:p w:rsidR="00BE17BF" w:rsidRPr="00102A5B" w:rsidRDefault="00BE17BF" w:rsidP="00027A9C">
            <w:pPr>
              <w:autoSpaceDE w:val="0"/>
              <w:autoSpaceDN w:val="0"/>
              <w:adjustRightInd w:val="0"/>
              <w:spacing w:before="40" w:after="40"/>
              <w:ind w:left="-74" w:right="-60"/>
              <w:jc w:val="center"/>
              <w:rPr>
                <w:b/>
                <w:bCs/>
                <w:sz w:val="16"/>
                <w:szCs w:val="16"/>
              </w:rPr>
            </w:pPr>
            <w:r w:rsidRPr="00102A5B">
              <w:rPr>
                <w:b/>
                <w:bCs/>
                <w:sz w:val="16"/>
                <w:szCs w:val="16"/>
              </w:rPr>
              <w:t>Etapa fundamental</w:t>
            </w:r>
          </w:p>
        </w:tc>
        <w:tc>
          <w:tcPr>
            <w:tcW w:w="753"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31"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753"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906" w:type="pct"/>
            <w:shd w:val="clear" w:color="auto" w:fill="C6D9F1" w:themeFill="text2" w:themeFillTint="33"/>
            <w:vAlign w:val="center"/>
          </w:tcPr>
          <w:p w:rsidR="00BE17BF" w:rsidRPr="00102A5B" w:rsidRDefault="00BE17BF" w:rsidP="00027A9C">
            <w:pPr>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69"/>
        </w:trPr>
        <w:tc>
          <w:tcPr>
            <w:tcW w:w="1757" w:type="pct"/>
            <w:vAlign w:val="center"/>
          </w:tcPr>
          <w:p w:rsidR="00BE17BF" w:rsidRPr="00102A5B" w:rsidRDefault="00BE17BF" w:rsidP="00027A9C">
            <w:pPr>
              <w:autoSpaceDE w:val="0"/>
              <w:autoSpaceDN w:val="0"/>
              <w:adjustRightInd w:val="0"/>
              <w:spacing w:before="40" w:after="40"/>
              <w:rPr>
                <w:sz w:val="16"/>
                <w:szCs w:val="16"/>
              </w:rPr>
            </w:pPr>
            <w:r w:rsidRPr="00102A5B">
              <w:rPr>
                <w:sz w:val="16"/>
                <w:szCs w:val="16"/>
              </w:rPr>
              <w:t>Adjudicación del contrato al ingeniero en climatización para el edificio AB</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30.000</w:t>
            </w:r>
          </w:p>
        </w:tc>
        <w:tc>
          <w:tcPr>
            <w:tcW w:w="831"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16.200</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54%</w:t>
            </w:r>
          </w:p>
        </w:tc>
        <w:tc>
          <w:tcPr>
            <w:tcW w:w="90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100%</w:t>
            </w:r>
          </w:p>
        </w:tc>
      </w:tr>
      <w:tr w:rsidR="00BE17BF" w:rsidRPr="00102A5B" w:rsidTr="00027A9C">
        <w:trPr>
          <w:trHeight w:val="369"/>
        </w:trPr>
        <w:tc>
          <w:tcPr>
            <w:tcW w:w="1757" w:type="pct"/>
            <w:vAlign w:val="center"/>
          </w:tcPr>
          <w:p w:rsidR="00BE17BF" w:rsidRPr="00102A5B" w:rsidRDefault="00BE17BF" w:rsidP="00027A9C">
            <w:pPr>
              <w:autoSpaceDE w:val="0"/>
              <w:autoSpaceDN w:val="0"/>
              <w:adjustRightInd w:val="0"/>
              <w:spacing w:before="40" w:after="40"/>
              <w:rPr>
                <w:sz w:val="16"/>
                <w:szCs w:val="16"/>
              </w:rPr>
            </w:pPr>
            <w:r w:rsidRPr="00102A5B">
              <w:rPr>
                <w:sz w:val="16"/>
                <w:szCs w:val="16"/>
              </w:rPr>
              <w:t>Adjudicación del contrato al ingeniero para el edificio PCT</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83.000</w:t>
            </w:r>
          </w:p>
        </w:tc>
        <w:tc>
          <w:tcPr>
            <w:tcW w:w="831"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43.440</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52,3%</w:t>
            </w:r>
          </w:p>
        </w:tc>
        <w:tc>
          <w:tcPr>
            <w:tcW w:w="90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100%</w:t>
            </w:r>
          </w:p>
        </w:tc>
      </w:tr>
      <w:tr w:rsidR="00BE17BF" w:rsidRPr="00102A5B" w:rsidTr="00027A9C">
        <w:trPr>
          <w:trHeight w:val="369"/>
        </w:trPr>
        <w:tc>
          <w:tcPr>
            <w:tcW w:w="1757" w:type="pct"/>
            <w:vAlign w:val="center"/>
          </w:tcPr>
          <w:p w:rsidR="00BE17BF" w:rsidRPr="00102A5B" w:rsidRDefault="00BE17BF" w:rsidP="00027A9C">
            <w:pPr>
              <w:autoSpaceDE w:val="0"/>
              <w:autoSpaceDN w:val="0"/>
              <w:adjustRightInd w:val="0"/>
              <w:spacing w:before="40" w:after="40"/>
              <w:rPr>
                <w:sz w:val="16"/>
                <w:szCs w:val="16"/>
              </w:rPr>
            </w:pPr>
            <w:r w:rsidRPr="00102A5B">
              <w:rPr>
                <w:sz w:val="16"/>
                <w:szCs w:val="16"/>
              </w:rPr>
              <w:t>Puesta en servicio de las instalaciones de GLN en el edificio AB</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170.000</w:t>
            </w:r>
          </w:p>
        </w:tc>
        <w:tc>
          <w:tcPr>
            <w:tcW w:w="831"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61.791</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36,3%</w:t>
            </w:r>
          </w:p>
        </w:tc>
        <w:tc>
          <w:tcPr>
            <w:tcW w:w="90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100%</w:t>
            </w:r>
          </w:p>
        </w:tc>
      </w:tr>
      <w:tr w:rsidR="00BE17BF" w:rsidRPr="00102A5B" w:rsidTr="00027A9C">
        <w:trPr>
          <w:trHeight w:val="369"/>
        </w:trPr>
        <w:tc>
          <w:tcPr>
            <w:tcW w:w="1757" w:type="pct"/>
            <w:vAlign w:val="center"/>
          </w:tcPr>
          <w:p w:rsidR="00BE17BF" w:rsidRPr="00102A5B" w:rsidRDefault="00BE17BF" w:rsidP="00027A9C">
            <w:pPr>
              <w:autoSpaceDE w:val="0"/>
              <w:autoSpaceDN w:val="0"/>
              <w:adjustRightInd w:val="0"/>
              <w:spacing w:before="40" w:after="40"/>
              <w:rPr>
                <w:sz w:val="16"/>
                <w:szCs w:val="16"/>
              </w:rPr>
            </w:pPr>
            <w:r w:rsidRPr="00102A5B">
              <w:rPr>
                <w:sz w:val="16"/>
                <w:szCs w:val="16"/>
              </w:rPr>
              <w:t>Puesta en servicio de las instalaciones de GLN en el edificio PCT</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467.000</w:t>
            </w:r>
          </w:p>
        </w:tc>
        <w:tc>
          <w:tcPr>
            <w:tcW w:w="831"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141.296</w:t>
            </w:r>
          </w:p>
        </w:tc>
        <w:tc>
          <w:tcPr>
            <w:tcW w:w="753"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30,3%</w:t>
            </w:r>
          </w:p>
        </w:tc>
        <w:tc>
          <w:tcPr>
            <w:tcW w:w="90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95%</w:t>
            </w:r>
          </w:p>
        </w:tc>
      </w:tr>
      <w:tr w:rsidR="00BE17BF" w:rsidRPr="00102A5B" w:rsidTr="00027A9C">
        <w:trPr>
          <w:trHeight w:val="369"/>
        </w:trPr>
        <w:tc>
          <w:tcPr>
            <w:tcW w:w="1757" w:type="pct"/>
            <w:shd w:val="clear" w:color="auto" w:fill="C6D9F1" w:themeFill="text2" w:themeFillTint="33"/>
            <w:vAlign w:val="center"/>
          </w:tcPr>
          <w:p w:rsidR="00BE17BF" w:rsidRPr="00102A5B" w:rsidRDefault="00BE17BF" w:rsidP="00027A9C">
            <w:pPr>
              <w:autoSpaceDE w:val="0"/>
              <w:autoSpaceDN w:val="0"/>
              <w:adjustRightInd w:val="0"/>
              <w:spacing w:before="40" w:after="40"/>
              <w:rPr>
                <w:b/>
                <w:sz w:val="16"/>
                <w:szCs w:val="16"/>
              </w:rPr>
            </w:pPr>
            <w:r w:rsidRPr="00102A5B">
              <w:rPr>
                <w:b/>
                <w:sz w:val="16"/>
                <w:szCs w:val="16"/>
              </w:rPr>
              <w:t>Total</w:t>
            </w:r>
          </w:p>
        </w:tc>
        <w:tc>
          <w:tcPr>
            <w:tcW w:w="753" w:type="pct"/>
            <w:shd w:val="clear" w:color="auto" w:fill="C6D9F1" w:themeFill="text2" w:themeFillTint="33"/>
            <w:vAlign w:val="center"/>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750.000</w:t>
            </w:r>
          </w:p>
        </w:tc>
        <w:tc>
          <w:tcPr>
            <w:tcW w:w="831" w:type="pct"/>
            <w:shd w:val="clear" w:color="auto" w:fill="C6D9F1" w:themeFill="text2" w:themeFillTint="33"/>
            <w:vAlign w:val="center"/>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262.727</w:t>
            </w:r>
          </w:p>
        </w:tc>
        <w:tc>
          <w:tcPr>
            <w:tcW w:w="753" w:type="pct"/>
            <w:shd w:val="clear" w:color="auto" w:fill="C6D9F1" w:themeFill="text2" w:themeFillTint="33"/>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35%</w:t>
            </w:r>
          </w:p>
        </w:tc>
        <w:tc>
          <w:tcPr>
            <w:tcW w:w="906" w:type="pct"/>
            <w:shd w:val="clear" w:color="auto" w:fill="C6D9F1" w:themeFill="text2" w:themeFillTint="33"/>
          </w:tcPr>
          <w:p w:rsidR="00BE17BF" w:rsidRPr="00102A5B" w:rsidRDefault="00BE17BF" w:rsidP="00027A9C">
            <w:pPr>
              <w:autoSpaceDE w:val="0"/>
              <w:autoSpaceDN w:val="0"/>
              <w:adjustRightInd w:val="0"/>
              <w:spacing w:before="40" w:after="40"/>
              <w:jc w:val="center"/>
              <w:rPr>
                <w:b/>
                <w:sz w:val="16"/>
                <w:szCs w:val="16"/>
              </w:rPr>
            </w:pPr>
          </w:p>
        </w:tc>
      </w:tr>
    </w:tbl>
    <w:p w:rsidR="00BE17BF" w:rsidRPr="00102A5B" w:rsidRDefault="00BE17BF" w:rsidP="00027A9C">
      <w:pPr>
        <w:tabs>
          <w:tab w:val="left" w:pos="3261"/>
        </w:tabs>
        <w:autoSpaceDE w:val="0"/>
        <w:autoSpaceDN w:val="0"/>
        <w:adjustRightInd w:val="0"/>
        <w:rPr>
          <w:sz w:val="20"/>
          <w:szCs w:val="22"/>
        </w:rPr>
      </w:pPr>
    </w:p>
    <w:p w:rsidR="00BE17BF" w:rsidRPr="00102A5B" w:rsidRDefault="00BE17BF">
      <w:pPr>
        <w:rPr>
          <w:b/>
          <w:sz w:val="20"/>
          <w:szCs w:val="22"/>
        </w:rPr>
      </w:pPr>
      <w:r w:rsidRPr="00102A5B">
        <w:rPr>
          <w:b/>
          <w:sz w:val="20"/>
          <w:szCs w:val="22"/>
        </w:rPr>
        <w:br w:type="page"/>
      </w:r>
    </w:p>
    <w:p w:rsidR="00BE17BF" w:rsidRPr="00102A5B" w:rsidRDefault="00BE17BF" w:rsidP="00027A9C">
      <w:pPr>
        <w:tabs>
          <w:tab w:val="left" w:pos="3261"/>
        </w:tabs>
        <w:autoSpaceDE w:val="0"/>
        <w:autoSpaceDN w:val="0"/>
        <w:adjustRightInd w:val="0"/>
        <w:jc w:val="center"/>
        <w:rPr>
          <w:b/>
          <w:sz w:val="20"/>
          <w:szCs w:val="22"/>
        </w:rPr>
      </w:pPr>
      <w:r w:rsidRPr="00102A5B">
        <w:rPr>
          <w:b/>
          <w:sz w:val="20"/>
          <w:szCs w:val="22"/>
        </w:rPr>
        <w:lastRenderedPageBreak/>
        <w:t>Utilización del presupuesto del proyecto (por categoría de costo)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W w:w="4888"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32"/>
        <w:gridCol w:w="1883"/>
        <w:gridCol w:w="1883"/>
        <w:gridCol w:w="1881"/>
      </w:tblGrid>
      <w:tr w:rsidR="00BE17BF" w:rsidRPr="00102A5B" w:rsidTr="00027A9C">
        <w:trPr>
          <w:trHeight w:val="569"/>
        </w:trPr>
        <w:tc>
          <w:tcPr>
            <w:tcW w:w="1890"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ind w:left="-74" w:right="-60"/>
              <w:jc w:val="center"/>
              <w:rPr>
                <w:b/>
                <w:bCs/>
                <w:sz w:val="16"/>
                <w:szCs w:val="16"/>
              </w:rPr>
            </w:pPr>
            <w:r w:rsidRPr="00102A5B">
              <w:rPr>
                <w:b/>
                <w:bCs/>
                <w:sz w:val="16"/>
                <w:szCs w:val="16"/>
              </w:rPr>
              <w:t>Categoría de costo</w:t>
            </w:r>
          </w:p>
        </w:tc>
        <w:tc>
          <w:tcPr>
            <w:tcW w:w="103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103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103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r>
      <w:tr w:rsidR="00BE17BF" w:rsidRPr="00102A5B" w:rsidTr="00027A9C">
        <w:tc>
          <w:tcPr>
            <w:tcW w:w="1890" w:type="pct"/>
            <w:vAlign w:val="center"/>
          </w:tcPr>
          <w:p w:rsidR="00BE17BF" w:rsidRPr="00102A5B" w:rsidRDefault="00BE17BF" w:rsidP="00027A9C">
            <w:pPr>
              <w:autoSpaceDE w:val="0"/>
              <w:autoSpaceDN w:val="0"/>
              <w:adjustRightInd w:val="0"/>
              <w:spacing w:before="40" w:after="40" w:line="260" w:lineRule="exact"/>
              <w:rPr>
                <w:sz w:val="16"/>
                <w:szCs w:val="16"/>
              </w:rPr>
            </w:pPr>
            <w:r w:rsidRPr="00102A5B">
              <w:rPr>
                <w:sz w:val="16"/>
                <w:szCs w:val="16"/>
              </w:rPr>
              <w:t xml:space="preserve">Costos relacionados con las obras </w:t>
            </w:r>
          </w:p>
        </w:tc>
        <w:tc>
          <w:tcPr>
            <w:tcW w:w="1037" w:type="pct"/>
            <w:vAlign w:val="center"/>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585.000</w:t>
            </w:r>
          </w:p>
        </w:tc>
        <w:tc>
          <w:tcPr>
            <w:tcW w:w="1037" w:type="pct"/>
            <w:vAlign w:val="center"/>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203.087</w:t>
            </w:r>
          </w:p>
        </w:tc>
        <w:tc>
          <w:tcPr>
            <w:tcW w:w="1037" w:type="pct"/>
            <w:vAlign w:val="center"/>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34,7%</w:t>
            </w:r>
          </w:p>
        </w:tc>
      </w:tr>
      <w:tr w:rsidR="00BE17BF" w:rsidRPr="00102A5B" w:rsidTr="00027A9C">
        <w:tc>
          <w:tcPr>
            <w:tcW w:w="1890" w:type="pct"/>
            <w:vAlign w:val="center"/>
          </w:tcPr>
          <w:p w:rsidR="00BE17BF" w:rsidRPr="00102A5B" w:rsidRDefault="00BE17BF" w:rsidP="00027A9C">
            <w:pPr>
              <w:autoSpaceDE w:val="0"/>
              <w:autoSpaceDN w:val="0"/>
              <w:adjustRightInd w:val="0"/>
              <w:spacing w:before="40" w:after="40" w:line="260" w:lineRule="exact"/>
              <w:rPr>
                <w:sz w:val="16"/>
                <w:szCs w:val="16"/>
              </w:rPr>
            </w:pPr>
            <w:r w:rsidRPr="00102A5B">
              <w:rPr>
                <w:sz w:val="16"/>
                <w:szCs w:val="16"/>
              </w:rPr>
              <w:t>Honorarios</w:t>
            </w:r>
          </w:p>
        </w:tc>
        <w:tc>
          <w:tcPr>
            <w:tcW w:w="1037" w:type="pct"/>
            <w:vAlign w:val="center"/>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113.000</w:t>
            </w:r>
          </w:p>
        </w:tc>
        <w:tc>
          <w:tcPr>
            <w:tcW w:w="1037" w:type="pct"/>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59.640</w:t>
            </w:r>
          </w:p>
        </w:tc>
        <w:tc>
          <w:tcPr>
            <w:tcW w:w="1037" w:type="pct"/>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52,8%</w:t>
            </w:r>
          </w:p>
        </w:tc>
      </w:tr>
      <w:tr w:rsidR="00BE17BF" w:rsidRPr="00102A5B" w:rsidTr="00027A9C">
        <w:tc>
          <w:tcPr>
            <w:tcW w:w="1890" w:type="pct"/>
            <w:vAlign w:val="center"/>
          </w:tcPr>
          <w:p w:rsidR="00BE17BF" w:rsidRPr="00102A5B" w:rsidRDefault="00BE17BF" w:rsidP="00027A9C">
            <w:pPr>
              <w:autoSpaceDE w:val="0"/>
              <w:autoSpaceDN w:val="0"/>
              <w:adjustRightInd w:val="0"/>
              <w:spacing w:before="40" w:after="40" w:line="260" w:lineRule="exact"/>
              <w:rPr>
                <w:sz w:val="16"/>
                <w:szCs w:val="16"/>
              </w:rPr>
            </w:pPr>
            <w:r w:rsidRPr="00102A5B">
              <w:rPr>
                <w:sz w:val="16"/>
                <w:szCs w:val="16"/>
              </w:rPr>
              <w:t xml:space="preserve">Diversos e imprevistos </w:t>
            </w:r>
          </w:p>
        </w:tc>
        <w:tc>
          <w:tcPr>
            <w:tcW w:w="1037" w:type="pct"/>
            <w:vAlign w:val="center"/>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52.000</w:t>
            </w:r>
          </w:p>
        </w:tc>
        <w:tc>
          <w:tcPr>
            <w:tcW w:w="1037" w:type="pct"/>
            <w:vAlign w:val="center"/>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w:t>
            </w:r>
          </w:p>
        </w:tc>
        <w:tc>
          <w:tcPr>
            <w:tcW w:w="1037" w:type="pct"/>
            <w:vAlign w:val="center"/>
          </w:tcPr>
          <w:p w:rsidR="00BE17BF" w:rsidRPr="00102A5B" w:rsidRDefault="00BE17BF" w:rsidP="00027A9C">
            <w:pPr>
              <w:autoSpaceDE w:val="0"/>
              <w:autoSpaceDN w:val="0"/>
              <w:adjustRightInd w:val="0"/>
              <w:spacing w:before="40" w:after="40" w:line="260" w:lineRule="exact"/>
              <w:jc w:val="center"/>
              <w:rPr>
                <w:sz w:val="16"/>
                <w:szCs w:val="16"/>
              </w:rPr>
            </w:pPr>
            <w:r w:rsidRPr="00102A5B">
              <w:rPr>
                <w:sz w:val="16"/>
                <w:szCs w:val="16"/>
              </w:rPr>
              <w:t>-</w:t>
            </w:r>
          </w:p>
        </w:tc>
      </w:tr>
      <w:tr w:rsidR="00BE17BF" w:rsidRPr="00102A5B" w:rsidTr="00027A9C">
        <w:tc>
          <w:tcPr>
            <w:tcW w:w="1890"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rPr>
                <w:b/>
                <w:sz w:val="16"/>
                <w:szCs w:val="16"/>
              </w:rPr>
            </w:pPr>
            <w:r w:rsidRPr="00102A5B">
              <w:rPr>
                <w:b/>
                <w:sz w:val="16"/>
                <w:szCs w:val="16"/>
              </w:rPr>
              <w:t>Total</w:t>
            </w:r>
          </w:p>
        </w:tc>
        <w:tc>
          <w:tcPr>
            <w:tcW w:w="1037"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750.000</w:t>
            </w:r>
          </w:p>
        </w:tc>
        <w:tc>
          <w:tcPr>
            <w:tcW w:w="1037" w:type="pct"/>
            <w:shd w:val="clear" w:color="auto" w:fill="C6D9F1" w:themeFill="text2" w:themeFillTint="33"/>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262.727</w:t>
            </w:r>
          </w:p>
        </w:tc>
        <w:tc>
          <w:tcPr>
            <w:tcW w:w="1037" w:type="pct"/>
            <w:shd w:val="clear" w:color="auto" w:fill="C6D9F1" w:themeFill="text2" w:themeFillTint="33"/>
          </w:tcPr>
          <w:p w:rsidR="00BE17BF" w:rsidRPr="00102A5B" w:rsidRDefault="00BE17BF" w:rsidP="00027A9C">
            <w:pPr>
              <w:autoSpaceDE w:val="0"/>
              <w:autoSpaceDN w:val="0"/>
              <w:adjustRightInd w:val="0"/>
              <w:spacing w:before="40" w:after="40" w:line="260" w:lineRule="exact"/>
              <w:jc w:val="center"/>
              <w:rPr>
                <w:b/>
                <w:sz w:val="16"/>
                <w:szCs w:val="16"/>
              </w:rPr>
            </w:pPr>
            <w:r w:rsidRPr="00102A5B">
              <w:rPr>
                <w:b/>
                <w:sz w:val="16"/>
                <w:szCs w:val="16"/>
              </w:rPr>
              <w:t>35%</w:t>
            </w:r>
          </w:p>
        </w:tc>
      </w:tr>
    </w:tbl>
    <w:p w:rsidR="00BE17BF" w:rsidRPr="00102A5B" w:rsidRDefault="00BE17BF" w:rsidP="00027A9C">
      <w:pPr>
        <w:rPr>
          <w:sz w:val="20"/>
        </w:rPr>
      </w:pPr>
    </w:p>
    <w:p w:rsidR="00BE17BF" w:rsidRPr="00102A5B" w:rsidRDefault="00BE17BF" w:rsidP="00027A9C">
      <w:pPr>
        <w:rPr>
          <w:sz w:val="20"/>
        </w:rPr>
      </w:pPr>
    </w:p>
    <w:p w:rsidR="00BE17BF" w:rsidRPr="00102A5B" w:rsidRDefault="00BE17BF" w:rsidP="00027A9C">
      <w:pPr>
        <w:rPr>
          <w:sz w:val="20"/>
        </w:rPr>
      </w:pPr>
      <w:r w:rsidRPr="00102A5B">
        <w:rPr>
          <w:sz w:val="20"/>
        </w:rPr>
        <w:t>RIESGOS Y ESTRATEGIAS DE MITIGACIÓN</w:t>
      </w:r>
    </w:p>
    <w:p w:rsidR="00BE17BF" w:rsidRPr="00102A5B" w:rsidRDefault="00BE17BF" w:rsidP="00027A9C">
      <w:pPr>
        <w:rPr>
          <w:sz w:val="20"/>
        </w:rPr>
      </w:pPr>
    </w:p>
    <w:tbl>
      <w:tblPr>
        <w:tblW w:w="4857"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73"/>
        <w:gridCol w:w="2751"/>
        <w:gridCol w:w="2797"/>
      </w:tblGrid>
      <w:tr w:rsidR="00BE17BF" w:rsidRPr="00102A5B" w:rsidTr="00027A9C">
        <w:trPr>
          <w:trHeight w:val="477"/>
          <w:tblHeader/>
          <w:jc w:val="center"/>
        </w:trPr>
        <w:tc>
          <w:tcPr>
            <w:tcW w:w="1925"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74" w:right="-60"/>
              <w:jc w:val="center"/>
              <w:rPr>
                <w:b/>
                <w:bCs/>
                <w:sz w:val="16"/>
                <w:szCs w:val="16"/>
              </w:rPr>
            </w:pPr>
            <w:r w:rsidRPr="00102A5B">
              <w:rPr>
                <w:b/>
                <w:bCs/>
                <w:sz w:val="16"/>
                <w:szCs w:val="16"/>
              </w:rPr>
              <w:t>Riesgo/Descripción del riesgo</w:t>
            </w:r>
          </w:p>
        </w:tc>
        <w:tc>
          <w:tcPr>
            <w:tcW w:w="1525"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Mitigación del riesgo</w:t>
            </w:r>
            <w:r w:rsidRPr="00102A5B" w:rsidDel="003965B5">
              <w:rPr>
                <w:b/>
                <w:bCs/>
                <w:sz w:val="16"/>
                <w:szCs w:val="16"/>
              </w:rPr>
              <w:t xml:space="preserve"> </w:t>
            </w:r>
          </w:p>
        </w:tc>
        <w:tc>
          <w:tcPr>
            <w:tcW w:w="1550"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109"/>
              <w:jc w:val="center"/>
              <w:rPr>
                <w:b/>
                <w:bCs/>
                <w:sz w:val="16"/>
                <w:szCs w:val="16"/>
              </w:rPr>
            </w:pPr>
            <w:r w:rsidRPr="00102A5B">
              <w:rPr>
                <w:b/>
                <w:bCs/>
                <w:sz w:val="16"/>
                <w:szCs w:val="16"/>
              </w:rPr>
              <w:t>Comentario</w:t>
            </w:r>
          </w:p>
        </w:tc>
      </w:tr>
      <w:tr w:rsidR="00BE17BF" w:rsidRPr="00102A5B" w:rsidTr="00027A9C">
        <w:trPr>
          <w:trHeight w:val="776"/>
          <w:jc w:val="center"/>
        </w:trPr>
        <w:tc>
          <w:tcPr>
            <w:tcW w:w="1925" w:type="pct"/>
            <w:shd w:val="clear" w:color="auto" w:fill="auto"/>
            <w:tcMar>
              <w:top w:w="85" w:type="dxa"/>
            </w:tcMar>
          </w:tcPr>
          <w:p w:rsidR="00BE17BF" w:rsidRPr="00102A5B" w:rsidRDefault="00BE17BF" w:rsidP="00027A9C">
            <w:pPr>
              <w:autoSpaceDE w:val="0"/>
              <w:autoSpaceDN w:val="0"/>
              <w:adjustRightInd w:val="0"/>
              <w:rPr>
                <w:rFonts w:eastAsia="Batang"/>
                <w:sz w:val="16"/>
                <w:szCs w:val="16"/>
                <w:lang w:eastAsia="ja-JP"/>
              </w:rPr>
            </w:pPr>
            <w:r w:rsidRPr="00102A5B">
              <w:rPr>
                <w:rFonts w:eastAsia="Batang"/>
                <w:sz w:val="16"/>
                <w:szCs w:val="16"/>
                <w:lang w:eastAsia="ja-JP"/>
              </w:rPr>
              <w:t>Circunstancias imprevistas en las obras del PCT, como demoras en la instalación por la empresa SIG de equipos internos en el edificio PCT y/o problemas técnicos durante la desinstalación de los conductos existentes o debido a ella</w:t>
            </w:r>
          </w:p>
        </w:tc>
        <w:tc>
          <w:tcPr>
            <w:tcW w:w="1525" w:type="pct"/>
            <w:shd w:val="clear" w:color="auto" w:fill="auto"/>
            <w:tcMar>
              <w:top w:w="85" w:type="dxa"/>
            </w:tcMar>
          </w:tcPr>
          <w:p w:rsidR="00BE17BF" w:rsidRPr="00102A5B" w:rsidRDefault="00BE17BF" w:rsidP="00027A9C">
            <w:pPr>
              <w:autoSpaceDE w:val="0"/>
              <w:autoSpaceDN w:val="0"/>
              <w:adjustRightInd w:val="0"/>
              <w:rPr>
                <w:rFonts w:eastAsia="Batang"/>
                <w:sz w:val="16"/>
                <w:szCs w:val="16"/>
                <w:lang w:eastAsia="ja-JP"/>
              </w:rPr>
            </w:pPr>
            <w:r w:rsidRPr="00102A5B">
              <w:rPr>
                <w:rFonts w:eastAsia="Batang"/>
                <w:sz w:val="16"/>
                <w:szCs w:val="16"/>
                <w:lang w:eastAsia="ja-JP"/>
              </w:rPr>
              <w:t>Realizar reparaciones y actualizar el calendario de las obras, de ser necesario, incluso para 2016</w:t>
            </w:r>
          </w:p>
          <w:p w:rsidR="00BE17BF" w:rsidRPr="00102A5B" w:rsidRDefault="00BE17BF" w:rsidP="00027A9C">
            <w:pPr>
              <w:autoSpaceDE w:val="0"/>
              <w:autoSpaceDN w:val="0"/>
              <w:adjustRightInd w:val="0"/>
              <w:spacing w:before="40" w:after="40"/>
              <w:rPr>
                <w:sz w:val="16"/>
                <w:szCs w:val="16"/>
              </w:rPr>
            </w:pPr>
          </w:p>
        </w:tc>
        <w:tc>
          <w:tcPr>
            <w:tcW w:w="1550" w:type="pct"/>
            <w:shd w:val="clear" w:color="auto" w:fill="auto"/>
            <w:tcMar>
              <w:top w:w="85" w:type="dxa"/>
            </w:tcMar>
          </w:tcPr>
          <w:p w:rsidR="00BE17BF" w:rsidRPr="00102A5B" w:rsidRDefault="00BE17BF" w:rsidP="00027A9C">
            <w:pPr>
              <w:autoSpaceDE w:val="0"/>
              <w:autoSpaceDN w:val="0"/>
              <w:adjustRightInd w:val="0"/>
              <w:spacing w:before="40" w:after="40"/>
              <w:rPr>
                <w:i/>
                <w:sz w:val="16"/>
                <w:szCs w:val="16"/>
              </w:rPr>
            </w:pPr>
          </w:p>
          <w:p w:rsidR="00BE17BF" w:rsidRPr="00102A5B" w:rsidRDefault="00BE17BF" w:rsidP="00027A9C">
            <w:pPr>
              <w:autoSpaceDE w:val="0"/>
              <w:autoSpaceDN w:val="0"/>
              <w:adjustRightInd w:val="0"/>
              <w:spacing w:before="40" w:after="40"/>
              <w:rPr>
                <w:i/>
                <w:sz w:val="16"/>
                <w:szCs w:val="16"/>
              </w:rPr>
            </w:pPr>
          </w:p>
          <w:p w:rsidR="00BE17BF" w:rsidRPr="00102A5B" w:rsidRDefault="00BE17BF" w:rsidP="00027A9C">
            <w:pPr>
              <w:autoSpaceDE w:val="0"/>
              <w:autoSpaceDN w:val="0"/>
              <w:adjustRightInd w:val="0"/>
              <w:spacing w:before="40" w:after="40"/>
              <w:rPr>
                <w:i/>
                <w:sz w:val="16"/>
                <w:szCs w:val="16"/>
              </w:rPr>
            </w:pPr>
          </w:p>
          <w:p w:rsidR="00BE17BF" w:rsidRPr="00102A5B" w:rsidRDefault="00BE17BF" w:rsidP="00027A9C">
            <w:pPr>
              <w:autoSpaceDE w:val="0"/>
              <w:autoSpaceDN w:val="0"/>
              <w:adjustRightInd w:val="0"/>
              <w:spacing w:before="40" w:after="40"/>
              <w:rPr>
                <w:i/>
                <w:sz w:val="16"/>
                <w:szCs w:val="16"/>
              </w:rPr>
            </w:pPr>
          </w:p>
          <w:p w:rsidR="00BE17BF" w:rsidRPr="00102A5B" w:rsidRDefault="00BE17BF" w:rsidP="00027A9C">
            <w:pPr>
              <w:autoSpaceDE w:val="0"/>
              <w:autoSpaceDN w:val="0"/>
              <w:adjustRightInd w:val="0"/>
              <w:spacing w:before="40" w:after="40"/>
              <w:rPr>
                <w:i/>
                <w:sz w:val="16"/>
                <w:szCs w:val="16"/>
              </w:rPr>
            </w:pPr>
            <w:r w:rsidRPr="00102A5B">
              <w:rPr>
                <w:i/>
                <w:sz w:val="16"/>
                <w:szCs w:val="16"/>
              </w:rPr>
              <w:t>Este riesgo se ha dado por concluido.</w:t>
            </w:r>
          </w:p>
        </w:tc>
      </w:tr>
      <w:tr w:rsidR="00BE17BF" w:rsidRPr="00102A5B" w:rsidTr="00027A9C">
        <w:trPr>
          <w:trHeight w:val="776"/>
          <w:jc w:val="center"/>
        </w:trPr>
        <w:tc>
          <w:tcPr>
            <w:tcW w:w="1925" w:type="pct"/>
            <w:shd w:val="clear" w:color="auto" w:fill="auto"/>
            <w:tcMar>
              <w:top w:w="85" w:type="dxa"/>
            </w:tcMar>
          </w:tcPr>
          <w:p w:rsidR="00BE17BF" w:rsidRPr="00102A5B" w:rsidRDefault="00BE17BF" w:rsidP="00027A9C">
            <w:pPr>
              <w:autoSpaceDE w:val="0"/>
              <w:autoSpaceDN w:val="0"/>
              <w:adjustRightInd w:val="0"/>
              <w:spacing w:before="40" w:after="40"/>
              <w:rPr>
                <w:sz w:val="16"/>
                <w:szCs w:val="16"/>
              </w:rPr>
            </w:pPr>
            <w:r w:rsidRPr="00102A5B">
              <w:rPr>
                <w:sz w:val="16"/>
                <w:szCs w:val="16"/>
              </w:rPr>
              <w:t>Circunstancias imprevistas durante el período de garantía de las instalaciones, por ejemplo, avería debido al equipo defectuoso o a una instalación deficiente</w:t>
            </w:r>
          </w:p>
        </w:tc>
        <w:tc>
          <w:tcPr>
            <w:tcW w:w="1525" w:type="pct"/>
            <w:shd w:val="clear" w:color="auto" w:fill="auto"/>
            <w:tcMar>
              <w:top w:w="85" w:type="dxa"/>
            </w:tcMar>
          </w:tcPr>
          <w:p w:rsidR="00BE17BF" w:rsidRPr="00102A5B" w:rsidRDefault="00BE17BF" w:rsidP="00027A9C">
            <w:pPr>
              <w:autoSpaceDE w:val="0"/>
              <w:autoSpaceDN w:val="0"/>
              <w:adjustRightInd w:val="0"/>
              <w:spacing w:before="40" w:after="40"/>
              <w:rPr>
                <w:sz w:val="16"/>
                <w:szCs w:val="16"/>
              </w:rPr>
            </w:pPr>
            <w:r w:rsidRPr="00102A5B">
              <w:rPr>
                <w:sz w:val="16"/>
                <w:szCs w:val="16"/>
              </w:rPr>
              <w:t>Realizar las reparaciones que sean posibles durante el período de garantía</w:t>
            </w:r>
          </w:p>
        </w:tc>
        <w:tc>
          <w:tcPr>
            <w:tcW w:w="1550" w:type="pct"/>
            <w:shd w:val="clear" w:color="auto" w:fill="auto"/>
            <w:tcMar>
              <w:top w:w="85" w:type="dxa"/>
            </w:tcMar>
          </w:tcPr>
          <w:p w:rsidR="00BE17BF" w:rsidRPr="00102A5B" w:rsidRDefault="00BE17BF" w:rsidP="00027A9C">
            <w:pPr>
              <w:autoSpaceDE w:val="0"/>
              <w:autoSpaceDN w:val="0"/>
              <w:adjustRightInd w:val="0"/>
              <w:spacing w:before="40" w:after="40"/>
              <w:rPr>
                <w:sz w:val="16"/>
                <w:szCs w:val="16"/>
              </w:rPr>
            </w:pPr>
            <w:r w:rsidRPr="00102A5B">
              <w:rPr>
                <w:sz w:val="16"/>
                <w:szCs w:val="16"/>
              </w:rPr>
              <w:t>El riesgo sigue siendo vigente con respecto al edificio del PCT hasta diciembre de 2017 y seguirá supervisándose en consecuencia.</w:t>
            </w:r>
          </w:p>
        </w:tc>
      </w:tr>
    </w:tbl>
    <w:p w:rsidR="00BE17BF" w:rsidRPr="00102A5B" w:rsidRDefault="00BE17BF" w:rsidP="00027A9C">
      <w:pPr>
        <w:autoSpaceDE w:val="0"/>
        <w:autoSpaceDN w:val="0"/>
        <w:jc w:val="both"/>
        <w:rPr>
          <w:sz w:val="20"/>
          <w:szCs w:val="24"/>
        </w:rPr>
      </w:pPr>
    </w:p>
    <w:p w:rsidR="00BE17BF" w:rsidRPr="00102A5B" w:rsidRDefault="00BE17BF" w:rsidP="00027A9C">
      <w:pPr>
        <w:rPr>
          <w:sz w:val="20"/>
          <w:szCs w:val="22"/>
        </w:rPr>
      </w:pPr>
    </w:p>
    <w:p w:rsidR="00BE17BF" w:rsidRPr="00102A5B" w:rsidRDefault="00BE17BF" w:rsidP="00027A9C">
      <w:pPr>
        <w:rPr>
          <w:sz w:val="20"/>
          <w:szCs w:val="22"/>
        </w:rPr>
      </w:pPr>
      <w:r w:rsidRPr="00102A5B">
        <w:rPr>
          <w:sz w:val="20"/>
          <w:szCs w:val="22"/>
        </w:rPr>
        <w:t>CALENDARIO DEL PROYECTO, POR ETAPA</w:t>
      </w:r>
    </w:p>
    <w:p w:rsidR="00BE17BF" w:rsidRPr="00102A5B" w:rsidRDefault="00BE17BF" w:rsidP="00027A9C">
      <w:pPr>
        <w:spacing w:after="200" w:line="276" w:lineRule="auto"/>
        <w:rPr>
          <w:b/>
          <w:szCs w:val="24"/>
        </w:rPr>
      </w:pPr>
    </w:p>
    <w:tbl>
      <w:tblPr>
        <w:tblW w:w="10410" w:type="dxa"/>
        <w:jc w:val="center"/>
        <w:tblInd w:w="-549" w:type="dxa"/>
        <w:tblLayout w:type="fixed"/>
        <w:tblLook w:val="04A0" w:firstRow="1" w:lastRow="0" w:firstColumn="1" w:lastColumn="0" w:noHBand="0" w:noVBand="1"/>
      </w:tblPr>
      <w:tblGrid>
        <w:gridCol w:w="2932"/>
        <w:gridCol w:w="467"/>
        <w:gridCol w:w="467"/>
        <w:gridCol w:w="467"/>
        <w:gridCol w:w="467"/>
        <w:gridCol w:w="467"/>
        <w:gridCol w:w="467"/>
        <w:gridCol w:w="467"/>
        <w:gridCol w:w="467"/>
        <w:gridCol w:w="467"/>
        <w:gridCol w:w="467"/>
        <w:gridCol w:w="468"/>
        <w:gridCol w:w="468"/>
        <w:gridCol w:w="468"/>
        <w:gridCol w:w="468"/>
        <w:gridCol w:w="468"/>
        <w:gridCol w:w="468"/>
      </w:tblGrid>
      <w:tr w:rsidR="00BE17BF" w:rsidRPr="00102A5B" w:rsidTr="00027A9C">
        <w:trPr>
          <w:trHeight w:val="299"/>
          <w:jc w:val="center"/>
        </w:trPr>
        <w:tc>
          <w:tcPr>
            <w:tcW w:w="2932" w:type="dxa"/>
            <w:tcBorders>
              <w:top w:val="nil"/>
              <w:left w:val="nil"/>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jc w:val="center"/>
              <w:rPr>
                <w:b/>
                <w:bCs/>
                <w:sz w:val="16"/>
                <w:szCs w:val="16"/>
              </w:rPr>
            </w:pP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jc w:val="center"/>
              <w:rPr>
                <w:b/>
                <w:bCs/>
                <w:sz w:val="16"/>
                <w:szCs w:val="16"/>
              </w:rPr>
            </w:pPr>
            <w:r w:rsidRPr="00102A5B">
              <w:rPr>
                <w:b/>
                <w:bCs/>
                <w:sz w:val="16"/>
                <w:szCs w:val="16"/>
              </w:rPr>
              <w:t>2014</w:t>
            </w:r>
          </w:p>
        </w:tc>
        <w:tc>
          <w:tcPr>
            <w:tcW w:w="1868"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jc w:val="center"/>
              <w:rPr>
                <w:b/>
                <w:bCs/>
                <w:sz w:val="16"/>
                <w:szCs w:val="16"/>
              </w:rPr>
            </w:pPr>
            <w:r w:rsidRPr="00102A5B">
              <w:rPr>
                <w:b/>
                <w:bCs/>
                <w:sz w:val="16"/>
                <w:szCs w:val="16"/>
              </w:rPr>
              <w:t>2015</w:t>
            </w:r>
          </w:p>
        </w:tc>
        <w:tc>
          <w:tcPr>
            <w:tcW w:w="187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rsidP="00027A9C">
            <w:pPr>
              <w:jc w:val="center"/>
              <w:rPr>
                <w:b/>
                <w:bCs/>
                <w:sz w:val="16"/>
                <w:szCs w:val="16"/>
              </w:rPr>
            </w:pPr>
          </w:p>
          <w:p w:rsidR="00BE17BF" w:rsidRPr="00102A5B" w:rsidRDefault="00BE17BF" w:rsidP="00027A9C">
            <w:pPr>
              <w:jc w:val="center"/>
              <w:rPr>
                <w:b/>
                <w:bCs/>
                <w:sz w:val="16"/>
                <w:szCs w:val="16"/>
              </w:rPr>
            </w:pPr>
            <w:r w:rsidRPr="00102A5B">
              <w:rPr>
                <w:b/>
                <w:bCs/>
                <w:sz w:val="16"/>
                <w:szCs w:val="16"/>
              </w:rPr>
              <w:t>2016</w:t>
            </w:r>
          </w:p>
        </w:tc>
        <w:tc>
          <w:tcPr>
            <w:tcW w:w="1872"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tcPr>
          <w:p w:rsidR="00BE17BF" w:rsidRPr="00102A5B" w:rsidRDefault="00BE17BF" w:rsidP="00027A9C">
            <w:pPr>
              <w:jc w:val="center"/>
              <w:rPr>
                <w:b/>
                <w:bCs/>
                <w:sz w:val="16"/>
                <w:szCs w:val="16"/>
              </w:rPr>
            </w:pPr>
          </w:p>
          <w:p w:rsidR="00BE17BF" w:rsidRPr="00102A5B" w:rsidRDefault="00BE17BF" w:rsidP="00027A9C">
            <w:pPr>
              <w:jc w:val="center"/>
              <w:rPr>
                <w:b/>
                <w:bCs/>
                <w:sz w:val="16"/>
                <w:szCs w:val="16"/>
              </w:rPr>
            </w:pPr>
            <w:r w:rsidRPr="00102A5B">
              <w:rPr>
                <w:b/>
                <w:bCs/>
                <w:sz w:val="16"/>
                <w:szCs w:val="16"/>
              </w:rPr>
              <w:t>2017</w:t>
            </w:r>
          </w:p>
        </w:tc>
      </w:tr>
      <w:tr w:rsidR="00BE17BF" w:rsidRPr="00102A5B" w:rsidTr="00027A9C">
        <w:trPr>
          <w:cantSplit/>
          <w:trHeight w:val="33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Etapa fundamental</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T1.</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T2.</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T3</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vAlign w:val="bottom"/>
          </w:tcPr>
          <w:p w:rsidR="00BE17BF" w:rsidRPr="00102A5B" w:rsidRDefault="00BE17BF" w:rsidP="00027A9C">
            <w:pPr>
              <w:spacing w:after="240"/>
              <w:rPr>
                <w:b/>
                <w:bCs/>
                <w:sz w:val="16"/>
                <w:szCs w:val="16"/>
              </w:rPr>
            </w:pPr>
            <w:r w:rsidRPr="00102A5B">
              <w:rPr>
                <w:b/>
                <w:bCs/>
                <w:sz w:val="16"/>
                <w:szCs w:val="16"/>
              </w:rPr>
              <w:t>T4</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T1.</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T2.</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T3</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vAlign w:val="bottom"/>
          </w:tcPr>
          <w:p w:rsidR="00BE17BF" w:rsidRPr="00102A5B" w:rsidRDefault="00BE17BF" w:rsidP="00027A9C">
            <w:pPr>
              <w:spacing w:after="240"/>
              <w:rPr>
                <w:b/>
                <w:bCs/>
                <w:sz w:val="16"/>
                <w:szCs w:val="16"/>
              </w:rPr>
            </w:pPr>
            <w:r w:rsidRPr="00102A5B">
              <w:rPr>
                <w:b/>
                <w:bCs/>
                <w:sz w:val="16"/>
                <w:szCs w:val="16"/>
              </w:rPr>
              <w:t>T4</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T1.</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tcMar>
              <w:top w:w="0" w:type="dxa"/>
            </w:tcMar>
            <w:vAlign w:val="bottom"/>
            <w:hideMark/>
          </w:tcPr>
          <w:p w:rsidR="00BE17BF" w:rsidRPr="00102A5B" w:rsidRDefault="00BE17BF" w:rsidP="00027A9C">
            <w:pPr>
              <w:spacing w:after="240"/>
              <w:rPr>
                <w:b/>
                <w:bCs/>
                <w:sz w:val="16"/>
                <w:szCs w:val="16"/>
              </w:rPr>
            </w:pPr>
            <w:r w:rsidRPr="00102A5B">
              <w:rPr>
                <w:b/>
                <w:bCs/>
                <w:sz w:val="16"/>
                <w:szCs w:val="16"/>
              </w:rPr>
              <w:t>T2.</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rsidP="00027A9C">
            <w:pPr>
              <w:spacing w:before="240" w:after="240"/>
              <w:rPr>
                <w:b/>
                <w:sz w:val="16"/>
                <w:szCs w:val="16"/>
              </w:rPr>
            </w:pPr>
            <w:r w:rsidRPr="00102A5B">
              <w:rPr>
                <w:b/>
                <w:sz w:val="16"/>
                <w:szCs w:val="16"/>
              </w:rPr>
              <w:t>T3</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rsidP="00027A9C">
            <w:pPr>
              <w:spacing w:before="240" w:after="240"/>
              <w:rPr>
                <w:b/>
                <w:sz w:val="16"/>
                <w:szCs w:val="16"/>
              </w:rPr>
            </w:pPr>
            <w:r w:rsidRPr="00102A5B">
              <w:rPr>
                <w:b/>
                <w:sz w:val="16"/>
                <w:szCs w:val="16"/>
              </w:rPr>
              <w:t>T4</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spacing w:after="240"/>
              <w:rPr>
                <w:b/>
                <w:bCs/>
                <w:sz w:val="16"/>
                <w:szCs w:val="16"/>
              </w:rPr>
            </w:pPr>
            <w:r w:rsidRPr="00102A5B">
              <w:rPr>
                <w:b/>
                <w:bCs/>
                <w:sz w:val="16"/>
                <w:szCs w:val="16"/>
              </w:rPr>
              <w:t>T1.</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spacing w:after="240"/>
              <w:rPr>
                <w:b/>
                <w:bCs/>
                <w:sz w:val="16"/>
                <w:szCs w:val="16"/>
              </w:rPr>
            </w:pPr>
            <w:r w:rsidRPr="00102A5B">
              <w:rPr>
                <w:b/>
                <w:bCs/>
                <w:sz w:val="16"/>
                <w:szCs w:val="16"/>
              </w:rPr>
              <w:t>T2.</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rsidP="00027A9C">
            <w:pPr>
              <w:spacing w:before="240" w:after="240"/>
              <w:rPr>
                <w:b/>
                <w:sz w:val="16"/>
                <w:szCs w:val="16"/>
              </w:rPr>
            </w:pPr>
            <w:r w:rsidRPr="00102A5B">
              <w:rPr>
                <w:b/>
                <w:sz w:val="16"/>
                <w:szCs w:val="16"/>
              </w:rPr>
              <w:t>T3</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shd w:val="clear" w:color="auto" w:fill="C6D9F1" w:themeFill="text2" w:themeFillTint="33"/>
          </w:tcPr>
          <w:p w:rsidR="00BE17BF" w:rsidRPr="00102A5B" w:rsidRDefault="00BE17BF" w:rsidP="00027A9C">
            <w:pPr>
              <w:spacing w:before="240" w:after="240"/>
              <w:rPr>
                <w:b/>
                <w:sz w:val="16"/>
                <w:szCs w:val="16"/>
              </w:rPr>
            </w:pPr>
            <w:r w:rsidRPr="00102A5B">
              <w:rPr>
                <w:b/>
                <w:sz w:val="16"/>
                <w:szCs w:val="16"/>
              </w:rPr>
              <w:t>T4</w:t>
            </w:r>
          </w:p>
        </w:tc>
      </w:tr>
      <w:tr w:rsidR="00BE17BF" w:rsidRPr="00102A5B" w:rsidTr="00027A9C">
        <w:trPr>
          <w:trHeight w:val="425"/>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rPr>
                <w:sz w:val="16"/>
                <w:szCs w:val="16"/>
              </w:rPr>
            </w:pPr>
            <w:r w:rsidRPr="00102A5B">
              <w:rPr>
                <w:sz w:val="16"/>
                <w:szCs w:val="16"/>
              </w:rPr>
              <w:t>Adjudicación del contrato al ingeniero en climatización (AB y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r>
      <w:tr w:rsidR="00BE17BF" w:rsidRPr="00102A5B" w:rsidTr="00027A9C">
        <w:trPr>
          <w:trHeight w:val="37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ind w:right="-155"/>
              <w:rPr>
                <w:sz w:val="16"/>
                <w:szCs w:val="16"/>
              </w:rPr>
            </w:pPr>
            <w:r w:rsidRPr="00102A5B">
              <w:rPr>
                <w:sz w:val="16"/>
                <w:szCs w:val="16"/>
              </w:rPr>
              <w:t>Llamado a presentar ofertas para las empresas (AB)</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r>
      <w:tr w:rsidR="00BE17BF" w:rsidRPr="00102A5B" w:rsidTr="00027A9C">
        <w:trPr>
          <w:trHeight w:val="412"/>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rPr>
                <w:sz w:val="16"/>
                <w:szCs w:val="16"/>
              </w:rPr>
            </w:pPr>
            <w:r w:rsidRPr="00102A5B">
              <w:rPr>
                <w:sz w:val="16"/>
                <w:szCs w:val="16"/>
              </w:rPr>
              <w:t>Ejecución y puesta en servicio de las obras (AB)</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r>
      <w:tr w:rsidR="00BE17BF" w:rsidRPr="00102A5B" w:rsidTr="00027A9C">
        <w:trPr>
          <w:trHeight w:val="417"/>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rPr>
                <w:sz w:val="16"/>
                <w:szCs w:val="16"/>
              </w:rPr>
            </w:pPr>
            <w:r w:rsidRPr="00102A5B">
              <w:rPr>
                <w:sz w:val="16"/>
                <w:szCs w:val="16"/>
              </w:rPr>
              <w:t>Validación del proyecto con el ingeniero en climatización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hideMark/>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r>
      <w:tr w:rsidR="00BE17BF" w:rsidRPr="00102A5B" w:rsidTr="00027A9C">
        <w:trPr>
          <w:trHeight w:val="410"/>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rPr>
                <w:sz w:val="16"/>
                <w:szCs w:val="16"/>
              </w:rPr>
            </w:pPr>
            <w:r w:rsidRPr="00102A5B">
              <w:rPr>
                <w:sz w:val="16"/>
                <w:szCs w:val="16"/>
              </w:rPr>
              <w:t>Llamado a licitación para las empresas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20"/>
                <w:szCs w:val="24"/>
              </w:rPr>
            </w:pPr>
          </w:p>
        </w:tc>
      </w:tr>
      <w:tr w:rsidR="00BE17BF" w:rsidRPr="00102A5B" w:rsidTr="00027A9C">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rPr>
                <w:sz w:val="16"/>
                <w:szCs w:val="16"/>
              </w:rPr>
            </w:pPr>
            <w:r w:rsidRPr="00102A5B">
              <w:rPr>
                <w:sz w:val="16"/>
                <w:szCs w:val="16"/>
              </w:rPr>
              <w:t>Ejecución y puesta en servicio de las obras (PCT)</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16"/>
                <w:szCs w:val="16"/>
              </w:rPr>
            </w:pPr>
          </w:p>
        </w:tc>
      </w:tr>
      <w:tr w:rsidR="00BE17BF" w:rsidRPr="00102A5B" w:rsidTr="00027A9C">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rPr>
                <w:sz w:val="16"/>
                <w:szCs w:val="16"/>
              </w:rPr>
            </w:pPr>
            <w:r w:rsidRPr="00102A5B">
              <w:rPr>
                <w:sz w:val="16"/>
                <w:szCs w:val="16"/>
              </w:rPr>
              <w:t>Período de garantía de las obras (2 años) en el edificio AB</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16"/>
                <w:szCs w:val="16"/>
              </w:rPr>
            </w:pP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tcPr>
          <w:p w:rsidR="00BE17BF" w:rsidRPr="00102A5B" w:rsidRDefault="00BE17BF" w:rsidP="00027A9C">
            <w:pPr>
              <w:spacing w:before="40" w:after="40"/>
              <w:jc w:val="center"/>
              <w:rPr>
                <w:sz w:val="16"/>
                <w:szCs w:val="16"/>
              </w:rPr>
            </w:pPr>
          </w:p>
        </w:tc>
      </w:tr>
      <w:tr w:rsidR="00BE17BF" w:rsidRPr="00102A5B" w:rsidTr="00027A9C">
        <w:trPr>
          <w:trHeight w:val="413"/>
          <w:jc w:val="center"/>
        </w:trPr>
        <w:tc>
          <w:tcPr>
            <w:tcW w:w="2932"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rPr>
                <w:sz w:val="16"/>
                <w:szCs w:val="16"/>
              </w:rPr>
            </w:pPr>
            <w:r w:rsidRPr="00102A5B">
              <w:rPr>
                <w:sz w:val="16"/>
                <w:szCs w:val="16"/>
              </w:rPr>
              <w:t xml:space="preserve">Período de garantía de las obras (2 años) en el edificio del PCT </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7"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auto"/>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8"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r>
    </w:tbl>
    <w:p w:rsidR="00BE17BF" w:rsidRPr="00102A5B" w:rsidRDefault="00BE17BF" w:rsidP="00027A9C">
      <w:pPr>
        <w:rPr>
          <w:sz w:val="16"/>
          <w:szCs w:val="16"/>
        </w:rPr>
      </w:pPr>
    </w:p>
    <w:p w:rsidR="00BE17BF" w:rsidRPr="00102A5B" w:rsidRDefault="00BE17BF">
      <w:pPr>
        <w:rPr>
          <w:sz w:val="16"/>
          <w:szCs w:val="16"/>
        </w:rPr>
      </w:pPr>
      <w:r w:rsidRPr="00102A5B">
        <w:rPr>
          <w:sz w:val="16"/>
          <w:szCs w:val="16"/>
        </w:rPr>
        <w:br w:type="page"/>
      </w:r>
    </w:p>
    <w:p w:rsidR="00BE17BF" w:rsidRPr="00102A5B" w:rsidRDefault="00BE17BF" w:rsidP="00027A9C">
      <w:pPr>
        <w:rPr>
          <w:b/>
          <w:szCs w:val="24"/>
        </w:rPr>
      </w:pPr>
      <w:r w:rsidRPr="00102A5B">
        <w:rPr>
          <w:b/>
          <w:szCs w:val="24"/>
        </w:rPr>
        <w:lastRenderedPageBreak/>
        <w:t>PROYECTOS RELACIONADOS CON LOS EDIFICIOS</w:t>
      </w:r>
    </w:p>
    <w:p w:rsidR="00BE17BF" w:rsidRPr="00102A5B" w:rsidRDefault="00BE17BF" w:rsidP="00027A9C">
      <w:pPr>
        <w:keepNext/>
        <w:spacing w:before="240" w:after="60"/>
        <w:ind w:left="1701" w:hanging="1701"/>
        <w:outlineLvl w:val="2"/>
        <w:rPr>
          <w:b/>
          <w:bCs/>
          <w:i/>
          <w:sz w:val="20"/>
          <w:szCs w:val="26"/>
        </w:rPr>
      </w:pPr>
      <w:bookmarkStart w:id="90" w:name="_Toc482711289"/>
      <w:r w:rsidRPr="00102A5B">
        <w:rPr>
          <w:b/>
          <w:bCs/>
          <w:i/>
          <w:sz w:val="20"/>
          <w:szCs w:val="26"/>
        </w:rPr>
        <w:t>PROYECTO 5:</w:t>
      </w:r>
      <w:r w:rsidRPr="00102A5B">
        <w:rPr>
          <w:bCs/>
          <w:sz w:val="20"/>
          <w:szCs w:val="26"/>
        </w:rPr>
        <w:tab/>
      </w:r>
      <w:r w:rsidRPr="00102A5B">
        <w:rPr>
          <w:b/>
          <w:bCs/>
          <w:i/>
          <w:sz w:val="20"/>
          <w:szCs w:val="26"/>
        </w:rPr>
        <w:t>EDIFICIO ARPAD BOGSCH – FASE 1 DE LA RENOVACIÓN DEL SUBSUELO (ADAPTACIÓN DE LAS DIMENSIONES DEL CENTRO DE DATOS Y RENOVACIÓN DE LA IMPRENTA) (PMM 5)</w:t>
      </w:r>
      <w:bookmarkEnd w:id="90"/>
    </w:p>
    <w:p w:rsidR="00BE17BF" w:rsidRPr="00102A5B" w:rsidRDefault="00BE17BF" w:rsidP="00027A9C">
      <w:pPr>
        <w:rPr>
          <w:b/>
          <w:sz w:val="18"/>
          <w:szCs w:val="24"/>
        </w:rPr>
      </w:pPr>
    </w:p>
    <w:p w:rsidR="00BE17BF" w:rsidRPr="00102A5B" w:rsidRDefault="00BE17BF" w:rsidP="00027A9C">
      <w:pPr>
        <w:rPr>
          <w:b/>
          <w:sz w:val="20"/>
        </w:rPr>
      </w:pPr>
      <w:r w:rsidRPr="00102A5B">
        <w:rPr>
          <w:b/>
          <w:sz w:val="20"/>
        </w:rPr>
        <w:t>Director de proyecto:</w:t>
      </w:r>
      <w:r w:rsidRPr="00102A5B">
        <w:rPr>
          <w:sz w:val="20"/>
        </w:rPr>
        <w:tab/>
      </w:r>
      <w:r w:rsidRPr="00102A5B">
        <w:rPr>
          <w:b/>
          <w:sz w:val="20"/>
        </w:rPr>
        <w:t>Sr. A. Favero</w:t>
      </w:r>
    </w:p>
    <w:p w:rsidR="00BE17BF" w:rsidRPr="00102A5B" w:rsidRDefault="00BE17BF" w:rsidP="00027A9C">
      <w:pPr>
        <w:rPr>
          <w:sz w:val="18"/>
        </w:rPr>
      </w:pPr>
    </w:p>
    <w:p w:rsidR="00BE17BF" w:rsidRPr="00102A5B" w:rsidRDefault="00BE17BF" w:rsidP="00027A9C">
      <w:pPr>
        <w:rPr>
          <w:bCs/>
          <w:sz w:val="18"/>
        </w:rPr>
      </w:pPr>
    </w:p>
    <w:p w:rsidR="00BE17BF" w:rsidRPr="00102A5B" w:rsidRDefault="00BE17BF" w:rsidP="00027A9C">
      <w:pPr>
        <w:rPr>
          <w:bCs/>
          <w:sz w:val="20"/>
          <w:szCs w:val="22"/>
        </w:rPr>
      </w:pPr>
      <w:r w:rsidRPr="00102A5B">
        <w:rPr>
          <w:bCs/>
          <w:sz w:val="20"/>
          <w:szCs w:val="22"/>
        </w:rPr>
        <w:t>RESULTADO PREVISTO</w:t>
      </w:r>
    </w:p>
    <w:p w:rsidR="00BE17BF" w:rsidRPr="00102A5B" w:rsidRDefault="00BE17BF" w:rsidP="00027A9C">
      <w:pPr>
        <w:rPr>
          <w:bCs/>
          <w:sz w:val="18"/>
        </w:rPr>
      </w:pPr>
    </w:p>
    <w:p w:rsidR="00BE17BF" w:rsidRPr="00102A5B" w:rsidRDefault="00BE17BF" w:rsidP="00027A9C">
      <w:pPr>
        <w:rPr>
          <w:i/>
          <w:iCs/>
          <w:sz w:val="20"/>
        </w:rPr>
      </w:pPr>
      <w:r w:rsidRPr="00102A5B">
        <w:rPr>
          <w:i/>
          <w:iCs/>
          <w:sz w:val="20"/>
        </w:rPr>
        <w:t>IX.1  Servicios de apoyo eficaces, eficientes, de calidad y orientados al cliente, tanto a los usuarios internos como a las partes interesadas externas</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Cs/>
          <w:sz w:val="20"/>
          <w:szCs w:val="22"/>
        </w:rPr>
      </w:pPr>
      <w:r w:rsidRPr="00102A5B">
        <w:rPr>
          <w:bCs/>
          <w:sz w:val="20"/>
          <w:szCs w:val="22"/>
        </w:rPr>
        <w:t>OBJETIVOS, ALCANCE Y ENFOQUE:  ANTECEDENTES</w:t>
      </w:r>
    </w:p>
    <w:p w:rsidR="00BE17BF" w:rsidRPr="00102A5B" w:rsidRDefault="00BE17BF" w:rsidP="00027A9C">
      <w:pPr>
        <w:rPr>
          <w:bCs/>
          <w:sz w:val="20"/>
        </w:rPr>
      </w:pPr>
    </w:p>
    <w:p w:rsidR="00BE17BF" w:rsidRPr="00102A5B" w:rsidRDefault="00BE17BF" w:rsidP="00BE17BF">
      <w:pPr>
        <w:numPr>
          <w:ilvl w:val="0"/>
          <w:numId w:val="110"/>
        </w:numPr>
        <w:tabs>
          <w:tab w:val="left" w:pos="567"/>
        </w:tabs>
        <w:ind w:left="567" w:hanging="567"/>
        <w:jc w:val="both"/>
        <w:rPr>
          <w:bCs/>
          <w:sz w:val="20"/>
        </w:rPr>
      </w:pPr>
      <w:r w:rsidRPr="00102A5B">
        <w:rPr>
          <w:bCs/>
          <w:sz w:val="20"/>
        </w:rPr>
        <w:t>Es necesario adaptar las dimensiones del actual centro de datos situado en el subsuelo del edificio AB para adecuarlo a su nuevo objetivo, más reducido, de servir de sala informática para la prestación de servicios exclusivamente al edificio AB.  Se prevé que esta adaptación permitirá liberar una superficie importante que podrá utilizarse ulteriormente para ampliar la actual imprenta, que necesita renovación.</w:t>
      </w:r>
    </w:p>
    <w:p w:rsidR="00BE17BF" w:rsidRPr="00102A5B" w:rsidRDefault="00BE17BF" w:rsidP="00027A9C">
      <w:pPr>
        <w:tabs>
          <w:tab w:val="left" w:pos="567"/>
        </w:tabs>
        <w:jc w:val="both"/>
        <w:rPr>
          <w:bCs/>
          <w:sz w:val="20"/>
        </w:rPr>
      </w:pPr>
    </w:p>
    <w:p w:rsidR="00BE17BF" w:rsidRPr="00102A5B" w:rsidRDefault="00BE17BF" w:rsidP="00BE17BF">
      <w:pPr>
        <w:numPr>
          <w:ilvl w:val="0"/>
          <w:numId w:val="110"/>
        </w:numPr>
        <w:tabs>
          <w:tab w:val="left" w:pos="567"/>
        </w:tabs>
        <w:ind w:left="567" w:hanging="567"/>
        <w:jc w:val="both"/>
        <w:rPr>
          <w:bCs/>
          <w:sz w:val="20"/>
        </w:rPr>
      </w:pPr>
      <w:r w:rsidRPr="00102A5B">
        <w:rPr>
          <w:bCs/>
          <w:sz w:val="20"/>
        </w:rPr>
        <w:t>Los objetivos de este proyecto son: i) determinar la superficie necesaria para la instalación de la imprenta y la sala de informática y documentación, reduciendo las dimensiones del centro de datos con el fin de disponer de un espacio suficientemente amplio para la expansión y renovación de la imprenta;  ii) reducir el consumo de energía mediante la remoción de determinados equipos técnicos del centro de datos;  y iii) mejorar los espacios de trabajo del personal de la sala de imprenta y documentación.</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Cs/>
          <w:sz w:val="20"/>
          <w:szCs w:val="22"/>
        </w:rPr>
      </w:pPr>
      <w:r w:rsidRPr="00102A5B">
        <w:rPr>
          <w:bCs/>
          <w:sz w:val="20"/>
          <w:szCs w:val="22"/>
        </w:rPr>
        <w:t>RESEÑA DE LOS AVANCES LOGRADOS EN 2016 (ETAPAS FUNDAMENTALES)</w:t>
      </w:r>
    </w:p>
    <w:p w:rsidR="00BE17BF" w:rsidRPr="00102A5B" w:rsidRDefault="00BE17BF" w:rsidP="00027A9C">
      <w:pPr>
        <w:rPr>
          <w:bCs/>
          <w:sz w:val="20"/>
          <w:szCs w:val="22"/>
        </w:rPr>
      </w:pPr>
    </w:p>
    <w:p w:rsidR="00BE17BF" w:rsidRPr="00102A5B" w:rsidRDefault="00BE17BF" w:rsidP="00BE17BF">
      <w:pPr>
        <w:numPr>
          <w:ilvl w:val="0"/>
          <w:numId w:val="110"/>
        </w:numPr>
        <w:tabs>
          <w:tab w:val="left" w:pos="567"/>
        </w:tabs>
        <w:ind w:left="567" w:hanging="567"/>
        <w:jc w:val="both"/>
        <w:rPr>
          <w:bCs/>
          <w:sz w:val="20"/>
          <w:szCs w:val="22"/>
        </w:rPr>
      </w:pPr>
      <w:r w:rsidRPr="00102A5B">
        <w:rPr>
          <w:bCs/>
          <w:sz w:val="20"/>
          <w:szCs w:val="22"/>
        </w:rPr>
        <w:t xml:space="preserve">En </w:t>
      </w:r>
      <w:r w:rsidRPr="00102A5B">
        <w:rPr>
          <w:bCs/>
          <w:sz w:val="20"/>
        </w:rPr>
        <w:t>2016</w:t>
      </w:r>
      <w:r w:rsidRPr="00102A5B">
        <w:rPr>
          <w:bCs/>
          <w:sz w:val="20"/>
          <w:szCs w:val="22"/>
        </w:rPr>
        <w:t>, se realizaron los avances siguientes:</w:t>
      </w:r>
    </w:p>
    <w:p w:rsidR="00BE17BF" w:rsidRPr="00102A5B" w:rsidRDefault="00BE17BF" w:rsidP="00027A9C">
      <w:pPr>
        <w:pStyle w:val="ListParagraph"/>
        <w:ind w:left="0"/>
        <w:rPr>
          <w:bCs/>
          <w:szCs w:val="22"/>
          <w:lang w:val="es-ES"/>
        </w:rPr>
      </w:pPr>
    </w:p>
    <w:p w:rsidR="00BE17BF" w:rsidRPr="00102A5B" w:rsidRDefault="00BE17BF" w:rsidP="00BE17BF">
      <w:pPr>
        <w:pStyle w:val="ListParagraph"/>
        <w:numPr>
          <w:ilvl w:val="0"/>
          <w:numId w:val="122"/>
        </w:numPr>
        <w:spacing w:after="120"/>
        <w:ind w:left="806" w:hanging="239"/>
        <w:contextualSpacing/>
        <w:rPr>
          <w:bCs/>
          <w:szCs w:val="22"/>
          <w:lang w:val="es-ES"/>
        </w:rPr>
      </w:pPr>
      <w:r w:rsidRPr="00102A5B">
        <w:rPr>
          <w:bCs/>
          <w:szCs w:val="22"/>
          <w:lang w:val="es-ES"/>
        </w:rPr>
        <w:t>Publicación de la licitación para seleccionar a un ingeniero técnico y adjudicación del contrato;</w:t>
      </w:r>
    </w:p>
    <w:p w:rsidR="00BE17BF" w:rsidRPr="00102A5B" w:rsidRDefault="00BE17BF" w:rsidP="00027A9C">
      <w:pPr>
        <w:pStyle w:val="ListParagraph"/>
        <w:spacing w:after="120"/>
        <w:ind w:left="0"/>
        <w:rPr>
          <w:bCs/>
          <w:szCs w:val="22"/>
          <w:lang w:val="es-ES"/>
        </w:rPr>
      </w:pPr>
    </w:p>
    <w:p w:rsidR="00BE17BF" w:rsidRPr="00102A5B" w:rsidRDefault="00BE17BF" w:rsidP="00BE17BF">
      <w:pPr>
        <w:pStyle w:val="ListParagraph"/>
        <w:numPr>
          <w:ilvl w:val="0"/>
          <w:numId w:val="122"/>
        </w:numPr>
        <w:ind w:left="805" w:hanging="238"/>
        <w:rPr>
          <w:bCs/>
          <w:szCs w:val="22"/>
          <w:lang w:val="es-ES"/>
        </w:rPr>
      </w:pPr>
      <w:r w:rsidRPr="00102A5B">
        <w:rPr>
          <w:bCs/>
          <w:szCs w:val="22"/>
          <w:lang w:val="es-ES"/>
        </w:rPr>
        <w:t>Publicación de la licitación de las obras de desmantelamiento y preparatorias y adjudicación de los contratos;</w:t>
      </w:r>
    </w:p>
    <w:p w:rsidR="00BE17BF" w:rsidRPr="00102A5B" w:rsidRDefault="00BE17BF" w:rsidP="00027A9C">
      <w:pPr>
        <w:pStyle w:val="ListParagraph"/>
        <w:spacing w:after="60"/>
        <w:ind w:left="0"/>
        <w:rPr>
          <w:bCs/>
          <w:szCs w:val="22"/>
          <w:lang w:val="es-ES"/>
        </w:rPr>
      </w:pPr>
    </w:p>
    <w:p w:rsidR="00BE17BF" w:rsidRPr="00102A5B" w:rsidRDefault="00BE17BF" w:rsidP="00BE17BF">
      <w:pPr>
        <w:pStyle w:val="ListParagraph"/>
        <w:numPr>
          <w:ilvl w:val="0"/>
          <w:numId w:val="122"/>
        </w:numPr>
        <w:ind w:left="805" w:hanging="238"/>
        <w:rPr>
          <w:bCs/>
          <w:szCs w:val="22"/>
          <w:lang w:val="es-ES"/>
        </w:rPr>
      </w:pPr>
      <w:r w:rsidRPr="00102A5B">
        <w:rPr>
          <w:bCs/>
          <w:szCs w:val="22"/>
          <w:lang w:val="es-ES"/>
        </w:rPr>
        <w:t xml:space="preserve">Ejecución de las obras de desmantelamiento e iniciación de las obras preparatorias en la parte del antiguo centro de datos que está previsto añadir al espacio en que se ubica la imprenta renovada y reconversión de la parte restante en una pequeña sala informática; </w:t>
      </w:r>
    </w:p>
    <w:p w:rsidR="00BE17BF" w:rsidRPr="00102A5B" w:rsidRDefault="00BE17BF" w:rsidP="00027A9C">
      <w:pPr>
        <w:rPr>
          <w:bCs/>
          <w:sz w:val="20"/>
          <w:szCs w:val="22"/>
        </w:rPr>
      </w:pPr>
    </w:p>
    <w:p w:rsidR="00BE17BF" w:rsidRPr="00102A5B" w:rsidRDefault="00BE17BF" w:rsidP="00BE17BF">
      <w:pPr>
        <w:pStyle w:val="ListParagraph"/>
        <w:numPr>
          <w:ilvl w:val="0"/>
          <w:numId w:val="122"/>
        </w:numPr>
        <w:ind w:left="805" w:hanging="238"/>
        <w:rPr>
          <w:bCs/>
          <w:szCs w:val="22"/>
          <w:lang w:val="es-ES"/>
        </w:rPr>
      </w:pPr>
      <w:r w:rsidRPr="00102A5B">
        <w:rPr>
          <w:bCs/>
          <w:szCs w:val="22"/>
          <w:lang w:val="es-ES"/>
        </w:rPr>
        <w:t>Publicación de la licitación de las obras de infraestructura y adjudicación de los contratos.</w:t>
      </w:r>
    </w:p>
    <w:p w:rsidR="00BE17BF" w:rsidRPr="00102A5B" w:rsidRDefault="00BE17BF" w:rsidP="00027A9C">
      <w:pPr>
        <w:spacing w:after="60"/>
        <w:rPr>
          <w:bCs/>
          <w:sz w:val="20"/>
          <w:szCs w:val="22"/>
        </w:rPr>
      </w:pPr>
    </w:p>
    <w:p w:rsidR="00BE17BF" w:rsidRPr="00102A5B" w:rsidRDefault="00BE17BF" w:rsidP="00BE17BF">
      <w:pPr>
        <w:numPr>
          <w:ilvl w:val="0"/>
          <w:numId w:val="110"/>
        </w:numPr>
        <w:tabs>
          <w:tab w:val="left" w:pos="567"/>
        </w:tabs>
        <w:ind w:left="567" w:hanging="567"/>
        <w:jc w:val="both"/>
        <w:rPr>
          <w:rFonts w:eastAsia="Calibri"/>
          <w:sz w:val="20"/>
        </w:rPr>
      </w:pPr>
      <w:r w:rsidRPr="00102A5B">
        <w:rPr>
          <w:rFonts w:eastAsia="Calibri"/>
          <w:sz w:val="20"/>
        </w:rPr>
        <w:t>Al final de 2016, se tomó la decisión interna de integrar las dos imprentas que actualmente se ubican en dos edificios diferentes del recinto de la OMPI en una sola en el edificio AB, de modo que se creen nuevos espacios de trabajo y se haga una mejor distribución del espacio disponible.  En consecuencia, fue necesario readaptar algunas funciones técnicas, principalmente con respecto al sistema de calefacción y de refrigeración y las necesidades de capacidad energética adicionales.  Por tales motivos, hubo que modificar el mandato de las licitaciones a ese respecto, a fin de reflejar la decisión que afectaba a la ejecución del proyecto en la forma en que se aprobó inicialmente.  El calendario del proyecto se modificó en consecuencia.</w:t>
      </w:r>
    </w:p>
    <w:p w:rsidR="00BE17BF" w:rsidRPr="00102A5B" w:rsidRDefault="00BE17BF" w:rsidP="00027A9C">
      <w:pPr>
        <w:rPr>
          <w:bCs/>
          <w:sz w:val="20"/>
          <w:szCs w:val="22"/>
        </w:rPr>
      </w:pPr>
    </w:p>
    <w:p w:rsidR="00BE17BF" w:rsidRPr="00102A5B" w:rsidRDefault="00BE17BF" w:rsidP="00027A9C">
      <w:pPr>
        <w:rPr>
          <w:bCs/>
          <w:sz w:val="20"/>
          <w:szCs w:val="22"/>
        </w:rPr>
      </w:pPr>
    </w:p>
    <w:p w:rsidR="00BE17BF" w:rsidRPr="00102A5B" w:rsidRDefault="00BE17BF" w:rsidP="00027A9C">
      <w:pPr>
        <w:rPr>
          <w:bCs/>
          <w:sz w:val="20"/>
          <w:szCs w:val="22"/>
        </w:rPr>
      </w:pPr>
      <w:r w:rsidRPr="00102A5B">
        <w:rPr>
          <w:bCs/>
          <w:sz w:val="20"/>
          <w:szCs w:val="22"/>
        </w:rPr>
        <w:br w:type="page"/>
      </w:r>
    </w:p>
    <w:p w:rsidR="00BE17BF" w:rsidRPr="00102A5B" w:rsidRDefault="00BE17BF" w:rsidP="00027A9C">
      <w:pPr>
        <w:keepNext/>
        <w:keepLines/>
        <w:rPr>
          <w:sz w:val="20"/>
        </w:rPr>
      </w:pPr>
      <w:r w:rsidRPr="00102A5B">
        <w:rPr>
          <w:sz w:val="20"/>
        </w:rPr>
        <w:lastRenderedPageBreak/>
        <w:t>OBTENCIÓN DE BENEFICIOS</w:t>
      </w:r>
    </w:p>
    <w:p w:rsidR="00BE17BF" w:rsidRPr="00102A5B" w:rsidRDefault="00BE17BF" w:rsidP="00027A9C">
      <w:pPr>
        <w:keepNext/>
        <w:keepLines/>
        <w:rPr>
          <w:sz w:val="20"/>
        </w:rPr>
      </w:pPr>
    </w:p>
    <w:tbl>
      <w:tblPr>
        <w:tblW w:w="500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211"/>
        <w:gridCol w:w="3039"/>
        <w:gridCol w:w="3037"/>
      </w:tblGrid>
      <w:tr w:rsidR="00BE17BF" w:rsidRPr="00102A5B" w:rsidTr="00027A9C">
        <w:trPr>
          <w:trHeight w:val="442"/>
          <w:tblHeader/>
          <w:jc w:val="center"/>
        </w:trPr>
        <w:tc>
          <w:tcPr>
            <w:tcW w:w="1729" w:type="pct"/>
            <w:shd w:val="clear" w:color="auto" w:fill="C6D9F1" w:themeFill="text2" w:themeFillTint="33"/>
          </w:tcPr>
          <w:p w:rsidR="00BE17BF" w:rsidRPr="00102A5B" w:rsidRDefault="00BE17BF" w:rsidP="00027A9C">
            <w:pPr>
              <w:keepNext/>
              <w:keepLines/>
              <w:jc w:val="center"/>
              <w:rPr>
                <w:b/>
                <w:bCs/>
                <w:sz w:val="16"/>
                <w:szCs w:val="16"/>
              </w:rPr>
            </w:pPr>
          </w:p>
          <w:p w:rsidR="00BE17BF" w:rsidRPr="00102A5B" w:rsidRDefault="00BE17BF" w:rsidP="00027A9C">
            <w:pPr>
              <w:jc w:val="center"/>
              <w:rPr>
                <w:b/>
                <w:bCs/>
                <w:sz w:val="16"/>
                <w:szCs w:val="16"/>
              </w:rPr>
            </w:pPr>
            <w:r w:rsidRPr="00102A5B">
              <w:rPr>
                <w:b/>
                <w:bCs/>
                <w:sz w:val="16"/>
                <w:szCs w:val="16"/>
              </w:rPr>
              <w:t>Beneficios obtenidos en 2016</w:t>
            </w:r>
          </w:p>
        </w:tc>
        <w:tc>
          <w:tcPr>
            <w:tcW w:w="1636" w:type="pct"/>
            <w:shd w:val="clear" w:color="auto" w:fill="C6D9F1" w:themeFill="text2" w:themeFillTint="33"/>
            <w:vAlign w:val="center"/>
            <w:hideMark/>
          </w:tcPr>
          <w:p w:rsidR="00BE17BF" w:rsidRPr="00102A5B" w:rsidRDefault="00BE17BF" w:rsidP="00027A9C">
            <w:pPr>
              <w:keepNext/>
              <w:keepLines/>
              <w:jc w:val="center"/>
              <w:rPr>
                <w:b/>
                <w:bCs/>
                <w:sz w:val="16"/>
                <w:szCs w:val="16"/>
              </w:rPr>
            </w:pPr>
            <w:r w:rsidRPr="00102A5B">
              <w:rPr>
                <w:b/>
                <w:bCs/>
                <w:sz w:val="16"/>
                <w:szCs w:val="16"/>
              </w:rPr>
              <w:t>Beneficios previstos para 2017</w:t>
            </w:r>
          </w:p>
        </w:tc>
        <w:tc>
          <w:tcPr>
            <w:tcW w:w="1635" w:type="pct"/>
            <w:shd w:val="clear" w:color="auto" w:fill="C6D9F1" w:themeFill="text2" w:themeFillTint="33"/>
          </w:tcPr>
          <w:p w:rsidR="00BE17BF" w:rsidRPr="00102A5B" w:rsidRDefault="00BE17BF" w:rsidP="00027A9C">
            <w:pPr>
              <w:keepNext/>
              <w:keepLines/>
              <w:jc w:val="center"/>
              <w:rPr>
                <w:b/>
                <w:bCs/>
                <w:sz w:val="16"/>
                <w:szCs w:val="16"/>
              </w:rPr>
            </w:pPr>
          </w:p>
          <w:p w:rsidR="00BE17BF" w:rsidRPr="00102A5B" w:rsidRDefault="00BE17BF" w:rsidP="00027A9C">
            <w:pPr>
              <w:jc w:val="center"/>
              <w:rPr>
                <w:b/>
                <w:bCs/>
                <w:sz w:val="16"/>
                <w:szCs w:val="16"/>
              </w:rPr>
            </w:pPr>
            <w:r w:rsidRPr="00102A5B">
              <w:rPr>
                <w:b/>
                <w:bCs/>
                <w:sz w:val="16"/>
                <w:szCs w:val="16"/>
              </w:rPr>
              <w:t>Beneficios obtenidos en 2018</w:t>
            </w:r>
          </w:p>
        </w:tc>
      </w:tr>
      <w:tr w:rsidR="00BE17BF" w:rsidRPr="00102A5B" w:rsidTr="00027A9C">
        <w:trPr>
          <w:trHeight w:val="348"/>
          <w:jc w:val="center"/>
        </w:trPr>
        <w:tc>
          <w:tcPr>
            <w:tcW w:w="1729" w:type="pct"/>
          </w:tcPr>
          <w:p w:rsidR="00BE17BF" w:rsidRPr="00102A5B" w:rsidRDefault="00BE17BF" w:rsidP="00027A9C">
            <w:pPr>
              <w:spacing w:before="60" w:after="60"/>
              <w:rPr>
                <w:bCs/>
                <w:iCs/>
                <w:sz w:val="16"/>
                <w:szCs w:val="16"/>
              </w:rPr>
            </w:pPr>
            <w:r w:rsidRPr="00102A5B">
              <w:rPr>
                <w:bCs/>
                <w:iCs/>
                <w:sz w:val="16"/>
                <w:szCs w:val="16"/>
              </w:rPr>
              <w:t>La sala informática se ajusta a los fines establecidos en lo que respecta al espacio, la refrigeración y otras instalaciones técnicas.</w:t>
            </w:r>
          </w:p>
        </w:tc>
        <w:tc>
          <w:tcPr>
            <w:tcW w:w="1636" w:type="pct"/>
            <w:vAlign w:val="center"/>
            <w:hideMark/>
          </w:tcPr>
          <w:p w:rsidR="00BE17BF" w:rsidRPr="00102A5B" w:rsidRDefault="00BE17BF" w:rsidP="00027A9C">
            <w:pPr>
              <w:spacing w:before="60" w:after="60"/>
              <w:rPr>
                <w:bCs/>
                <w:iCs/>
                <w:sz w:val="16"/>
                <w:szCs w:val="16"/>
              </w:rPr>
            </w:pPr>
            <w:r w:rsidRPr="00102A5B">
              <w:rPr>
                <w:bCs/>
                <w:iCs/>
                <w:sz w:val="16"/>
                <w:szCs w:val="16"/>
              </w:rPr>
              <w:t>Mejor distribución del espacio con arreglo a los respectivos usos de una o de las dos unidades en cuestión (imprenta y unidad de documentación).</w:t>
            </w:r>
          </w:p>
        </w:tc>
        <w:tc>
          <w:tcPr>
            <w:tcW w:w="1635" w:type="pct"/>
          </w:tcPr>
          <w:p w:rsidR="00BE17BF" w:rsidRPr="00102A5B" w:rsidRDefault="00BE17BF" w:rsidP="00027A9C">
            <w:pPr>
              <w:spacing w:before="60" w:after="60"/>
              <w:rPr>
                <w:bCs/>
                <w:iCs/>
                <w:sz w:val="16"/>
                <w:szCs w:val="16"/>
              </w:rPr>
            </w:pPr>
            <w:r w:rsidRPr="00102A5B">
              <w:rPr>
                <w:bCs/>
                <w:iCs/>
                <w:sz w:val="16"/>
                <w:szCs w:val="16"/>
              </w:rPr>
              <w:t>Mejor distribución del espacio con arreglo a los respectivos usos de la segunda de las unidades en cuestión.</w:t>
            </w:r>
          </w:p>
        </w:tc>
      </w:tr>
      <w:tr w:rsidR="00BE17BF" w:rsidRPr="00102A5B" w:rsidTr="00027A9C">
        <w:trPr>
          <w:trHeight w:val="281"/>
          <w:jc w:val="center"/>
        </w:trPr>
        <w:tc>
          <w:tcPr>
            <w:tcW w:w="1729" w:type="pct"/>
          </w:tcPr>
          <w:p w:rsidR="00BE17BF" w:rsidRPr="00102A5B" w:rsidRDefault="00BE17BF" w:rsidP="00027A9C">
            <w:pPr>
              <w:spacing w:before="60" w:after="60"/>
              <w:rPr>
                <w:bCs/>
                <w:iCs/>
                <w:sz w:val="16"/>
                <w:szCs w:val="16"/>
              </w:rPr>
            </w:pPr>
          </w:p>
        </w:tc>
        <w:tc>
          <w:tcPr>
            <w:tcW w:w="1636" w:type="pct"/>
            <w:vAlign w:val="center"/>
            <w:hideMark/>
          </w:tcPr>
          <w:p w:rsidR="00BE17BF" w:rsidRPr="00102A5B" w:rsidRDefault="00BE17BF" w:rsidP="00027A9C">
            <w:pPr>
              <w:spacing w:before="60" w:after="60"/>
              <w:rPr>
                <w:bCs/>
                <w:iCs/>
                <w:sz w:val="16"/>
                <w:szCs w:val="16"/>
              </w:rPr>
            </w:pPr>
            <w:r w:rsidRPr="00102A5B">
              <w:rPr>
                <w:bCs/>
                <w:iCs/>
                <w:sz w:val="16"/>
                <w:szCs w:val="16"/>
              </w:rPr>
              <w:t>Reducción parcial del consumo de energía en la zona afectada por las obras en el edificio AB</w:t>
            </w:r>
          </w:p>
        </w:tc>
        <w:tc>
          <w:tcPr>
            <w:tcW w:w="1635" w:type="pct"/>
          </w:tcPr>
          <w:p w:rsidR="00BE17BF" w:rsidRPr="00102A5B" w:rsidRDefault="00BE17BF" w:rsidP="00027A9C">
            <w:pPr>
              <w:spacing w:before="60" w:after="60"/>
              <w:rPr>
                <w:bCs/>
                <w:iCs/>
                <w:sz w:val="16"/>
                <w:szCs w:val="16"/>
              </w:rPr>
            </w:pPr>
          </w:p>
        </w:tc>
      </w:tr>
      <w:tr w:rsidR="00BE17BF" w:rsidRPr="00102A5B" w:rsidTr="00027A9C">
        <w:trPr>
          <w:trHeight w:val="274"/>
          <w:jc w:val="center"/>
        </w:trPr>
        <w:tc>
          <w:tcPr>
            <w:tcW w:w="1729" w:type="pct"/>
          </w:tcPr>
          <w:p w:rsidR="00BE17BF" w:rsidRPr="00102A5B" w:rsidRDefault="00BE17BF" w:rsidP="00027A9C">
            <w:pPr>
              <w:spacing w:before="60" w:after="60"/>
              <w:rPr>
                <w:bCs/>
                <w:iCs/>
                <w:sz w:val="16"/>
                <w:szCs w:val="16"/>
              </w:rPr>
            </w:pPr>
          </w:p>
        </w:tc>
        <w:tc>
          <w:tcPr>
            <w:tcW w:w="1636" w:type="pct"/>
            <w:vAlign w:val="center"/>
            <w:hideMark/>
          </w:tcPr>
          <w:p w:rsidR="00BE17BF" w:rsidRPr="00102A5B" w:rsidRDefault="00BE17BF" w:rsidP="00027A9C">
            <w:pPr>
              <w:spacing w:before="60" w:after="60"/>
              <w:rPr>
                <w:bCs/>
                <w:iCs/>
                <w:sz w:val="16"/>
                <w:szCs w:val="16"/>
              </w:rPr>
            </w:pPr>
            <w:r w:rsidRPr="00102A5B">
              <w:rPr>
                <w:bCs/>
                <w:iCs/>
                <w:sz w:val="16"/>
                <w:szCs w:val="16"/>
              </w:rPr>
              <w:t>Mejora de los espacios de trabajo del personal de la imprenta y la documentación con respecto a una o dos de las unidades en cuestión (imprenta o unidad de documentación).</w:t>
            </w:r>
          </w:p>
        </w:tc>
        <w:tc>
          <w:tcPr>
            <w:tcW w:w="1635" w:type="pct"/>
            <w:vAlign w:val="center"/>
          </w:tcPr>
          <w:p w:rsidR="00BE17BF" w:rsidRPr="00102A5B" w:rsidRDefault="00BE17BF" w:rsidP="00027A9C">
            <w:pPr>
              <w:spacing w:before="60" w:after="60"/>
              <w:rPr>
                <w:bCs/>
                <w:iCs/>
                <w:sz w:val="16"/>
                <w:szCs w:val="16"/>
              </w:rPr>
            </w:pPr>
            <w:r w:rsidRPr="00102A5B">
              <w:rPr>
                <w:bCs/>
                <w:iCs/>
                <w:sz w:val="16"/>
                <w:szCs w:val="16"/>
              </w:rPr>
              <w:t>Mejora de los espacios de trabajo del personal de la imprenta y la documentación con respecto a la segunda de las unidades en cuestión.</w:t>
            </w:r>
          </w:p>
        </w:tc>
      </w:tr>
    </w:tbl>
    <w:p w:rsidR="00BE17BF" w:rsidRPr="00102A5B" w:rsidRDefault="00BE17BF" w:rsidP="00027A9C">
      <w:pPr>
        <w:rPr>
          <w:sz w:val="20"/>
        </w:rPr>
      </w:pPr>
    </w:p>
    <w:p w:rsidR="00BE17BF" w:rsidRPr="00102A5B" w:rsidRDefault="00BE17BF" w:rsidP="00027A9C">
      <w:pPr>
        <w:rPr>
          <w:sz w:val="20"/>
        </w:rPr>
      </w:pPr>
    </w:p>
    <w:p w:rsidR="00BE17BF" w:rsidRPr="00102A5B" w:rsidRDefault="00BE17BF" w:rsidP="00027A9C">
      <w:pPr>
        <w:rPr>
          <w:sz w:val="20"/>
        </w:rPr>
      </w:pPr>
      <w:r w:rsidRPr="00102A5B">
        <w:rPr>
          <w:sz w:val="20"/>
        </w:rPr>
        <w:t>UTILIZACIÓN DE LOS RECURSOS</w:t>
      </w:r>
      <w:r w:rsidRPr="00102A5B">
        <w:rPr>
          <w:rStyle w:val="FootnoteReference"/>
          <w:sz w:val="20"/>
        </w:rPr>
        <w:footnoteReference w:id="123"/>
      </w:r>
    </w:p>
    <w:p w:rsidR="00BE17BF" w:rsidRPr="00102A5B" w:rsidRDefault="00BE17BF" w:rsidP="00027A9C">
      <w:pPr>
        <w:rPr>
          <w:sz w:val="20"/>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14" w:tblpY="17"/>
        <w:tblW w:w="4836"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16"/>
        <w:gridCol w:w="1516"/>
        <w:gridCol w:w="1518"/>
        <w:gridCol w:w="1518"/>
        <w:gridCol w:w="1514"/>
      </w:tblGrid>
      <w:tr w:rsidR="00BE17BF" w:rsidRPr="00102A5B" w:rsidTr="00027A9C">
        <w:trPr>
          <w:trHeight w:val="410"/>
        </w:trPr>
        <w:tc>
          <w:tcPr>
            <w:tcW w:w="1623"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Nombre del proyecto</w:t>
            </w:r>
          </w:p>
        </w:tc>
        <w:tc>
          <w:tcPr>
            <w:tcW w:w="844"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45"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45"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43"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623" w:type="pct"/>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Edificio Arpad Bogsch – fase 1 de la renovación del subsuelo (adaptación de las dimensiones del centro de datos y renovación de la imprenta)</w:t>
            </w:r>
          </w:p>
        </w:tc>
        <w:tc>
          <w:tcPr>
            <w:tcW w:w="844" w:type="pct"/>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960.000</w:t>
            </w:r>
          </w:p>
        </w:tc>
        <w:tc>
          <w:tcPr>
            <w:tcW w:w="84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245.222</w:t>
            </w:r>
          </w:p>
        </w:tc>
        <w:tc>
          <w:tcPr>
            <w:tcW w:w="84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25,5%</w:t>
            </w:r>
          </w:p>
        </w:tc>
        <w:tc>
          <w:tcPr>
            <w:tcW w:w="843"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25%</w:t>
            </w:r>
          </w:p>
        </w:tc>
      </w:tr>
    </w:tbl>
    <w:p w:rsidR="00BE17BF" w:rsidRPr="00102A5B" w:rsidRDefault="00BE17BF" w:rsidP="00027A9C">
      <w:pPr>
        <w:tabs>
          <w:tab w:val="left" w:pos="3261"/>
        </w:tabs>
        <w:autoSpaceDE w:val="0"/>
        <w:autoSpaceDN w:val="0"/>
        <w:adjustRightInd w:val="0"/>
        <w:rPr>
          <w:b/>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etapa)</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789"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786"/>
        <w:gridCol w:w="1514"/>
        <w:gridCol w:w="1514"/>
        <w:gridCol w:w="1514"/>
        <w:gridCol w:w="1567"/>
      </w:tblGrid>
      <w:tr w:rsidR="00BE17BF" w:rsidRPr="00102A5B" w:rsidTr="00027A9C">
        <w:trPr>
          <w:trHeight w:val="410"/>
        </w:trPr>
        <w:tc>
          <w:tcPr>
            <w:tcW w:w="1566"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Etapas fundamentales</w:t>
            </w:r>
          </w:p>
        </w:tc>
        <w:tc>
          <w:tcPr>
            <w:tcW w:w="851"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51"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51"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881"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566" w:type="pct"/>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 xml:space="preserve">Adjudicación de los contratos al arquitecto y a los ingenieros </w:t>
            </w:r>
          </w:p>
        </w:tc>
        <w:tc>
          <w:tcPr>
            <w:tcW w:w="851" w:type="pct"/>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144.000</w:t>
            </w:r>
          </w:p>
        </w:tc>
        <w:tc>
          <w:tcPr>
            <w:tcW w:w="85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62.555</w:t>
            </w:r>
          </w:p>
        </w:tc>
        <w:tc>
          <w:tcPr>
            <w:tcW w:w="85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43,4%</w:t>
            </w:r>
          </w:p>
        </w:tc>
        <w:tc>
          <w:tcPr>
            <w:tcW w:w="88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100%</w:t>
            </w:r>
          </w:p>
        </w:tc>
      </w:tr>
      <w:tr w:rsidR="00BE17BF" w:rsidRPr="00102A5B" w:rsidTr="00027A9C">
        <w:trPr>
          <w:trHeight w:val="389"/>
        </w:trPr>
        <w:tc>
          <w:tcPr>
            <w:tcW w:w="1566" w:type="pct"/>
            <w:vAlign w:val="center"/>
            <w:hideMark/>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Obra y puesta en servicio</w:t>
            </w:r>
          </w:p>
        </w:tc>
        <w:tc>
          <w:tcPr>
            <w:tcW w:w="851" w:type="pct"/>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816.000</w:t>
            </w:r>
          </w:p>
        </w:tc>
        <w:tc>
          <w:tcPr>
            <w:tcW w:w="85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182.668</w:t>
            </w:r>
          </w:p>
        </w:tc>
        <w:tc>
          <w:tcPr>
            <w:tcW w:w="85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22,4%</w:t>
            </w:r>
          </w:p>
        </w:tc>
        <w:tc>
          <w:tcPr>
            <w:tcW w:w="881"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20%</w:t>
            </w:r>
          </w:p>
        </w:tc>
      </w:tr>
      <w:tr w:rsidR="00BE17BF" w:rsidRPr="00102A5B" w:rsidTr="00027A9C">
        <w:trPr>
          <w:trHeight w:val="389"/>
        </w:trPr>
        <w:tc>
          <w:tcPr>
            <w:tcW w:w="1566"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rPr>
                <w:b/>
                <w:sz w:val="16"/>
                <w:szCs w:val="16"/>
              </w:rPr>
            </w:pPr>
            <w:r w:rsidRPr="00102A5B">
              <w:rPr>
                <w:b/>
                <w:sz w:val="16"/>
                <w:szCs w:val="16"/>
              </w:rPr>
              <w:t>Total</w:t>
            </w:r>
          </w:p>
        </w:tc>
        <w:tc>
          <w:tcPr>
            <w:tcW w:w="851"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jc w:val="center"/>
              <w:rPr>
                <w:b/>
                <w:sz w:val="16"/>
                <w:szCs w:val="16"/>
              </w:rPr>
            </w:pPr>
            <w:r w:rsidRPr="00102A5B">
              <w:rPr>
                <w:b/>
                <w:sz w:val="16"/>
                <w:szCs w:val="16"/>
              </w:rPr>
              <w:t>960.000</w:t>
            </w:r>
          </w:p>
        </w:tc>
        <w:tc>
          <w:tcPr>
            <w:tcW w:w="851"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jc w:val="center"/>
              <w:rPr>
                <w:b/>
                <w:sz w:val="16"/>
                <w:szCs w:val="16"/>
              </w:rPr>
            </w:pPr>
            <w:r w:rsidRPr="00102A5B">
              <w:rPr>
                <w:b/>
                <w:sz w:val="16"/>
                <w:szCs w:val="16"/>
              </w:rPr>
              <w:t>245.222</w:t>
            </w:r>
          </w:p>
        </w:tc>
        <w:tc>
          <w:tcPr>
            <w:tcW w:w="851"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jc w:val="center"/>
              <w:rPr>
                <w:b/>
                <w:sz w:val="16"/>
                <w:szCs w:val="16"/>
              </w:rPr>
            </w:pPr>
            <w:r w:rsidRPr="00102A5B">
              <w:rPr>
                <w:b/>
                <w:sz w:val="16"/>
                <w:szCs w:val="16"/>
              </w:rPr>
              <w:t>25,5%</w:t>
            </w:r>
          </w:p>
        </w:tc>
        <w:tc>
          <w:tcPr>
            <w:tcW w:w="881"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jc w:val="center"/>
              <w:rPr>
                <w:b/>
                <w:sz w:val="16"/>
                <w:szCs w:val="16"/>
              </w:rPr>
            </w:pPr>
          </w:p>
        </w:tc>
      </w:tr>
    </w:tbl>
    <w:p w:rsidR="00BE17BF" w:rsidRPr="00102A5B" w:rsidRDefault="00BE17BF" w:rsidP="00027A9C">
      <w:pPr>
        <w:tabs>
          <w:tab w:val="left" w:pos="3261"/>
        </w:tabs>
        <w:autoSpaceDE w:val="0"/>
        <w:autoSpaceDN w:val="0"/>
        <w:adjustRightInd w:val="0"/>
        <w:rPr>
          <w:b/>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categoría de costo)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W w:w="4816" w:type="pct"/>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434"/>
        <w:gridCol w:w="1785"/>
        <w:gridCol w:w="1785"/>
        <w:gridCol w:w="1941"/>
      </w:tblGrid>
      <w:tr w:rsidR="00BE17BF" w:rsidRPr="00102A5B" w:rsidTr="00027A9C">
        <w:trPr>
          <w:trHeight w:val="569"/>
        </w:trPr>
        <w:tc>
          <w:tcPr>
            <w:tcW w:w="1919"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Categoría de costo</w:t>
            </w:r>
          </w:p>
        </w:tc>
        <w:tc>
          <w:tcPr>
            <w:tcW w:w="998"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998"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1085"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r>
      <w:tr w:rsidR="00BE17BF" w:rsidRPr="00102A5B" w:rsidTr="00027A9C">
        <w:tc>
          <w:tcPr>
            <w:tcW w:w="1919"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Costos relacionados con las obras</w:t>
            </w:r>
          </w:p>
        </w:tc>
        <w:tc>
          <w:tcPr>
            <w:tcW w:w="998"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749.000</w:t>
            </w:r>
          </w:p>
        </w:tc>
        <w:tc>
          <w:tcPr>
            <w:tcW w:w="998"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182.668</w:t>
            </w:r>
          </w:p>
        </w:tc>
        <w:tc>
          <w:tcPr>
            <w:tcW w:w="1085"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24,4%</w:t>
            </w:r>
          </w:p>
        </w:tc>
      </w:tr>
      <w:tr w:rsidR="00BE17BF" w:rsidRPr="00102A5B" w:rsidTr="00027A9C">
        <w:tc>
          <w:tcPr>
            <w:tcW w:w="1919"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Honorarios</w:t>
            </w:r>
          </w:p>
        </w:tc>
        <w:tc>
          <w:tcPr>
            <w:tcW w:w="998"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144.000</w:t>
            </w:r>
          </w:p>
        </w:tc>
        <w:tc>
          <w:tcPr>
            <w:tcW w:w="998" w:type="pct"/>
            <w:vAlign w:val="center"/>
          </w:tcPr>
          <w:p w:rsidR="00BE17BF" w:rsidRPr="00102A5B" w:rsidRDefault="00BE17BF" w:rsidP="00027A9C">
            <w:pPr>
              <w:spacing w:before="40" w:after="40"/>
              <w:jc w:val="center"/>
              <w:rPr>
                <w:sz w:val="16"/>
                <w:szCs w:val="16"/>
              </w:rPr>
            </w:pPr>
            <w:r w:rsidRPr="00102A5B">
              <w:rPr>
                <w:sz w:val="16"/>
                <w:szCs w:val="16"/>
              </w:rPr>
              <w:t>62.555</w:t>
            </w:r>
          </w:p>
        </w:tc>
        <w:tc>
          <w:tcPr>
            <w:tcW w:w="1085" w:type="pct"/>
            <w:vAlign w:val="center"/>
          </w:tcPr>
          <w:p w:rsidR="00BE17BF" w:rsidRPr="00102A5B" w:rsidRDefault="00BE17BF" w:rsidP="00027A9C">
            <w:pPr>
              <w:spacing w:before="40" w:after="40"/>
              <w:jc w:val="center"/>
              <w:rPr>
                <w:sz w:val="16"/>
                <w:szCs w:val="16"/>
              </w:rPr>
            </w:pPr>
            <w:r w:rsidRPr="00102A5B">
              <w:rPr>
                <w:sz w:val="16"/>
                <w:szCs w:val="16"/>
              </w:rPr>
              <w:t>43,4%</w:t>
            </w:r>
          </w:p>
        </w:tc>
      </w:tr>
      <w:tr w:rsidR="00BE17BF" w:rsidRPr="00102A5B" w:rsidTr="00027A9C">
        <w:tc>
          <w:tcPr>
            <w:tcW w:w="1919"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Diversos e imprevistos</w:t>
            </w:r>
          </w:p>
        </w:tc>
        <w:tc>
          <w:tcPr>
            <w:tcW w:w="998"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67.000</w:t>
            </w:r>
          </w:p>
        </w:tc>
        <w:tc>
          <w:tcPr>
            <w:tcW w:w="998" w:type="pct"/>
            <w:vAlign w:val="center"/>
          </w:tcPr>
          <w:p w:rsidR="00BE17BF" w:rsidRPr="00102A5B" w:rsidRDefault="00BE17BF" w:rsidP="00027A9C">
            <w:pPr>
              <w:spacing w:before="40" w:after="40"/>
              <w:jc w:val="center"/>
              <w:rPr>
                <w:sz w:val="16"/>
                <w:szCs w:val="16"/>
              </w:rPr>
            </w:pPr>
            <w:r w:rsidRPr="00102A5B">
              <w:rPr>
                <w:sz w:val="16"/>
                <w:szCs w:val="16"/>
              </w:rPr>
              <w:t>-</w:t>
            </w:r>
          </w:p>
        </w:tc>
        <w:tc>
          <w:tcPr>
            <w:tcW w:w="1085" w:type="pct"/>
            <w:vAlign w:val="center"/>
          </w:tcPr>
          <w:p w:rsidR="00BE17BF" w:rsidRPr="00102A5B" w:rsidRDefault="00BE17BF" w:rsidP="00027A9C">
            <w:pPr>
              <w:spacing w:before="40" w:after="40"/>
              <w:jc w:val="center"/>
              <w:rPr>
                <w:sz w:val="16"/>
                <w:szCs w:val="16"/>
              </w:rPr>
            </w:pPr>
            <w:r w:rsidRPr="00102A5B">
              <w:rPr>
                <w:sz w:val="16"/>
                <w:szCs w:val="16"/>
              </w:rPr>
              <w:t>-</w:t>
            </w:r>
          </w:p>
        </w:tc>
      </w:tr>
      <w:tr w:rsidR="00BE17BF" w:rsidRPr="00102A5B" w:rsidTr="00027A9C">
        <w:tc>
          <w:tcPr>
            <w:tcW w:w="1919"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rPr>
                <w:b/>
                <w:sz w:val="16"/>
                <w:szCs w:val="16"/>
              </w:rPr>
            </w:pPr>
            <w:r w:rsidRPr="00102A5B">
              <w:rPr>
                <w:b/>
                <w:sz w:val="16"/>
                <w:szCs w:val="16"/>
              </w:rPr>
              <w:t>Total</w:t>
            </w:r>
          </w:p>
        </w:tc>
        <w:tc>
          <w:tcPr>
            <w:tcW w:w="998"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960.000</w:t>
            </w:r>
          </w:p>
        </w:tc>
        <w:tc>
          <w:tcPr>
            <w:tcW w:w="998" w:type="pct"/>
            <w:shd w:val="clear" w:color="auto" w:fill="C6D9F1" w:themeFill="text2" w:themeFillTint="33"/>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245.222</w:t>
            </w:r>
          </w:p>
        </w:tc>
        <w:tc>
          <w:tcPr>
            <w:tcW w:w="1085" w:type="pct"/>
            <w:shd w:val="clear" w:color="auto" w:fill="C6D9F1" w:themeFill="text2" w:themeFillTint="33"/>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25,5%</w:t>
            </w:r>
          </w:p>
        </w:tc>
      </w:tr>
    </w:tbl>
    <w:p w:rsidR="00BE17BF" w:rsidRPr="00102A5B" w:rsidRDefault="00BE17BF" w:rsidP="00027A9C">
      <w:pPr>
        <w:rPr>
          <w:sz w:val="20"/>
          <w:szCs w:val="22"/>
        </w:rPr>
      </w:pPr>
    </w:p>
    <w:p w:rsidR="00BE17BF" w:rsidRPr="00102A5B" w:rsidRDefault="00BE17BF" w:rsidP="00027A9C">
      <w:pPr>
        <w:rPr>
          <w:sz w:val="20"/>
          <w:szCs w:val="22"/>
        </w:rPr>
      </w:pPr>
    </w:p>
    <w:p w:rsidR="00BE17BF" w:rsidRPr="00102A5B" w:rsidRDefault="00BE17BF" w:rsidP="00027A9C">
      <w:pPr>
        <w:rPr>
          <w:sz w:val="20"/>
          <w:szCs w:val="22"/>
        </w:rPr>
      </w:pPr>
      <w:r w:rsidRPr="00102A5B">
        <w:rPr>
          <w:sz w:val="20"/>
          <w:szCs w:val="22"/>
        </w:rPr>
        <w:br w:type="page"/>
      </w:r>
    </w:p>
    <w:p w:rsidR="00BE17BF" w:rsidRPr="00102A5B" w:rsidRDefault="00BE17BF" w:rsidP="00027A9C">
      <w:pPr>
        <w:rPr>
          <w:sz w:val="20"/>
          <w:szCs w:val="22"/>
        </w:rPr>
      </w:pPr>
      <w:r w:rsidRPr="00102A5B">
        <w:rPr>
          <w:sz w:val="20"/>
          <w:szCs w:val="22"/>
        </w:rPr>
        <w:lastRenderedPageBreak/>
        <w:t>RIESGOS Y ESTRATEGIAS DE MITIGACIÓN</w:t>
      </w:r>
    </w:p>
    <w:p w:rsidR="00BE17BF" w:rsidRPr="00102A5B" w:rsidRDefault="00BE17BF" w:rsidP="00027A9C">
      <w:pPr>
        <w:rPr>
          <w:sz w:val="20"/>
          <w:szCs w:val="22"/>
        </w:rPr>
      </w:pP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634"/>
        <w:gridCol w:w="2798"/>
        <w:gridCol w:w="3508"/>
      </w:tblGrid>
      <w:tr w:rsidR="00BE17BF" w:rsidRPr="00102A5B" w:rsidTr="0050685A">
        <w:trPr>
          <w:trHeight w:val="445"/>
          <w:tblHeader/>
          <w:jc w:val="center"/>
        </w:trPr>
        <w:tc>
          <w:tcPr>
            <w:tcW w:w="1473"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74" w:right="-60"/>
              <w:jc w:val="center"/>
              <w:rPr>
                <w:b/>
                <w:bCs/>
                <w:sz w:val="16"/>
                <w:szCs w:val="16"/>
              </w:rPr>
            </w:pPr>
            <w:r w:rsidRPr="00102A5B">
              <w:rPr>
                <w:b/>
                <w:bCs/>
                <w:sz w:val="16"/>
                <w:szCs w:val="16"/>
              </w:rPr>
              <w:t>Riesgo/Descripción del riesgo</w:t>
            </w:r>
          </w:p>
        </w:tc>
        <w:tc>
          <w:tcPr>
            <w:tcW w:w="1565"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 xml:space="preserve">Mitigación del riesgo </w:t>
            </w:r>
          </w:p>
        </w:tc>
        <w:tc>
          <w:tcPr>
            <w:tcW w:w="1962"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109"/>
              <w:jc w:val="center"/>
              <w:rPr>
                <w:b/>
                <w:bCs/>
                <w:sz w:val="16"/>
                <w:szCs w:val="16"/>
              </w:rPr>
            </w:pPr>
            <w:r w:rsidRPr="00102A5B">
              <w:rPr>
                <w:b/>
                <w:bCs/>
                <w:sz w:val="16"/>
                <w:szCs w:val="16"/>
              </w:rPr>
              <w:t>Comentario</w:t>
            </w:r>
          </w:p>
        </w:tc>
      </w:tr>
      <w:tr w:rsidR="00BE17BF" w:rsidRPr="00102A5B" w:rsidTr="0050685A">
        <w:trPr>
          <w:trHeight w:val="776"/>
          <w:jc w:val="center"/>
        </w:trPr>
        <w:tc>
          <w:tcPr>
            <w:tcW w:w="1473" w:type="pct"/>
            <w:hideMark/>
          </w:tcPr>
          <w:p w:rsidR="00BE17BF" w:rsidRPr="00102A5B" w:rsidRDefault="00BE17BF" w:rsidP="00027A9C">
            <w:pPr>
              <w:autoSpaceDE w:val="0"/>
              <w:autoSpaceDN w:val="0"/>
              <w:adjustRightInd w:val="0"/>
              <w:spacing w:before="40" w:after="40"/>
              <w:rPr>
                <w:sz w:val="16"/>
                <w:szCs w:val="16"/>
              </w:rPr>
            </w:pPr>
            <w:r w:rsidRPr="00102A5B">
              <w:rPr>
                <w:sz w:val="16"/>
                <w:szCs w:val="16"/>
              </w:rPr>
              <w:t>Demora en la finalización de las obras debido a un problema técnico detectado durante las obras de desmantelamiento de las instalaciones actuales o causado por ellas</w:t>
            </w:r>
          </w:p>
        </w:tc>
        <w:tc>
          <w:tcPr>
            <w:tcW w:w="1565" w:type="pct"/>
            <w:hideMark/>
          </w:tcPr>
          <w:p w:rsidR="00BE17BF" w:rsidRPr="00102A5B" w:rsidRDefault="00BE17BF" w:rsidP="00027A9C">
            <w:pPr>
              <w:autoSpaceDE w:val="0"/>
              <w:autoSpaceDN w:val="0"/>
              <w:adjustRightInd w:val="0"/>
              <w:spacing w:before="40" w:after="40"/>
              <w:rPr>
                <w:sz w:val="16"/>
                <w:szCs w:val="16"/>
              </w:rPr>
            </w:pPr>
            <w:r w:rsidRPr="00102A5B">
              <w:rPr>
                <w:sz w:val="16"/>
                <w:szCs w:val="16"/>
              </w:rPr>
              <w:t>Realizar las reparaciones necesarias y, de ser necesario, actualizar el calendario de las obras</w:t>
            </w:r>
          </w:p>
        </w:tc>
        <w:tc>
          <w:tcPr>
            <w:tcW w:w="1962" w:type="pct"/>
          </w:tcPr>
          <w:p w:rsidR="00BE17BF" w:rsidRPr="00102A5B" w:rsidRDefault="00BE17BF" w:rsidP="00027A9C">
            <w:pPr>
              <w:autoSpaceDE w:val="0"/>
              <w:autoSpaceDN w:val="0"/>
              <w:adjustRightInd w:val="0"/>
              <w:spacing w:before="40" w:after="40"/>
              <w:rPr>
                <w:sz w:val="16"/>
                <w:szCs w:val="16"/>
              </w:rPr>
            </w:pPr>
            <w:r w:rsidRPr="00102A5B">
              <w:rPr>
                <w:sz w:val="16"/>
                <w:szCs w:val="16"/>
              </w:rPr>
              <w:t>El riesgo previsto no se materializó con respecto al desmantelamiento de la parte del antiguo centro de datos.</w:t>
            </w:r>
          </w:p>
          <w:p w:rsidR="00BE17BF" w:rsidRPr="00102A5B" w:rsidRDefault="00BE17BF" w:rsidP="0050685A">
            <w:pPr>
              <w:autoSpaceDE w:val="0"/>
              <w:autoSpaceDN w:val="0"/>
              <w:adjustRightInd w:val="0"/>
              <w:rPr>
                <w:sz w:val="16"/>
                <w:szCs w:val="16"/>
              </w:rPr>
            </w:pPr>
          </w:p>
          <w:p w:rsidR="00BE17BF" w:rsidRPr="00102A5B" w:rsidRDefault="00BE17BF" w:rsidP="00027A9C">
            <w:pPr>
              <w:autoSpaceDE w:val="0"/>
              <w:autoSpaceDN w:val="0"/>
              <w:adjustRightInd w:val="0"/>
              <w:spacing w:before="40" w:after="40"/>
              <w:rPr>
                <w:sz w:val="16"/>
                <w:szCs w:val="16"/>
              </w:rPr>
            </w:pPr>
            <w:r w:rsidRPr="00102A5B">
              <w:rPr>
                <w:sz w:val="16"/>
                <w:szCs w:val="16"/>
              </w:rPr>
              <w:t>El riesgo sigue estando vigente en lo que respecta al desmantelamiento de la imprenta actual, lo cual tendrá lugar en 2017.</w:t>
            </w:r>
          </w:p>
        </w:tc>
      </w:tr>
      <w:tr w:rsidR="00BE17BF" w:rsidRPr="00102A5B" w:rsidTr="0050685A">
        <w:trPr>
          <w:trHeight w:val="776"/>
          <w:jc w:val="center"/>
        </w:trPr>
        <w:tc>
          <w:tcPr>
            <w:tcW w:w="1473" w:type="pct"/>
            <w:hideMark/>
          </w:tcPr>
          <w:p w:rsidR="00BE17BF" w:rsidRPr="00102A5B" w:rsidRDefault="00BE17BF" w:rsidP="00027A9C">
            <w:pPr>
              <w:autoSpaceDE w:val="0"/>
              <w:autoSpaceDN w:val="0"/>
              <w:adjustRightInd w:val="0"/>
              <w:spacing w:before="40" w:after="40"/>
              <w:rPr>
                <w:sz w:val="16"/>
                <w:szCs w:val="16"/>
              </w:rPr>
            </w:pPr>
            <w:r w:rsidRPr="00102A5B">
              <w:rPr>
                <w:sz w:val="16"/>
                <w:szCs w:val="16"/>
              </w:rPr>
              <w:t>Riesgo financiero como resultado de los costos derivados de la reubicación parcial y temporal del personal de la imprenta y la documentación.</w:t>
            </w:r>
          </w:p>
        </w:tc>
        <w:tc>
          <w:tcPr>
            <w:tcW w:w="1565" w:type="pct"/>
            <w:hideMark/>
          </w:tcPr>
          <w:p w:rsidR="00BE17BF" w:rsidRPr="00102A5B" w:rsidRDefault="00BE17BF" w:rsidP="00027A9C">
            <w:pPr>
              <w:autoSpaceDE w:val="0"/>
              <w:autoSpaceDN w:val="0"/>
              <w:adjustRightInd w:val="0"/>
              <w:spacing w:before="40" w:after="40"/>
              <w:rPr>
                <w:sz w:val="16"/>
                <w:szCs w:val="16"/>
              </w:rPr>
            </w:pPr>
            <w:r w:rsidRPr="00102A5B">
              <w:rPr>
                <w:sz w:val="16"/>
                <w:szCs w:val="16"/>
              </w:rPr>
              <w:t>Utilizar la reserva para “gastos diversos e imprevistos” en el presupuesto aprobado</w:t>
            </w:r>
          </w:p>
        </w:tc>
        <w:tc>
          <w:tcPr>
            <w:tcW w:w="1962" w:type="pct"/>
          </w:tcPr>
          <w:p w:rsidR="00BE17BF" w:rsidRPr="00102A5B" w:rsidRDefault="00BE17BF" w:rsidP="00027A9C">
            <w:pPr>
              <w:autoSpaceDE w:val="0"/>
              <w:autoSpaceDN w:val="0"/>
              <w:adjustRightInd w:val="0"/>
              <w:spacing w:before="40" w:after="40"/>
              <w:rPr>
                <w:sz w:val="16"/>
                <w:szCs w:val="16"/>
              </w:rPr>
            </w:pPr>
          </w:p>
        </w:tc>
      </w:tr>
      <w:tr w:rsidR="00BE17BF" w:rsidRPr="00102A5B" w:rsidTr="0050685A">
        <w:trPr>
          <w:trHeight w:val="776"/>
          <w:jc w:val="center"/>
        </w:trPr>
        <w:tc>
          <w:tcPr>
            <w:tcW w:w="1473" w:type="pct"/>
          </w:tcPr>
          <w:p w:rsidR="00BE17BF" w:rsidRPr="00102A5B" w:rsidRDefault="00BE17BF" w:rsidP="00027A9C">
            <w:pPr>
              <w:autoSpaceDE w:val="0"/>
              <w:autoSpaceDN w:val="0"/>
              <w:adjustRightInd w:val="0"/>
              <w:spacing w:before="40" w:after="40"/>
              <w:rPr>
                <w:sz w:val="16"/>
                <w:szCs w:val="16"/>
              </w:rPr>
            </w:pPr>
            <w:r w:rsidRPr="00102A5B">
              <w:rPr>
                <w:sz w:val="16"/>
                <w:szCs w:val="16"/>
              </w:rPr>
              <w:t>Retrasos en el comienzo de las obras debido al cambio de decisiones internas sobre la cuestión de dejar una sola impresora o las dos actuales</w:t>
            </w:r>
            <w:r w:rsidRPr="00102A5B">
              <w:rPr>
                <w:b/>
                <w:bCs/>
                <w:noProof/>
                <w:sz w:val="16"/>
                <w:szCs w:val="16"/>
                <w:lang w:val="en-US" w:eastAsia="en-US"/>
              </w:rPr>
              <mc:AlternateContent>
                <mc:Choice Requires="wps">
                  <w:drawing>
                    <wp:anchor distT="0" distB="0" distL="114300" distR="114300" simplePos="0" relativeHeight="251662336" behindDoc="0" locked="0" layoutInCell="1" allowOverlap="1" wp14:anchorId="055A3E5A" wp14:editId="7216B186">
                      <wp:simplePos x="0" y="0"/>
                      <wp:positionH relativeFrom="column">
                        <wp:posOffset>-485140</wp:posOffset>
                      </wp:positionH>
                      <wp:positionV relativeFrom="paragraph">
                        <wp:posOffset>-6350</wp:posOffset>
                      </wp:positionV>
                      <wp:extent cx="401320" cy="317500"/>
                      <wp:effectExtent l="0" t="0" r="0" b="6350"/>
                      <wp:wrapNone/>
                      <wp:docPr id="1141" name="Text Box 1141"/>
                      <wp:cNvGraphicFramePr/>
                      <a:graphic xmlns:a="http://schemas.openxmlformats.org/drawingml/2006/main">
                        <a:graphicData uri="http://schemas.microsoft.com/office/word/2010/wordprocessingShape">
                          <wps:wsp>
                            <wps:cNvSpPr txBox="1"/>
                            <wps:spPr>
                              <a:xfrm>
                                <a:off x="0" y="0"/>
                                <a:ext cx="40132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EAB" w:rsidRDefault="00653EAB" w:rsidP="00027A9C">
                                  <w:r w:rsidRPr="009A321A">
                                    <w:rPr>
                                      <w:noProof/>
                                      <w:lang w:val="en-US" w:eastAsia="en-US"/>
                                    </w:rPr>
                                    <w:drawing>
                                      <wp:inline distT="0" distB="0" distL="0" distR="0" wp14:anchorId="06064C27" wp14:editId="3AA41F54">
                                        <wp:extent cx="210709" cy="202520"/>
                                        <wp:effectExtent l="0" t="0" r="0" b="762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1" o:spid="_x0000_s1029" type="#_x0000_t202" style="position:absolute;margin-left:-38.2pt;margin-top:-.5pt;width:31.6pt;height: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" fillcolor="white [3201]" stroked="f" strokeweight=".5pt">
                      <v:textbox>
                        <w:txbxContent>
                          <w:p w:rsidR="00653EAB" w:rsidRDefault="00653EAB" w:rsidP="00027A9C">
                            <w:r w:rsidRPr="009A321A">
                              <w:rPr>
                                <w:noProof/>
                                <w:lang w:val="en-US" w:eastAsia="en-US"/>
                              </w:rPr>
                              <w:drawing>
                                <wp:inline distT="0" distB="0" distL="0" distR="0" wp14:anchorId="06064C27" wp14:editId="3AA41F54">
                                  <wp:extent cx="210709" cy="202520"/>
                                  <wp:effectExtent l="0" t="0" r="0" b="7620"/>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v:textbox>
                    </v:shape>
                  </w:pict>
                </mc:Fallback>
              </mc:AlternateContent>
            </w:r>
          </w:p>
        </w:tc>
        <w:tc>
          <w:tcPr>
            <w:tcW w:w="1565" w:type="pct"/>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Preparar la adaptación del mandato técnico para que se ajuste a la capacidad necesaria, con una impresora, para hacer frente a la carga de trabajo que actualmente se atiende con dos impresoras </w:t>
            </w:r>
          </w:p>
        </w:tc>
        <w:tc>
          <w:tcPr>
            <w:tcW w:w="1962" w:type="pct"/>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El riesgo previsto se materializó al final de 2016, de suerte que hubo retrasos en la ejecución del proyecto.  Se ha modificado nuevamente el calendario del proyecto </w:t>
            </w:r>
          </w:p>
          <w:p w:rsidR="00BE17BF" w:rsidRPr="00102A5B" w:rsidRDefault="00BE17BF" w:rsidP="00027A9C">
            <w:pPr>
              <w:autoSpaceDE w:val="0"/>
              <w:autoSpaceDN w:val="0"/>
              <w:adjustRightInd w:val="0"/>
              <w:spacing w:before="40" w:after="40"/>
              <w:rPr>
                <w:sz w:val="16"/>
                <w:szCs w:val="16"/>
              </w:rPr>
            </w:pPr>
          </w:p>
          <w:p w:rsidR="00BE17BF" w:rsidRPr="00102A5B" w:rsidRDefault="00BE17BF" w:rsidP="0050685A">
            <w:pPr>
              <w:autoSpaceDE w:val="0"/>
              <w:autoSpaceDN w:val="0"/>
              <w:adjustRightInd w:val="0"/>
              <w:spacing w:before="40" w:after="40"/>
              <w:rPr>
                <w:sz w:val="16"/>
                <w:szCs w:val="16"/>
              </w:rPr>
            </w:pPr>
            <w:r w:rsidRPr="00102A5B">
              <w:rPr>
                <w:i/>
                <w:sz w:val="16"/>
                <w:szCs w:val="16"/>
              </w:rPr>
              <w:t>Este riesgo se ha dado por concluido</w:t>
            </w:r>
            <w:r w:rsidRPr="00102A5B">
              <w:rPr>
                <w:sz w:val="16"/>
                <w:szCs w:val="16"/>
              </w:rPr>
              <w:t>.</w:t>
            </w:r>
          </w:p>
        </w:tc>
      </w:tr>
    </w:tbl>
    <w:p w:rsidR="00BE17BF" w:rsidRPr="006A7CD1" w:rsidRDefault="00BE17BF" w:rsidP="00027A9C">
      <w:pPr>
        <w:rPr>
          <w:sz w:val="16"/>
          <w:szCs w:val="16"/>
        </w:rPr>
      </w:pPr>
    </w:p>
    <w:p w:rsidR="00BE17BF" w:rsidRPr="006A7CD1" w:rsidRDefault="00BE17BF" w:rsidP="00027A9C">
      <w:pPr>
        <w:rPr>
          <w:sz w:val="16"/>
          <w:szCs w:val="16"/>
        </w:rPr>
      </w:pPr>
    </w:p>
    <w:p w:rsidR="00BE17BF" w:rsidRPr="00102A5B" w:rsidRDefault="00BE17BF" w:rsidP="00027A9C">
      <w:pPr>
        <w:rPr>
          <w:sz w:val="20"/>
          <w:szCs w:val="22"/>
        </w:rPr>
      </w:pPr>
      <w:r w:rsidRPr="00102A5B">
        <w:rPr>
          <w:sz w:val="20"/>
          <w:szCs w:val="22"/>
        </w:rPr>
        <w:t>CALENDARIO DEL PROYECTO, POR ETAPA</w:t>
      </w:r>
    </w:p>
    <w:p w:rsidR="00BE17BF" w:rsidRPr="00102A5B" w:rsidRDefault="00BE17BF" w:rsidP="00027A9C">
      <w:pPr>
        <w:autoSpaceDE w:val="0"/>
        <w:autoSpaceDN w:val="0"/>
        <w:jc w:val="both"/>
        <w:rPr>
          <w:sz w:val="18"/>
          <w:szCs w:val="24"/>
        </w:rPr>
      </w:pPr>
    </w:p>
    <w:tbl>
      <w:tblPr>
        <w:tblW w:w="9819" w:type="dxa"/>
        <w:jc w:val="center"/>
        <w:tblInd w:w="446" w:type="dxa"/>
        <w:tblLayout w:type="fixed"/>
        <w:tblLook w:val="04A0" w:firstRow="1" w:lastRow="0" w:firstColumn="1" w:lastColumn="0" w:noHBand="0" w:noVBand="1"/>
      </w:tblPr>
      <w:tblGrid>
        <w:gridCol w:w="1508"/>
        <w:gridCol w:w="426"/>
        <w:gridCol w:w="506"/>
        <w:gridCol w:w="460"/>
        <w:gridCol w:w="443"/>
        <w:gridCol w:w="18"/>
        <w:gridCol w:w="461"/>
        <w:gridCol w:w="460"/>
        <w:gridCol w:w="461"/>
        <w:gridCol w:w="460"/>
        <w:gridCol w:w="30"/>
        <w:gridCol w:w="431"/>
        <w:gridCol w:w="461"/>
        <w:gridCol w:w="460"/>
        <w:gridCol w:w="448"/>
        <w:gridCol w:w="13"/>
        <w:gridCol w:w="460"/>
        <w:gridCol w:w="461"/>
        <w:gridCol w:w="461"/>
        <w:gridCol w:w="460"/>
        <w:gridCol w:w="35"/>
        <w:gridCol w:w="426"/>
        <w:gridCol w:w="461"/>
        <w:gridCol w:w="9"/>
      </w:tblGrid>
      <w:tr w:rsidR="00BE17BF" w:rsidRPr="00102A5B" w:rsidTr="0050685A">
        <w:trPr>
          <w:trHeight w:val="375"/>
          <w:tblHeader/>
          <w:jc w:val="center"/>
        </w:trPr>
        <w:tc>
          <w:tcPr>
            <w:tcW w:w="1508" w:type="dxa"/>
            <w:tcBorders>
              <w:bottom w:val="single" w:sz="4" w:space="0" w:color="A6A6A6" w:themeColor="background1" w:themeShade="A6"/>
              <w:right w:val="single" w:sz="4" w:space="0" w:color="A6A6A6" w:themeColor="background1" w:themeShade="A6"/>
            </w:tcBorders>
            <w:shd w:val="clear" w:color="auto" w:fill="auto"/>
            <w:noWrap/>
            <w:vAlign w:val="bottom"/>
          </w:tcPr>
          <w:p w:rsidR="00BE17BF" w:rsidRPr="00102A5B" w:rsidRDefault="00BE17BF" w:rsidP="00027A9C">
            <w:pPr>
              <w:spacing w:before="40" w:after="40"/>
              <w:rPr>
                <w:b/>
                <w:bCs/>
                <w:sz w:val="16"/>
                <w:szCs w:val="16"/>
              </w:rPr>
            </w:pPr>
          </w:p>
        </w:tc>
        <w:tc>
          <w:tcPr>
            <w:tcW w:w="1835"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BE17BF" w:rsidRPr="00102A5B" w:rsidRDefault="00BE17BF" w:rsidP="00027A9C">
            <w:pPr>
              <w:spacing w:before="40" w:after="40"/>
              <w:jc w:val="center"/>
              <w:rPr>
                <w:b/>
                <w:bCs/>
                <w:sz w:val="16"/>
                <w:szCs w:val="16"/>
              </w:rPr>
            </w:pPr>
            <w:r w:rsidRPr="00102A5B">
              <w:rPr>
                <w:b/>
                <w:bCs/>
                <w:sz w:val="16"/>
                <w:szCs w:val="16"/>
              </w:rPr>
              <w:t>2014</w:t>
            </w:r>
          </w:p>
        </w:tc>
        <w:tc>
          <w:tcPr>
            <w:tcW w:w="189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BE17BF" w:rsidRPr="00102A5B" w:rsidRDefault="00BE17BF" w:rsidP="00027A9C">
            <w:pPr>
              <w:spacing w:before="40" w:after="40"/>
              <w:jc w:val="center"/>
              <w:rPr>
                <w:b/>
                <w:bCs/>
                <w:sz w:val="16"/>
                <w:szCs w:val="16"/>
              </w:rPr>
            </w:pPr>
            <w:r w:rsidRPr="00102A5B">
              <w:rPr>
                <w:b/>
                <w:bCs/>
                <w:sz w:val="16"/>
                <w:szCs w:val="16"/>
              </w:rPr>
              <w:t>2015</w:t>
            </w:r>
          </w:p>
        </w:tc>
        <w:tc>
          <w:tcPr>
            <w:tcW w:w="180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BE17BF" w:rsidRPr="00102A5B" w:rsidRDefault="00BE17BF" w:rsidP="00027A9C">
            <w:pPr>
              <w:spacing w:before="40" w:after="40"/>
              <w:jc w:val="center"/>
              <w:rPr>
                <w:b/>
                <w:bCs/>
                <w:sz w:val="16"/>
                <w:szCs w:val="16"/>
              </w:rPr>
            </w:pPr>
            <w:r w:rsidRPr="00102A5B">
              <w:rPr>
                <w:b/>
                <w:bCs/>
                <w:sz w:val="16"/>
                <w:szCs w:val="16"/>
              </w:rPr>
              <w:t>2016</w:t>
            </w:r>
          </w:p>
        </w:tc>
        <w:tc>
          <w:tcPr>
            <w:tcW w:w="1890" w:type="dxa"/>
            <w:gridSpan w:val="6"/>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tcPr>
          <w:p w:rsidR="00BE17BF" w:rsidRPr="00102A5B" w:rsidRDefault="00BE17BF" w:rsidP="00027A9C">
            <w:pPr>
              <w:spacing w:before="40" w:after="40"/>
              <w:jc w:val="center"/>
              <w:rPr>
                <w:b/>
                <w:bCs/>
                <w:sz w:val="16"/>
                <w:szCs w:val="16"/>
              </w:rPr>
            </w:pPr>
            <w:r w:rsidRPr="00102A5B">
              <w:rPr>
                <w:b/>
                <w:bCs/>
                <w:sz w:val="16"/>
                <w:szCs w:val="16"/>
              </w:rPr>
              <w:t>2017</w:t>
            </w:r>
          </w:p>
        </w:tc>
        <w:tc>
          <w:tcPr>
            <w:tcW w:w="896"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BE17BF" w:rsidRPr="00102A5B" w:rsidRDefault="00BE17BF" w:rsidP="00027A9C">
            <w:pPr>
              <w:jc w:val="center"/>
              <w:rPr>
                <w:b/>
                <w:sz w:val="16"/>
                <w:szCs w:val="16"/>
              </w:rPr>
            </w:pPr>
            <w:r w:rsidRPr="00102A5B">
              <w:rPr>
                <w:b/>
                <w:sz w:val="16"/>
                <w:szCs w:val="16"/>
              </w:rPr>
              <w:t>2018</w:t>
            </w:r>
          </w:p>
        </w:tc>
      </w:tr>
      <w:tr w:rsidR="00BE17BF" w:rsidRPr="00102A5B" w:rsidTr="006A7CD1">
        <w:trPr>
          <w:gridAfter w:val="1"/>
          <w:wAfter w:w="9" w:type="dxa"/>
          <w:trHeight w:val="375"/>
          <w:tblHeader/>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spacing w:before="40" w:after="40"/>
              <w:rPr>
                <w:b/>
                <w:bCs/>
                <w:sz w:val="16"/>
                <w:szCs w:val="16"/>
              </w:rPr>
            </w:pPr>
            <w:r w:rsidRPr="00102A5B">
              <w:rPr>
                <w:b/>
                <w:bCs/>
                <w:sz w:val="16"/>
                <w:szCs w:val="16"/>
              </w:rPr>
              <w:t>Etapas fundamentales</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T1</w:t>
            </w: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T2</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T3</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T4</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T1</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T2</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T3</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T4</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T1</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T2</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T3</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T4</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T1</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T2</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T3</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center"/>
            <w:hideMark/>
          </w:tcPr>
          <w:p w:rsidR="00BE17BF" w:rsidRPr="00102A5B" w:rsidRDefault="00BE17BF" w:rsidP="00027A9C">
            <w:pPr>
              <w:spacing w:before="40" w:after="40"/>
              <w:jc w:val="center"/>
              <w:rPr>
                <w:b/>
                <w:bCs/>
                <w:sz w:val="16"/>
                <w:szCs w:val="16"/>
              </w:rPr>
            </w:pPr>
            <w:r w:rsidRPr="00102A5B">
              <w:rPr>
                <w:b/>
                <w:bCs/>
                <w:sz w:val="16"/>
                <w:szCs w:val="16"/>
              </w:rPr>
              <w:t>T4</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BE17BF" w:rsidRPr="00102A5B" w:rsidRDefault="00BE17BF" w:rsidP="00027A9C">
            <w:pPr>
              <w:jc w:val="center"/>
              <w:rPr>
                <w:b/>
                <w:sz w:val="16"/>
                <w:szCs w:val="16"/>
              </w:rPr>
            </w:pPr>
            <w:r w:rsidRPr="00102A5B">
              <w:rPr>
                <w:b/>
                <w:sz w:val="16"/>
                <w:szCs w:val="16"/>
              </w:rPr>
              <w:t>T1</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center"/>
          </w:tcPr>
          <w:p w:rsidR="00BE17BF" w:rsidRPr="00102A5B" w:rsidRDefault="00BE17BF" w:rsidP="00027A9C">
            <w:pPr>
              <w:jc w:val="center"/>
              <w:rPr>
                <w:b/>
                <w:sz w:val="16"/>
                <w:szCs w:val="16"/>
              </w:rPr>
            </w:pPr>
            <w:r w:rsidRPr="00102A5B">
              <w:rPr>
                <w:b/>
                <w:sz w:val="16"/>
                <w:szCs w:val="16"/>
              </w:rPr>
              <w:t>T2</w:t>
            </w:r>
          </w:p>
        </w:tc>
      </w:tr>
      <w:tr w:rsidR="00BE17BF" w:rsidRPr="00102A5B" w:rsidTr="006A7CD1">
        <w:trPr>
          <w:gridAfter w:val="1"/>
          <w:wAfter w:w="9" w:type="dxa"/>
          <w:trHeight w:val="61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Definición interna de los objetivos del proyecto</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r>
      <w:tr w:rsidR="00BE17BF" w:rsidRPr="00102A5B" w:rsidTr="006A7CD1">
        <w:trPr>
          <w:gridAfter w:val="1"/>
          <w:wAfter w:w="9" w:type="dxa"/>
          <w:trHeight w:val="61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Adjudicación de contratos al arquitecto</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r>
      <w:tr w:rsidR="00BE17BF" w:rsidRPr="00102A5B" w:rsidTr="006A7CD1">
        <w:trPr>
          <w:gridAfter w:val="1"/>
          <w:wAfter w:w="9" w:type="dxa"/>
          <w:trHeight w:val="61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Adjudicación de contratos a los ingenieros</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r>
      <w:tr w:rsidR="00BE17BF" w:rsidRPr="00102A5B" w:rsidTr="006A7CD1">
        <w:trPr>
          <w:gridAfter w:val="1"/>
          <w:wAfter w:w="9" w:type="dxa"/>
          <w:trHeight w:val="61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Examen exhaustivo de la ejecución de las obras</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r>
      <w:tr w:rsidR="00BE17BF" w:rsidRPr="00102A5B" w:rsidTr="006A7CD1">
        <w:trPr>
          <w:gridAfter w:val="1"/>
          <w:wAfter w:w="9" w:type="dxa"/>
          <w:trHeight w:val="61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rPr>
                <w:sz w:val="16"/>
                <w:szCs w:val="16"/>
              </w:rPr>
            </w:pPr>
            <w:r w:rsidRPr="00102A5B">
              <w:rPr>
                <w:sz w:val="16"/>
                <w:szCs w:val="16"/>
              </w:rPr>
              <w:t>Cambio de la decisión interna con respecto a la idea de dejar una sola impresora o las dos actuales</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r>
      <w:tr w:rsidR="00BE17BF" w:rsidRPr="00102A5B" w:rsidTr="006A7CD1">
        <w:trPr>
          <w:gridAfter w:val="1"/>
          <w:wAfter w:w="9" w:type="dxa"/>
          <w:trHeight w:val="61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Actualización del examen exhaustivo de la ejecución de las obras</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jc w:val="center"/>
              <w:rPr>
                <w:sz w:val="16"/>
                <w:szCs w:val="16"/>
              </w:rPr>
            </w:pPr>
          </w:p>
        </w:tc>
      </w:tr>
      <w:tr w:rsidR="00BE17BF" w:rsidRPr="00102A5B" w:rsidTr="006A7CD1">
        <w:trPr>
          <w:gridAfter w:val="1"/>
          <w:wAfter w:w="9" w:type="dxa"/>
          <w:trHeight w:val="61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Llamado a licitación y selección de empresas</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r>
      <w:tr w:rsidR="00BE17BF" w:rsidRPr="00102A5B" w:rsidTr="006A7CD1">
        <w:trPr>
          <w:gridAfter w:val="1"/>
          <w:wAfter w:w="9" w:type="dxa"/>
          <w:trHeight w:val="425"/>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Obra y puesta en servicio de la parte del centro de datos</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r>
      <w:tr w:rsidR="00BE17BF" w:rsidRPr="00102A5B" w:rsidTr="006A7CD1">
        <w:trPr>
          <w:gridAfter w:val="1"/>
          <w:wAfter w:w="9" w:type="dxa"/>
          <w:trHeight w:val="242"/>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Obras (desmantelamiento y construcción) de los espacios de imprenta y documentación</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p>
        </w:tc>
      </w:tr>
      <w:tr w:rsidR="00BE17BF" w:rsidRPr="00102A5B" w:rsidTr="006A7CD1">
        <w:trPr>
          <w:gridAfter w:val="1"/>
          <w:wAfter w:w="9" w:type="dxa"/>
          <w:trHeight w:val="397"/>
          <w:jc w:val="center"/>
        </w:trPr>
        <w:tc>
          <w:tcPr>
            <w:tcW w:w="150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lastRenderedPageBreak/>
              <w:t xml:space="preserve">Puesta en servicio, por etapas, de los espacios renovados de imprenta y documentación </w:t>
            </w:r>
          </w:p>
        </w:tc>
        <w:tc>
          <w:tcPr>
            <w:tcW w:w="42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50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jc w:val="center"/>
              <w:rPr>
                <w:sz w:val="16"/>
                <w:szCs w:val="16"/>
              </w:rPr>
            </w:pP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tcPr>
          <w:p w:rsidR="00BE17BF" w:rsidRPr="00102A5B" w:rsidRDefault="00BE17BF" w:rsidP="00027A9C">
            <w:pPr>
              <w:spacing w:before="40" w:after="40"/>
              <w:jc w:val="center"/>
              <w:rPr>
                <w:sz w:val="16"/>
                <w:szCs w:val="16"/>
              </w:rPr>
            </w:pPr>
          </w:p>
        </w:tc>
        <w:tc>
          <w:tcPr>
            <w:tcW w:w="46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noWrap/>
            <w:vAlign w:val="center"/>
            <w:hideMark/>
          </w:tcPr>
          <w:p w:rsidR="00BE17BF" w:rsidRPr="00102A5B" w:rsidRDefault="00BE17BF" w:rsidP="00027A9C">
            <w:pPr>
              <w:spacing w:before="40" w:after="40"/>
              <w:jc w:val="center"/>
              <w:rPr>
                <w:sz w:val="16"/>
                <w:szCs w:val="16"/>
              </w:rPr>
            </w:pPr>
          </w:p>
        </w:tc>
        <w:tc>
          <w:tcPr>
            <w:tcW w:w="46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c>
          <w:tcPr>
            <w:tcW w:w="46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spacing w:before="40" w:after="40"/>
              <w:jc w:val="center"/>
              <w:rPr>
                <w:sz w:val="16"/>
                <w:szCs w:val="16"/>
              </w:rPr>
            </w:pPr>
            <w:r w:rsidRPr="00102A5B">
              <w:rPr>
                <w:sz w:val="16"/>
                <w:szCs w:val="16"/>
              </w:rPr>
              <w:t>X</w:t>
            </w:r>
          </w:p>
        </w:tc>
      </w:tr>
    </w:tbl>
    <w:p w:rsidR="00BE17BF" w:rsidRPr="00102A5B" w:rsidRDefault="00BE17BF" w:rsidP="00027A9C">
      <w:pPr>
        <w:rPr>
          <w:sz w:val="20"/>
          <w:szCs w:val="24"/>
        </w:rPr>
      </w:pPr>
    </w:p>
    <w:p w:rsidR="00BE17BF" w:rsidRPr="00102A5B" w:rsidRDefault="00BE17BF" w:rsidP="00027A9C">
      <w:pPr>
        <w:spacing w:after="200" w:line="276" w:lineRule="auto"/>
        <w:rPr>
          <w:sz w:val="20"/>
          <w:szCs w:val="24"/>
        </w:rPr>
      </w:pPr>
    </w:p>
    <w:p w:rsidR="00BE17BF" w:rsidRPr="00102A5B" w:rsidRDefault="00BE17BF">
      <w:pPr>
        <w:rPr>
          <w:b/>
          <w:szCs w:val="24"/>
        </w:rPr>
      </w:pPr>
      <w:r w:rsidRPr="00102A5B">
        <w:rPr>
          <w:b/>
          <w:szCs w:val="24"/>
        </w:rPr>
        <w:br w:type="page"/>
      </w:r>
    </w:p>
    <w:p w:rsidR="00BE17BF" w:rsidRPr="00102A5B" w:rsidRDefault="00BE17BF" w:rsidP="00027A9C">
      <w:pPr>
        <w:rPr>
          <w:b/>
          <w:szCs w:val="24"/>
        </w:rPr>
      </w:pPr>
      <w:r w:rsidRPr="00102A5B">
        <w:rPr>
          <w:b/>
          <w:szCs w:val="24"/>
        </w:rPr>
        <w:lastRenderedPageBreak/>
        <w:t>PROYECTOS RELACIONADOS CON LOS EDIFICIOS</w:t>
      </w:r>
    </w:p>
    <w:p w:rsidR="00BE17BF" w:rsidRPr="00102A5B" w:rsidRDefault="00BE17BF" w:rsidP="00027A9C">
      <w:pPr>
        <w:rPr>
          <w:b/>
          <w:szCs w:val="24"/>
        </w:rPr>
      </w:pPr>
    </w:p>
    <w:p w:rsidR="00BE17BF" w:rsidRPr="00102A5B" w:rsidRDefault="00BE17BF" w:rsidP="00027A9C">
      <w:pPr>
        <w:keepNext/>
        <w:ind w:left="1701" w:hanging="1701"/>
        <w:outlineLvl w:val="2"/>
        <w:rPr>
          <w:b/>
          <w:bCs/>
          <w:i/>
          <w:sz w:val="20"/>
          <w:szCs w:val="26"/>
        </w:rPr>
      </w:pPr>
      <w:bookmarkStart w:id="91" w:name="_Toc482711290"/>
      <w:r w:rsidRPr="00102A5B">
        <w:rPr>
          <w:b/>
          <w:bCs/>
          <w:i/>
          <w:sz w:val="20"/>
          <w:szCs w:val="26"/>
        </w:rPr>
        <w:t>PROYECTO 6:</w:t>
      </w:r>
      <w:r w:rsidRPr="00102A5B">
        <w:rPr>
          <w:bCs/>
          <w:sz w:val="20"/>
          <w:szCs w:val="26"/>
        </w:rPr>
        <w:tab/>
      </w:r>
      <w:r w:rsidRPr="00102A5B">
        <w:rPr>
          <w:b/>
          <w:bCs/>
          <w:i/>
          <w:sz w:val="20"/>
          <w:szCs w:val="26"/>
        </w:rPr>
        <w:t>EDIFICIO ARPAD BOGSCH – SUSTITUCIÓN DE DETERMINADAS VENTANAS (PMM 6)</w:t>
      </w:r>
      <w:bookmarkEnd w:id="91"/>
    </w:p>
    <w:p w:rsidR="00BE17BF" w:rsidRPr="00102A5B" w:rsidRDefault="00BE17BF" w:rsidP="00027A9C"/>
    <w:p w:rsidR="00BE17BF" w:rsidRPr="00102A5B" w:rsidRDefault="00BE17BF" w:rsidP="00027A9C">
      <w:pPr>
        <w:rPr>
          <w:b/>
          <w:sz w:val="20"/>
        </w:rPr>
      </w:pPr>
      <w:r w:rsidRPr="00102A5B">
        <w:rPr>
          <w:b/>
          <w:sz w:val="20"/>
        </w:rPr>
        <w:t>Director de proyecto:</w:t>
      </w:r>
      <w:r w:rsidRPr="00102A5B">
        <w:rPr>
          <w:sz w:val="20"/>
        </w:rPr>
        <w:tab/>
      </w:r>
      <w:r w:rsidRPr="00102A5B">
        <w:rPr>
          <w:b/>
          <w:sz w:val="20"/>
        </w:rPr>
        <w:t>Sr. A. Favero</w:t>
      </w:r>
    </w:p>
    <w:p w:rsidR="00BE17BF" w:rsidRPr="00102A5B" w:rsidRDefault="00BE17BF" w:rsidP="00027A9C">
      <w:pPr>
        <w:rPr>
          <w:sz w:val="20"/>
        </w:rPr>
      </w:pPr>
    </w:p>
    <w:p w:rsidR="00BE17BF" w:rsidRPr="00102A5B" w:rsidRDefault="00BE17BF" w:rsidP="00027A9C">
      <w:pPr>
        <w:rPr>
          <w:bCs/>
          <w:sz w:val="20"/>
        </w:rPr>
      </w:pPr>
    </w:p>
    <w:p w:rsidR="00BE17BF" w:rsidRPr="00102A5B" w:rsidRDefault="00BE17BF" w:rsidP="00027A9C">
      <w:pPr>
        <w:rPr>
          <w:bCs/>
          <w:sz w:val="20"/>
        </w:rPr>
      </w:pPr>
      <w:r w:rsidRPr="00102A5B">
        <w:rPr>
          <w:bCs/>
          <w:sz w:val="20"/>
        </w:rPr>
        <w:t>RESULTADO PREVISTO</w:t>
      </w:r>
    </w:p>
    <w:p w:rsidR="00BE17BF" w:rsidRPr="00102A5B" w:rsidRDefault="00BE17BF" w:rsidP="00027A9C">
      <w:pPr>
        <w:rPr>
          <w:bCs/>
          <w:sz w:val="20"/>
        </w:rPr>
      </w:pPr>
    </w:p>
    <w:p w:rsidR="00BE17BF" w:rsidRPr="00102A5B" w:rsidRDefault="00BE17BF" w:rsidP="00027A9C">
      <w:pPr>
        <w:rPr>
          <w:i/>
          <w:iCs/>
          <w:sz w:val="20"/>
        </w:rPr>
      </w:pPr>
      <w:r w:rsidRPr="00102A5B">
        <w:rPr>
          <w:i/>
          <w:iCs/>
          <w:sz w:val="20"/>
        </w:rPr>
        <w:t>IX.1  Servicios de apoyo eficaces, eficientes, de calidad y orientados al cliente, tanto a los usuarios internos como a las partes interesadas externas</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Cs/>
          <w:sz w:val="20"/>
        </w:rPr>
      </w:pPr>
      <w:r w:rsidRPr="00102A5B">
        <w:rPr>
          <w:bCs/>
          <w:sz w:val="20"/>
        </w:rPr>
        <w:t>OBJETIVOS, ALCANCE Y ENFOQUE:  ANTECEDENTES</w:t>
      </w:r>
    </w:p>
    <w:p w:rsidR="00BE17BF" w:rsidRPr="00102A5B" w:rsidRDefault="00BE17BF" w:rsidP="00027A9C">
      <w:pPr>
        <w:rPr>
          <w:bCs/>
          <w:sz w:val="20"/>
        </w:rPr>
      </w:pPr>
    </w:p>
    <w:p w:rsidR="00BE17BF" w:rsidRPr="00102A5B" w:rsidRDefault="00BE17BF" w:rsidP="00BE17BF">
      <w:pPr>
        <w:numPr>
          <w:ilvl w:val="0"/>
          <w:numId w:val="123"/>
        </w:numPr>
        <w:tabs>
          <w:tab w:val="left" w:pos="567"/>
        </w:tabs>
        <w:ind w:left="567" w:hanging="567"/>
        <w:jc w:val="both"/>
        <w:rPr>
          <w:bCs/>
          <w:sz w:val="20"/>
        </w:rPr>
      </w:pPr>
      <w:r w:rsidRPr="00102A5B">
        <w:rPr>
          <w:bCs/>
          <w:sz w:val="20"/>
        </w:rPr>
        <w:t>Las ventanas de la fachada suroeste del edificio AB, expuestas en los últimos tres decenios, más que las otras fachadas, al sol y el calor y a mayores diferencias de temperatura entre el verano y el invierno, han sufrido un deterioro significativo en sus cualidades térmicas.  Además, en varias de esas ventanas, así como en otras de la fachada, se ha degradado el tono de azul (que ha pasado a tomar matices de rosa y violeta) debido al envejecimiento de los componentes gaseosos que rellenan el espacio entre las capas de vidrio.</w:t>
      </w:r>
    </w:p>
    <w:p w:rsidR="00BE17BF" w:rsidRPr="00102A5B" w:rsidRDefault="00BE17BF" w:rsidP="00027A9C">
      <w:pPr>
        <w:tabs>
          <w:tab w:val="left" w:pos="567"/>
        </w:tabs>
        <w:ind w:left="360"/>
        <w:jc w:val="both"/>
        <w:rPr>
          <w:bCs/>
          <w:sz w:val="20"/>
        </w:rPr>
      </w:pPr>
    </w:p>
    <w:p w:rsidR="00BE17BF" w:rsidRPr="00102A5B" w:rsidRDefault="00BE17BF" w:rsidP="00BE17BF">
      <w:pPr>
        <w:numPr>
          <w:ilvl w:val="0"/>
          <w:numId w:val="123"/>
        </w:numPr>
        <w:tabs>
          <w:tab w:val="left" w:pos="567"/>
        </w:tabs>
        <w:ind w:left="567" w:hanging="567"/>
        <w:jc w:val="both"/>
        <w:rPr>
          <w:bCs/>
          <w:sz w:val="20"/>
        </w:rPr>
      </w:pPr>
      <w:r w:rsidRPr="00102A5B">
        <w:rPr>
          <w:bCs/>
          <w:sz w:val="20"/>
        </w:rPr>
        <w:t xml:space="preserve">La sustitución de esas ventanas reducirá el consumo de energía necesario principalmente para refrigerar las oficinas de que se trate en períodos de calor.  También mejorará el aspecto estético del edificio AB, uno de los emblemas arquitectónicos de la ciudad de Ginebra. </w:t>
      </w:r>
    </w:p>
    <w:p w:rsidR="00BE17BF" w:rsidRPr="00102A5B" w:rsidRDefault="00BE17BF" w:rsidP="00027A9C">
      <w:pPr>
        <w:tabs>
          <w:tab w:val="left" w:pos="567"/>
        </w:tabs>
        <w:ind w:left="360"/>
        <w:jc w:val="both"/>
        <w:rPr>
          <w:bCs/>
          <w:sz w:val="20"/>
        </w:rPr>
      </w:pPr>
    </w:p>
    <w:p w:rsidR="00BE17BF" w:rsidRPr="00102A5B" w:rsidRDefault="00BE17BF" w:rsidP="00BE17BF">
      <w:pPr>
        <w:numPr>
          <w:ilvl w:val="0"/>
          <w:numId w:val="123"/>
        </w:numPr>
        <w:tabs>
          <w:tab w:val="left" w:pos="567"/>
        </w:tabs>
        <w:ind w:left="567" w:hanging="567"/>
        <w:jc w:val="both"/>
        <w:rPr>
          <w:bCs/>
          <w:sz w:val="20"/>
        </w:rPr>
      </w:pPr>
      <w:r w:rsidRPr="00102A5B">
        <w:rPr>
          <w:bCs/>
          <w:sz w:val="20"/>
        </w:rPr>
        <w:t>Los objetivos de este proyecto son: i) mejorar las cualidades térmicas y la eficiencia energética de la fachada suroeste del edificio AB; ii) reducir el consumo de energía; iii) mejorar el confort térmico de los ocupantes;  y iv) mejorar el aspecto estético del edificio AB.</w:t>
      </w:r>
    </w:p>
    <w:p w:rsidR="00BE17BF" w:rsidRPr="00102A5B" w:rsidRDefault="00BE17BF" w:rsidP="00027A9C">
      <w:pPr>
        <w:jc w:val="both"/>
        <w:rPr>
          <w:bCs/>
          <w:sz w:val="20"/>
        </w:rPr>
      </w:pPr>
    </w:p>
    <w:p w:rsidR="00BE17BF" w:rsidRPr="00102A5B" w:rsidRDefault="00BE17BF" w:rsidP="00027A9C">
      <w:pPr>
        <w:jc w:val="both"/>
        <w:rPr>
          <w:bCs/>
          <w:sz w:val="20"/>
        </w:rPr>
      </w:pPr>
    </w:p>
    <w:p w:rsidR="00BE17BF" w:rsidRPr="00102A5B" w:rsidRDefault="00BE17BF" w:rsidP="00027A9C">
      <w:pPr>
        <w:jc w:val="both"/>
        <w:rPr>
          <w:bCs/>
          <w:sz w:val="18"/>
        </w:rPr>
      </w:pPr>
      <w:r w:rsidRPr="00102A5B">
        <w:rPr>
          <w:bCs/>
          <w:sz w:val="20"/>
        </w:rPr>
        <w:t>RESEÑA DE LOS AVANCES LOGRADOS EN 2016 (ETAPAS FUNDAMENTALES)</w:t>
      </w:r>
    </w:p>
    <w:p w:rsidR="00BE17BF" w:rsidRPr="00102A5B" w:rsidRDefault="00BE17BF" w:rsidP="00027A9C">
      <w:pPr>
        <w:jc w:val="both"/>
        <w:rPr>
          <w:bCs/>
          <w:sz w:val="20"/>
        </w:rPr>
      </w:pPr>
    </w:p>
    <w:p w:rsidR="00BE17BF" w:rsidRPr="00102A5B" w:rsidRDefault="00BE17BF" w:rsidP="00BE17BF">
      <w:pPr>
        <w:pStyle w:val="ListParagraph"/>
        <w:numPr>
          <w:ilvl w:val="0"/>
          <w:numId w:val="123"/>
        </w:numPr>
        <w:tabs>
          <w:tab w:val="left" w:pos="567"/>
        </w:tabs>
        <w:ind w:left="567" w:hanging="567"/>
        <w:contextualSpacing/>
        <w:jc w:val="both"/>
        <w:rPr>
          <w:rFonts w:eastAsiaTheme="minorHAnsi"/>
          <w:lang w:val="es-ES"/>
        </w:rPr>
      </w:pPr>
      <w:r w:rsidRPr="00102A5B">
        <w:rPr>
          <w:rFonts w:eastAsiaTheme="minorHAnsi"/>
          <w:lang w:val="es-ES"/>
        </w:rPr>
        <w:t xml:space="preserve">Debido a la detección, en 2015, de problemas técnicos inesperados e imprevisibles durante las obras de muestra efectuadas en la fachada suroeste, se decidió posponer la ejecución del proyecto hasta que se hubieran solucionado dichos problemas técnicos.  </w:t>
      </w:r>
    </w:p>
    <w:p w:rsidR="00BE17BF" w:rsidRPr="00102A5B" w:rsidRDefault="00BE17BF" w:rsidP="00027A9C">
      <w:pPr>
        <w:pStyle w:val="ListParagraph"/>
        <w:tabs>
          <w:tab w:val="left" w:pos="426"/>
        </w:tabs>
        <w:ind w:left="440"/>
        <w:jc w:val="both"/>
        <w:rPr>
          <w:rFonts w:eastAsiaTheme="minorHAnsi"/>
          <w:lang w:val="es-ES"/>
        </w:rPr>
      </w:pPr>
    </w:p>
    <w:p w:rsidR="00BE17BF" w:rsidRPr="00102A5B" w:rsidRDefault="00BE17BF" w:rsidP="00BE17BF">
      <w:pPr>
        <w:pStyle w:val="ListParagraph"/>
        <w:numPr>
          <w:ilvl w:val="0"/>
          <w:numId w:val="123"/>
        </w:numPr>
        <w:tabs>
          <w:tab w:val="left" w:pos="567"/>
        </w:tabs>
        <w:ind w:left="567" w:hanging="567"/>
        <w:contextualSpacing/>
        <w:jc w:val="both"/>
        <w:rPr>
          <w:rFonts w:eastAsiaTheme="minorHAnsi"/>
          <w:lang w:val="es-ES"/>
        </w:rPr>
      </w:pPr>
      <w:r w:rsidRPr="00102A5B">
        <w:rPr>
          <w:rFonts w:eastAsiaTheme="minorHAnsi"/>
          <w:lang w:val="es-ES"/>
        </w:rPr>
        <w:t>Como medida de mitigación provisional, en 2016 se instalaron unas películas solares en las ventanas de la fachada suroeste para cumplir parcialmente el objetivo de mejorar el confort térmico de los ocupantes de las oficinas.</w:t>
      </w:r>
    </w:p>
    <w:p w:rsidR="00BE17BF" w:rsidRPr="00102A5B" w:rsidRDefault="00BE17BF" w:rsidP="00027A9C">
      <w:pPr>
        <w:pStyle w:val="ListParagraph"/>
        <w:tabs>
          <w:tab w:val="left" w:pos="426"/>
        </w:tabs>
        <w:ind w:left="800"/>
        <w:jc w:val="both"/>
        <w:rPr>
          <w:rFonts w:eastAsiaTheme="minorHAnsi"/>
          <w:lang w:val="es-ES"/>
        </w:rPr>
      </w:pPr>
    </w:p>
    <w:p w:rsidR="00BE17BF" w:rsidRPr="00102A5B" w:rsidRDefault="00BE17BF" w:rsidP="00BE17BF">
      <w:pPr>
        <w:pStyle w:val="ListParagraph"/>
        <w:numPr>
          <w:ilvl w:val="0"/>
          <w:numId w:val="123"/>
        </w:numPr>
        <w:tabs>
          <w:tab w:val="left" w:pos="567"/>
        </w:tabs>
        <w:ind w:left="567" w:hanging="567"/>
        <w:contextualSpacing/>
        <w:jc w:val="both"/>
        <w:rPr>
          <w:rFonts w:eastAsiaTheme="minorHAnsi"/>
          <w:lang w:val="es-ES"/>
        </w:rPr>
      </w:pPr>
      <w:r w:rsidRPr="00102A5B">
        <w:rPr>
          <w:rFonts w:eastAsiaTheme="minorHAnsi"/>
          <w:lang w:val="es-ES"/>
        </w:rPr>
        <w:t>Como consecuencia de las circunstancias descritas, ya no es factible aplicar las medidas de seguridad y protección contra incendios (PMM 6) previstas en un principio.  Así, la Secretaría propone ahora lo siguiente:</w:t>
      </w:r>
    </w:p>
    <w:p w:rsidR="00BE17BF" w:rsidRPr="00102A5B" w:rsidRDefault="00BE17BF" w:rsidP="00027A9C">
      <w:pPr>
        <w:tabs>
          <w:tab w:val="left" w:pos="426"/>
        </w:tabs>
        <w:jc w:val="both"/>
        <w:rPr>
          <w:rFonts w:eastAsiaTheme="minorHAnsi"/>
          <w:sz w:val="20"/>
        </w:rPr>
      </w:pPr>
    </w:p>
    <w:p w:rsidR="00BE17BF" w:rsidRDefault="00BE17BF" w:rsidP="00BE17BF">
      <w:pPr>
        <w:pStyle w:val="ListParagraph"/>
        <w:numPr>
          <w:ilvl w:val="0"/>
          <w:numId w:val="124"/>
        </w:numPr>
        <w:tabs>
          <w:tab w:val="left" w:pos="567"/>
        </w:tabs>
        <w:ind w:hanging="513"/>
        <w:contextualSpacing/>
        <w:jc w:val="both"/>
        <w:rPr>
          <w:rFonts w:eastAsiaTheme="minorHAnsi"/>
          <w:lang w:val="es-ES"/>
        </w:rPr>
      </w:pPr>
      <w:r w:rsidRPr="00102A5B">
        <w:rPr>
          <w:rFonts w:eastAsiaTheme="minorHAnsi"/>
          <w:lang w:val="es-ES"/>
        </w:rPr>
        <w:t>Dar por concluidas las medidas PMM 6 al final de 2016;  y</w:t>
      </w:r>
    </w:p>
    <w:p w:rsidR="006A7CD1" w:rsidRPr="00102A5B" w:rsidRDefault="006A7CD1" w:rsidP="006A7CD1">
      <w:pPr>
        <w:pStyle w:val="ListParagraph"/>
        <w:tabs>
          <w:tab w:val="left" w:pos="567"/>
        </w:tabs>
        <w:ind w:left="1080"/>
        <w:contextualSpacing/>
        <w:jc w:val="both"/>
        <w:rPr>
          <w:rFonts w:eastAsiaTheme="minorHAnsi"/>
          <w:lang w:val="es-ES"/>
        </w:rPr>
      </w:pPr>
    </w:p>
    <w:p w:rsidR="00BE17BF" w:rsidRPr="00102A5B" w:rsidRDefault="00BE17BF" w:rsidP="00BE17BF">
      <w:pPr>
        <w:pStyle w:val="ListParagraph"/>
        <w:numPr>
          <w:ilvl w:val="0"/>
          <w:numId w:val="124"/>
        </w:numPr>
        <w:tabs>
          <w:tab w:val="left" w:pos="567"/>
        </w:tabs>
        <w:ind w:hanging="513"/>
        <w:contextualSpacing/>
        <w:jc w:val="both"/>
        <w:rPr>
          <w:rFonts w:eastAsiaTheme="minorHAnsi"/>
          <w:lang w:val="es-ES"/>
        </w:rPr>
      </w:pPr>
      <w:r w:rsidRPr="00102A5B">
        <w:rPr>
          <w:rFonts w:eastAsiaTheme="minorHAnsi"/>
          <w:lang w:val="es-ES"/>
        </w:rPr>
        <w:t>Devolver a las reservas, al final de 2017, el saldo presupuestario restante al final de 2016 de 206.237 francos suizos</w:t>
      </w:r>
      <w:r w:rsidRPr="00102A5B">
        <w:rPr>
          <w:lang w:val="es-ES"/>
        </w:rPr>
        <w:t>.</w:t>
      </w:r>
    </w:p>
    <w:p w:rsidR="00BE17BF" w:rsidRPr="00102A5B" w:rsidRDefault="00BE17BF" w:rsidP="00027A9C">
      <w:pPr>
        <w:tabs>
          <w:tab w:val="left" w:pos="426"/>
        </w:tabs>
        <w:jc w:val="both"/>
        <w:rPr>
          <w:rFonts w:eastAsiaTheme="minorHAnsi"/>
          <w:sz w:val="20"/>
        </w:rPr>
      </w:pPr>
    </w:p>
    <w:p w:rsidR="00BE17BF" w:rsidRPr="00102A5B" w:rsidRDefault="00BE17BF" w:rsidP="00027A9C">
      <w:pPr>
        <w:rPr>
          <w:bCs/>
          <w:sz w:val="20"/>
        </w:rPr>
      </w:pPr>
      <w:r w:rsidRPr="00102A5B">
        <w:rPr>
          <w:bCs/>
          <w:sz w:val="20"/>
        </w:rPr>
        <w:br w:type="page"/>
      </w:r>
    </w:p>
    <w:p w:rsidR="00BE17BF" w:rsidRPr="00102A5B" w:rsidRDefault="00BE17BF" w:rsidP="00027A9C">
      <w:pPr>
        <w:rPr>
          <w:bCs/>
          <w:sz w:val="20"/>
        </w:rPr>
      </w:pPr>
      <w:r w:rsidRPr="00102A5B">
        <w:rPr>
          <w:bCs/>
          <w:sz w:val="20"/>
        </w:rPr>
        <w:lastRenderedPageBreak/>
        <w:t>OBTENCIÓN DE BENEFICIOS</w:t>
      </w:r>
    </w:p>
    <w:p w:rsidR="00BE17BF" w:rsidRPr="00102A5B" w:rsidRDefault="00BE17BF" w:rsidP="00027A9C">
      <w:pPr>
        <w:rPr>
          <w:bCs/>
          <w:sz w:val="20"/>
        </w:rPr>
      </w:pPr>
    </w:p>
    <w:p w:rsidR="00BE17BF" w:rsidRPr="00102A5B" w:rsidRDefault="00BE17BF" w:rsidP="00027A9C">
      <w:pPr>
        <w:rPr>
          <w:sz w:val="20"/>
        </w:rPr>
      </w:pPr>
    </w:p>
    <w:tbl>
      <w:tblPr>
        <w:tblW w:w="333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3095"/>
        <w:gridCol w:w="3096"/>
      </w:tblGrid>
      <w:tr w:rsidR="00BE17BF" w:rsidRPr="00102A5B" w:rsidTr="00027A9C">
        <w:trPr>
          <w:trHeight w:val="421"/>
          <w:tblHeader/>
          <w:jc w:val="center"/>
        </w:trPr>
        <w:tc>
          <w:tcPr>
            <w:tcW w:w="2500" w:type="pct"/>
            <w:shd w:val="clear" w:color="auto" w:fill="C6D9F1" w:themeFill="text2" w:themeFillTint="33"/>
            <w:vAlign w:val="center"/>
          </w:tcPr>
          <w:p w:rsidR="00BE17BF" w:rsidRPr="00102A5B" w:rsidRDefault="00BE17BF" w:rsidP="00027A9C">
            <w:pPr>
              <w:jc w:val="center"/>
              <w:rPr>
                <w:b/>
                <w:bCs/>
                <w:sz w:val="16"/>
                <w:szCs w:val="16"/>
              </w:rPr>
            </w:pPr>
            <w:r w:rsidRPr="00102A5B">
              <w:rPr>
                <w:b/>
                <w:bCs/>
                <w:sz w:val="16"/>
                <w:szCs w:val="16"/>
              </w:rPr>
              <w:t>Beneficios obtenidos en 2015</w:t>
            </w:r>
          </w:p>
        </w:tc>
        <w:tc>
          <w:tcPr>
            <w:tcW w:w="2500" w:type="pct"/>
            <w:shd w:val="clear" w:color="auto" w:fill="C6D9F1" w:themeFill="text2" w:themeFillTint="33"/>
            <w:vAlign w:val="center"/>
          </w:tcPr>
          <w:p w:rsidR="00BE17BF" w:rsidRPr="00102A5B" w:rsidRDefault="00BE17BF" w:rsidP="00027A9C">
            <w:pPr>
              <w:jc w:val="center"/>
              <w:rPr>
                <w:b/>
                <w:bCs/>
                <w:sz w:val="16"/>
                <w:szCs w:val="16"/>
              </w:rPr>
            </w:pPr>
            <w:r w:rsidRPr="00102A5B">
              <w:rPr>
                <w:b/>
                <w:bCs/>
                <w:sz w:val="16"/>
                <w:szCs w:val="16"/>
              </w:rPr>
              <w:t>Beneficios obtenidos en 2016</w:t>
            </w:r>
          </w:p>
        </w:tc>
      </w:tr>
      <w:tr w:rsidR="00BE17BF" w:rsidRPr="00102A5B" w:rsidTr="00027A9C">
        <w:trPr>
          <w:trHeight w:val="904"/>
          <w:jc w:val="center"/>
        </w:trPr>
        <w:tc>
          <w:tcPr>
            <w:tcW w:w="2500" w:type="pct"/>
            <w:vAlign w:val="center"/>
          </w:tcPr>
          <w:p w:rsidR="00BE17BF" w:rsidRPr="00102A5B" w:rsidRDefault="00BE17BF" w:rsidP="00027A9C">
            <w:pPr>
              <w:rPr>
                <w:bCs/>
                <w:sz w:val="16"/>
                <w:szCs w:val="16"/>
              </w:rPr>
            </w:pPr>
            <w:r w:rsidRPr="00102A5B">
              <w:rPr>
                <w:bCs/>
                <w:sz w:val="16"/>
                <w:szCs w:val="16"/>
              </w:rPr>
              <w:t>En 2015 no se obtuvieron  beneficios debido a la interrupción de las obras tras detectarse problemas técnicos</w:t>
            </w:r>
          </w:p>
        </w:tc>
        <w:tc>
          <w:tcPr>
            <w:tcW w:w="2500" w:type="pct"/>
            <w:vAlign w:val="center"/>
          </w:tcPr>
          <w:p w:rsidR="00BE17BF" w:rsidRPr="00102A5B" w:rsidRDefault="00BE17BF" w:rsidP="00027A9C">
            <w:pPr>
              <w:rPr>
                <w:bCs/>
                <w:sz w:val="16"/>
                <w:szCs w:val="16"/>
              </w:rPr>
            </w:pPr>
          </w:p>
          <w:p w:rsidR="00BE17BF" w:rsidRPr="00102A5B" w:rsidRDefault="00BE17BF" w:rsidP="00027A9C">
            <w:pPr>
              <w:rPr>
                <w:b/>
                <w:bCs/>
                <w:sz w:val="16"/>
                <w:szCs w:val="16"/>
              </w:rPr>
            </w:pPr>
            <w:r w:rsidRPr="00102A5B">
              <w:rPr>
                <w:bCs/>
                <w:sz w:val="16"/>
                <w:szCs w:val="16"/>
              </w:rPr>
              <w:t>Reducción parcial de las pérdidas energéticas a través de la fachada suroeste del edificio AB mediante la aplicación de películas solares en las ventanas.</w:t>
            </w:r>
          </w:p>
        </w:tc>
      </w:tr>
      <w:tr w:rsidR="00BE17BF" w:rsidRPr="00102A5B" w:rsidTr="00027A9C">
        <w:trPr>
          <w:trHeight w:val="564"/>
          <w:jc w:val="center"/>
        </w:trPr>
        <w:tc>
          <w:tcPr>
            <w:tcW w:w="2500" w:type="pct"/>
            <w:vAlign w:val="center"/>
          </w:tcPr>
          <w:p w:rsidR="00BE17BF" w:rsidRPr="00102A5B" w:rsidRDefault="00BE17BF" w:rsidP="00027A9C">
            <w:pPr>
              <w:rPr>
                <w:bCs/>
                <w:sz w:val="16"/>
                <w:szCs w:val="16"/>
              </w:rPr>
            </w:pPr>
          </w:p>
        </w:tc>
        <w:tc>
          <w:tcPr>
            <w:tcW w:w="2500" w:type="pct"/>
            <w:vAlign w:val="center"/>
          </w:tcPr>
          <w:p w:rsidR="00BE17BF" w:rsidRPr="00102A5B" w:rsidRDefault="00BE17BF" w:rsidP="00027A9C">
            <w:pPr>
              <w:rPr>
                <w:bCs/>
                <w:sz w:val="16"/>
                <w:szCs w:val="16"/>
              </w:rPr>
            </w:pPr>
            <w:r w:rsidRPr="00102A5B">
              <w:rPr>
                <w:bCs/>
                <w:sz w:val="16"/>
                <w:szCs w:val="16"/>
              </w:rPr>
              <w:t xml:space="preserve">Mejora parcial del confort térmico todo el año de los ocupantes de las oficinas de la fachada suroeste del edificio AB mediante la aplicación de películas solares en las ventanas. </w:t>
            </w:r>
          </w:p>
        </w:tc>
      </w:tr>
    </w:tbl>
    <w:p w:rsidR="00BE17BF" w:rsidRPr="00102A5B" w:rsidRDefault="00BE17BF" w:rsidP="00027A9C">
      <w:pPr>
        <w:rPr>
          <w:sz w:val="20"/>
        </w:rPr>
      </w:pPr>
    </w:p>
    <w:p w:rsidR="00BE17BF" w:rsidRPr="00102A5B" w:rsidRDefault="00BE17BF" w:rsidP="00027A9C">
      <w:pPr>
        <w:rPr>
          <w:sz w:val="20"/>
        </w:rPr>
      </w:pPr>
    </w:p>
    <w:p w:rsidR="00BE17BF" w:rsidRPr="00102A5B" w:rsidRDefault="00BE17BF" w:rsidP="00027A9C">
      <w:pPr>
        <w:rPr>
          <w:sz w:val="20"/>
        </w:rPr>
      </w:pPr>
      <w:r w:rsidRPr="00102A5B">
        <w:rPr>
          <w:sz w:val="20"/>
        </w:rPr>
        <w:t>UTILIZACIÓN DE LOS RECURSOS</w:t>
      </w:r>
      <w:r w:rsidRPr="00102A5B">
        <w:rPr>
          <w:rStyle w:val="FootnoteReference"/>
          <w:sz w:val="20"/>
        </w:rPr>
        <w:footnoteReference w:id="124"/>
      </w:r>
    </w:p>
    <w:p w:rsidR="00BE17BF" w:rsidRPr="00102A5B" w:rsidRDefault="00BE17BF" w:rsidP="00027A9C">
      <w:pPr>
        <w:rPr>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853"/>
        <w:gridCol w:w="1520"/>
        <w:gridCol w:w="1518"/>
        <w:gridCol w:w="1518"/>
        <w:gridCol w:w="1637"/>
      </w:tblGrid>
      <w:tr w:rsidR="00BE17BF" w:rsidRPr="00102A5B" w:rsidTr="00027A9C">
        <w:trPr>
          <w:trHeight w:val="410"/>
        </w:trPr>
        <w:tc>
          <w:tcPr>
            <w:tcW w:w="1577"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Nombre del proyecto</w:t>
            </w:r>
          </w:p>
        </w:tc>
        <w:tc>
          <w:tcPr>
            <w:tcW w:w="840"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39"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39"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90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577" w:type="pct"/>
            <w:vAlign w:val="center"/>
          </w:tcPr>
          <w:p w:rsidR="00BE17BF" w:rsidRPr="00102A5B" w:rsidRDefault="00BE17BF" w:rsidP="00027A9C">
            <w:pPr>
              <w:keepNext/>
              <w:keepLines/>
              <w:autoSpaceDE w:val="0"/>
              <w:autoSpaceDN w:val="0"/>
              <w:adjustRightInd w:val="0"/>
              <w:spacing w:before="40" w:after="40"/>
              <w:rPr>
                <w:sz w:val="16"/>
                <w:szCs w:val="16"/>
              </w:rPr>
            </w:pPr>
            <w:r w:rsidRPr="00102A5B">
              <w:rPr>
                <w:sz w:val="16"/>
                <w:szCs w:val="16"/>
              </w:rPr>
              <w:t>Edificio Arpad Bogsch (AB) – sustitución de determinadas ventanas</w:t>
            </w:r>
          </w:p>
        </w:tc>
        <w:tc>
          <w:tcPr>
            <w:tcW w:w="840"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300.000</w:t>
            </w:r>
          </w:p>
        </w:tc>
        <w:tc>
          <w:tcPr>
            <w:tcW w:w="839"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93.763</w:t>
            </w:r>
          </w:p>
        </w:tc>
        <w:tc>
          <w:tcPr>
            <w:tcW w:w="839"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31,3%</w:t>
            </w:r>
          </w:p>
        </w:tc>
        <w:tc>
          <w:tcPr>
            <w:tcW w:w="905"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15%</w:t>
            </w:r>
          </w:p>
        </w:tc>
      </w:tr>
    </w:tbl>
    <w:p w:rsidR="00BE17BF" w:rsidRPr="00102A5B" w:rsidRDefault="00BE17BF" w:rsidP="00027A9C">
      <w:pPr>
        <w:autoSpaceDE w:val="0"/>
        <w:autoSpaceDN w:val="0"/>
        <w:rPr>
          <w:sz w:val="20"/>
          <w:szCs w:val="16"/>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etapa)</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487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1E0" w:firstRow="1" w:lastRow="1" w:firstColumn="1" w:lastColumn="1" w:noHBand="0" w:noVBand="0"/>
      </w:tblPr>
      <w:tblGrid>
        <w:gridCol w:w="2813"/>
        <w:gridCol w:w="1529"/>
        <w:gridCol w:w="1529"/>
        <w:gridCol w:w="1529"/>
        <w:gridCol w:w="1646"/>
      </w:tblGrid>
      <w:tr w:rsidR="00BE17BF" w:rsidRPr="00102A5B" w:rsidTr="00027A9C">
        <w:trPr>
          <w:trHeight w:val="410"/>
        </w:trPr>
        <w:tc>
          <w:tcPr>
            <w:tcW w:w="155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Etapas fundamentales</w:t>
            </w:r>
          </w:p>
        </w:tc>
        <w:tc>
          <w:tcPr>
            <w:tcW w:w="84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84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84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910"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555"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Adjudicación del contrato al ingeniero de fachadas</w:t>
            </w:r>
          </w:p>
        </w:tc>
        <w:tc>
          <w:tcPr>
            <w:tcW w:w="845"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45.000</w:t>
            </w:r>
          </w:p>
        </w:tc>
        <w:tc>
          <w:tcPr>
            <w:tcW w:w="845"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36.812</w:t>
            </w:r>
          </w:p>
        </w:tc>
        <w:tc>
          <w:tcPr>
            <w:tcW w:w="845"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81,8%</w:t>
            </w:r>
          </w:p>
        </w:tc>
        <w:tc>
          <w:tcPr>
            <w:tcW w:w="910"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90%</w:t>
            </w:r>
          </w:p>
        </w:tc>
      </w:tr>
      <w:tr w:rsidR="00BE17BF" w:rsidRPr="00102A5B" w:rsidTr="00027A9C">
        <w:trPr>
          <w:trHeight w:val="389"/>
        </w:trPr>
        <w:tc>
          <w:tcPr>
            <w:tcW w:w="1555"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Obra y puesta en servicio</w:t>
            </w:r>
          </w:p>
        </w:tc>
        <w:tc>
          <w:tcPr>
            <w:tcW w:w="845"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255.000</w:t>
            </w:r>
          </w:p>
        </w:tc>
        <w:tc>
          <w:tcPr>
            <w:tcW w:w="845"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56.951</w:t>
            </w:r>
          </w:p>
        </w:tc>
        <w:tc>
          <w:tcPr>
            <w:tcW w:w="845"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22,3%</w:t>
            </w:r>
          </w:p>
        </w:tc>
        <w:tc>
          <w:tcPr>
            <w:tcW w:w="910"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10%</w:t>
            </w:r>
          </w:p>
        </w:tc>
      </w:tr>
      <w:tr w:rsidR="00BE17BF" w:rsidRPr="00102A5B" w:rsidTr="00027A9C">
        <w:trPr>
          <w:trHeight w:val="389"/>
        </w:trPr>
        <w:tc>
          <w:tcPr>
            <w:tcW w:w="155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rPr>
                <w:b/>
                <w:sz w:val="16"/>
                <w:szCs w:val="16"/>
              </w:rPr>
            </w:pPr>
            <w:r w:rsidRPr="00102A5B">
              <w:rPr>
                <w:b/>
                <w:sz w:val="16"/>
                <w:szCs w:val="16"/>
              </w:rPr>
              <w:t>Total</w:t>
            </w:r>
          </w:p>
        </w:tc>
        <w:tc>
          <w:tcPr>
            <w:tcW w:w="845"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jc w:val="center"/>
              <w:rPr>
                <w:b/>
                <w:sz w:val="16"/>
                <w:szCs w:val="16"/>
              </w:rPr>
            </w:pPr>
            <w:r w:rsidRPr="00102A5B">
              <w:rPr>
                <w:b/>
                <w:sz w:val="16"/>
                <w:szCs w:val="16"/>
              </w:rPr>
              <w:t>300.000</w:t>
            </w:r>
          </w:p>
        </w:tc>
        <w:tc>
          <w:tcPr>
            <w:tcW w:w="845" w:type="pct"/>
            <w:shd w:val="clear" w:color="auto" w:fill="C6D9F1" w:themeFill="text2" w:themeFillTint="33"/>
          </w:tcPr>
          <w:p w:rsidR="00BE17BF" w:rsidRPr="00102A5B" w:rsidRDefault="00BE17BF" w:rsidP="00027A9C">
            <w:pPr>
              <w:keepNext/>
              <w:keepLines/>
              <w:autoSpaceDE w:val="0"/>
              <w:autoSpaceDN w:val="0"/>
              <w:adjustRightInd w:val="0"/>
              <w:spacing w:before="40" w:after="40" w:line="260" w:lineRule="exact"/>
              <w:jc w:val="center"/>
              <w:rPr>
                <w:b/>
                <w:sz w:val="16"/>
                <w:szCs w:val="16"/>
              </w:rPr>
            </w:pPr>
            <w:r w:rsidRPr="00102A5B">
              <w:rPr>
                <w:b/>
                <w:sz w:val="16"/>
                <w:szCs w:val="16"/>
              </w:rPr>
              <w:t>93.763</w:t>
            </w:r>
          </w:p>
        </w:tc>
        <w:tc>
          <w:tcPr>
            <w:tcW w:w="845" w:type="pct"/>
            <w:shd w:val="clear" w:color="auto" w:fill="C6D9F1" w:themeFill="text2" w:themeFillTint="33"/>
          </w:tcPr>
          <w:p w:rsidR="00BE17BF" w:rsidRPr="00102A5B" w:rsidRDefault="00BE17BF" w:rsidP="00027A9C">
            <w:pPr>
              <w:keepNext/>
              <w:keepLines/>
              <w:autoSpaceDE w:val="0"/>
              <w:autoSpaceDN w:val="0"/>
              <w:adjustRightInd w:val="0"/>
              <w:spacing w:before="40" w:after="40" w:line="260" w:lineRule="exact"/>
              <w:jc w:val="center"/>
              <w:rPr>
                <w:b/>
                <w:sz w:val="16"/>
                <w:szCs w:val="16"/>
              </w:rPr>
            </w:pPr>
            <w:r w:rsidRPr="00102A5B">
              <w:rPr>
                <w:b/>
                <w:sz w:val="16"/>
                <w:szCs w:val="16"/>
              </w:rPr>
              <w:t>31,3%</w:t>
            </w:r>
          </w:p>
        </w:tc>
        <w:tc>
          <w:tcPr>
            <w:tcW w:w="910" w:type="pct"/>
            <w:shd w:val="clear" w:color="auto" w:fill="C6D9F1" w:themeFill="text2" w:themeFillTint="33"/>
          </w:tcPr>
          <w:p w:rsidR="00BE17BF" w:rsidRPr="00102A5B" w:rsidRDefault="00BE17BF" w:rsidP="00027A9C">
            <w:pPr>
              <w:keepNext/>
              <w:keepLines/>
              <w:autoSpaceDE w:val="0"/>
              <w:autoSpaceDN w:val="0"/>
              <w:adjustRightInd w:val="0"/>
              <w:spacing w:before="40" w:after="40" w:line="260" w:lineRule="exact"/>
              <w:jc w:val="center"/>
              <w:rPr>
                <w:b/>
                <w:sz w:val="16"/>
                <w:szCs w:val="16"/>
              </w:rPr>
            </w:pPr>
          </w:p>
        </w:tc>
      </w:tr>
    </w:tbl>
    <w:p w:rsidR="00BE17BF" w:rsidRPr="00102A5B" w:rsidRDefault="00BE17BF" w:rsidP="00027A9C">
      <w:pPr>
        <w:tabs>
          <w:tab w:val="left" w:pos="3261"/>
        </w:tabs>
        <w:autoSpaceDE w:val="0"/>
        <w:autoSpaceDN w:val="0"/>
        <w:adjustRightInd w:val="0"/>
        <w:rPr>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categoría de costo)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W w:w="4843" w:type="pct"/>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3349"/>
        <w:gridCol w:w="1785"/>
        <w:gridCol w:w="1785"/>
        <w:gridCol w:w="2076"/>
      </w:tblGrid>
      <w:tr w:rsidR="00BE17BF" w:rsidRPr="00102A5B" w:rsidTr="00027A9C">
        <w:trPr>
          <w:trHeight w:val="569"/>
        </w:trPr>
        <w:tc>
          <w:tcPr>
            <w:tcW w:w="186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ind w:left="-74" w:right="-60"/>
              <w:jc w:val="center"/>
              <w:rPr>
                <w:b/>
                <w:bCs/>
                <w:sz w:val="16"/>
                <w:szCs w:val="16"/>
              </w:rPr>
            </w:pPr>
            <w:r w:rsidRPr="00102A5B">
              <w:rPr>
                <w:b/>
                <w:bCs/>
                <w:sz w:val="16"/>
                <w:szCs w:val="16"/>
              </w:rPr>
              <w:t>Categoría de costo</w:t>
            </w:r>
          </w:p>
        </w:tc>
        <w:tc>
          <w:tcPr>
            <w:tcW w:w="99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del proyecto</w:t>
            </w:r>
          </w:p>
        </w:tc>
        <w:tc>
          <w:tcPr>
            <w:tcW w:w="99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1154"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r>
      <w:tr w:rsidR="00BE17BF" w:rsidRPr="00102A5B" w:rsidTr="00027A9C">
        <w:tc>
          <w:tcPr>
            <w:tcW w:w="1862"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Costos relacionados con las obras</w:t>
            </w:r>
          </w:p>
        </w:tc>
        <w:tc>
          <w:tcPr>
            <w:tcW w:w="99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234.000</w:t>
            </w:r>
          </w:p>
        </w:tc>
        <w:tc>
          <w:tcPr>
            <w:tcW w:w="99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10.230</w:t>
            </w:r>
          </w:p>
        </w:tc>
        <w:tc>
          <w:tcPr>
            <w:tcW w:w="1154"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4,4%</w:t>
            </w:r>
          </w:p>
        </w:tc>
      </w:tr>
      <w:tr w:rsidR="00BE17BF" w:rsidRPr="00102A5B" w:rsidTr="00027A9C">
        <w:tc>
          <w:tcPr>
            <w:tcW w:w="1862"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Honorarios</w:t>
            </w:r>
          </w:p>
        </w:tc>
        <w:tc>
          <w:tcPr>
            <w:tcW w:w="99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45.000</w:t>
            </w:r>
          </w:p>
        </w:tc>
        <w:tc>
          <w:tcPr>
            <w:tcW w:w="99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36.812</w:t>
            </w:r>
          </w:p>
        </w:tc>
        <w:tc>
          <w:tcPr>
            <w:tcW w:w="1154"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81,8%</w:t>
            </w:r>
          </w:p>
        </w:tc>
      </w:tr>
      <w:tr w:rsidR="00BE17BF" w:rsidRPr="00102A5B" w:rsidTr="00027A9C">
        <w:tc>
          <w:tcPr>
            <w:tcW w:w="1862" w:type="pct"/>
            <w:vAlign w:val="center"/>
          </w:tcPr>
          <w:p w:rsidR="00BE17BF" w:rsidRPr="00102A5B" w:rsidRDefault="00BE17BF" w:rsidP="00027A9C">
            <w:pPr>
              <w:keepNext/>
              <w:keepLines/>
              <w:autoSpaceDE w:val="0"/>
              <w:autoSpaceDN w:val="0"/>
              <w:adjustRightInd w:val="0"/>
              <w:spacing w:before="40" w:after="40" w:line="260" w:lineRule="exact"/>
              <w:rPr>
                <w:sz w:val="16"/>
                <w:szCs w:val="16"/>
              </w:rPr>
            </w:pPr>
            <w:r w:rsidRPr="00102A5B">
              <w:rPr>
                <w:sz w:val="16"/>
                <w:szCs w:val="16"/>
              </w:rPr>
              <w:t xml:space="preserve">Diversos e imprevistos </w:t>
            </w:r>
          </w:p>
          <w:p w:rsidR="00BE17BF" w:rsidRPr="00102A5B" w:rsidRDefault="00BE17BF" w:rsidP="00BE17BF">
            <w:pPr>
              <w:pStyle w:val="ListParagraph"/>
              <w:keepNext/>
              <w:keepLines/>
              <w:numPr>
                <w:ilvl w:val="0"/>
                <w:numId w:val="125"/>
              </w:numPr>
              <w:autoSpaceDE w:val="0"/>
              <w:autoSpaceDN w:val="0"/>
              <w:adjustRightInd w:val="0"/>
              <w:spacing w:before="40" w:after="40" w:line="260" w:lineRule="exact"/>
              <w:contextualSpacing/>
              <w:rPr>
                <w:sz w:val="16"/>
                <w:szCs w:val="16"/>
                <w:lang w:val="es-ES"/>
              </w:rPr>
            </w:pPr>
            <w:r w:rsidRPr="00102A5B">
              <w:rPr>
                <w:sz w:val="16"/>
                <w:szCs w:val="16"/>
                <w:lang w:val="es-ES"/>
              </w:rPr>
              <w:t>Costo de la instalación de la película de protección solar en las ventanas</w:t>
            </w:r>
          </w:p>
        </w:tc>
        <w:tc>
          <w:tcPr>
            <w:tcW w:w="99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21.000</w:t>
            </w:r>
          </w:p>
        </w:tc>
        <w:tc>
          <w:tcPr>
            <w:tcW w:w="992"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46.721</w:t>
            </w:r>
          </w:p>
        </w:tc>
        <w:tc>
          <w:tcPr>
            <w:tcW w:w="1154" w:type="pct"/>
            <w:vAlign w:val="center"/>
          </w:tcPr>
          <w:p w:rsidR="00BE17BF" w:rsidRPr="00102A5B" w:rsidRDefault="00BE17BF" w:rsidP="00027A9C">
            <w:pPr>
              <w:keepNext/>
              <w:keepLines/>
              <w:autoSpaceDE w:val="0"/>
              <w:autoSpaceDN w:val="0"/>
              <w:adjustRightInd w:val="0"/>
              <w:spacing w:before="40" w:after="40" w:line="260" w:lineRule="exact"/>
              <w:jc w:val="center"/>
              <w:rPr>
                <w:sz w:val="16"/>
                <w:szCs w:val="16"/>
              </w:rPr>
            </w:pPr>
            <w:r w:rsidRPr="00102A5B">
              <w:rPr>
                <w:sz w:val="16"/>
                <w:szCs w:val="16"/>
              </w:rPr>
              <w:t>222,5%</w:t>
            </w:r>
          </w:p>
        </w:tc>
      </w:tr>
      <w:tr w:rsidR="00BE17BF" w:rsidRPr="00102A5B" w:rsidTr="00027A9C">
        <w:tc>
          <w:tcPr>
            <w:tcW w:w="186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rPr>
                <w:b/>
                <w:sz w:val="16"/>
                <w:szCs w:val="16"/>
              </w:rPr>
            </w:pPr>
            <w:r w:rsidRPr="00102A5B">
              <w:rPr>
                <w:b/>
                <w:sz w:val="16"/>
                <w:szCs w:val="16"/>
              </w:rPr>
              <w:t>Total</w:t>
            </w:r>
          </w:p>
        </w:tc>
        <w:tc>
          <w:tcPr>
            <w:tcW w:w="99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jc w:val="center"/>
              <w:rPr>
                <w:b/>
                <w:sz w:val="16"/>
                <w:szCs w:val="16"/>
              </w:rPr>
            </w:pPr>
            <w:r w:rsidRPr="00102A5B">
              <w:rPr>
                <w:b/>
                <w:sz w:val="16"/>
                <w:szCs w:val="16"/>
              </w:rPr>
              <w:t>300.000</w:t>
            </w:r>
          </w:p>
        </w:tc>
        <w:tc>
          <w:tcPr>
            <w:tcW w:w="992"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jc w:val="center"/>
              <w:rPr>
                <w:b/>
                <w:sz w:val="16"/>
                <w:szCs w:val="16"/>
              </w:rPr>
            </w:pPr>
            <w:r w:rsidRPr="00102A5B">
              <w:rPr>
                <w:b/>
                <w:sz w:val="16"/>
                <w:szCs w:val="16"/>
              </w:rPr>
              <w:t>93.763</w:t>
            </w:r>
          </w:p>
        </w:tc>
        <w:tc>
          <w:tcPr>
            <w:tcW w:w="1154"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line="260" w:lineRule="exact"/>
              <w:jc w:val="center"/>
              <w:rPr>
                <w:b/>
                <w:sz w:val="16"/>
                <w:szCs w:val="16"/>
              </w:rPr>
            </w:pPr>
            <w:r w:rsidRPr="00102A5B">
              <w:rPr>
                <w:b/>
                <w:sz w:val="16"/>
                <w:szCs w:val="16"/>
              </w:rPr>
              <w:t>31,3%</w:t>
            </w:r>
          </w:p>
        </w:tc>
      </w:tr>
    </w:tbl>
    <w:p w:rsidR="00BE17BF" w:rsidRPr="00102A5B" w:rsidRDefault="00BE17BF" w:rsidP="00027A9C">
      <w:pPr>
        <w:rPr>
          <w:sz w:val="20"/>
          <w:szCs w:val="22"/>
        </w:rPr>
      </w:pPr>
    </w:p>
    <w:p w:rsidR="00BE17BF" w:rsidRPr="00102A5B" w:rsidRDefault="00BE17BF" w:rsidP="00027A9C">
      <w:pPr>
        <w:rPr>
          <w:sz w:val="20"/>
          <w:szCs w:val="22"/>
        </w:rPr>
      </w:pPr>
    </w:p>
    <w:p w:rsidR="00BE17BF" w:rsidRPr="00102A5B" w:rsidRDefault="00BE17BF" w:rsidP="00027A9C">
      <w:pPr>
        <w:rPr>
          <w:sz w:val="20"/>
          <w:szCs w:val="22"/>
        </w:rPr>
      </w:pPr>
      <w:r w:rsidRPr="00102A5B">
        <w:rPr>
          <w:sz w:val="20"/>
          <w:szCs w:val="22"/>
        </w:rPr>
        <w:br w:type="page"/>
      </w:r>
    </w:p>
    <w:p w:rsidR="00BE17BF" w:rsidRPr="00102A5B" w:rsidRDefault="00BE17BF" w:rsidP="00027A9C">
      <w:pPr>
        <w:rPr>
          <w:sz w:val="20"/>
          <w:szCs w:val="22"/>
        </w:rPr>
      </w:pPr>
      <w:r w:rsidRPr="00102A5B">
        <w:rPr>
          <w:sz w:val="20"/>
          <w:szCs w:val="22"/>
        </w:rPr>
        <w:lastRenderedPageBreak/>
        <w:t>RIESGOS Y ESTRATEGIAS DE MITIGACIÓN</w:t>
      </w:r>
    </w:p>
    <w:p w:rsidR="00BE17BF" w:rsidRPr="00102A5B" w:rsidRDefault="00BE17BF" w:rsidP="00027A9C">
      <w:pPr>
        <w:rPr>
          <w:sz w:val="20"/>
          <w:szCs w:val="22"/>
        </w:rPr>
      </w:pP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819"/>
        <w:gridCol w:w="3142"/>
        <w:gridCol w:w="2979"/>
      </w:tblGrid>
      <w:tr w:rsidR="00BE17BF" w:rsidRPr="00102A5B" w:rsidTr="00027A9C">
        <w:trPr>
          <w:trHeight w:val="534"/>
          <w:tblHeader/>
          <w:jc w:val="center"/>
        </w:trPr>
        <w:tc>
          <w:tcPr>
            <w:tcW w:w="1577"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74" w:right="-60"/>
              <w:jc w:val="center"/>
              <w:rPr>
                <w:b/>
                <w:bCs/>
                <w:sz w:val="16"/>
                <w:szCs w:val="16"/>
              </w:rPr>
            </w:pPr>
            <w:r w:rsidRPr="00102A5B">
              <w:rPr>
                <w:b/>
                <w:bCs/>
                <w:sz w:val="16"/>
                <w:szCs w:val="16"/>
              </w:rPr>
              <w:t>Riesgo/Descripción del riesgo</w:t>
            </w:r>
          </w:p>
        </w:tc>
        <w:tc>
          <w:tcPr>
            <w:tcW w:w="1757"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Mitigación del riesgo</w:t>
            </w:r>
            <w:r w:rsidRPr="00102A5B" w:rsidDel="00826D61">
              <w:rPr>
                <w:b/>
                <w:bCs/>
                <w:sz w:val="16"/>
                <w:szCs w:val="16"/>
              </w:rPr>
              <w:t xml:space="preserve"> </w:t>
            </w:r>
          </w:p>
        </w:tc>
        <w:tc>
          <w:tcPr>
            <w:tcW w:w="1666" w:type="pct"/>
            <w:shd w:val="clear" w:color="auto" w:fill="C6D9F1" w:themeFill="text2" w:themeFillTint="33"/>
            <w:vAlign w:val="center"/>
          </w:tcPr>
          <w:p w:rsidR="00BE17BF" w:rsidRPr="00102A5B" w:rsidRDefault="00BE17BF" w:rsidP="00027A9C">
            <w:pPr>
              <w:autoSpaceDE w:val="0"/>
              <w:autoSpaceDN w:val="0"/>
              <w:adjustRightInd w:val="0"/>
              <w:spacing w:before="40" w:after="40" w:line="260" w:lineRule="exact"/>
              <w:ind w:left="-109"/>
              <w:jc w:val="center"/>
              <w:rPr>
                <w:b/>
                <w:bCs/>
                <w:sz w:val="16"/>
                <w:szCs w:val="16"/>
              </w:rPr>
            </w:pPr>
            <w:r w:rsidRPr="00102A5B">
              <w:rPr>
                <w:b/>
                <w:bCs/>
                <w:sz w:val="16"/>
                <w:szCs w:val="16"/>
              </w:rPr>
              <w:t>Comentario</w:t>
            </w:r>
          </w:p>
        </w:tc>
      </w:tr>
      <w:tr w:rsidR="00BE17BF" w:rsidRPr="00102A5B" w:rsidTr="00027A9C">
        <w:trPr>
          <w:trHeight w:val="776"/>
          <w:jc w:val="center"/>
        </w:trPr>
        <w:tc>
          <w:tcPr>
            <w:tcW w:w="1577"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Conflicto de prioridades entre el avance de las obras y la utilización de las oficinas por sus ocupantes, con la consiguiente imposibilidad de desalojar las oficinas para poder comenzar las obras en las plantas afectadas</w:t>
            </w:r>
          </w:p>
        </w:tc>
        <w:tc>
          <w:tcPr>
            <w:tcW w:w="1757"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En lo posible, reorganizar las obras de construcción y revisar el calendario</w:t>
            </w:r>
            <w:r w:rsidRPr="00102A5B" w:rsidDel="00826D61">
              <w:rPr>
                <w:sz w:val="16"/>
                <w:szCs w:val="16"/>
              </w:rPr>
              <w:t xml:space="preserve"> </w:t>
            </w:r>
          </w:p>
        </w:tc>
        <w:tc>
          <w:tcPr>
            <w:tcW w:w="1666" w:type="pct"/>
            <w:shd w:val="clear" w:color="auto" w:fill="auto"/>
          </w:tcPr>
          <w:p w:rsidR="00BE17BF" w:rsidRPr="00102A5B" w:rsidRDefault="00BE17BF" w:rsidP="00027A9C">
            <w:pPr>
              <w:autoSpaceDE w:val="0"/>
              <w:autoSpaceDN w:val="0"/>
              <w:adjustRightInd w:val="0"/>
              <w:spacing w:before="40" w:after="40"/>
              <w:rPr>
                <w:i/>
                <w:sz w:val="16"/>
                <w:szCs w:val="16"/>
              </w:rPr>
            </w:pPr>
            <w:r w:rsidRPr="00102A5B">
              <w:rPr>
                <w:i/>
                <w:sz w:val="16"/>
                <w:szCs w:val="16"/>
              </w:rPr>
              <w:t>Este riesgo se ha dado por concluido.</w:t>
            </w:r>
          </w:p>
        </w:tc>
      </w:tr>
      <w:tr w:rsidR="00BE17BF" w:rsidRPr="00102A5B" w:rsidTr="00027A9C">
        <w:trPr>
          <w:trHeight w:val="776"/>
          <w:jc w:val="center"/>
        </w:trPr>
        <w:tc>
          <w:tcPr>
            <w:tcW w:w="1577"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Imposibilidad de realizar las obras durante el verano de 2015 por no estar disponibles las empresas en la fecha solicitada por la OMPI</w:t>
            </w:r>
          </w:p>
        </w:tc>
        <w:tc>
          <w:tcPr>
            <w:tcW w:w="1757"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i/>
                <w:sz w:val="16"/>
                <w:szCs w:val="16"/>
              </w:rPr>
              <w:t xml:space="preserve">Aplazar las obras hasta el verano de 2016 </w:t>
            </w:r>
          </w:p>
        </w:tc>
        <w:tc>
          <w:tcPr>
            <w:tcW w:w="1666" w:type="pct"/>
            <w:shd w:val="clear" w:color="auto" w:fill="auto"/>
          </w:tcPr>
          <w:p w:rsidR="00BE17BF" w:rsidRPr="00102A5B" w:rsidRDefault="00BE17BF" w:rsidP="00027A9C">
            <w:pPr>
              <w:autoSpaceDE w:val="0"/>
              <w:autoSpaceDN w:val="0"/>
              <w:adjustRightInd w:val="0"/>
              <w:spacing w:before="40" w:after="40"/>
              <w:rPr>
                <w:i/>
                <w:sz w:val="16"/>
                <w:szCs w:val="16"/>
              </w:rPr>
            </w:pPr>
            <w:r w:rsidRPr="00102A5B">
              <w:rPr>
                <w:i/>
                <w:sz w:val="16"/>
                <w:szCs w:val="16"/>
              </w:rPr>
              <w:t>Este riesgo se ha dado por concluido</w:t>
            </w:r>
            <w:r w:rsidRPr="00102A5B">
              <w:rPr>
                <w:bCs/>
                <w:i/>
                <w:sz w:val="16"/>
                <w:szCs w:val="16"/>
              </w:rPr>
              <w:t>.</w:t>
            </w:r>
          </w:p>
        </w:tc>
      </w:tr>
      <w:tr w:rsidR="00BE17BF" w:rsidRPr="00102A5B" w:rsidTr="00027A9C">
        <w:trPr>
          <w:trHeight w:val="776"/>
          <w:jc w:val="center"/>
        </w:trPr>
        <w:tc>
          <w:tcPr>
            <w:tcW w:w="1577"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Demora o interrupción de las obras debido a un accidente en el lugar de las obras</w:t>
            </w:r>
          </w:p>
        </w:tc>
        <w:tc>
          <w:tcPr>
            <w:tcW w:w="1757" w:type="pct"/>
            <w:shd w:val="clear" w:color="auto" w:fill="auto"/>
          </w:tcPr>
          <w:p w:rsidR="00BE17BF" w:rsidRPr="00102A5B" w:rsidRDefault="00BE17BF" w:rsidP="00027A9C">
            <w:pPr>
              <w:autoSpaceDE w:val="0"/>
              <w:autoSpaceDN w:val="0"/>
              <w:adjustRightInd w:val="0"/>
              <w:spacing w:before="40" w:after="40"/>
              <w:rPr>
                <w:sz w:val="16"/>
                <w:szCs w:val="16"/>
              </w:rPr>
            </w:pPr>
            <w:r w:rsidRPr="00102A5B">
              <w:rPr>
                <w:sz w:val="16"/>
                <w:szCs w:val="16"/>
              </w:rPr>
              <w:t>Revalidar y fortalecer las medidas de seguridad y revisar el calendario de las obras hasta 2016</w:t>
            </w:r>
          </w:p>
        </w:tc>
        <w:tc>
          <w:tcPr>
            <w:tcW w:w="1666" w:type="pct"/>
            <w:shd w:val="clear" w:color="auto" w:fill="auto"/>
          </w:tcPr>
          <w:p w:rsidR="00BE17BF" w:rsidRPr="00102A5B" w:rsidRDefault="00BE17BF" w:rsidP="00027A9C">
            <w:pPr>
              <w:autoSpaceDE w:val="0"/>
              <w:autoSpaceDN w:val="0"/>
              <w:adjustRightInd w:val="0"/>
              <w:spacing w:before="40" w:after="40"/>
              <w:rPr>
                <w:i/>
                <w:sz w:val="16"/>
                <w:szCs w:val="16"/>
              </w:rPr>
            </w:pPr>
            <w:r w:rsidRPr="00102A5B">
              <w:rPr>
                <w:i/>
                <w:sz w:val="16"/>
                <w:szCs w:val="16"/>
              </w:rPr>
              <w:t>Este riesgo se ha dado por concluido</w:t>
            </w:r>
            <w:r w:rsidRPr="00102A5B">
              <w:rPr>
                <w:bCs/>
                <w:i/>
                <w:sz w:val="16"/>
                <w:szCs w:val="16"/>
              </w:rPr>
              <w:t>.</w:t>
            </w:r>
          </w:p>
        </w:tc>
      </w:tr>
    </w:tbl>
    <w:p w:rsidR="00BE17BF" w:rsidRDefault="00BE17BF" w:rsidP="00027A9C">
      <w:pPr>
        <w:rPr>
          <w:sz w:val="20"/>
          <w:szCs w:val="22"/>
        </w:rPr>
      </w:pPr>
    </w:p>
    <w:p w:rsidR="00BE17BF" w:rsidRPr="00102A5B" w:rsidRDefault="00BE17BF" w:rsidP="00027A9C">
      <w:pPr>
        <w:rPr>
          <w:sz w:val="20"/>
          <w:szCs w:val="22"/>
        </w:rPr>
      </w:pPr>
    </w:p>
    <w:p w:rsidR="00BE17BF" w:rsidRPr="00102A5B" w:rsidRDefault="00BE17BF" w:rsidP="00027A9C">
      <w:pPr>
        <w:keepNext/>
        <w:keepLines/>
        <w:widowControl w:val="0"/>
        <w:rPr>
          <w:sz w:val="20"/>
          <w:szCs w:val="22"/>
        </w:rPr>
      </w:pPr>
      <w:r w:rsidRPr="00102A5B">
        <w:rPr>
          <w:sz w:val="20"/>
          <w:szCs w:val="22"/>
        </w:rPr>
        <w:t>CALENDARIO DEL PROYECTO, POR ETAPA</w:t>
      </w:r>
    </w:p>
    <w:p w:rsidR="00BE17BF" w:rsidRPr="00102A5B" w:rsidRDefault="00BE17BF" w:rsidP="00027A9C">
      <w:pPr>
        <w:keepNext/>
        <w:keepLines/>
        <w:widowControl w:val="0"/>
        <w:autoSpaceDE w:val="0"/>
        <w:autoSpaceDN w:val="0"/>
        <w:jc w:val="both"/>
        <w:rPr>
          <w:sz w:val="20"/>
          <w:szCs w:val="24"/>
        </w:rPr>
      </w:pPr>
    </w:p>
    <w:tbl>
      <w:tblPr>
        <w:tblW w:w="9625" w:type="dxa"/>
        <w:jc w:val="center"/>
        <w:tblLook w:val="04A0" w:firstRow="1" w:lastRow="0" w:firstColumn="1" w:lastColumn="0" w:noHBand="0" w:noVBand="1"/>
      </w:tblPr>
      <w:tblGrid>
        <w:gridCol w:w="1885"/>
        <w:gridCol w:w="430"/>
        <w:gridCol w:w="430"/>
        <w:gridCol w:w="430"/>
        <w:gridCol w:w="430"/>
        <w:gridCol w:w="430"/>
        <w:gridCol w:w="430"/>
        <w:gridCol w:w="430"/>
        <w:gridCol w:w="430"/>
        <w:gridCol w:w="430"/>
        <w:gridCol w:w="430"/>
        <w:gridCol w:w="430"/>
        <w:gridCol w:w="430"/>
        <w:gridCol w:w="430"/>
        <w:gridCol w:w="430"/>
        <w:gridCol w:w="430"/>
        <w:gridCol w:w="430"/>
        <w:gridCol w:w="430"/>
        <w:gridCol w:w="430"/>
      </w:tblGrid>
      <w:tr w:rsidR="00BE17BF" w:rsidRPr="00102A5B" w:rsidTr="00027A9C">
        <w:trPr>
          <w:trHeight w:val="244"/>
          <w:jc w:val="center"/>
        </w:trPr>
        <w:tc>
          <w:tcPr>
            <w:tcW w:w="1885" w:type="dxa"/>
            <w:tcBorders>
              <w:top w:val="nil"/>
              <w:left w:val="nil"/>
              <w:bottom w:val="single" w:sz="4" w:space="0" w:color="A6A6A6" w:themeColor="background1" w:themeShade="A6"/>
              <w:right w:val="single" w:sz="4" w:space="0" w:color="A6A6A6" w:themeColor="background1" w:themeShade="A6"/>
            </w:tcBorders>
            <w:shd w:val="clear" w:color="auto" w:fill="auto"/>
            <w:noWrap/>
            <w:vAlign w:val="bottom"/>
            <w:hideMark/>
          </w:tcPr>
          <w:p w:rsidR="00BE17BF" w:rsidRPr="00102A5B" w:rsidRDefault="00BE17BF" w:rsidP="00027A9C">
            <w:pPr>
              <w:keepNext/>
              <w:keepLines/>
              <w:widowControl w:val="0"/>
              <w:rPr>
                <w:sz w:val="16"/>
                <w:szCs w:val="16"/>
              </w:rPr>
            </w:pP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jc w:val="center"/>
              <w:rPr>
                <w:b/>
                <w:bCs/>
                <w:sz w:val="16"/>
                <w:szCs w:val="16"/>
              </w:rPr>
            </w:pPr>
            <w:r w:rsidRPr="00102A5B">
              <w:rPr>
                <w:b/>
                <w:bCs/>
                <w:sz w:val="16"/>
                <w:szCs w:val="16"/>
              </w:rPr>
              <w:t>2014</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jc w:val="center"/>
              <w:rPr>
                <w:b/>
                <w:bCs/>
                <w:sz w:val="16"/>
                <w:szCs w:val="16"/>
              </w:rPr>
            </w:pPr>
            <w:r w:rsidRPr="00102A5B">
              <w:rPr>
                <w:b/>
                <w:bCs/>
                <w:sz w:val="16"/>
                <w:szCs w:val="16"/>
              </w:rPr>
              <w:t>2015</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jc w:val="center"/>
              <w:rPr>
                <w:b/>
                <w:bCs/>
                <w:sz w:val="16"/>
                <w:szCs w:val="16"/>
              </w:rPr>
            </w:pPr>
            <w:r w:rsidRPr="00102A5B">
              <w:rPr>
                <w:b/>
                <w:bCs/>
                <w:sz w:val="16"/>
                <w:szCs w:val="16"/>
              </w:rPr>
              <w:t>2016</w:t>
            </w:r>
          </w:p>
        </w:tc>
        <w:tc>
          <w:tcPr>
            <w:tcW w:w="1720" w:type="dxa"/>
            <w:gridSpan w:val="4"/>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jc w:val="center"/>
              <w:rPr>
                <w:b/>
                <w:bCs/>
                <w:sz w:val="16"/>
                <w:szCs w:val="16"/>
              </w:rPr>
            </w:pPr>
            <w:r w:rsidRPr="00102A5B">
              <w:rPr>
                <w:b/>
                <w:bCs/>
                <w:sz w:val="16"/>
                <w:szCs w:val="16"/>
              </w:rPr>
              <w:t>2017</w:t>
            </w:r>
          </w:p>
        </w:tc>
        <w:tc>
          <w:tcPr>
            <w:tcW w:w="860"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jc w:val="center"/>
              <w:rPr>
                <w:b/>
                <w:bCs/>
                <w:sz w:val="16"/>
                <w:szCs w:val="16"/>
              </w:rPr>
            </w:pPr>
            <w:r w:rsidRPr="00102A5B">
              <w:rPr>
                <w:b/>
                <w:bCs/>
                <w:sz w:val="16"/>
                <w:szCs w:val="16"/>
              </w:rPr>
              <w:t>2018</w:t>
            </w:r>
          </w:p>
        </w:tc>
      </w:tr>
      <w:tr w:rsidR="00BE17BF" w:rsidRPr="00102A5B" w:rsidTr="00027A9C">
        <w:trPr>
          <w:trHeight w:val="499"/>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rPr>
                <w:b/>
                <w:bCs/>
                <w:sz w:val="16"/>
                <w:szCs w:val="16"/>
              </w:rPr>
            </w:pPr>
            <w:r w:rsidRPr="00102A5B">
              <w:rPr>
                <w:b/>
                <w:bCs/>
                <w:sz w:val="16"/>
                <w:szCs w:val="16"/>
              </w:rPr>
              <w:t>Etapas fundamentales</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noWrap/>
            <w:vAlign w:val="bottom"/>
            <w:hideMark/>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T2</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T3</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T4</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T1</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C6D9F1" w:themeFill="text2" w:themeFillTint="33"/>
            <w:vAlign w:val="bottom"/>
          </w:tcPr>
          <w:p w:rsidR="00BE17BF" w:rsidRPr="00102A5B" w:rsidRDefault="00BE17BF" w:rsidP="00027A9C">
            <w:pPr>
              <w:keepNext/>
              <w:keepLines/>
              <w:widowControl w:val="0"/>
              <w:spacing w:before="40" w:after="40"/>
              <w:jc w:val="center"/>
              <w:rPr>
                <w:b/>
                <w:bCs/>
                <w:sz w:val="16"/>
                <w:szCs w:val="16"/>
              </w:rPr>
            </w:pPr>
            <w:r w:rsidRPr="00102A5B">
              <w:rPr>
                <w:b/>
                <w:bCs/>
                <w:sz w:val="16"/>
                <w:szCs w:val="16"/>
              </w:rPr>
              <w:t>T2</w:t>
            </w:r>
          </w:p>
        </w:tc>
      </w:tr>
      <w:tr w:rsidR="00BE17BF" w:rsidRPr="00102A5B" w:rsidTr="00027A9C">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rPr>
                <w:sz w:val="16"/>
                <w:szCs w:val="16"/>
              </w:rPr>
            </w:pPr>
            <w:r w:rsidRPr="00102A5B">
              <w:rPr>
                <w:sz w:val="16"/>
                <w:szCs w:val="16"/>
              </w:rPr>
              <w:t>Adjudicación del contrato al ingeniero de fachadas</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r>
      <w:tr w:rsidR="00BE17BF" w:rsidRPr="00102A5B" w:rsidTr="00027A9C">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rPr>
                <w:sz w:val="16"/>
                <w:szCs w:val="16"/>
              </w:rPr>
            </w:pPr>
            <w:r w:rsidRPr="00102A5B">
              <w:rPr>
                <w:sz w:val="16"/>
                <w:szCs w:val="16"/>
              </w:rPr>
              <w:t>Desarrollo y validación del proyecto con el ingeniero de fachadas</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r>
      <w:tr w:rsidR="00BE17BF" w:rsidRPr="00102A5B" w:rsidTr="00027A9C">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rPr>
                <w:sz w:val="16"/>
                <w:szCs w:val="16"/>
              </w:rPr>
            </w:pPr>
            <w:r w:rsidRPr="00102A5B">
              <w:rPr>
                <w:sz w:val="16"/>
                <w:szCs w:val="16"/>
              </w:rPr>
              <w:t>Llamado a presentar ofertas y selección de empresas</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hideMark/>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r>
      <w:tr w:rsidR="00BE17BF" w:rsidRPr="00102A5B" w:rsidTr="00027A9C">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rPr>
                <w:sz w:val="16"/>
                <w:szCs w:val="16"/>
              </w:rPr>
            </w:pPr>
            <w:r w:rsidRPr="00102A5B">
              <w:rPr>
                <w:sz w:val="16"/>
                <w:szCs w:val="16"/>
              </w:rPr>
              <w:t>Ejecución y puesta en servicio de las obras</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r>
      <w:tr w:rsidR="00BE17BF" w:rsidRPr="00102A5B" w:rsidTr="00027A9C">
        <w:trPr>
          <w:trHeight w:val="416"/>
          <w:jc w:val="center"/>
        </w:trPr>
        <w:tc>
          <w:tcPr>
            <w:tcW w:w="188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rPr>
                <w:sz w:val="16"/>
                <w:szCs w:val="16"/>
              </w:rPr>
            </w:pPr>
            <w:r w:rsidRPr="00102A5B">
              <w:rPr>
                <w:sz w:val="16"/>
                <w:szCs w:val="16"/>
              </w:rPr>
              <w:t>Decisión de clausurar el proyecto al final de</w:t>
            </w:r>
            <w:r w:rsidRPr="00102A5B">
              <w:rPr>
                <w:bCs/>
                <w:sz w:val="16"/>
                <w:szCs w:val="16"/>
              </w:rPr>
              <w:t xml:space="preserve"> 2016.</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noWrap/>
            <w:vAlign w:val="center"/>
          </w:tcPr>
          <w:p w:rsidR="00BE17BF" w:rsidRPr="00102A5B" w:rsidRDefault="00BE17BF" w:rsidP="00027A9C">
            <w:pPr>
              <w:keepNext/>
              <w:keepLines/>
              <w:widowControl w:val="0"/>
              <w:spacing w:before="40" w:after="40"/>
              <w:jc w:val="center"/>
              <w:rPr>
                <w:sz w:val="16"/>
                <w:szCs w:val="16"/>
              </w:rPr>
            </w:pPr>
            <w:r w:rsidRPr="00102A5B">
              <w:rPr>
                <w:sz w:val="16"/>
                <w:szCs w:val="16"/>
              </w:rPr>
              <w:t>X</w:t>
            </w: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c>
          <w:tcPr>
            <w:tcW w:w="43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rsidR="00BE17BF" w:rsidRPr="00102A5B" w:rsidRDefault="00BE17BF" w:rsidP="00027A9C">
            <w:pPr>
              <w:keepNext/>
              <w:keepLines/>
              <w:widowControl w:val="0"/>
              <w:spacing w:before="40" w:after="40"/>
              <w:jc w:val="center"/>
              <w:rPr>
                <w:sz w:val="16"/>
                <w:szCs w:val="16"/>
              </w:rPr>
            </w:pPr>
          </w:p>
        </w:tc>
      </w:tr>
    </w:tbl>
    <w:p w:rsidR="00BE17BF" w:rsidRPr="00102A5B" w:rsidRDefault="00BE17BF" w:rsidP="00027A9C"/>
    <w:p w:rsidR="00BE17BF" w:rsidRPr="00102A5B" w:rsidRDefault="00BE17BF" w:rsidP="00027A9C">
      <w:pPr>
        <w:spacing w:after="200" w:line="276" w:lineRule="auto"/>
        <w:rPr>
          <w:sz w:val="20"/>
          <w:szCs w:val="24"/>
        </w:rPr>
      </w:pPr>
    </w:p>
    <w:p w:rsidR="00BE17BF" w:rsidRPr="00102A5B" w:rsidRDefault="00BE17BF">
      <w:pPr>
        <w:rPr>
          <w:sz w:val="20"/>
          <w:szCs w:val="24"/>
        </w:rPr>
      </w:pPr>
      <w:bookmarkStart w:id="92" w:name="_Toc454544514"/>
      <w:bookmarkStart w:id="93" w:name="_Toc422210529"/>
      <w:r w:rsidRPr="00102A5B">
        <w:rPr>
          <w:sz w:val="20"/>
          <w:szCs w:val="24"/>
        </w:rPr>
        <w:br w:type="page"/>
      </w:r>
    </w:p>
    <w:bookmarkEnd w:id="92"/>
    <w:bookmarkEnd w:id="93"/>
    <w:p w:rsidR="00BE17BF" w:rsidRPr="004C206E" w:rsidRDefault="00BE17BF" w:rsidP="00027A9C">
      <w:pPr>
        <w:rPr>
          <w:b/>
          <w:szCs w:val="24"/>
        </w:rPr>
      </w:pPr>
      <w:r w:rsidRPr="004C206E">
        <w:rPr>
          <w:b/>
          <w:szCs w:val="24"/>
        </w:rPr>
        <w:lastRenderedPageBreak/>
        <w:t>PROYECTOS RELATIVOS A LA SEGURIDAD Y VIGILANCIA</w:t>
      </w:r>
    </w:p>
    <w:p w:rsidR="00BE17BF" w:rsidRPr="000A09A0" w:rsidRDefault="00BE17BF" w:rsidP="000A09A0">
      <w:pPr>
        <w:rPr>
          <w:sz w:val="20"/>
        </w:rPr>
      </w:pPr>
    </w:p>
    <w:p w:rsidR="00BE17BF" w:rsidRPr="006177A9" w:rsidRDefault="00BE17BF" w:rsidP="00027A9C">
      <w:pPr>
        <w:keepNext/>
        <w:tabs>
          <w:tab w:val="left" w:pos="1701"/>
        </w:tabs>
        <w:ind w:left="1701" w:hanging="1701"/>
        <w:outlineLvl w:val="2"/>
        <w:rPr>
          <w:b/>
          <w:bCs/>
          <w:i/>
          <w:sz w:val="20"/>
        </w:rPr>
      </w:pPr>
      <w:bookmarkStart w:id="94" w:name="_Toc482711291"/>
      <w:r w:rsidRPr="006177A9">
        <w:rPr>
          <w:b/>
          <w:bCs/>
          <w:i/>
          <w:sz w:val="20"/>
        </w:rPr>
        <w:t>PROYECTO 7</w:t>
      </w:r>
      <w:r w:rsidRPr="006177A9">
        <w:rPr>
          <w:bCs/>
          <w:sz w:val="20"/>
        </w:rPr>
        <w:tab/>
      </w:r>
      <w:r w:rsidRPr="006177A9">
        <w:rPr>
          <w:b/>
          <w:bCs/>
          <w:i/>
          <w:sz w:val="20"/>
        </w:rPr>
        <w:t>MEDIDAS DE SEGURIDAD Y DE PROTECCIÓN CONTRA INCENDIOS (PMM 7)</w:t>
      </w:r>
      <w:bookmarkEnd w:id="94"/>
    </w:p>
    <w:p w:rsidR="00BE17BF" w:rsidRPr="00102A5B" w:rsidRDefault="00BE17BF" w:rsidP="00027A9C">
      <w:pPr>
        <w:rPr>
          <w:b/>
          <w:szCs w:val="24"/>
        </w:rPr>
      </w:pPr>
    </w:p>
    <w:p w:rsidR="00BE17BF" w:rsidRPr="00102A5B" w:rsidRDefault="00BE17BF" w:rsidP="00027A9C">
      <w:pPr>
        <w:rPr>
          <w:b/>
          <w:sz w:val="20"/>
        </w:rPr>
      </w:pPr>
      <w:r w:rsidRPr="00102A5B">
        <w:rPr>
          <w:b/>
          <w:sz w:val="20"/>
        </w:rPr>
        <w:t>Director del proyecto</w:t>
      </w:r>
      <w:r w:rsidRPr="00102A5B">
        <w:rPr>
          <w:sz w:val="20"/>
        </w:rPr>
        <w:tab/>
      </w:r>
      <w:r w:rsidRPr="00102A5B">
        <w:rPr>
          <w:b/>
          <w:sz w:val="20"/>
        </w:rPr>
        <w:t xml:space="preserve">Sr. M. Gibb </w:t>
      </w:r>
    </w:p>
    <w:p w:rsidR="00BE17BF" w:rsidRPr="00102A5B" w:rsidRDefault="00BE17BF" w:rsidP="00027A9C">
      <w:pPr>
        <w:rPr>
          <w:sz w:val="20"/>
        </w:rPr>
      </w:pPr>
    </w:p>
    <w:p w:rsidR="00BE17BF" w:rsidRPr="00102A5B" w:rsidRDefault="00BE17BF" w:rsidP="00027A9C">
      <w:pPr>
        <w:rPr>
          <w:bCs/>
          <w:sz w:val="20"/>
        </w:rPr>
      </w:pPr>
    </w:p>
    <w:p w:rsidR="00BE17BF" w:rsidRPr="00102A5B" w:rsidRDefault="00BE17BF" w:rsidP="00027A9C">
      <w:pPr>
        <w:rPr>
          <w:bCs/>
          <w:sz w:val="20"/>
        </w:rPr>
      </w:pPr>
      <w:r w:rsidRPr="00102A5B">
        <w:rPr>
          <w:bCs/>
          <w:sz w:val="20"/>
        </w:rPr>
        <w:t>RESULTADO PREVISTO</w:t>
      </w:r>
    </w:p>
    <w:p w:rsidR="00BE17BF" w:rsidRPr="00102A5B" w:rsidRDefault="00BE17BF" w:rsidP="00027A9C">
      <w:pPr>
        <w:rPr>
          <w:bCs/>
          <w:sz w:val="20"/>
        </w:rPr>
      </w:pPr>
    </w:p>
    <w:p w:rsidR="00BE17BF" w:rsidRPr="00102A5B" w:rsidRDefault="00BE17BF" w:rsidP="00027A9C">
      <w:pPr>
        <w:rPr>
          <w:bCs/>
          <w:i/>
          <w:sz w:val="20"/>
        </w:rPr>
      </w:pPr>
      <w:r w:rsidRPr="00102A5B">
        <w:rPr>
          <w:bCs/>
          <w:i/>
          <w:sz w:val="20"/>
        </w:rPr>
        <w:t>IX.4  Una Organización responsable con el medio ambiente y la sociedad en la que se garantiza la seguridad del personal de la OMPI, los delegados, los visitantes, la información y los activos físicos</w:t>
      </w:r>
    </w:p>
    <w:p w:rsidR="00BE17BF" w:rsidRPr="00102A5B" w:rsidRDefault="00BE17BF" w:rsidP="00027A9C">
      <w:pPr>
        <w:rPr>
          <w:bCs/>
          <w:sz w:val="20"/>
        </w:rPr>
      </w:pPr>
    </w:p>
    <w:p w:rsidR="00BE17BF" w:rsidRPr="00102A5B" w:rsidRDefault="00BE17BF" w:rsidP="00027A9C">
      <w:pPr>
        <w:rPr>
          <w:bCs/>
          <w:sz w:val="20"/>
        </w:rPr>
      </w:pPr>
    </w:p>
    <w:p w:rsidR="00BE17BF" w:rsidRPr="00102A5B" w:rsidRDefault="00BE17BF" w:rsidP="00027A9C">
      <w:pPr>
        <w:rPr>
          <w:bCs/>
          <w:sz w:val="20"/>
        </w:rPr>
      </w:pPr>
      <w:r w:rsidRPr="00102A5B">
        <w:rPr>
          <w:bCs/>
          <w:sz w:val="20"/>
        </w:rPr>
        <w:t>OBJETIVOS, ALCANCE Y ENFOQUE:  ANTECEDENTES</w:t>
      </w:r>
    </w:p>
    <w:p w:rsidR="00BE17BF" w:rsidRPr="00102A5B" w:rsidRDefault="00BE17BF" w:rsidP="00027A9C">
      <w:pPr>
        <w:jc w:val="both"/>
        <w:rPr>
          <w:bCs/>
          <w:sz w:val="20"/>
        </w:rPr>
      </w:pPr>
    </w:p>
    <w:p w:rsidR="00BE17BF" w:rsidRPr="00102A5B" w:rsidRDefault="00BE17BF" w:rsidP="003F3AAF">
      <w:pPr>
        <w:numPr>
          <w:ilvl w:val="0"/>
          <w:numId w:val="126"/>
        </w:numPr>
        <w:tabs>
          <w:tab w:val="left" w:pos="567"/>
        </w:tabs>
        <w:ind w:left="0" w:firstLine="0"/>
        <w:jc w:val="both"/>
        <w:rPr>
          <w:sz w:val="20"/>
        </w:rPr>
      </w:pPr>
      <w:r w:rsidRPr="00102A5B">
        <w:rPr>
          <w:sz w:val="20"/>
        </w:rPr>
        <w:t xml:space="preserve">Conforme a la auditoría de seguridad y vigilancia realizada por un instituto especializado a petición de la Secretaría, es necesario poner en práctica varias recomendaciones relacionadas con medidas de seguridad y de protección contra incendios en los edificios más antiguos de la OMPI, para que cumplan con los nuevos niveles de seguridad (cabe señalar que el nuevo edificio y la nueva sala de conferencias quedan excluidos de este proyecto pues las especificaciones técnicas ya reflejan los nuevos niveles exigidos).  Las medidas de seguridad y de protección contra incendios que han de aplicarse en los edificios más antiguos de la OMPI son:  i) la compartimentación entre edificios;  y ii) la compartimentación entre áreas de un edificio determinado (tabiques divisorios).  La finalidad de esa compartimentación es aislar mejor un único edificio o área en caso de incendio o de propagación de humo tras un incidente.  La compartimentación de los edificios se realizará mediante la construcción de elementos de infraestructura o puertas además o en lugar de las existentes y, en algunos casos, la instalación de nuevas puertas en los corredores o pasillos existentes.  </w:t>
      </w:r>
    </w:p>
    <w:p w:rsidR="00BE17BF" w:rsidRPr="00102A5B" w:rsidRDefault="00BE17BF" w:rsidP="00027A9C">
      <w:pPr>
        <w:tabs>
          <w:tab w:val="left" w:pos="567"/>
        </w:tabs>
        <w:jc w:val="both"/>
        <w:rPr>
          <w:sz w:val="20"/>
        </w:rPr>
      </w:pPr>
    </w:p>
    <w:p w:rsidR="00BE17BF" w:rsidRPr="00102A5B" w:rsidRDefault="00BE17BF" w:rsidP="003F3AAF">
      <w:pPr>
        <w:numPr>
          <w:ilvl w:val="0"/>
          <w:numId w:val="126"/>
        </w:numPr>
        <w:tabs>
          <w:tab w:val="left" w:pos="567"/>
        </w:tabs>
        <w:ind w:left="0" w:firstLine="0"/>
        <w:jc w:val="both"/>
        <w:rPr>
          <w:sz w:val="20"/>
        </w:rPr>
      </w:pPr>
      <w:r w:rsidRPr="00102A5B">
        <w:rPr>
          <w:sz w:val="20"/>
        </w:rPr>
        <w:t>La ejecución del proyecto permitirá:</w:t>
      </w:r>
    </w:p>
    <w:p w:rsidR="00BE17BF" w:rsidRPr="00102A5B" w:rsidRDefault="00BE17BF" w:rsidP="00027A9C">
      <w:pPr>
        <w:tabs>
          <w:tab w:val="left" w:pos="567"/>
        </w:tabs>
        <w:jc w:val="both"/>
        <w:rPr>
          <w:sz w:val="20"/>
        </w:rPr>
      </w:pPr>
    </w:p>
    <w:p w:rsidR="00BE17BF" w:rsidRDefault="00BE17BF" w:rsidP="00BE17BF">
      <w:pPr>
        <w:numPr>
          <w:ilvl w:val="0"/>
          <w:numId w:val="127"/>
        </w:numPr>
        <w:autoSpaceDE w:val="0"/>
        <w:autoSpaceDN w:val="0"/>
        <w:adjustRightInd w:val="0"/>
        <w:ind w:left="1134" w:hanging="567"/>
        <w:jc w:val="both"/>
        <w:rPr>
          <w:bCs/>
          <w:sz w:val="20"/>
        </w:rPr>
      </w:pPr>
      <w:r w:rsidRPr="00102A5B">
        <w:rPr>
          <w:bCs/>
          <w:sz w:val="20"/>
        </w:rPr>
        <w:t xml:space="preserve">reducir los costos relacionados con: i) daños causados a los locales o a los activos que se encuentran en su interior, limitando la probabilidad de que ocurran incidentes; y ii) actividades de reparación, sustitución y limpieza; </w:t>
      </w:r>
    </w:p>
    <w:p w:rsidR="003F3AAF" w:rsidRPr="00102A5B" w:rsidRDefault="003F3AAF" w:rsidP="003F3AAF">
      <w:pPr>
        <w:autoSpaceDE w:val="0"/>
        <w:autoSpaceDN w:val="0"/>
        <w:adjustRightInd w:val="0"/>
        <w:ind w:left="1134"/>
        <w:jc w:val="both"/>
        <w:rPr>
          <w:bCs/>
          <w:sz w:val="20"/>
        </w:rPr>
      </w:pPr>
    </w:p>
    <w:p w:rsidR="00BE17BF" w:rsidRDefault="00BE17BF" w:rsidP="00BE17BF">
      <w:pPr>
        <w:numPr>
          <w:ilvl w:val="0"/>
          <w:numId w:val="127"/>
        </w:numPr>
        <w:autoSpaceDE w:val="0"/>
        <w:autoSpaceDN w:val="0"/>
        <w:adjustRightInd w:val="0"/>
        <w:ind w:left="1134" w:hanging="567"/>
        <w:jc w:val="both"/>
        <w:rPr>
          <w:bCs/>
          <w:sz w:val="20"/>
        </w:rPr>
      </w:pPr>
      <w:r w:rsidRPr="00102A5B">
        <w:rPr>
          <w:bCs/>
          <w:sz w:val="20"/>
        </w:rPr>
        <w:t>mejorar la protección de los datos relativos a la presentación de solicitudes en virtud de diferentes sistemas de registro;</w:t>
      </w:r>
    </w:p>
    <w:p w:rsidR="003F3AAF" w:rsidRPr="00102A5B" w:rsidRDefault="003F3AAF" w:rsidP="003F3AAF">
      <w:pPr>
        <w:autoSpaceDE w:val="0"/>
        <w:autoSpaceDN w:val="0"/>
        <w:adjustRightInd w:val="0"/>
        <w:ind w:left="1134"/>
        <w:jc w:val="both"/>
        <w:rPr>
          <w:bCs/>
          <w:sz w:val="20"/>
        </w:rPr>
      </w:pPr>
    </w:p>
    <w:p w:rsidR="00BE17BF" w:rsidRDefault="00BE17BF" w:rsidP="00BE17BF">
      <w:pPr>
        <w:numPr>
          <w:ilvl w:val="0"/>
          <w:numId w:val="127"/>
        </w:numPr>
        <w:autoSpaceDE w:val="0"/>
        <w:autoSpaceDN w:val="0"/>
        <w:adjustRightInd w:val="0"/>
        <w:ind w:left="1134" w:hanging="567"/>
        <w:jc w:val="both"/>
        <w:rPr>
          <w:bCs/>
          <w:sz w:val="20"/>
        </w:rPr>
      </w:pPr>
      <w:r w:rsidRPr="00102A5B">
        <w:rPr>
          <w:bCs/>
          <w:sz w:val="20"/>
        </w:rPr>
        <w:t>crear un entorno de trabajo más seguro, fortaleciendo, en caso de incidente, la seguridad y las medidas de protección del personal y de las demás personas que trabajen en los edificios, y mejorando los procedimientos de evacuación;</w:t>
      </w:r>
    </w:p>
    <w:p w:rsidR="003F3AAF" w:rsidRPr="00102A5B" w:rsidRDefault="003F3AAF" w:rsidP="003F3AAF">
      <w:pPr>
        <w:autoSpaceDE w:val="0"/>
        <w:autoSpaceDN w:val="0"/>
        <w:adjustRightInd w:val="0"/>
        <w:ind w:left="1134"/>
        <w:jc w:val="both"/>
        <w:rPr>
          <w:bCs/>
          <w:sz w:val="20"/>
        </w:rPr>
      </w:pPr>
    </w:p>
    <w:p w:rsidR="00BE17BF" w:rsidRDefault="00BE17BF" w:rsidP="00BE17BF">
      <w:pPr>
        <w:numPr>
          <w:ilvl w:val="0"/>
          <w:numId w:val="127"/>
        </w:numPr>
        <w:autoSpaceDE w:val="0"/>
        <w:autoSpaceDN w:val="0"/>
        <w:adjustRightInd w:val="0"/>
        <w:ind w:left="1134" w:hanging="567"/>
        <w:jc w:val="both"/>
        <w:rPr>
          <w:bCs/>
          <w:sz w:val="20"/>
        </w:rPr>
      </w:pPr>
      <w:r w:rsidRPr="00102A5B">
        <w:rPr>
          <w:bCs/>
          <w:sz w:val="20"/>
        </w:rPr>
        <w:t>mejorar la protección y la separación física de las instalaciones esenciales en los edificios;</w:t>
      </w:r>
    </w:p>
    <w:p w:rsidR="003F3AAF" w:rsidRPr="00102A5B" w:rsidRDefault="003F3AAF" w:rsidP="003F3AAF">
      <w:pPr>
        <w:autoSpaceDE w:val="0"/>
        <w:autoSpaceDN w:val="0"/>
        <w:adjustRightInd w:val="0"/>
        <w:ind w:left="1134"/>
        <w:jc w:val="both"/>
        <w:rPr>
          <w:bCs/>
          <w:sz w:val="20"/>
        </w:rPr>
      </w:pPr>
    </w:p>
    <w:p w:rsidR="00BE17BF" w:rsidRDefault="00BE17BF" w:rsidP="00BE17BF">
      <w:pPr>
        <w:numPr>
          <w:ilvl w:val="0"/>
          <w:numId w:val="127"/>
        </w:numPr>
        <w:autoSpaceDE w:val="0"/>
        <w:autoSpaceDN w:val="0"/>
        <w:adjustRightInd w:val="0"/>
        <w:ind w:left="1134" w:hanging="567"/>
        <w:jc w:val="both"/>
        <w:rPr>
          <w:bCs/>
          <w:sz w:val="20"/>
        </w:rPr>
      </w:pPr>
      <w:r w:rsidRPr="00102A5B">
        <w:rPr>
          <w:bCs/>
          <w:sz w:val="20"/>
        </w:rPr>
        <w:t xml:space="preserve">estar en conformidad con las normas del Cantón de Ginebra sobre prevención de incendios;  y  </w:t>
      </w:r>
    </w:p>
    <w:p w:rsidR="003F3AAF" w:rsidRPr="00102A5B" w:rsidRDefault="003F3AAF" w:rsidP="003F3AAF">
      <w:pPr>
        <w:autoSpaceDE w:val="0"/>
        <w:autoSpaceDN w:val="0"/>
        <w:adjustRightInd w:val="0"/>
        <w:ind w:left="1134"/>
        <w:jc w:val="both"/>
        <w:rPr>
          <w:bCs/>
          <w:sz w:val="20"/>
        </w:rPr>
      </w:pPr>
    </w:p>
    <w:p w:rsidR="00BE17BF" w:rsidRPr="00102A5B" w:rsidRDefault="00BE17BF" w:rsidP="00BE17BF">
      <w:pPr>
        <w:numPr>
          <w:ilvl w:val="0"/>
          <w:numId w:val="127"/>
        </w:numPr>
        <w:autoSpaceDE w:val="0"/>
        <w:autoSpaceDN w:val="0"/>
        <w:adjustRightInd w:val="0"/>
        <w:ind w:left="1134" w:hanging="567"/>
        <w:jc w:val="both"/>
        <w:rPr>
          <w:bCs/>
          <w:sz w:val="20"/>
        </w:rPr>
      </w:pPr>
      <w:r w:rsidRPr="00102A5B">
        <w:rPr>
          <w:bCs/>
          <w:sz w:val="20"/>
        </w:rPr>
        <w:t>la adhesión a la política de prevención de incendios de las Naciones Unidas.</w:t>
      </w:r>
    </w:p>
    <w:p w:rsidR="00BE17BF" w:rsidRPr="00102A5B" w:rsidRDefault="00BE17BF" w:rsidP="00027A9C">
      <w:pPr>
        <w:jc w:val="both"/>
        <w:rPr>
          <w:bCs/>
          <w:sz w:val="20"/>
        </w:rPr>
      </w:pPr>
    </w:p>
    <w:p w:rsidR="00BE17BF" w:rsidRPr="00102A5B" w:rsidRDefault="00BE17BF" w:rsidP="00027A9C">
      <w:pPr>
        <w:jc w:val="both"/>
        <w:rPr>
          <w:bCs/>
          <w:sz w:val="18"/>
        </w:rPr>
      </w:pPr>
      <w:r w:rsidRPr="00102A5B">
        <w:rPr>
          <w:bCs/>
          <w:sz w:val="20"/>
        </w:rPr>
        <w:t>RESEÑA DE LOS AVANCES LOGRADOS EN 2016 (ETAPAS FUNDAMENTALES)</w:t>
      </w:r>
    </w:p>
    <w:p w:rsidR="00BE17BF" w:rsidRPr="00102A5B" w:rsidRDefault="00BE17BF" w:rsidP="00027A9C">
      <w:pPr>
        <w:jc w:val="both"/>
        <w:rPr>
          <w:bCs/>
          <w:sz w:val="20"/>
        </w:rPr>
      </w:pPr>
    </w:p>
    <w:p w:rsidR="00BE17BF" w:rsidRPr="00102A5B" w:rsidRDefault="00BE17BF" w:rsidP="003F3AAF">
      <w:pPr>
        <w:pStyle w:val="ListParagraph"/>
        <w:numPr>
          <w:ilvl w:val="0"/>
          <w:numId w:val="126"/>
        </w:numPr>
        <w:ind w:left="0" w:firstLine="0"/>
        <w:contextualSpacing/>
        <w:jc w:val="both"/>
        <w:rPr>
          <w:lang w:val="es-ES"/>
        </w:rPr>
      </w:pPr>
      <w:r w:rsidRPr="00102A5B">
        <w:rPr>
          <w:lang w:val="es-ES"/>
        </w:rPr>
        <w:t>En 2016, se realizaron los avances siguientes:</w:t>
      </w:r>
    </w:p>
    <w:p w:rsidR="00BE17BF" w:rsidRPr="00102A5B" w:rsidRDefault="00BE17BF" w:rsidP="00027A9C">
      <w:pPr>
        <w:pStyle w:val="ListParagraph"/>
        <w:jc w:val="both"/>
        <w:rPr>
          <w:lang w:val="es-ES"/>
        </w:rPr>
      </w:pPr>
    </w:p>
    <w:p w:rsidR="00BE17BF" w:rsidRPr="00102A5B" w:rsidRDefault="00BE17BF" w:rsidP="00BE17BF">
      <w:pPr>
        <w:pStyle w:val="ListParagraph"/>
        <w:numPr>
          <w:ilvl w:val="0"/>
          <w:numId w:val="128"/>
        </w:numPr>
        <w:tabs>
          <w:tab w:val="left" w:pos="567"/>
        </w:tabs>
        <w:contextualSpacing/>
        <w:jc w:val="both"/>
        <w:rPr>
          <w:szCs w:val="22"/>
          <w:lang w:val="es-ES"/>
        </w:rPr>
      </w:pPr>
      <w:r w:rsidRPr="00102A5B">
        <w:rPr>
          <w:szCs w:val="22"/>
          <w:lang w:val="es-ES"/>
        </w:rPr>
        <w:t>Elaboración de estudios para informar acerca de la compartimentación entre el estacionamiento subterráneo del edificio AB y el edificio AB (salvo el segundo subsuelo) y la compartimentación entre los edificios GBI y AB (primer subsuelo, planta baja y planta primera);</w:t>
      </w:r>
    </w:p>
    <w:p w:rsidR="00BE17BF" w:rsidRPr="00102A5B" w:rsidRDefault="00BE17BF" w:rsidP="00027A9C">
      <w:pPr>
        <w:tabs>
          <w:tab w:val="left" w:pos="567"/>
        </w:tabs>
        <w:jc w:val="both"/>
        <w:rPr>
          <w:sz w:val="20"/>
          <w:szCs w:val="22"/>
        </w:rPr>
      </w:pPr>
    </w:p>
    <w:p w:rsidR="00BE17BF" w:rsidRPr="00102A5B" w:rsidRDefault="00BE17BF" w:rsidP="00BE17BF">
      <w:pPr>
        <w:pStyle w:val="ListParagraph"/>
        <w:numPr>
          <w:ilvl w:val="0"/>
          <w:numId w:val="128"/>
        </w:numPr>
        <w:tabs>
          <w:tab w:val="left" w:pos="567"/>
        </w:tabs>
        <w:contextualSpacing/>
        <w:jc w:val="both"/>
        <w:rPr>
          <w:szCs w:val="22"/>
          <w:lang w:val="es-ES"/>
        </w:rPr>
      </w:pPr>
      <w:r w:rsidRPr="00102A5B">
        <w:rPr>
          <w:szCs w:val="22"/>
          <w:lang w:val="es-ES"/>
        </w:rPr>
        <w:t>Ejecución y finalización de los trabajos de compartimentación entre los edificios GBI y AB (primer subsuelo y planta primera).</w:t>
      </w:r>
    </w:p>
    <w:p w:rsidR="00BE17BF" w:rsidRPr="00102A5B" w:rsidRDefault="00BE17BF" w:rsidP="00027A9C">
      <w:pPr>
        <w:pStyle w:val="ListParagraph"/>
        <w:tabs>
          <w:tab w:val="left" w:pos="567"/>
        </w:tabs>
        <w:ind w:left="927"/>
        <w:jc w:val="both"/>
        <w:rPr>
          <w:szCs w:val="22"/>
          <w:lang w:val="es-ES"/>
        </w:rPr>
      </w:pPr>
    </w:p>
    <w:p w:rsidR="00BE17BF" w:rsidRPr="00102A5B" w:rsidRDefault="00BE17BF" w:rsidP="003F3AAF">
      <w:pPr>
        <w:pStyle w:val="ListParagraph"/>
        <w:numPr>
          <w:ilvl w:val="0"/>
          <w:numId w:val="126"/>
        </w:numPr>
        <w:ind w:left="0" w:firstLine="0"/>
        <w:contextualSpacing/>
        <w:jc w:val="both"/>
        <w:rPr>
          <w:szCs w:val="22"/>
          <w:lang w:val="es-ES"/>
        </w:rPr>
      </w:pPr>
      <w:r w:rsidRPr="00102A5B">
        <w:rPr>
          <w:lang w:val="es-ES"/>
        </w:rPr>
        <w:lastRenderedPageBreak/>
        <w:t xml:space="preserve">Durante una auditoría del riesgo de incendio efectuada a mitad del proyecto con respecto a los edificios AB, GBI y GBII, en septiembre de 2016 se detectaron elementos que no cumplían con la normativa suiza y fue necesario aplicar medidas de mitigación.  En las conclusiones de la auditoría se señalaban asimismo otros problemas técnicos en relación con la viabilidad de la compartimentación entre los edificios GBI y GBII, explicando que la magnitud de los trabajos técnicos rebasaba el ámbito y el presupuesto establecidos a tal efecto en el plan del proyecto.  En consecuencia, se tomó la decisión de suprimir dicho elemento del ámbito del proyecto 7 (MMP 7).  El presupuesto del proyecto inicial de 65.000 francos suizos se devolverá a las reservas a fines de 2017.  Los cuadros sobre la utilización de los recursos se han enmendado en consecuencia.  </w:t>
      </w:r>
    </w:p>
    <w:p w:rsidR="00BE17BF" w:rsidRPr="00102A5B" w:rsidRDefault="00BE17BF" w:rsidP="00027A9C">
      <w:pPr>
        <w:rPr>
          <w:sz w:val="20"/>
          <w:szCs w:val="22"/>
        </w:rPr>
      </w:pPr>
    </w:p>
    <w:p w:rsidR="00BE17BF" w:rsidRPr="00102A5B" w:rsidRDefault="00BE17BF" w:rsidP="00027A9C">
      <w:pPr>
        <w:rPr>
          <w:sz w:val="20"/>
          <w:szCs w:val="22"/>
        </w:rPr>
      </w:pPr>
    </w:p>
    <w:p w:rsidR="00BE17BF" w:rsidRDefault="00BE17BF" w:rsidP="00027A9C">
      <w:pPr>
        <w:rPr>
          <w:sz w:val="20"/>
          <w:szCs w:val="22"/>
        </w:rPr>
      </w:pPr>
      <w:r w:rsidRPr="00102A5B">
        <w:rPr>
          <w:sz w:val="20"/>
          <w:szCs w:val="22"/>
        </w:rPr>
        <w:t>OBTENCIÓN DE BENEFICIOS</w:t>
      </w:r>
    </w:p>
    <w:p w:rsidR="00BE17BF" w:rsidRPr="00102A5B" w:rsidRDefault="00BE17BF" w:rsidP="00027A9C">
      <w:pPr>
        <w:rPr>
          <w:sz w:val="20"/>
          <w:szCs w:val="22"/>
        </w:rPr>
      </w:pPr>
    </w:p>
    <w:tbl>
      <w:tblPr>
        <w:tblW w:w="3920"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1820"/>
        <w:gridCol w:w="1821"/>
        <w:gridCol w:w="1820"/>
        <w:gridCol w:w="1820"/>
      </w:tblGrid>
      <w:tr w:rsidR="00BE17BF" w:rsidRPr="00102A5B" w:rsidTr="00027A9C">
        <w:trPr>
          <w:trHeight w:val="213"/>
          <w:tblHeader/>
          <w:jc w:val="center"/>
        </w:trPr>
        <w:tc>
          <w:tcPr>
            <w:tcW w:w="1249" w:type="pct"/>
            <w:shd w:val="clear" w:color="auto" w:fill="C6D9F1" w:themeFill="text2" w:themeFillTint="33"/>
            <w:tcMar>
              <w:top w:w="113" w:type="dxa"/>
              <w:left w:w="108" w:type="dxa"/>
              <w:bottom w:w="113" w:type="dxa"/>
              <w:right w:w="108" w:type="dxa"/>
            </w:tcMar>
            <w:vAlign w:val="center"/>
            <w:hideMark/>
          </w:tcPr>
          <w:p w:rsidR="00BE17BF" w:rsidRPr="00102A5B" w:rsidRDefault="00BE17BF" w:rsidP="00027A9C">
            <w:pPr>
              <w:jc w:val="center"/>
              <w:rPr>
                <w:b/>
                <w:bCs/>
                <w:sz w:val="16"/>
                <w:szCs w:val="16"/>
              </w:rPr>
            </w:pPr>
            <w:r w:rsidRPr="00102A5B">
              <w:rPr>
                <w:b/>
                <w:bCs/>
                <w:sz w:val="16"/>
                <w:szCs w:val="16"/>
              </w:rPr>
              <w:t>Beneficios obtenidos en 2014</w:t>
            </w:r>
          </w:p>
        </w:tc>
        <w:tc>
          <w:tcPr>
            <w:tcW w:w="1250" w:type="pct"/>
            <w:shd w:val="clear" w:color="auto" w:fill="C6D9F1" w:themeFill="text2" w:themeFillTint="33"/>
            <w:vAlign w:val="center"/>
            <w:hideMark/>
          </w:tcPr>
          <w:p w:rsidR="00BE17BF" w:rsidRPr="00102A5B" w:rsidRDefault="00BE17BF" w:rsidP="00027A9C">
            <w:pPr>
              <w:jc w:val="center"/>
              <w:rPr>
                <w:b/>
                <w:bCs/>
                <w:sz w:val="16"/>
                <w:szCs w:val="16"/>
              </w:rPr>
            </w:pPr>
            <w:r w:rsidRPr="00102A5B">
              <w:rPr>
                <w:b/>
                <w:bCs/>
                <w:sz w:val="16"/>
                <w:szCs w:val="16"/>
              </w:rPr>
              <w:t>Beneficios obtenidos en 2015</w:t>
            </w:r>
          </w:p>
        </w:tc>
        <w:tc>
          <w:tcPr>
            <w:tcW w:w="1250" w:type="pct"/>
            <w:shd w:val="clear" w:color="auto" w:fill="C6D9F1" w:themeFill="text2" w:themeFillTint="33"/>
            <w:vAlign w:val="center"/>
          </w:tcPr>
          <w:p w:rsidR="00BE17BF" w:rsidRPr="00102A5B" w:rsidRDefault="00BE17BF" w:rsidP="00027A9C">
            <w:pPr>
              <w:jc w:val="center"/>
              <w:rPr>
                <w:b/>
                <w:bCs/>
                <w:sz w:val="16"/>
                <w:szCs w:val="16"/>
              </w:rPr>
            </w:pPr>
            <w:r w:rsidRPr="00102A5B">
              <w:rPr>
                <w:b/>
                <w:bCs/>
                <w:sz w:val="16"/>
                <w:szCs w:val="16"/>
              </w:rPr>
              <w:t>Beneficios obtenidos en 2016</w:t>
            </w:r>
          </w:p>
          <w:p w:rsidR="00BE17BF" w:rsidRPr="00102A5B" w:rsidRDefault="00BE17BF" w:rsidP="00027A9C">
            <w:pPr>
              <w:jc w:val="center"/>
              <w:rPr>
                <w:bCs/>
                <w:i/>
                <w:sz w:val="16"/>
                <w:szCs w:val="16"/>
              </w:rPr>
            </w:pPr>
          </w:p>
        </w:tc>
        <w:tc>
          <w:tcPr>
            <w:tcW w:w="1250" w:type="pct"/>
            <w:shd w:val="clear" w:color="auto" w:fill="C6D9F1" w:themeFill="text2" w:themeFillTint="33"/>
            <w:vAlign w:val="center"/>
            <w:hideMark/>
          </w:tcPr>
          <w:p w:rsidR="00BE17BF" w:rsidRPr="00102A5B" w:rsidRDefault="00BE17BF" w:rsidP="00027A9C">
            <w:pPr>
              <w:jc w:val="center"/>
              <w:rPr>
                <w:b/>
                <w:bCs/>
                <w:sz w:val="16"/>
                <w:szCs w:val="16"/>
              </w:rPr>
            </w:pPr>
            <w:r w:rsidRPr="00102A5B">
              <w:rPr>
                <w:b/>
                <w:bCs/>
                <w:sz w:val="16"/>
                <w:szCs w:val="16"/>
              </w:rPr>
              <w:t>Beneficios previstos para 2017</w:t>
            </w:r>
          </w:p>
        </w:tc>
      </w:tr>
      <w:tr w:rsidR="00BE17BF" w:rsidRPr="00102A5B" w:rsidTr="00027A9C">
        <w:trPr>
          <w:trHeight w:val="951"/>
          <w:jc w:val="center"/>
        </w:trPr>
        <w:tc>
          <w:tcPr>
            <w:tcW w:w="1249" w:type="pct"/>
            <w:tcMar>
              <w:top w:w="113" w:type="dxa"/>
              <w:left w:w="108" w:type="dxa"/>
              <w:bottom w:w="113" w:type="dxa"/>
              <w:right w:w="108" w:type="dxa"/>
            </w:tcMar>
            <w:hideMark/>
          </w:tcPr>
          <w:p w:rsidR="00BE17BF" w:rsidRPr="00102A5B" w:rsidRDefault="00BE17BF" w:rsidP="00027A9C">
            <w:pPr>
              <w:rPr>
                <w:bCs/>
                <w:sz w:val="16"/>
                <w:szCs w:val="16"/>
              </w:rPr>
            </w:pPr>
            <w:r w:rsidRPr="00102A5B">
              <w:rPr>
                <w:bCs/>
                <w:sz w:val="16"/>
                <w:szCs w:val="16"/>
              </w:rPr>
              <w:t>Mejora de las medidas de seguridad y de protección del personal al término de las obras de compartimentación del edificio PCT</w:t>
            </w:r>
          </w:p>
        </w:tc>
        <w:tc>
          <w:tcPr>
            <w:tcW w:w="1250" w:type="pct"/>
            <w:hideMark/>
          </w:tcPr>
          <w:p w:rsidR="00BE17BF" w:rsidRPr="00102A5B" w:rsidRDefault="00BE17BF" w:rsidP="00027A9C">
            <w:pPr>
              <w:rPr>
                <w:bCs/>
                <w:sz w:val="16"/>
                <w:szCs w:val="16"/>
              </w:rPr>
            </w:pPr>
            <w:r w:rsidRPr="00102A5B">
              <w:rPr>
                <w:bCs/>
                <w:sz w:val="16"/>
                <w:szCs w:val="16"/>
              </w:rPr>
              <w:t>Mantener el nivel de vigilancia y seguridad en el edificio PCT</w:t>
            </w:r>
          </w:p>
        </w:tc>
        <w:tc>
          <w:tcPr>
            <w:tcW w:w="1250" w:type="pct"/>
          </w:tcPr>
          <w:p w:rsidR="00BE17BF" w:rsidRPr="00102A5B" w:rsidRDefault="00BE17BF" w:rsidP="00027A9C">
            <w:pPr>
              <w:rPr>
                <w:sz w:val="16"/>
                <w:szCs w:val="16"/>
              </w:rPr>
            </w:pPr>
            <w:r w:rsidRPr="00102A5B">
              <w:rPr>
                <w:sz w:val="16"/>
                <w:szCs w:val="16"/>
              </w:rPr>
              <w:t>Mantener el nivel de vigilancia y seguridad en el edificio PCT</w:t>
            </w:r>
          </w:p>
        </w:tc>
        <w:tc>
          <w:tcPr>
            <w:tcW w:w="1250" w:type="pct"/>
            <w:hideMark/>
          </w:tcPr>
          <w:p w:rsidR="00BE17BF" w:rsidRPr="00102A5B" w:rsidRDefault="00BE17BF" w:rsidP="00027A9C">
            <w:pPr>
              <w:rPr>
                <w:bCs/>
                <w:iCs/>
                <w:sz w:val="16"/>
                <w:szCs w:val="16"/>
              </w:rPr>
            </w:pPr>
            <w:r w:rsidRPr="00102A5B">
              <w:rPr>
                <w:bCs/>
                <w:iCs/>
                <w:sz w:val="16"/>
                <w:szCs w:val="16"/>
              </w:rPr>
              <w:t>Mantener el nivel de vigilancia y seguridad en el edificio PCT</w:t>
            </w:r>
          </w:p>
        </w:tc>
      </w:tr>
      <w:tr w:rsidR="00BE17BF" w:rsidRPr="00102A5B" w:rsidTr="00027A9C">
        <w:trPr>
          <w:trHeight w:val="972"/>
          <w:jc w:val="center"/>
        </w:trPr>
        <w:tc>
          <w:tcPr>
            <w:tcW w:w="1249" w:type="pct"/>
            <w:tcMar>
              <w:top w:w="113" w:type="dxa"/>
              <w:left w:w="108" w:type="dxa"/>
              <w:bottom w:w="113" w:type="dxa"/>
              <w:right w:w="108" w:type="dxa"/>
            </w:tcMar>
          </w:tcPr>
          <w:p w:rsidR="00BE17BF" w:rsidRPr="00102A5B" w:rsidRDefault="00BE17BF" w:rsidP="00027A9C">
            <w:pPr>
              <w:rPr>
                <w:b/>
                <w:bCs/>
                <w:sz w:val="16"/>
                <w:szCs w:val="16"/>
                <w:u w:val="single"/>
              </w:rPr>
            </w:pPr>
          </w:p>
        </w:tc>
        <w:tc>
          <w:tcPr>
            <w:tcW w:w="1250" w:type="pct"/>
            <w:hideMark/>
          </w:tcPr>
          <w:p w:rsidR="00BE17BF" w:rsidRPr="00102A5B" w:rsidRDefault="00BE17BF" w:rsidP="00027A9C">
            <w:pPr>
              <w:rPr>
                <w:bCs/>
                <w:sz w:val="16"/>
                <w:szCs w:val="16"/>
              </w:rPr>
            </w:pPr>
            <w:r w:rsidRPr="00102A5B">
              <w:rPr>
                <w:bCs/>
                <w:sz w:val="16"/>
                <w:szCs w:val="16"/>
              </w:rPr>
              <w:t>Mejorar la seguridad del personal y de los delegados mediante la creación de un vestíbulo de independencia en el acceso a los ascensores en el segundo subsuelo del edificio AB</w:t>
            </w:r>
          </w:p>
        </w:tc>
        <w:tc>
          <w:tcPr>
            <w:tcW w:w="1250" w:type="pct"/>
          </w:tcPr>
          <w:p w:rsidR="00BE17BF" w:rsidRPr="00102A5B" w:rsidRDefault="00BE17BF" w:rsidP="00027A9C">
            <w:pPr>
              <w:rPr>
                <w:sz w:val="16"/>
                <w:szCs w:val="16"/>
              </w:rPr>
            </w:pPr>
            <w:r w:rsidRPr="00102A5B">
              <w:rPr>
                <w:sz w:val="16"/>
                <w:szCs w:val="16"/>
              </w:rPr>
              <w:t>Mantener el nivel de vigilancia y seguridad en el acceso al segundo subsuelo del edificio AB</w:t>
            </w:r>
          </w:p>
        </w:tc>
        <w:tc>
          <w:tcPr>
            <w:tcW w:w="1250" w:type="pct"/>
            <w:hideMark/>
          </w:tcPr>
          <w:p w:rsidR="00BE17BF" w:rsidRPr="00102A5B" w:rsidRDefault="00BE17BF" w:rsidP="00027A9C">
            <w:pPr>
              <w:rPr>
                <w:sz w:val="16"/>
                <w:szCs w:val="16"/>
              </w:rPr>
            </w:pPr>
            <w:r w:rsidRPr="00102A5B">
              <w:rPr>
                <w:sz w:val="16"/>
                <w:szCs w:val="16"/>
              </w:rPr>
              <w:t>Mantener el nivel de vigilancia y seguridad en el acceso al segundo subsuelo del edificio AB</w:t>
            </w:r>
          </w:p>
        </w:tc>
      </w:tr>
      <w:tr w:rsidR="00BE17BF" w:rsidRPr="00102A5B" w:rsidTr="00027A9C">
        <w:trPr>
          <w:trHeight w:val="730"/>
          <w:jc w:val="center"/>
        </w:trPr>
        <w:tc>
          <w:tcPr>
            <w:tcW w:w="1249" w:type="pct"/>
            <w:tcMar>
              <w:top w:w="113" w:type="dxa"/>
              <w:left w:w="108" w:type="dxa"/>
              <w:bottom w:w="113" w:type="dxa"/>
              <w:right w:w="108" w:type="dxa"/>
            </w:tcMar>
          </w:tcPr>
          <w:p w:rsidR="00BE17BF" w:rsidRPr="00102A5B" w:rsidRDefault="00BE17BF" w:rsidP="00027A9C">
            <w:pPr>
              <w:rPr>
                <w:b/>
                <w:bCs/>
                <w:sz w:val="16"/>
                <w:szCs w:val="16"/>
                <w:u w:val="single"/>
              </w:rPr>
            </w:pPr>
          </w:p>
        </w:tc>
        <w:tc>
          <w:tcPr>
            <w:tcW w:w="1250" w:type="pct"/>
          </w:tcPr>
          <w:p w:rsidR="00BE17BF" w:rsidRPr="00102A5B" w:rsidRDefault="00BE17BF" w:rsidP="00027A9C">
            <w:pPr>
              <w:rPr>
                <w:b/>
                <w:bCs/>
                <w:sz w:val="16"/>
                <w:szCs w:val="16"/>
                <w:u w:val="single"/>
              </w:rPr>
            </w:pPr>
          </w:p>
        </w:tc>
        <w:tc>
          <w:tcPr>
            <w:tcW w:w="1250" w:type="pct"/>
          </w:tcPr>
          <w:p w:rsidR="00BE17BF" w:rsidRPr="00102A5B" w:rsidRDefault="00BE17BF" w:rsidP="00027A9C">
            <w:pPr>
              <w:rPr>
                <w:sz w:val="16"/>
                <w:szCs w:val="16"/>
              </w:rPr>
            </w:pPr>
            <w:r w:rsidRPr="00102A5B">
              <w:rPr>
                <w:sz w:val="16"/>
                <w:szCs w:val="16"/>
              </w:rPr>
              <w:t xml:space="preserve">Mejorar el nivel de vigilancia y seguridad en la conexión del primer subsuelo y de la primera planta de los edificios GBI y AB. </w:t>
            </w:r>
          </w:p>
        </w:tc>
        <w:tc>
          <w:tcPr>
            <w:tcW w:w="1250" w:type="pct"/>
            <w:hideMark/>
          </w:tcPr>
          <w:p w:rsidR="00BE17BF" w:rsidRPr="00102A5B" w:rsidRDefault="00BE17BF" w:rsidP="00027A9C">
            <w:pPr>
              <w:rPr>
                <w:sz w:val="16"/>
                <w:szCs w:val="16"/>
              </w:rPr>
            </w:pPr>
            <w:r w:rsidRPr="00102A5B">
              <w:rPr>
                <w:sz w:val="16"/>
                <w:szCs w:val="16"/>
              </w:rPr>
              <w:t>Mejorar el nivel de vigilancia y seguridad en la conexión de la planta baja de los edificios GBI y AB</w:t>
            </w:r>
          </w:p>
          <w:p w:rsidR="00BE17BF" w:rsidRPr="00102A5B" w:rsidRDefault="00BE17BF" w:rsidP="00027A9C">
            <w:pPr>
              <w:rPr>
                <w:bCs/>
                <w:sz w:val="16"/>
                <w:szCs w:val="16"/>
              </w:rPr>
            </w:pPr>
          </w:p>
        </w:tc>
      </w:tr>
      <w:tr w:rsidR="00BE17BF" w:rsidRPr="00102A5B" w:rsidTr="00027A9C">
        <w:trPr>
          <w:trHeight w:val="382"/>
          <w:jc w:val="center"/>
        </w:trPr>
        <w:tc>
          <w:tcPr>
            <w:tcW w:w="1249" w:type="pct"/>
            <w:tcMar>
              <w:top w:w="113" w:type="dxa"/>
              <w:left w:w="108" w:type="dxa"/>
              <w:bottom w:w="113" w:type="dxa"/>
              <w:right w:w="108" w:type="dxa"/>
            </w:tcMar>
          </w:tcPr>
          <w:p w:rsidR="00BE17BF" w:rsidRPr="00102A5B" w:rsidRDefault="00BE17BF" w:rsidP="00027A9C">
            <w:pPr>
              <w:rPr>
                <w:b/>
                <w:bCs/>
                <w:sz w:val="16"/>
                <w:szCs w:val="16"/>
                <w:u w:val="single"/>
              </w:rPr>
            </w:pPr>
          </w:p>
        </w:tc>
        <w:tc>
          <w:tcPr>
            <w:tcW w:w="1250" w:type="pct"/>
          </w:tcPr>
          <w:p w:rsidR="00BE17BF" w:rsidRPr="00102A5B" w:rsidRDefault="00BE17BF" w:rsidP="00027A9C">
            <w:pPr>
              <w:rPr>
                <w:b/>
                <w:bCs/>
                <w:sz w:val="16"/>
                <w:szCs w:val="16"/>
                <w:u w:val="single"/>
              </w:rPr>
            </w:pPr>
          </w:p>
        </w:tc>
        <w:tc>
          <w:tcPr>
            <w:tcW w:w="1250" w:type="pct"/>
          </w:tcPr>
          <w:p w:rsidR="00BE17BF" w:rsidRPr="00102A5B" w:rsidRDefault="00BE17BF" w:rsidP="00027A9C">
            <w:pPr>
              <w:rPr>
                <w:sz w:val="16"/>
                <w:szCs w:val="16"/>
              </w:rPr>
            </w:pPr>
          </w:p>
          <w:p w:rsidR="00BE17BF" w:rsidRPr="00102A5B" w:rsidRDefault="00BE17BF" w:rsidP="00027A9C">
            <w:pPr>
              <w:rPr>
                <w:sz w:val="16"/>
                <w:szCs w:val="16"/>
              </w:rPr>
            </w:pPr>
          </w:p>
        </w:tc>
        <w:tc>
          <w:tcPr>
            <w:tcW w:w="1250" w:type="pct"/>
            <w:hideMark/>
          </w:tcPr>
          <w:p w:rsidR="00BE17BF" w:rsidRPr="00102A5B" w:rsidRDefault="00BE17BF" w:rsidP="00027A9C">
            <w:pPr>
              <w:rPr>
                <w:sz w:val="16"/>
                <w:szCs w:val="16"/>
              </w:rPr>
            </w:pPr>
            <w:r w:rsidRPr="00102A5B">
              <w:rPr>
                <w:sz w:val="16"/>
                <w:szCs w:val="16"/>
              </w:rPr>
              <w:t>Mejorar el nivel de vigilancia y seguridad entre el edificio AB y el estacionamiento subterráneo de dicho edificio.</w:t>
            </w:r>
          </w:p>
        </w:tc>
      </w:tr>
    </w:tbl>
    <w:p w:rsidR="00BE17BF" w:rsidRPr="00102A5B" w:rsidRDefault="00BE17BF" w:rsidP="00027A9C">
      <w:pPr>
        <w:rPr>
          <w:sz w:val="20"/>
        </w:rPr>
      </w:pPr>
    </w:p>
    <w:p w:rsidR="00BE17BF" w:rsidRPr="00102A5B" w:rsidRDefault="00BE17BF" w:rsidP="00027A9C">
      <w:pPr>
        <w:rPr>
          <w:sz w:val="20"/>
        </w:rPr>
      </w:pPr>
    </w:p>
    <w:p w:rsidR="00BE17BF" w:rsidRPr="00102A5B" w:rsidRDefault="00BE17BF" w:rsidP="00027A9C">
      <w:pPr>
        <w:rPr>
          <w:sz w:val="20"/>
        </w:rPr>
      </w:pPr>
      <w:r w:rsidRPr="00102A5B">
        <w:rPr>
          <w:sz w:val="20"/>
        </w:rPr>
        <w:t>UTILIZACIÓN DE LOS RECURSOS</w:t>
      </w:r>
      <w:r w:rsidRPr="00102A5B">
        <w:rPr>
          <w:rStyle w:val="FootnoteReference"/>
          <w:sz w:val="20"/>
        </w:rPr>
        <w:footnoteReference w:id="125"/>
      </w:r>
    </w:p>
    <w:p w:rsidR="00BE17BF" w:rsidRPr="00102A5B" w:rsidRDefault="00BE17BF" w:rsidP="00027A9C">
      <w:pPr>
        <w:rPr>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 xml:space="preserve">Utilización del presupuesto del proyecto </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376"/>
        <w:gridCol w:w="1636"/>
        <w:gridCol w:w="1460"/>
        <w:gridCol w:w="1460"/>
        <w:gridCol w:w="1044"/>
        <w:gridCol w:w="1311"/>
      </w:tblGrid>
      <w:tr w:rsidR="00BE17BF" w:rsidRPr="00102A5B" w:rsidTr="00027A9C">
        <w:trPr>
          <w:trHeight w:val="410"/>
        </w:trPr>
        <w:tc>
          <w:tcPr>
            <w:tcW w:w="1279"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Nombre del proyecto</w:t>
            </w:r>
          </w:p>
        </w:tc>
        <w:tc>
          <w:tcPr>
            <w:tcW w:w="881"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inicial del proyecto</w:t>
            </w:r>
          </w:p>
        </w:tc>
        <w:tc>
          <w:tcPr>
            <w:tcW w:w="786"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Presupuesto del proyecto tras el ajuste</w:t>
            </w:r>
          </w:p>
        </w:tc>
        <w:tc>
          <w:tcPr>
            <w:tcW w:w="786"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562"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707"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279" w:type="pct"/>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Medidas de seguridad y de protección contra incendios</w:t>
            </w:r>
          </w:p>
        </w:tc>
        <w:tc>
          <w:tcPr>
            <w:tcW w:w="881" w:type="pct"/>
            <w:vAlign w:val="center"/>
            <w:hideMark/>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400.000</w:t>
            </w:r>
          </w:p>
        </w:tc>
        <w:tc>
          <w:tcPr>
            <w:tcW w:w="786"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335.000</w:t>
            </w:r>
          </w:p>
        </w:tc>
        <w:tc>
          <w:tcPr>
            <w:tcW w:w="786"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190.066</w:t>
            </w:r>
          </w:p>
        </w:tc>
        <w:tc>
          <w:tcPr>
            <w:tcW w:w="562"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56,7%</w:t>
            </w:r>
          </w:p>
        </w:tc>
        <w:tc>
          <w:tcPr>
            <w:tcW w:w="707" w:type="pct"/>
            <w:vAlign w:val="center"/>
          </w:tcPr>
          <w:p w:rsidR="00BE17BF" w:rsidRPr="00102A5B" w:rsidRDefault="00BE17BF" w:rsidP="00027A9C">
            <w:pPr>
              <w:keepNext/>
              <w:keepLines/>
              <w:autoSpaceDE w:val="0"/>
              <w:autoSpaceDN w:val="0"/>
              <w:adjustRightInd w:val="0"/>
              <w:spacing w:before="40" w:after="40"/>
              <w:jc w:val="center"/>
              <w:rPr>
                <w:sz w:val="16"/>
                <w:szCs w:val="16"/>
              </w:rPr>
            </w:pPr>
            <w:r w:rsidRPr="00102A5B">
              <w:rPr>
                <w:sz w:val="16"/>
                <w:szCs w:val="16"/>
              </w:rPr>
              <w:t>50%</w:t>
            </w:r>
          </w:p>
        </w:tc>
      </w:tr>
    </w:tbl>
    <w:p w:rsidR="00BE17BF" w:rsidRPr="00102A5B" w:rsidRDefault="00BE17BF" w:rsidP="00027A9C">
      <w:pPr>
        <w:autoSpaceDE w:val="0"/>
        <w:autoSpaceDN w:val="0"/>
        <w:rPr>
          <w:sz w:val="16"/>
          <w:szCs w:val="16"/>
        </w:rPr>
      </w:pPr>
    </w:p>
    <w:p w:rsidR="00BE17BF" w:rsidRPr="00102A5B" w:rsidRDefault="00BE17BF" w:rsidP="00027A9C">
      <w:pPr>
        <w:keepNext/>
        <w:jc w:val="center"/>
        <w:rPr>
          <w:b/>
          <w:sz w:val="20"/>
          <w:szCs w:val="22"/>
        </w:rPr>
      </w:pPr>
      <w:r w:rsidRPr="00102A5B">
        <w:rPr>
          <w:b/>
          <w:sz w:val="20"/>
          <w:szCs w:val="22"/>
        </w:rPr>
        <w:lastRenderedPageBreak/>
        <w:t>Utilización del presupuesto del proyecto (por etapa)</w:t>
      </w:r>
    </w:p>
    <w:p w:rsidR="00BE17BF" w:rsidRDefault="00BE17BF" w:rsidP="00027A9C">
      <w:pPr>
        <w:keepNext/>
        <w:keepLines/>
        <w:tabs>
          <w:tab w:val="left" w:pos="3261"/>
        </w:tabs>
        <w:autoSpaceDE w:val="0"/>
        <w:autoSpaceDN w:val="0"/>
        <w:adjustRightInd w:val="0"/>
        <w:jc w:val="center"/>
        <w:rPr>
          <w:i/>
          <w:iCs/>
          <w:sz w:val="18"/>
          <w:szCs w:val="18"/>
        </w:rPr>
      </w:pPr>
      <w:r w:rsidRPr="00102A5B">
        <w:rPr>
          <w:i/>
          <w:iCs/>
          <w:sz w:val="18"/>
          <w:szCs w:val="18"/>
        </w:rPr>
        <w:t>(en francos suizos, al 31 de diciembre de 2016)</w:t>
      </w:r>
    </w:p>
    <w:p w:rsidR="00BE17BF" w:rsidRPr="00102A5B" w:rsidRDefault="00BE17BF" w:rsidP="00027A9C">
      <w:pPr>
        <w:keepNext/>
        <w:keepLines/>
        <w:tabs>
          <w:tab w:val="left" w:pos="3261"/>
        </w:tabs>
        <w:autoSpaceDE w:val="0"/>
        <w:autoSpaceDN w:val="0"/>
        <w:adjustRightInd w:val="0"/>
        <w:jc w:val="center"/>
        <w:rPr>
          <w:i/>
          <w:iCs/>
          <w:sz w:val="18"/>
          <w:szCs w:val="18"/>
        </w:rPr>
      </w:pPr>
    </w:p>
    <w:tbl>
      <w:tblPr>
        <w:tblpPr w:leftFromText="180" w:rightFromText="180" w:vertAnchor="text" w:horzAnchor="margin" w:tblpX="182" w:tblpY="17"/>
        <w:tblW w:w="5000" w:type="pct"/>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14"/>
        <w:gridCol w:w="1226"/>
        <w:gridCol w:w="1226"/>
        <w:gridCol w:w="1347"/>
        <w:gridCol w:w="1107"/>
        <w:gridCol w:w="1467"/>
      </w:tblGrid>
      <w:tr w:rsidR="00BE17BF" w:rsidRPr="00102A5B" w:rsidTr="00027A9C">
        <w:trPr>
          <w:trHeight w:val="410"/>
        </w:trPr>
        <w:tc>
          <w:tcPr>
            <w:tcW w:w="1569" w:type="pct"/>
            <w:shd w:val="clear" w:color="auto" w:fill="C6D9F1" w:themeFill="text2" w:themeFillTint="33"/>
            <w:vAlign w:val="center"/>
            <w:hideMark/>
          </w:tcPr>
          <w:p w:rsidR="00BE17BF" w:rsidRPr="00102A5B" w:rsidRDefault="00BE17BF" w:rsidP="00027A9C">
            <w:pPr>
              <w:keepNext/>
              <w:autoSpaceDE w:val="0"/>
              <w:autoSpaceDN w:val="0"/>
              <w:adjustRightInd w:val="0"/>
              <w:spacing w:before="40" w:after="40"/>
              <w:ind w:left="-74" w:right="-60"/>
              <w:jc w:val="center"/>
              <w:rPr>
                <w:b/>
                <w:bCs/>
                <w:sz w:val="16"/>
                <w:szCs w:val="16"/>
              </w:rPr>
            </w:pPr>
            <w:r w:rsidRPr="00102A5B">
              <w:rPr>
                <w:b/>
                <w:bCs/>
                <w:sz w:val="16"/>
                <w:szCs w:val="16"/>
              </w:rPr>
              <w:t>Etapas fundamentales</w:t>
            </w:r>
          </w:p>
        </w:tc>
        <w:tc>
          <w:tcPr>
            <w:tcW w:w="660" w:type="pct"/>
            <w:shd w:val="clear" w:color="auto" w:fill="C6D9F1" w:themeFill="text2" w:themeFillTint="33"/>
            <w:vAlign w:val="center"/>
          </w:tcPr>
          <w:p w:rsidR="00BE17BF" w:rsidRPr="00102A5B" w:rsidRDefault="00BE17BF" w:rsidP="00027A9C">
            <w:pPr>
              <w:keepNext/>
              <w:autoSpaceDE w:val="0"/>
              <w:autoSpaceDN w:val="0"/>
              <w:adjustRightInd w:val="0"/>
              <w:spacing w:before="40" w:after="40"/>
              <w:ind w:left="-107" w:right="-108"/>
              <w:jc w:val="center"/>
              <w:rPr>
                <w:b/>
                <w:bCs/>
                <w:sz w:val="16"/>
                <w:szCs w:val="16"/>
              </w:rPr>
            </w:pPr>
            <w:r w:rsidRPr="00102A5B">
              <w:rPr>
                <w:b/>
                <w:bCs/>
                <w:sz w:val="16"/>
                <w:szCs w:val="16"/>
              </w:rPr>
              <w:t>Presupuesto inicial del proyecto</w:t>
            </w:r>
          </w:p>
        </w:tc>
        <w:tc>
          <w:tcPr>
            <w:tcW w:w="660" w:type="pct"/>
            <w:shd w:val="clear" w:color="auto" w:fill="C6D9F1" w:themeFill="text2" w:themeFillTint="33"/>
            <w:vAlign w:val="center"/>
            <w:hideMark/>
          </w:tcPr>
          <w:p w:rsidR="00BE17BF" w:rsidRPr="00102A5B" w:rsidRDefault="00BE17BF" w:rsidP="00027A9C">
            <w:pPr>
              <w:keepNext/>
              <w:autoSpaceDE w:val="0"/>
              <w:autoSpaceDN w:val="0"/>
              <w:adjustRightInd w:val="0"/>
              <w:spacing w:before="40" w:after="40"/>
              <w:ind w:left="-107" w:right="-108"/>
              <w:jc w:val="center"/>
              <w:rPr>
                <w:b/>
                <w:bCs/>
                <w:sz w:val="16"/>
                <w:szCs w:val="16"/>
              </w:rPr>
            </w:pPr>
            <w:r w:rsidRPr="00102A5B">
              <w:rPr>
                <w:b/>
                <w:bCs/>
                <w:sz w:val="16"/>
                <w:szCs w:val="16"/>
              </w:rPr>
              <w:t>Presupuesto del proyecto tras el ajuste</w:t>
            </w:r>
          </w:p>
        </w:tc>
        <w:tc>
          <w:tcPr>
            <w:tcW w:w="725" w:type="pct"/>
            <w:shd w:val="clear" w:color="auto" w:fill="C6D9F1" w:themeFill="text2" w:themeFillTint="33"/>
            <w:vAlign w:val="center"/>
            <w:hideMark/>
          </w:tcPr>
          <w:p w:rsidR="00BE17BF" w:rsidRPr="00102A5B" w:rsidRDefault="00BE17BF" w:rsidP="00027A9C">
            <w:pPr>
              <w:keepNext/>
              <w:autoSpaceDE w:val="0"/>
              <w:autoSpaceDN w:val="0"/>
              <w:adjustRightInd w:val="0"/>
              <w:spacing w:before="40" w:after="40"/>
              <w:ind w:left="-108" w:right="-106"/>
              <w:jc w:val="center"/>
              <w:rPr>
                <w:b/>
                <w:bCs/>
                <w:sz w:val="16"/>
                <w:szCs w:val="16"/>
              </w:rPr>
            </w:pPr>
            <w:r w:rsidRPr="00102A5B">
              <w:rPr>
                <w:b/>
                <w:bCs/>
                <w:sz w:val="16"/>
                <w:szCs w:val="16"/>
              </w:rPr>
              <w:t>Gasto real hasta la fecha</w:t>
            </w:r>
          </w:p>
        </w:tc>
        <w:tc>
          <w:tcPr>
            <w:tcW w:w="596" w:type="pct"/>
            <w:shd w:val="clear" w:color="auto" w:fill="C6D9F1" w:themeFill="text2" w:themeFillTint="33"/>
            <w:vAlign w:val="center"/>
            <w:hideMark/>
          </w:tcPr>
          <w:p w:rsidR="00BE17BF" w:rsidRPr="00102A5B" w:rsidRDefault="00BE17BF" w:rsidP="00027A9C">
            <w:pPr>
              <w:keepNext/>
              <w:autoSpaceDE w:val="0"/>
              <w:autoSpaceDN w:val="0"/>
              <w:adjustRightInd w:val="0"/>
              <w:spacing w:before="40" w:after="40"/>
              <w:ind w:left="-109" w:right="-108"/>
              <w:jc w:val="center"/>
              <w:rPr>
                <w:b/>
                <w:bCs/>
                <w:sz w:val="16"/>
                <w:szCs w:val="16"/>
              </w:rPr>
            </w:pPr>
            <w:r w:rsidRPr="00102A5B">
              <w:rPr>
                <w:b/>
                <w:bCs/>
                <w:sz w:val="16"/>
                <w:szCs w:val="16"/>
              </w:rPr>
              <w:t>Utilización real del presupuesto</w:t>
            </w:r>
          </w:p>
        </w:tc>
        <w:tc>
          <w:tcPr>
            <w:tcW w:w="790" w:type="pct"/>
            <w:shd w:val="clear" w:color="auto" w:fill="C6D9F1" w:themeFill="text2" w:themeFillTint="33"/>
            <w:vAlign w:val="center"/>
            <w:hideMark/>
          </w:tcPr>
          <w:p w:rsidR="00BE17BF" w:rsidRPr="00102A5B" w:rsidRDefault="00BE17BF" w:rsidP="00027A9C">
            <w:pPr>
              <w:keepNext/>
              <w:autoSpaceDE w:val="0"/>
              <w:autoSpaceDN w:val="0"/>
              <w:adjustRightInd w:val="0"/>
              <w:spacing w:before="40" w:after="40"/>
              <w:ind w:left="-109" w:right="-73" w:firstLine="1"/>
              <w:jc w:val="center"/>
              <w:rPr>
                <w:b/>
                <w:bCs/>
                <w:sz w:val="16"/>
                <w:szCs w:val="16"/>
              </w:rPr>
            </w:pPr>
            <w:r w:rsidRPr="00102A5B">
              <w:rPr>
                <w:b/>
                <w:bCs/>
                <w:sz w:val="16"/>
                <w:szCs w:val="16"/>
              </w:rPr>
              <w:t>Índice de avance en la ejecución del proyecto</w:t>
            </w:r>
          </w:p>
        </w:tc>
      </w:tr>
      <w:tr w:rsidR="00BE17BF" w:rsidRPr="00102A5B" w:rsidTr="00027A9C">
        <w:trPr>
          <w:trHeight w:val="389"/>
        </w:trPr>
        <w:tc>
          <w:tcPr>
            <w:tcW w:w="1569" w:type="pct"/>
            <w:vAlign w:val="center"/>
            <w:hideMark/>
          </w:tcPr>
          <w:p w:rsidR="00BE17BF" w:rsidRPr="00102A5B" w:rsidRDefault="00BE17BF" w:rsidP="00027A9C">
            <w:pPr>
              <w:keepNext/>
              <w:autoSpaceDE w:val="0"/>
              <w:autoSpaceDN w:val="0"/>
              <w:adjustRightInd w:val="0"/>
              <w:spacing w:before="40" w:after="40"/>
              <w:rPr>
                <w:sz w:val="16"/>
                <w:szCs w:val="16"/>
              </w:rPr>
            </w:pPr>
            <w:r w:rsidRPr="00102A5B">
              <w:rPr>
                <w:sz w:val="16"/>
                <w:szCs w:val="16"/>
              </w:rPr>
              <w:t>Compartimentación del edificio PCT</w:t>
            </w:r>
          </w:p>
          <w:p w:rsidR="00BE17BF" w:rsidRPr="00102A5B" w:rsidRDefault="00BE17BF" w:rsidP="00027A9C">
            <w:pPr>
              <w:keepNext/>
              <w:autoSpaceDE w:val="0"/>
              <w:autoSpaceDN w:val="0"/>
              <w:adjustRightInd w:val="0"/>
              <w:spacing w:before="40" w:after="40"/>
              <w:rPr>
                <w:sz w:val="16"/>
                <w:szCs w:val="16"/>
              </w:rPr>
            </w:pPr>
            <w:r w:rsidRPr="00102A5B">
              <w:rPr>
                <w:sz w:val="16"/>
                <w:szCs w:val="16"/>
              </w:rPr>
              <w:t>Finalización de las obras</w:t>
            </w:r>
          </w:p>
        </w:tc>
        <w:tc>
          <w:tcPr>
            <w:tcW w:w="660" w:type="pct"/>
            <w:vAlign w:val="center"/>
          </w:tcPr>
          <w:p w:rsidR="00BE17BF" w:rsidRPr="00102A5B" w:rsidRDefault="00BE17BF" w:rsidP="00027A9C">
            <w:pPr>
              <w:keepNext/>
              <w:autoSpaceDE w:val="0"/>
              <w:autoSpaceDN w:val="0"/>
              <w:adjustRightInd w:val="0"/>
              <w:spacing w:before="40" w:after="40"/>
              <w:jc w:val="center"/>
              <w:rPr>
                <w:sz w:val="16"/>
                <w:szCs w:val="16"/>
              </w:rPr>
            </w:pPr>
            <w:r w:rsidRPr="00102A5B">
              <w:rPr>
                <w:sz w:val="16"/>
                <w:szCs w:val="16"/>
              </w:rPr>
              <w:t>45.000</w:t>
            </w:r>
          </w:p>
        </w:tc>
        <w:tc>
          <w:tcPr>
            <w:tcW w:w="660" w:type="pct"/>
            <w:vAlign w:val="center"/>
            <w:hideMark/>
          </w:tcPr>
          <w:p w:rsidR="00BE17BF" w:rsidRPr="00102A5B" w:rsidRDefault="00BE17BF" w:rsidP="00027A9C">
            <w:pPr>
              <w:keepNext/>
              <w:autoSpaceDE w:val="0"/>
              <w:autoSpaceDN w:val="0"/>
              <w:adjustRightInd w:val="0"/>
              <w:spacing w:before="40" w:after="40"/>
              <w:jc w:val="center"/>
              <w:rPr>
                <w:sz w:val="16"/>
                <w:szCs w:val="16"/>
              </w:rPr>
            </w:pPr>
            <w:r w:rsidRPr="00102A5B">
              <w:rPr>
                <w:sz w:val="16"/>
                <w:szCs w:val="16"/>
              </w:rPr>
              <w:t>45.000</w:t>
            </w:r>
          </w:p>
        </w:tc>
        <w:tc>
          <w:tcPr>
            <w:tcW w:w="725" w:type="pct"/>
            <w:vAlign w:val="center"/>
          </w:tcPr>
          <w:p w:rsidR="00BE17BF" w:rsidRPr="00102A5B" w:rsidRDefault="00BE17BF" w:rsidP="00027A9C">
            <w:pPr>
              <w:keepNext/>
              <w:autoSpaceDE w:val="0"/>
              <w:autoSpaceDN w:val="0"/>
              <w:adjustRightInd w:val="0"/>
              <w:spacing w:before="40" w:after="40"/>
              <w:jc w:val="center"/>
              <w:rPr>
                <w:sz w:val="16"/>
                <w:szCs w:val="16"/>
              </w:rPr>
            </w:pPr>
            <w:r w:rsidRPr="00102A5B">
              <w:rPr>
                <w:sz w:val="16"/>
                <w:szCs w:val="16"/>
              </w:rPr>
              <w:t>44.394</w:t>
            </w:r>
          </w:p>
        </w:tc>
        <w:tc>
          <w:tcPr>
            <w:tcW w:w="596" w:type="pct"/>
            <w:vAlign w:val="center"/>
          </w:tcPr>
          <w:p w:rsidR="00BE17BF" w:rsidRPr="00102A5B" w:rsidRDefault="00BE17BF" w:rsidP="00027A9C">
            <w:pPr>
              <w:keepNext/>
              <w:autoSpaceDE w:val="0"/>
              <w:autoSpaceDN w:val="0"/>
              <w:adjustRightInd w:val="0"/>
              <w:spacing w:before="40" w:after="40"/>
              <w:jc w:val="center"/>
              <w:rPr>
                <w:sz w:val="16"/>
                <w:szCs w:val="16"/>
              </w:rPr>
            </w:pPr>
            <w:r w:rsidRPr="00102A5B">
              <w:rPr>
                <w:sz w:val="16"/>
                <w:szCs w:val="16"/>
              </w:rPr>
              <w:t>98,7%</w:t>
            </w:r>
          </w:p>
        </w:tc>
        <w:tc>
          <w:tcPr>
            <w:tcW w:w="790" w:type="pct"/>
            <w:vAlign w:val="center"/>
          </w:tcPr>
          <w:p w:rsidR="00BE17BF" w:rsidRPr="00102A5B" w:rsidRDefault="00BE17BF" w:rsidP="00027A9C">
            <w:pPr>
              <w:keepNext/>
              <w:autoSpaceDE w:val="0"/>
              <w:autoSpaceDN w:val="0"/>
              <w:adjustRightInd w:val="0"/>
              <w:spacing w:before="40" w:after="40"/>
              <w:jc w:val="center"/>
              <w:rPr>
                <w:sz w:val="16"/>
                <w:szCs w:val="16"/>
              </w:rPr>
            </w:pPr>
            <w:r w:rsidRPr="00102A5B">
              <w:rPr>
                <w:sz w:val="16"/>
                <w:szCs w:val="16"/>
              </w:rPr>
              <w:t>100%</w:t>
            </w:r>
          </w:p>
        </w:tc>
      </w:tr>
      <w:tr w:rsidR="00BE17BF" w:rsidRPr="00102A5B" w:rsidTr="00027A9C">
        <w:trPr>
          <w:trHeight w:val="389"/>
        </w:trPr>
        <w:tc>
          <w:tcPr>
            <w:tcW w:w="1569"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Mejora de la planificación del espacio en la zona para los delegados en el segundo subsuelo del edificio AB/creación de un vestíbulo de independencia en el acceso a los ascensores en el segundo subsuelo del edificio AB</w:t>
            </w:r>
          </w:p>
        </w:tc>
        <w:tc>
          <w:tcPr>
            <w:tcW w:w="66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55.000</w:t>
            </w:r>
          </w:p>
        </w:tc>
        <w:tc>
          <w:tcPr>
            <w:tcW w:w="660"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55.000</w:t>
            </w:r>
          </w:p>
        </w:tc>
        <w:tc>
          <w:tcPr>
            <w:tcW w:w="725"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78.195</w:t>
            </w:r>
          </w:p>
        </w:tc>
        <w:tc>
          <w:tcPr>
            <w:tcW w:w="59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142,2%</w:t>
            </w:r>
          </w:p>
        </w:tc>
        <w:tc>
          <w:tcPr>
            <w:tcW w:w="79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100%</w:t>
            </w:r>
          </w:p>
        </w:tc>
      </w:tr>
      <w:tr w:rsidR="00BE17BF" w:rsidRPr="00102A5B" w:rsidTr="00027A9C">
        <w:trPr>
          <w:trHeight w:val="389"/>
        </w:trPr>
        <w:tc>
          <w:tcPr>
            <w:tcW w:w="1569"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Proyecto relacionado con la compartimentación entre los edificios GBI y AB</w:t>
            </w:r>
          </w:p>
        </w:tc>
        <w:tc>
          <w:tcPr>
            <w:tcW w:w="66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175.000</w:t>
            </w:r>
          </w:p>
        </w:tc>
        <w:tc>
          <w:tcPr>
            <w:tcW w:w="660"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175.000</w:t>
            </w:r>
          </w:p>
        </w:tc>
        <w:tc>
          <w:tcPr>
            <w:tcW w:w="725"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67.478</w:t>
            </w:r>
          </w:p>
        </w:tc>
        <w:tc>
          <w:tcPr>
            <w:tcW w:w="59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38,6%</w:t>
            </w:r>
          </w:p>
        </w:tc>
        <w:tc>
          <w:tcPr>
            <w:tcW w:w="79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80%</w:t>
            </w:r>
          </w:p>
        </w:tc>
      </w:tr>
      <w:tr w:rsidR="00BE17BF" w:rsidRPr="00102A5B" w:rsidTr="00027A9C">
        <w:trPr>
          <w:trHeight w:val="389"/>
        </w:trPr>
        <w:tc>
          <w:tcPr>
            <w:tcW w:w="1569"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Proyecto relacionado con la compartimentación entre los edificios GBI y GBII (todos los niveles, salvo el primer subsuelo)</w:t>
            </w:r>
            <w:r w:rsidRPr="00102A5B">
              <w:rPr>
                <w:rStyle w:val="FootnoteReference"/>
                <w:sz w:val="16"/>
                <w:szCs w:val="16"/>
              </w:rPr>
              <w:footnoteReference w:id="126"/>
            </w:r>
            <w:r w:rsidRPr="00102A5B">
              <w:rPr>
                <w:sz w:val="16"/>
                <w:szCs w:val="16"/>
              </w:rPr>
              <w:t xml:space="preserve">  </w:t>
            </w:r>
          </w:p>
          <w:p w:rsidR="00BE17BF" w:rsidRPr="00102A5B" w:rsidRDefault="00BE17BF" w:rsidP="00027A9C">
            <w:pPr>
              <w:autoSpaceDE w:val="0"/>
              <w:autoSpaceDN w:val="0"/>
              <w:adjustRightInd w:val="0"/>
              <w:spacing w:before="40" w:after="40"/>
              <w:rPr>
                <w:sz w:val="16"/>
                <w:szCs w:val="16"/>
              </w:rPr>
            </w:pPr>
          </w:p>
        </w:tc>
        <w:tc>
          <w:tcPr>
            <w:tcW w:w="66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65.000</w:t>
            </w:r>
          </w:p>
        </w:tc>
        <w:tc>
          <w:tcPr>
            <w:tcW w:w="660"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c>
          <w:tcPr>
            <w:tcW w:w="725"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c>
          <w:tcPr>
            <w:tcW w:w="59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c>
          <w:tcPr>
            <w:tcW w:w="79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r>
      <w:tr w:rsidR="00BE17BF" w:rsidRPr="00102A5B" w:rsidTr="00027A9C">
        <w:trPr>
          <w:trHeight w:val="389"/>
        </w:trPr>
        <w:tc>
          <w:tcPr>
            <w:tcW w:w="1569"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Proyecto relacionado con la compartimentación entre el estacionamiento subterráneo del edificio AB y el edificio AB (salvo el nivel -2) </w:t>
            </w:r>
          </w:p>
        </w:tc>
        <w:tc>
          <w:tcPr>
            <w:tcW w:w="66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60.000</w:t>
            </w:r>
          </w:p>
        </w:tc>
        <w:tc>
          <w:tcPr>
            <w:tcW w:w="660"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60.000</w:t>
            </w:r>
          </w:p>
        </w:tc>
        <w:tc>
          <w:tcPr>
            <w:tcW w:w="725"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c>
          <w:tcPr>
            <w:tcW w:w="596"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c>
          <w:tcPr>
            <w:tcW w:w="790" w:type="pct"/>
            <w:vAlign w:val="center"/>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r>
      <w:tr w:rsidR="00BE17BF" w:rsidRPr="00102A5B" w:rsidTr="00027A9C">
        <w:trPr>
          <w:trHeight w:val="389"/>
        </w:trPr>
        <w:tc>
          <w:tcPr>
            <w:tcW w:w="1569"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rPr>
                <w:b/>
                <w:sz w:val="16"/>
                <w:szCs w:val="16"/>
              </w:rPr>
            </w:pPr>
            <w:r w:rsidRPr="00102A5B">
              <w:rPr>
                <w:b/>
                <w:sz w:val="16"/>
                <w:szCs w:val="16"/>
              </w:rPr>
              <w:t>Total</w:t>
            </w:r>
          </w:p>
        </w:tc>
        <w:tc>
          <w:tcPr>
            <w:tcW w:w="660" w:type="pct"/>
            <w:shd w:val="clear" w:color="auto" w:fill="C6D9F1" w:themeFill="text2" w:themeFillTint="33"/>
            <w:vAlign w:val="center"/>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400.000</w:t>
            </w:r>
          </w:p>
        </w:tc>
        <w:tc>
          <w:tcPr>
            <w:tcW w:w="660"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335.000</w:t>
            </w:r>
          </w:p>
        </w:tc>
        <w:tc>
          <w:tcPr>
            <w:tcW w:w="725" w:type="pct"/>
            <w:shd w:val="clear" w:color="auto" w:fill="C6D9F1" w:themeFill="text2" w:themeFillTint="33"/>
            <w:vAlign w:val="center"/>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190.066</w:t>
            </w:r>
          </w:p>
        </w:tc>
        <w:tc>
          <w:tcPr>
            <w:tcW w:w="596" w:type="pct"/>
            <w:shd w:val="clear" w:color="auto" w:fill="C6D9F1" w:themeFill="text2" w:themeFillTint="33"/>
            <w:vAlign w:val="center"/>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47,5%</w:t>
            </w:r>
          </w:p>
        </w:tc>
        <w:tc>
          <w:tcPr>
            <w:tcW w:w="790" w:type="pct"/>
            <w:shd w:val="clear" w:color="auto" w:fill="C6D9F1" w:themeFill="text2" w:themeFillTint="33"/>
            <w:vAlign w:val="center"/>
          </w:tcPr>
          <w:p w:rsidR="00BE17BF" w:rsidRPr="00102A5B" w:rsidRDefault="00BE17BF" w:rsidP="00027A9C">
            <w:pPr>
              <w:autoSpaceDE w:val="0"/>
              <w:autoSpaceDN w:val="0"/>
              <w:adjustRightInd w:val="0"/>
              <w:spacing w:before="40" w:after="40"/>
              <w:jc w:val="center"/>
              <w:rPr>
                <w:b/>
                <w:sz w:val="16"/>
                <w:szCs w:val="16"/>
              </w:rPr>
            </w:pPr>
          </w:p>
        </w:tc>
      </w:tr>
    </w:tbl>
    <w:p w:rsidR="00BE17BF" w:rsidRPr="00102A5B" w:rsidRDefault="00BE17BF" w:rsidP="00027A9C">
      <w:pPr>
        <w:tabs>
          <w:tab w:val="left" w:pos="3261"/>
        </w:tabs>
        <w:autoSpaceDE w:val="0"/>
        <w:autoSpaceDN w:val="0"/>
        <w:adjustRightInd w:val="0"/>
        <w:jc w:val="center"/>
        <w:rPr>
          <w:b/>
          <w:sz w:val="20"/>
          <w:szCs w:val="22"/>
        </w:rPr>
      </w:pPr>
    </w:p>
    <w:p w:rsidR="00BE17BF" w:rsidRPr="00102A5B" w:rsidRDefault="00BE17BF" w:rsidP="00027A9C">
      <w:pPr>
        <w:keepNext/>
        <w:keepLines/>
        <w:tabs>
          <w:tab w:val="left" w:pos="3261"/>
        </w:tabs>
        <w:autoSpaceDE w:val="0"/>
        <w:autoSpaceDN w:val="0"/>
        <w:adjustRightInd w:val="0"/>
        <w:jc w:val="center"/>
        <w:rPr>
          <w:b/>
          <w:sz w:val="20"/>
          <w:szCs w:val="22"/>
        </w:rPr>
      </w:pPr>
      <w:r w:rsidRPr="00102A5B">
        <w:rPr>
          <w:b/>
          <w:sz w:val="20"/>
          <w:szCs w:val="22"/>
        </w:rPr>
        <w:t>Utilización del presupuesto del proyecto (por categoría de costo)</w:t>
      </w:r>
    </w:p>
    <w:p w:rsidR="00BE17BF" w:rsidRPr="00102A5B" w:rsidRDefault="00BE17BF" w:rsidP="00027A9C">
      <w:pPr>
        <w:keepNext/>
        <w:keepLines/>
        <w:tabs>
          <w:tab w:val="left" w:pos="3261"/>
        </w:tabs>
        <w:autoSpaceDE w:val="0"/>
        <w:autoSpaceDN w:val="0"/>
        <w:adjustRightInd w:val="0"/>
        <w:spacing w:after="120"/>
        <w:jc w:val="center"/>
        <w:rPr>
          <w:i/>
          <w:iCs/>
          <w:sz w:val="18"/>
          <w:szCs w:val="18"/>
        </w:rPr>
      </w:pPr>
      <w:r w:rsidRPr="00102A5B">
        <w:rPr>
          <w:i/>
          <w:iCs/>
          <w:sz w:val="18"/>
          <w:szCs w:val="18"/>
        </w:rPr>
        <w:t>(en francos suizos, al 31 de diciembre de 2016)</w:t>
      </w:r>
    </w:p>
    <w:tbl>
      <w:tblPr>
        <w:tblW w:w="4865" w:type="pct"/>
        <w:tblInd w:w="25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773"/>
        <w:gridCol w:w="1505"/>
        <w:gridCol w:w="1505"/>
        <w:gridCol w:w="1505"/>
        <w:gridCol w:w="1748"/>
      </w:tblGrid>
      <w:tr w:rsidR="00BE17BF" w:rsidRPr="00102A5B" w:rsidTr="00027A9C">
        <w:trPr>
          <w:trHeight w:val="569"/>
        </w:trPr>
        <w:tc>
          <w:tcPr>
            <w:tcW w:w="1534"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74" w:right="-60"/>
              <w:jc w:val="center"/>
              <w:rPr>
                <w:b/>
                <w:bCs/>
                <w:sz w:val="16"/>
                <w:szCs w:val="16"/>
              </w:rPr>
            </w:pPr>
            <w:r w:rsidRPr="00102A5B">
              <w:rPr>
                <w:b/>
                <w:bCs/>
                <w:sz w:val="16"/>
                <w:szCs w:val="16"/>
              </w:rPr>
              <w:t>Categoría de costo</w:t>
            </w:r>
          </w:p>
        </w:tc>
        <w:tc>
          <w:tcPr>
            <w:tcW w:w="833"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7" w:right="-108"/>
              <w:jc w:val="center"/>
              <w:rPr>
                <w:b/>
                <w:bCs/>
                <w:sz w:val="16"/>
                <w:szCs w:val="16"/>
              </w:rPr>
            </w:pPr>
            <w:r w:rsidRPr="00102A5B">
              <w:rPr>
                <w:b/>
                <w:bCs/>
                <w:sz w:val="16"/>
                <w:szCs w:val="16"/>
              </w:rPr>
              <w:t>Presupuesto inicial del proyecto</w:t>
            </w:r>
          </w:p>
        </w:tc>
        <w:tc>
          <w:tcPr>
            <w:tcW w:w="833" w:type="pct"/>
            <w:shd w:val="clear" w:color="auto" w:fill="C6D9F1" w:themeFill="text2" w:themeFillTint="33"/>
            <w:vAlign w:val="center"/>
          </w:tcPr>
          <w:p w:rsidR="00BE17BF" w:rsidRPr="00102A5B" w:rsidRDefault="00BE17BF" w:rsidP="00027A9C">
            <w:pPr>
              <w:keepNext/>
              <w:keepLines/>
              <w:autoSpaceDE w:val="0"/>
              <w:autoSpaceDN w:val="0"/>
              <w:adjustRightInd w:val="0"/>
              <w:spacing w:before="40" w:after="40"/>
              <w:ind w:left="-108"/>
              <w:jc w:val="center"/>
              <w:rPr>
                <w:b/>
                <w:bCs/>
                <w:sz w:val="16"/>
                <w:szCs w:val="16"/>
              </w:rPr>
            </w:pPr>
            <w:r w:rsidRPr="00102A5B">
              <w:rPr>
                <w:b/>
                <w:bCs/>
                <w:sz w:val="16"/>
                <w:szCs w:val="16"/>
              </w:rPr>
              <w:t>Presupuesto del proyecto tras el ajuste</w:t>
            </w:r>
          </w:p>
        </w:tc>
        <w:tc>
          <w:tcPr>
            <w:tcW w:w="833"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8"/>
              <w:jc w:val="center"/>
              <w:rPr>
                <w:b/>
                <w:bCs/>
                <w:sz w:val="16"/>
                <w:szCs w:val="16"/>
              </w:rPr>
            </w:pPr>
            <w:r w:rsidRPr="00102A5B">
              <w:rPr>
                <w:b/>
                <w:bCs/>
                <w:sz w:val="16"/>
                <w:szCs w:val="16"/>
              </w:rPr>
              <w:t xml:space="preserve">Gasto real hasta la fecha </w:t>
            </w:r>
          </w:p>
        </w:tc>
        <w:tc>
          <w:tcPr>
            <w:tcW w:w="967" w:type="pct"/>
            <w:shd w:val="clear" w:color="auto" w:fill="C6D9F1" w:themeFill="text2" w:themeFillTint="33"/>
            <w:vAlign w:val="center"/>
            <w:hideMark/>
          </w:tcPr>
          <w:p w:rsidR="00BE17BF" w:rsidRPr="00102A5B" w:rsidRDefault="00BE17BF" w:rsidP="00027A9C">
            <w:pPr>
              <w:keepNext/>
              <w:keepLines/>
              <w:autoSpaceDE w:val="0"/>
              <w:autoSpaceDN w:val="0"/>
              <w:adjustRightInd w:val="0"/>
              <w:spacing w:before="40" w:after="40"/>
              <w:ind w:left="-109"/>
              <w:jc w:val="center"/>
              <w:rPr>
                <w:b/>
                <w:bCs/>
                <w:sz w:val="16"/>
                <w:szCs w:val="16"/>
              </w:rPr>
            </w:pPr>
            <w:r w:rsidRPr="00102A5B">
              <w:rPr>
                <w:b/>
                <w:bCs/>
                <w:sz w:val="16"/>
                <w:szCs w:val="16"/>
              </w:rPr>
              <w:t>Utilización real del presupuesto</w:t>
            </w:r>
          </w:p>
        </w:tc>
      </w:tr>
      <w:tr w:rsidR="00BE17BF" w:rsidRPr="00102A5B" w:rsidTr="00027A9C">
        <w:tc>
          <w:tcPr>
            <w:tcW w:w="1534"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Costos relacionados con las obras</w:t>
            </w:r>
          </w:p>
        </w:tc>
        <w:tc>
          <w:tcPr>
            <w:tcW w:w="833"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312.000</w:t>
            </w:r>
          </w:p>
        </w:tc>
        <w:tc>
          <w:tcPr>
            <w:tcW w:w="833"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247.000</w:t>
            </w:r>
          </w:p>
        </w:tc>
        <w:tc>
          <w:tcPr>
            <w:tcW w:w="833"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181.979</w:t>
            </w:r>
          </w:p>
        </w:tc>
        <w:tc>
          <w:tcPr>
            <w:tcW w:w="967"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73,7%</w:t>
            </w:r>
          </w:p>
        </w:tc>
      </w:tr>
      <w:tr w:rsidR="00BE17BF" w:rsidRPr="00102A5B" w:rsidTr="00027A9C">
        <w:tc>
          <w:tcPr>
            <w:tcW w:w="1534"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Honorarios</w:t>
            </w:r>
          </w:p>
        </w:tc>
        <w:tc>
          <w:tcPr>
            <w:tcW w:w="833"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60.000</w:t>
            </w:r>
          </w:p>
        </w:tc>
        <w:tc>
          <w:tcPr>
            <w:tcW w:w="833"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60.000</w:t>
            </w:r>
          </w:p>
        </w:tc>
        <w:tc>
          <w:tcPr>
            <w:tcW w:w="833"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8.088</w:t>
            </w:r>
          </w:p>
        </w:tc>
        <w:tc>
          <w:tcPr>
            <w:tcW w:w="967"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13,5%</w:t>
            </w:r>
          </w:p>
        </w:tc>
      </w:tr>
      <w:tr w:rsidR="00BE17BF" w:rsidRPr="00102A5B" w:rsidTr="00027A9C">
        <w:tc>
          <w:tcPr>
            <w:tcW w:w="1534" w:type="pct"/>
            <w:vAlign w:val="center"/>
            <w:hideMark/>
          </w:tcPr>
          <w:p w:rsidR="00BE17BF" w:rsidRPr="00102A5B" w:rsidRDefault="00BE17BF" w:rsidP="00027A9C">
            <w:pPr>
              <w:autoSpaceDE w:val="0"/>
              <w:autoSpaceDN w:val="0"/>
              <w:adjustRightInd w:val="0"/>
              <w:spacing w:before="40" w:after="40"/>
              <w:rPr>
                <w:sz w:val="16"/>
                <w:szCs w:val="16"/>
              </w:rPr>
            </w:pPr>
            <w:r w:rsidRPr="00102A5B">
              <w:rPr>
                <w:sz w:val="16"/>
                <w:szCs w:val="16"/>
              </w:rPr>
              <w:t>Diversos e imprevistos</w:t>
            </w:r>
          </w:p>
        </w:tc>
        <w:tc>
          <w:tcPr>
            <w:tcW w:w="833" w:type="pct"/>
            <w:vAlign w:val="center"/>
            <w:hideMark/>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28.000</w:t>
            </w:r>
          </w:p>
        </w:tc>
        <w:tc>
          <w:tcPr>
            <w:tcW w:w="833"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28.000</w:t>
            </w:r>
          </w:p>
        </w:tc>
        <w:tc>
          <w:tcPr>
            <w:tcW w:w="833"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c>
          <w:tcPr>
            <w:tcW w:w="967" w:type="pct"/>
          </w:tcPr>
          <w:p w:rsidR="00BE17BF" w:rsidRPr="00102A5B" w:rsidRDefault="00BE17BF" w:rsidP="00027A9C">
            <w:pPr>
              <w:autoSpaceDE w:val="0"/>
              <w:autoSpaceDN w:val="0"/>
              <w:adjustRightInd w:val="0"/>
              <w:spacing w:before="40" w:after="40"/>
              <w:jc w:val="center"/>
              <w:rPr>
                <w:sz w:val="16"/>
                <w:szCs w:val="16"/>
              </w:rPr>
            </w:pPr>
            <w:r w:rsidRPr="00102A5B">
              <w:rPr>
                <w:sz w:val="16"/>
                <w:szCs w:val="16"/>
              </w:rPr>
              <w:t>-</w:t>
            </w:r>
          </w:p>
        </w:tc>
      </w:tr>
      <w:tr w:rsidR="00BE17BF" w:rsidRPr="00102A5B" w:rsidTr="00027A9C">
        <w:tc>
          <w:tcPr>
            <w:tcW w:w="1534"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rPr>
                <w:b/>
                <w:sz w:val="16"/>
                <w:szCs w:val="16"/>
              </w:rPr>
            </w:pPr>
            <w:r w:rsidRPr="00102A5B">
              <w:rPr>
                <w:b/>
                <w:sz w:val="16"/>
                <w:szCs w:val="16"/>
              </w:rPr>
              <w:t>Total</w:t>
            </w:r>
          </w:p>
        </w:tc>
        <w:tc>
          <w:tcPr>
            <w:tcW w:w="833"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400.000</w:t>
            </w:r>
          </w:p>
        </w:tc>
        <w:tc>
          <w:tcPr>
            <w:tcW w:w="833" w:type="pct"/>
            <w:shd w:val="clear" w:color="auto" w:fill="C6D9F1" w:themeFill="text2" w:themeFillTint="33"/>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335.000</w:t>
            </w:r>
          </w:p>
        </w:tc>
        <w:tc>
          <w:tcPr>
            <w:tcW w:w="833" w:type="pct"/>
            <w:shd w:val="clear" w:color="auto" w:fill="C6D9F1" w:themeFill="text2" w:themeFillTint="33"/>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190.066</w:t>
            </w:r>
          </w:p>
        </w:tc>
        <w:tc>
          <w:tcPr>
            <w:tcW w:w="967" w:type="pct"/>
            <w:shd w:val="clear" w:color="auto" w:fill="C6D9F1" w:themeFill="text2" w:themeFillTint="33"/>
          </w:tcPr>
          <w:p w:rsidR="00BE17BF" w:rsidRPr="00102A5B" w:rsidRDefault="00BE17BF" w:rsidP="00027A9C">
            <w:pPr>
              <w:autoSpaceDE w:val="0"/>
              <w:autoSpaceDN w:val="0"/>
              <w:adjustRightInd w:val="0"/>
              <w:spacing w:before="40" w:after="40"/>
              <w:jc w:val="center"/>
              <w:rPr>
                <w:b/>
                <w:sz w:val="16"/>
                <w:szCs w:val="16"/>
              </w:rPr>
            </w:pPr>
            <w:r w:rsidRPr="00102A5B">
              <w:rPr>
                <w:b/>
                <w:sz w:val="16"/>
                <w:szCs w:val="16"/>
              </w:rPr>
              <w:t>47,5%</w:t>
            </w:r>
          </w:p>
        </w:tc>
      </w:tr>
    </w:tbl>
    <w:p w:rsidR="00BE17BF" w:rsidRPr="00102A5B" w:rsidRDefault="00BE17BF" w:rsidP="00027A9C">
      <w:pPr>
        <w:rPr>
          <w:sz w:val="20"/>
          <w:szCs w:val="22"/>
        </w:rPr>
      </w:pPr>
    </w:p>
    <w:p w:rsidR="00BE17BF" w:rsidRPr="00102A5B" w:rsidRDefault="00BE17BF" w:rsidP="00027A9C">
      <w:pPr>
        <w:rPr>
          <w:sz w:val="20"/>
          <w:szCs w:val="22"/>
        </w:rPr>
      </w:pPr>
    </w:p>
    <w:p w:rsidR="00BE17BF" w:rsidRPr="00102A5B" w:rsidRDefault="00BE17BF" w:rsidP="00027A9C">
      <w:pPr>
        <w:rPr>
          <w:sz w:val="20"/>
          <w:szCs w:val="22"/>
        </w:rPr>
      </w:pPr>
      <w:r w:rsidRPr="00102A5B">
        <w:rPr>
          <w:sz w:val="20"/>
          <w:szCs w:val="22"/>
        </w:rPr>
        <w:t>RIESGOS Y ESTRATEGIAS DE MITIGACIÓN</w:t>
      </w:r>
    </w:p>
    <w:p w:rsidR="00BE17BF" w:rsidRPr="00102A5B" w:rsidRDefault="00BE17BF" w:rsidP="00027A9C">
      <w:pPr>
        <w:rPr>
          <w:sz w:val="20"/>
          <w:szCs w:val="22"/>
        </w:rPr>
      </w:pPr>
    </w:p>
    <w:tbl>
      <w:tblPr>
        <w:tblW w:w="4813" w:type="pct"/>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1E0" w:firstRow="1" w:lastRow="1" w:firstColumn="1" w:lastColumn="1" w:noHBand="0" w:noVBand="0"/>
      </w:tblPr>
      <w:tblGrid>
        <w:gridCol w:w="2981"/>
        <w:gridCol w:w="2728"/>
        <w:gridCol w:w="3231"/>
      </w:tblGrid>
      <w:tr w:rsidR="00BE17BF" w:rsidRPr="00102A5B" w:rsidTr="00027A9C">
        <w:trPr>
          <w:trHeight w:val="308"/>
          <w:tblHeader/>
          <w:jc w:val="center"/>
        </w:trPr>
        <w:tc>
          <w:tcPr>
            <w:tcW w:w="1667"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74" w:right="-60"/>
              <w:jc w:val="center"/>
              <w:rPr>
                <w:b/>
                <w:bCs/>
                <w:sz w:val="16"/>
                <w:szCs w:val="16"/>
              </w:rPr>
            </w:pPr>
            <w:r w:rsidRPr="00102A5B">
              <w:rPr>
                <w:b/>
                <w:bCs/>
                <w:sz w:val="16"/>
                <w:szCs w:val="16"/>
              </w:rPr>
              <w:t>Riesgo/Descripción del riesgo</w:t>
            </w:r>
          </w:p>
        </w:tc>
        <w:tc>
          <w:tcPr>
            <w:tcW w:w="1526"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107" w:right="-108"/>
              <w:jc w:val="center"/>
              <w:rPr>
                <w:b/>
                <w:bCs/>
                <w:sz w:val="16"/>
                <w:szCs w:val="16"/>
              </w:rPr>
            </w:pPr>
            <w:r w:rsidRPr="00102A5B">
              <w:rPr>
                <w:b/>
                <w:bCs/>
                <w:sz w:val="16"/>
                <w:szCs w:val="16"/>
              </w:rPr>
              <w:t xml:space="preserve">Mitigación del riesgo </w:t>
            </w:r>
          </w:p>
        </w:tc>
        <w:tc>
          <w:tcPr>
            <w:tcW w:w="1807" w:type="pct"/>
            <w:shd w:val="clear" w:color="auto" w:fill="C6D9F1" w:themeFill="text2" w:themeFillTint="33"/>
            <w:vAlign w:val="center"/>
            <w:hideMark/>
          </w:tcPr>
          <w:p w:rsidR="00BE17BF" w:rsidRPr="00102A5B" w:rsidRDefault="00BE17BF" w:rsidP="00027A9C">
            <w:pPr>
              <w:autoSpaceDE w:val="0"/>
              <w:autoSpaceDN w:val="0"/>
              <w:adjustRightInd w:val="0"/>
              <w:spacing w:before="40" w:after="40" w:line="260" w:lineRule="exact"/>
              <w:ind w:left="-109"/>
              <w:jc w:val="center"/>
              <w:rPr>
                <w:b/>
                <w:bCs/>
                <w:sz w:val="16"/>
                <w:szCs w:val="16"/>
              </w:rPr>
            </w:pPr>
            <w:r w:rsidRPr="00102A5B">
              <w:rPr>
                <w:b/>
                <w:bCs/>
                <w:sz w:val="16"/>
                <w:szCs w:val="16"/>
              </w:rPr>
              <w:t>Comentario</w:t>
            </w:r>
          </w:p>
        </w:tc>
      </w:tr>
      <w:tr w:rsidR="00BE17BF" w:rsidRPr="00102A5B" w:rsidTr="00027A9C">
        <w:trPr>
          <w:trHeight w:val="669"/>
          <w:jc w:val="center"/>
        </w:trPr>
        <w:tc>
          <w:tcPr>
            <w:tcW w:w="1667" w:type="pct"/>
            <w:shd w:val="clear" w:color="auto" w:fill="FFFFFF" w:themeFill="background1"/>
            <w:hideMark/>
          </w:tcPr>
          <w:p w:rsidR="00BE17BF" w:rsidRPr="00102A5B" w:rsidRDefault="00BE17BF" w:rsidP="00027A9C">
            <w:pPr>
              <w:autoSpaceDE w:val="0"/>
              <w:autoSpaceDN w:val="0"/>
              <w:adjustRightInd w:val="0"/>
              <w:spacing w:before="40" w:after="40"/>
              <w:rPr>
                <w:sz w:val="16"/>
                <w:szCs w:val="16"/>
              </w:rPr>
            </w:pPr>
            <w:r w:rsidRPr="00102A5B">
              <w:rPr>
                <w:sz w:val="16"/>
                <w:szCs w:val="16"/>
              </w:rPr>
              <w:t>Demora o interrupción de las obras debido a un accidente en el lugar de las obras</w:t>
            </w:r>
          </w:p>
        </w:tc>
        <w:tc>
          <w:tcPr>
            <w:tcW w:w="1526" w:type="pct"/>
            <w:shd w:val="clear" w:color="auto" w:fill="FFFFFF" w:themeFill="background1"/>
            <w:hideMark/>
          </w:tcPr>
          <w:p w:rsidR="00BE17BF" w:rsidRPr="00102A5B" w:rsidRDefault="00BE17BF" w:rsidP="00027A9C">
            <w:pPr>
              <w:autoSpaceDE w:val="0"/>
              <w:autoSpaceDN w:val="0"/>
              <w:adjustRightInd w:val="0"/>
              <w:spacing w:before="40" w:after="40"/>
              <w:rPr>
                <w:sz w:val="16"/>
                <w:szCs w:val="16"/>
              </w:rPr>
            </w:pPr>
            <w:r w:rsidRPr="00102A5B">
              <w:rPr>
                <w:sz w:val="16"/>
                <w:szCs w:val="16"/>
              </w:rPr>
              <w:t>Revalidar y fortalecer las medidas de seguridad y revisar el calendario de las obras</w:t>
            </w:r>
          </w:p>
        </w:tc>
        <w:tc>
          <w:tcPr>
            <w:tcW w:w="1807" w:type="pct"/>
            <w:shd w:val="clear" w:color="auto" w:fill="FFFFFF" w:themeFill="background1"/>
          </w:tcPr>
          <w:p w:rsidR="00BE17BF" w:rsidRPr="00102A5B" w:rsidRDefault="00BE17BF" w:rsidP="00027A9C">
            <w:pPr>
              <w:autoSpaceDE w:val="0"/>
              <w:autoSpaceDN w:val="0"/>
              <w:adjustRightInd w:val="0"/>
              <w:spacing w:before="40" w:after="40"/>
              <w:rPr>
                <w:i/>
                <w:sz w:val="16"/>
                <w:szCs w:val="16"/>
              </w:rPr>
            </w:pPr>
            <w:r w:rsidRPr="00102A5B">
              <w:rPr>
                <w:i/>
                <w:sz w:val="16"/>
                <w:szCs w:val="16"/>
              </w:rPr>
              <w:t>Este riesgo se ha dado por concluido.</w:t>
            </w:r>
          </w:p>
        </w:tc>
      </w:tr>
      <w:tr w:rsidR="00BE17BF" w:rsidRPr="00102A5B" w:rsidTr="00027A9C">
        <w:trPr>
          <w:trHeight w:val="292"/>
          <w:jc w:val="center"/>
        </w:trPr>
        <w:tc>
          <w:tcPr>
            <w:tcW w:w="1667" w:type="pct"/>
            <w:shd w:val="clear" w:color="auto" w:fill="FFFFFF" w:themeFill="background1"/>
          </w:tcPr>
          <w:p w:rsidR="00BE17BF" w:rsidRPr="00102A5B" w:rsidRDefault="00BE17BF" w:rsidP="00027A9C">
            <w:pPr>
              <w:autoSpaceDE w:val="0"/>
              <w:autoSpaceDN w:val="0"/>
              <w:adjustRightInd w:val="0"/>
              <w:spacing w:before="40" w:after="40"/>
              <w:rPr>
                <w:sz w:val="16"/>
                <w:szCs w:val="16"/>
              </w:rPr>
            </w:pPr>
            <w:r w:rsidRPr="00102A5B">
              <w:rPr>
                <w:b/>
                <w:bCs/>
                <w:noProof/>
                <w:sz w:val="16"/>
                <w:szCs w:val="16"/>
                <w:lang w:val="en-US" w:eastAsia="en-US"/>
              </w:rPr>
              <mc:AlternateContent>
                <mc:Choice Requires="wps">
                  <w:drawing>
                    <wp:anchor distT="0" distB="0" distL="114300" distR="114300" simplePos="0" relativeHeight="251663360" behindDoc="0" locked="0" layoutInCell="1" allowOverlap="1" wp14:anchorId="6F4BCB8D" wp14:editId="49CCE3F2">
                      <wp:simplePos x="0" y="0"/>
                      <wp:positionH relativeFrom="column">
                        <wp:posOffset>-511810</wp:posOffset>
                      </wp:positionH>
                      <wp:positionV relativeFrom="paragraph">
                        <wp:posOffset>38100</wp:posOffset>
                      </wp:positionV>
                      <wp:extent cx="401320" cy="317500"/>
                      <wp:effectExtent l="0" t="0" r="0" b="6350"/>
                      <wp:wrapNone/>
                      <wp:docPr id="1142" name="Text Box 1142"/>
                      <wp:cNvGraphicFramePr/>
                      <a:graphic xmlns:a="http://schemas.openxmlformats.org/drawingml/2006/main">
                        <a:graphicData uri="http://schemas.microsoft.com/office/word/2010/wordprocessingShape">
                          <wps:wsp>
                            <wps:cNvSpPr txBox="1"/>
                            <wps:spPr>
                              <a:xfrm>
                                <a:off x="0" y="0"/>
                                <a:ext cx="401320" cy="317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53EAB" w:rsidRDefault="00653EAB" w:rsidP="00027A9C">
                                  <w:r w:rsidRPr="009A321A">
                                    <w:rPr>
                                      <w:noProof/>
                                      <w:lang w:val="en-US" w:eastAsia="en-US"/>
                                    </w:rPr>
                                    <w:drawing>
                                      <wp:inline distT="0" distB="0" distL="0" distR="0" wp14:anchorId="01942674" wp14:editId="2B93DE99">
                                        <wp:extent cx="210709" cy="202520"/>
                                        <wp:effectExtent l="0" t="0" r="0" b="762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42" o:spid="_x0000_s1030" type="#_x0000_t202" style="position:absolute;margin-left:-40.3pt;margin-top:3pt;width:31.6pt;height: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" fillcolor="white [3201]" stroked="f" strokeweight=".5pt">
                      <v:textbox>
                        <w:txbxContent>
                          <w:p w:rsidR="00653EAB" w:rsidRDefault="00653EAB" w:rsidP="00027A9C">
                            <w:r w:rsidRPr="009A321A">
                              <w:rPr>
                                <w:noProof/>
                                <w:lang w:val="en-US" w:eastAsia="en-US"/>
                              </w:rPr>
                              <w:drawing>
                                <wp:inline distT="0" distB="0" distL="0" distR="0" wp14:anchorId="01942674" wp14:editId="2B93DE99">
                                  <wp:extent cx="210709" cy="202520"/>
                                  <wp:effectExtent l="0" t="0" r="0" b="7620"/>
                                  <wp:docPr id="1147"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10485" cy="202304"/>
                                          </a:xfrm>
                                          <a:prstGeom prst="rect">
                                            <a:avLst/>
                                          </a:prstGeom>
                                          <a:noFill/>
                                          <a:ln>
                                            <a:noFill/>
                                          </a:ln>
                                        </pic:spPr>
                                      </pic:pic>
                                    </a:graphicData>
                                  </a:graphic>
                                </wp:inline>
                              </w:drawing>
                            </w:r>
                          </w:p>
                        </w:txbxContent>
                      </v:textbox>
                    </v:shape>
                  </w:pict>
                </mc:Fallback>
              </mc:AlternateContent>
            </w:r>
            <w:r w:rsidRPr="00102A5B">
              <w:rPr>
                <w:sz w:val="16"/>
                <w:szCs w:val="16"/>
              </w:rPr>
              <w:t>Imposibilidad de ejecutar la parte del proyecto relativa a la compartimentación entre los edificios GBI y GBII (todos los niveles excepto el primer subsuelo) debido a la detección, durante la auditoría externa de riesgo de incendio) de elementos que incumplen la normativa suiza, lo que obligó a introducir medidas de mitigación de aplicación inmediata que, en consecuencia, podrían ocasionar déficits de tiempo y de recursos.</w:t>
            </w:r>
          </w:p>
        </w:tc>
        <w:tc>
          <w:tcPr>
            <w:tcW w:w="1526" w:type="pct"/>
            <w:shd w:val="clear" w:color="auto" w:fill="FFFFFF" w:themeFill="background1"/>
          </w:tcPr>
          <w:p w:rsidR="00BE17BF" w:rsidRPr="00102A5B" w:rsidRDefault="00BE17BF" w:rsidP="00027A9C">
            <w:pPr>
              <w:autoSpaceDE w:val="0"/>
              <w:autoSpaceDN w:val="0"/>
              <w:adjustRightInd w:val="0"/>
              <w:spacing w:before="40" w:after="40"/>
              <w:rPr>
                <w:sz w:val="16"/>
                <w:szCs w:val="16"/>
              </w:rPr>
            </w:pPr>
            <w:r w:rsidRPr="00102A5B">
              <w:rPr>
                <w:sz w:val="16"/>
                <w:szCs w:val="16"/>
              </w:rPr>
              <w:t>Adaptar el alcance del proyecto a partir de las conclusiones de la auditoría externa de riesgo de incendio</w:t>
            </w:r>
          </w:p>
        </w:tc>
        <w:tc>
          <w:tcPr>
            <w:tcW w:w="1807" w:type="pct"/>
            <w:shd w:val="clear" w:color="auto" w:fill="FFFFFF" w:themeFill="background1"/>
          </w:tcPr>
          <w:p w:rsidR="00BE17BF" w:rsidRPr="00102A5B" w:rsidRDefault="00BE17BF" w:rsidP="00027A9C">
            <w:pPr>
              <w:autoSpaceDE w:val="0"/>
              <w:autoSpaceDN w:val="0"/>
              <w:adjustRightInd w:val="0"/>
              <w:spacing w:before="40" w:after="40"/>
              <w:rPr>
                <w:sz w:val="16"/>
                <w:szCs w:val="16"/>
              </w:rPr>
            </w:pPr>
            <w:r w:rsidRPr="00102A5B">
              <w:rPr>
                <w:sz w:val="16"/>
                <w:szCs w:val="16"/>
              </w:rPr>
              <w:t xml:space="preserve">El riesgo se materializó en 2016, de suerte que las tareas de compartimentación entre los edificios GBI y GBII (todos los niveles salvo el primer subsuelo) fueron suprimidas del ámbito del proyecto PMM 7.  </w:t>
            </w:r>
          </w:p>
          <w:p w:rsidR="00BE17BF" w:rsidRPr="00102A5B" w:rsidRDefault="00BE17BF" w:rsidP="00027A9C">
            <w:pPr>
              <w:autoSpaceDE w:val="0"/>
              <w:autoSpaceDN w:val="0"/>
              <w:adjustRightInd w:val="0"/>
              <w:spacing w:before="40" w:after="40"/>
              <w:rPr>
                <w:sz w:val="16"/>
                <w:szCs w:val="16"/>
              </w:rPr>
            </w:pPr>
          </w:p>
          <w:p w:rsidR="00BE17BF" w:rsidRPr="00102A5B" w:rsidRDefault="00BE17BF" w:rsidP="00027A9C">
            <w:pPr>
              <w:autoSpaceDE w:val="0"/>
              <w:autoSpaceDN w:val="0"/>
              <w:adjustRightInd w:val="0"/>
              <w:spacing w:before="40" w:after="40"/>
              <w:rPr>
                <w:i/>
                <w:sz w:val="16"/>
                <w:szCs w:val="16"/>
              </w:rPr>
            </w:pPr>
            <w:r w:rsidRPr="00102A5B">
              <w:rPr>
                <w:i/>
                <w:sz w:val="16"/>
                <w:szCs w:val="16"/>
              </w:rPr>
              <w:t>Este riesgo se ha dado por concluido.</w:t>
            </w:r>
          </w:p>
        </w:tc>
      </w:tr>
    </w:tbl>
    <w:p w:rsidR="00BE17BF" w:rsidRDefault="00BE17BF" w:rsidP="00027A9C">
      <w:pPr>
        <w:rPr>
          <w:sz w:val="20"/>
        </w:rPr>
      </w:pPr>
    </w:p>
    <w:p w:rsidR="00BE17BF" w:rsidRPr="00102A5B" w:rsidRDefault="00BE17BF" w:rsidP="00027A9C">
      <w:pPr>
        <w:rPr>
          <w:sz w:val="20"/>
        </w:rPr>
      </w:pPr>
      <w:r w:rsidRPr="00102A5B">
        <w:rPr>
          <w:sz w:val="20"/>
        </w:rPr>
        <w:lastRenderedPageBreak/>
        <w:t>CALENDARIO DEL PROYECTO, POR ETAPA</w:t>
      </w:r>
    </w:p>
    <w:p w:rsidR="00BE17BF" w:rsidRPr="00102A5B" w:rsidRDefault="00BE17BF" w:rsidP="00027A9C">
      <w:pPr>
        <w:autoSpaceDE w:val="0"/>
        <w:autoSpaceDN w:val="0"/>
        <w:jc w:val="both"/>
        <w:rPr>
          <w:sz w:val="20"/>
        </w:rPr>
      </w:pPr>
    </w:p>
    <w:tbl>
      <w:tblPr>
        <w:tblW w:w="10004" w:type="dxa"/>
        <w:jc w:val="center"/>
        <w:tblLook w:val="04A0" w:firstRow="1" w:lastRow="0" w:firstColumn="1" w:lastColumn="0" w:noHBand="0" w:noVBand="1"/>
      </w:tblPr>
      <w:tblGrid>
        <w:gridCol w:w="2324"/>
        <w:gridCol w:w="480"/>
        <w:gridCol w:w="480"/>
        <w:gridCol w:w="480"/>
        <w:gridCol w:w="480"/>
        <w:gridCol w:w="480"/>
        <w:gridCol w:w="480"/>
        <w:gridCol w:w="480"/>
        <w:gridCol w:w="480"/>
        <w:gridCol w:w="480"/>
        <w:gridCol w:w="480"/>
        <w:gridCol w:w="480"/>
        <w:gridCol w:w="480"/>
        <w:gridCol w:w="480"/>
        <w:gridCol w:w="480"/>
        <w:gridCol w:w="480"/>
        <w:gridCol w:w="480"/>
      </w:tblGrid>
      <w:tr w:rsidR="00BE17BF" w:rsidRPr="00102A5B" w:rsidTr="00027A9C">
        <w:trPr>
          <w:trHeight w:val="270"/>
          <w:tblHeader/>
          <w:jc w:val="center"/>
        </w:trPr>
        <w:tc>
          <w:tcPr>
            <w:tcW w:w="2324" w:type="dxa"/>
            <w:tcBorders>
              <w:bottom w:val="single" w:sz="8" w:space="0" w:color="A6A6A6" w:themeColor="background1" w:themeShade="A6"/>
              <w:right w:val="single" w:sz="8" w:space="0" w:color="A6A6A6" w:themeColor="background1" w:themeShade="A6"/>
            </w:tcBorders>
            <w:noWrap/>
            <w:vAlign w:val="bottom"/>
            <w:hideMark/>
          </w:tcPr>
          <w:p w:rsidR="00BE17BF" w:rsidRPr="00102A5B" w:rsidRDefault="00BE17BF" w:rsidP="00027A9C">
            <w:pPr>
              <w:rPr>
                <w:sz w:val="20"/>
              </w:rPr>
            </w:pP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jc w:val="center"/>
              <w:rPr>
                <w:b/>
                <w:bCs/>
                <w:sz w:val="18"/>
                <w:szCs w:val="18"/>
              </w:rPr>
            </w:pPr>
            <w:r w:rsidRPr="00102A5B">
              <w:rPr>
                <w:b/>
                <w:bCs/>
                <w:sz w:val="18"/>
                <w:szCs w:val="18"/>
              </w:rPr>
              <w:t>2014</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jc w:val="center"/>
              <w:rPr>
                <w:b/>
                <w:bCs/>
                <w:sz w:val="18"/>
                <w:szCs w:val="18"/>
              </w:rPr>
            </w:pPr>
            <w:r w:rsidRPr="00102A5B">
              <w:rPr>
                <w:b/>
                <w:bCs/>
                <w:sz w:val="18"/>
                <w:szCs w:val="18"/>
              </w:rPr>
              <w:t>2015</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jc w:val="center"/>
              <w:rPr>
                <w:b/>
                <w:bCs/>
                <w:sz w:val="18"/>
                <w:szCs w:val="18"/>
              </w:rPr>
            </w:pPr>
            <w:r w:rsidRPr="00102A5B">
              <w:rPr>
                <w:b/>
                <w:bCs/>
                <w:sz w:val="18"/>
                <w:szCs w:val="18"/>
              </w:rPr>
              <w:t>2016</w:t>
            </w:r>
          </w:p>
        </w:tc>
        <w:tc>
          <w:tcPr>
            <w:tcW w:w="1920" w:type="dxa"/>
            <w:gridSpan w:val="4"/>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jc w:val="center"/>
              <w:rPr>
                <w:b/>
                <w:bCs/>
                <w:sz w:val="18"/>
                <w:szCs w:val="18"/>
              </w:rPr>
            </w:pPr>
            <w:r w:rsidRPr="00102A5B">
              <w:rPr>
                <w:b/>
                <w:bCs/>
                <w:sz w:val="18"/>
                <w:szCs w:val="18"/>
              </w:rPr>
              <w:t>2017</w:t>
            </w:r>
          </w:p>
        </w:tc>
      </w:tr>
      <w:tr w:rsidR="00BE17BF" w:rsidRPr="00102A5B" w:rsidTr="00027A9C">
        <w:trPr>
          <w:trHeight w:val="375"/>
          <w:tblHeader/>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jc w:val="center"/>
              <w:rPr>
                <w:b/>
                <w:bCs/>
                <w:sz w:val="18"/>
                <w:szCs w:val="18"/>
              </w:rPr>
            </w:pPr>
            <w:r w:rsidRPr="00102A5B">
              <w:rPr>
                <w:b/>
                <w:bCs/>
                <w:sz w:val="18"/>
                <w:szCs w:val="18"/>
              </w:rPr>
              <w:t>Etapas fundamentales</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T4</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T4</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T4</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T1</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T3</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shd w:val="clear" w:color="auto" w:fill="C6D9F1" w:themeFill="text2" w:themeFillTint="33"/>
            <w:noWrap/>
            <w:vAlign w:val="bottom"/>
            <w:hideMark/>
          </w:tcPr>
          <w:p w:rsidR="00BE17BF" w:rsidRPr="00102A5B" w:rsidRDefault="00BE17BF" w:rsidP="00027A9C">
            <w:pPr>
              <w:rPr>
                <w:b/>
                <w:bCs/>
                <w:sz w:val="18"/>
                <w:szCs w:val="18"/>
              </w:rPr>
            </w:pPr>
            <w:r w:rsidRPr="00102A5B">
              <w:rPr>
                <w:b/>
                <w:bCs/>
                <w:sz w:val="18"/>
                <w:szCs w:val="18"/>
              </w:rPr>
              <w:t>T4</w:t>
            </w:r>
          </w:p>
        </w:tc>
      </w:tr>
      <w:tr w:rsidR="00BE17BF" w:rsidRPr="00102A5B" w:rsidTr="00027A9C">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rPr>
                <w:sz w:val="16"/>
                <w:szCs w:val="16"/>
              </w:rPr>
            </w:pPr>
            <w:r w:rsidRPr="00102A5B">
              <w:rPr>
                <w:sz w:val="16"/>
                <w:szCs w:val="16"/>
              </w:rPr>
              <w:t>Compartimentación del edificio PCT</w:t>
            </w:r>
          </w:p>
          <w:p w:rsidR="00BE17BF" w:rsidRPr="00102A5B" w:rsidRDefault="00BE17BF" w:rsidP="00027A9C">
            <w:pPr>
              <w:spacing w:before="40" w:after="40"/>
              <w:rPr>
                <w:b/>
                <w:bCs/>
                <w:sz w:val="16"/>
                <w:szCs w:val="16"/>
              </w:rPr>
            </w:pPr>
            <w:r w:rsidRPr="00102A5B">
              <w:rPr>
                <w:sz w:val="16"/>
                <w:szCs w:val="16"/>
              </w:rPr>
              <w:t>Finalización de las obras</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r>
      <w:tr w:rsidR="00BE17BF" w:rsidRPr="00102A5B" w:rsidTr="00027A9C">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rPr>
                <w:bCs/>
                <w:sz w:val="16"/>
                <w:szCs w:val="16"/>
              </w:rPr>
            </w:pPr>
            <w:r w:rsidRPr="00102A5B">
              <w:rPr>
                <w:bCs/>
                <w:sz w:val="16"/>
                <w:szCs w:val="16"/>
              </w:rPr>
              <w:t>Mejora de la planificación del espacio en la zona para los delegados en el segundo subsuelo del edificio AB/creación de un vestíbulo de independencia en el acceso a los ascensores en el segundo subsuelo del edificio AB</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r>
      <w:tr w:rsidR="00BE17BF" w:rsidRPr="00102A5B" w:rsidTr="00027A9C">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BE17BF" w:rsidRPr="00102A5B" w:rsidRDefault="00BE17BF" w:rsidP="00027A9C">
            <w:pPr>
              <w:spacing w:before="40" w:after="40"/>
              <w:rPr>
                <w:sz w:val="16"/>
                <w:szCs w:val="16"/>
              </w:rPr>
            </w:pPr>
            <w:r w:rsidRPr="00102A5B">
              <w:rPr>
                <w:sz w:val="16"/>
                <w:szCs w:val="16"/>
              </w:rPr>
              <w:t>Proyecto relacionado con la compartimentación entre los edificios GBI y AB</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r>
      <w:tr w:rsidR="00BE17BF" w:rsidRPr="00102A5B" w:rsidTr="00027A9C">
        <w:trPr>
          <w:trHeight w:val="615"/>
          <w:jc w:val="center"/>
        </w:trPr>
        <w:tc>
          <w:tcPr>
            <w:tcW w:w="2324"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bottom"/>
            <w:hideMark/>
          </w:tcPr>
          <w:p w:rsidR="00BE17BF" w:rsidRPr="00102A5B" w:rsidRDefault="00BE17BF" w:rsidP="00027A9C">
            <w:pPr>
              <w:spacing w:before="40" w:after="40"/>
              <w:rPr>
                <w:sz w:val="16"/>
                <w:szCs w:val="16"/>
              </w:rPr>
            </w:pPr>
            <w:r w:rsidRPr="00102A5B">
              <w:rPr>
                <w:sz w:val="16"/>
                <w:szCs w:val="16"/>
              </w:rPr>
              <w:t>Proyecto relacionado con la compartimentación entre el estacionamiento subterráneo del edificio AB y el edificio AB (salvo el nivel -2)</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jc w:val="center"/>
              <w:rPr>
                <w:sz w:val="20"/>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c>
          <w:tcPr>
            <w:tcW w:w="480" w:type="dxa"/>
            <w:tc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tcBorders>
            <w:noWrap/>
            <w:vAlign w:val="center"/>
            <w:hideMark/>
          </w:tcPr>
          <w:p w:rsidR="00BE17BF" w:rsidRPr="00102A5B" w:rsidRDefault="00BE17BF" w:rsidP="00027A9C">
            <w:pPr>
              <w:spacing w:before="40" w:after="40"/>
              <w:jc w:val="center"/>
              <w:rPr>
                <w:sz w:val="16"/>
                <w:szCs w:val="16"/>
              </w:rPr>
            </w:pPr>
            <w:r w:rsidRPr="00102A5B">
              <w:rPr>
                <w:sz w:val="16"/>
                <w:szCs w:val="16"/>
              </w:rPr>
              <w:t>X</w:t>
            </w:r>
          </w:p>
        </w:tc>
      </w:tr>
    </w:tbl>
    <w:p w:rsidR="00BE17BF" w:rsidRPr="00102A5B" w:rsidRDefault="00BE17BF" w:rsidP="00027A9C">
      <w:pPr>
        <w:rPr>
          <w:sz w:val="20"/>
          <w:szCs w:val="24"/>
        </w:rPr>
      </w:pPr>
    </w:p>
    <w:p w:rsidR="00BE17BF" w:rsidRPr="004B7DD4" w:rsidRDefault="00BE17BF" w:rsidP="00027A9C">
      <w:pPr>
        <w:rPr>
          <w:sz w:val="20"/>
        </w:rPr>
      </w:pPr>
    </w:p>
    <w:p w:rsidR="00BE17BF" w:rsidRPr="004B7DD4" w:rsidRDefault="00BE17BF" w:rsidP="00027A9C">
      <w:pPr>
        <w:rPr>
          <w:sz w:val="20"/>
        </w:rPr>
      </w:pPr>
    </w:p>
    <w:p w:rsidR="00BE17BF" w:rsidRPr="004B7DD4" w:rsidRDefault="00BE17BF" w:rsidP="00027A9C">
      <w:pPr>
        <w:ind w:left="6663"/>
        <w:rPr>
          <w:sz w:val="20"/>
        </w:rPr>
      </w:pPr>
      <w:r w:rsidRPr="004B7DD4">
        <w:rPr>
          <w:sz w:val="20"/>
        </w:rPr>
        <w:t>[Sigue el Apéndice IV]</w:t>
      </w:r>
    </w:p>
    <w:p w:rsidR="00BE17BF" w:rsidRPr="004B7DD4" w:rsidRDefault="00BE17BF" w:rsidP="00027A9C">
      <w:pPr>
        <w:rPr>
          <w:sz w:val="20"/>
        </w:rPr>
      </w:pPr>
    </w:p>
    <w:p w:rsidR="00694A7E" w:rsidRDefault="00694A7E">
      <w:pPr>
        <w:rPr>
          <w:sz w:val="20"/>
        </w:rPr>
      </w:pPr>
      <w:r>
        <w:rPr>
          <w:sz w:val="20"/>
        </w:rPr>
        <w:br w:type="page"/>
      </w:r>
    </w:p>
    <w:p w:rsidR="0027782F" w:rsidRPr="00102A5B" w:rsidRDefault="0027782F" w:rsidP="0027782F">
      <w:pPr>
        <w:tabs>
          <w:tab w:val="left" w:pos="2268"/>
          <w:tab w:val="right" w:pos="9072"/>
        </w:tabs>
        <w:outlineLvl w:val="1"/>
        <w:rPr>
          <w:iCs/>
        </w:rPr>
      </w:pPr>
      <w:bookmarkStart w:id="95" w:name="_Toc482711292"/>
      <w:r w:rsidRPr="00102A5B">
        <w:rPr>
          <w:b/>
          <w:iCs/>
        </w:rPr>
        <w:lastRenderedPageBreak/>
        <w:t xml:space="preserve">APÉNDICE </w:t>
      </w:r>
      <w:r>
        <w:rPr>
          <w:b/>
          <w:iCs/>
        </w:rPr>
        <w:t>IV</w:t>
      </w:r>
      <w:r>
        <w:rPr>
          <w:b/>
          <w:iCs/>
        </w:rPr>
        <w:br/>
        <w:t>SIGLAS Y ABREVIATURAS EMPLEADAS EN EL PRESENTE DOCUMENTO</w:t>
      </w:r>
      <w:bookmarkEnd w:id="95"/>
    </w:p>
    <w:p w:rsidR="00480D5F" w:rsidRPr="00480D5F" w:rsidRDefault="00480D5F" w:rsidP="00480D5F">
      <w:pPr>
        <w:rPr>
          <w:rFonts w:eastAsiaTheme="minorEastAsia"/>
          <w:sz w:val="20"/>
          <w:lang w:eastAsia="ja-JP"/>
        </w:rPr>
      </w:pPr>
    </w:p>
    <w:p w:rsidR="00480D5F" w:rsidRDefault="00480D5F" w:rsidP="00480D5F">
      <w:pPr>
        <w:tabs>
          <w:tab w:val="left" w:pos="2127"/>
        </w:tabs>
        <w:spacing w:after="40"/>
        <w:ind w:left="2126" w:right="-476" w:hanging="2126"/>
        <w:rPr>
          <w:sz w:val="20"/>
        </w:rPr>
      </w:pPr>
      <w:r w:rsidRPr="00480D5F">
        <w:rPr>
          <w:b/>
          <w:bCs/>
          <w:sz w:val="20"/>
        </w:rPr>
        <w:t>A</w:t>
      </w:r>
      <w:r w:rsidRPr="00480D5F">
        <w:rPr>
          <w:sz w:val="20"/>
        </w:rPr>
        <w:t>BC</w:t>
      </w:r>
      <w:r w:rsidRPr="00480D5F">
        <w:rPr>
          <w:sz w:val="20"/>
        </w:rPr>
        <w:tab/>
        <w:t>Consorcio de Libros Accesibles</w:t>
      </w:r>
    </w:p>
    <w:p w:rsidR="00840F83" w:rsidRPr="00840F83" w:rsidRDefault="00840F83" w:rsidP="00480D5F">
      <w:pPr>
        <w:tabs>
          <w:tab w:val="left" w:pos="2127"/>
        </w:tabs>
        <w:spacing w:after="40"/>
        <w:ind w:left="2126" w:right="-476" w:hanging="2126"/>
        <w:rPr>
          <w:sz w:val="20"/>
        </w:rPr>
      </w:pPr>
      <w:r w:rsidRPr="00920C62">
        <w:rPr>
          <w:bCs/>
          <w:sz w:val="20"/>
        </w:rPr>
        <w:t>ABF</w:t>
      </w:r>
      <w:r w:rsidRPr="00920C62">
        <w:rPr>
          <w:bCs/>
          <w:sz w:val="20"/>
        </w:rPr>
        <w:tab/>
      </w:r>
      <w:proofErr w:type="spellStart"/>
      <w:r w:rsidRPr="00840F83">
        <w:rPr>
          <w:i/>
          <w:sz w:val="20"/>
        </w:rPr>
        <w:t>Associação</w:t>
      </w:r>
      <w:proofErr w:type="spellEnd"/>
      <w:r w:rsidRPr="00840F83">
        <w:rPr>
          <w:i/>
          <w:sz w:val="20"/>
        </w:rPr>
        <w:t xml:space="preserve"> Brasileira de </w:t>
      </w:r>
      <w:proofErr w:type="spellStart"/>
      <w:r w:rsidRPr="00840F83">
        <w:rPr>
          <w:i/>
          <w:sz w:val="20"/>
        </w:rPr>
        <w:t>Franchising</w:t>
      </w:r>
      <w:proofErr w:type="spellEnd"/>
    </w:p>
    <w:p w:rsidR="00480D5F" w:rsidRPr="00480D5F" w:rsidRDefault="00480D5F" w:rsidP="00480D5F">
      <w:pPr>
        <w:tabs>
          <w:tab w:val="left" w:pos="2127"/>
        </w:tabs>
        <w:spacing w:after="40"/>
        <w:ind w:left="2126" w:right="-476" w:hanging="2126"/>
        <w:rPr>
          <w:sz w:val="20"/>
        </w:rPr>
      </w:pPr>
      <w:r w:rsidRPr="00480D5F">
        <w:rPr>
          <w:bCs/>
          <w:sz w:val="20"/>
        </w:rPr>
        <w:t>A</w:t>
      </w:r>
      <w:r w:rsidRPr="00480D5F">
        <w:rPr>
          <w:sz w:val="20"/>
        </w:rPr>
        <w:t>CE</w:t>
      </w:r>
      <w:r w:rsidRPr="00480D5F">
        <w:rPr>
          <w:sz w:val="20"/>
        </w:rPr>
        <w:tab/>
        <w:t xml:space="preserve">Comité Asesor sobre Observancia </w:t>
      </w:r>
    </w:p>
    <w:p w:rsidR="00480D5F" w:rsidRDefault="00480D5F" w:rsidP="00480D5F">
      <w:pPr>
        <w:tabs>
          <w:tab w:val="left" w:pos="2127"/>
        </w:tabs>
        <w:spacing w:after="40"/>
        <w:ind w:left="2126" w:right="-476" w:hanging="2126"/>
        <w:rPr>
          <w:sz w:val="20"/>
        </w:rPr>
      </w:pPr>
      <w:r w:rsidRPr="00480D5F">
        <w:rPr>
          <w:bCs/>
          <w:sz w:val="20"/>
        </w:rPr>
        <w:t>A.D.</w:t>
      </w:r>
      <w:r w:rsidRPr="00480D5F">
        <w:rPr>
          <w:sz w:val="20"/>
        </w:rPr>
        <w:tab/>
        <w:t>Agenda para el Desarrollo</w:t>
      </w:r>
    </w:p>
    <w:p w:rsidR="00840F83" w:rsidRDefault="00840F83" w:rsidP="00480D5F">
      <w:pPr>
        <w:tabs>
          <w:tab w:val="left" w:pos="2127"/>
        </w:tabs>
        <w:spacing w:after="40"/>
        <w:ind w:left="2126" w:right="-476" w:hanging="2126"/>
        <w:rPr>
          <w:sz w:val="20"/>
        </w:rPr>
      </w:pPr>
      <w:r>
        <w:rPr>
          <w:sz w:val="20"/>
        </w:rPr>
        <w:t>AEF</w:t>
      </w:r>
      <w:r>
        <w:rPr>
          <w:sz w:val="20"/>
        </w:rPr>
        <w:tab/>
        <w:t>Asociación Española de Franquiciadores</w:t>
      </w:r>
    </w:p>
    <w:p w:rsidR="00FB738C" w:rsidRPr="00480D5F" w:rsidRDefault="00FB738C" w:rsidP="00480D5F">
      <w:pPr>
        <w:tabs>
          <w:tab w:val="left" w:pos="2127"/>
        </w:tabs>
        <w:spacing w:after="40"/>
        <w:ind w:left="2126" w:right="-476" w:hanging="2126"/>
        <w:rPr>
          <w:sz w:val="20"/>
        </w:rPr>
      </w:pPr>
      <w:r>
        <w:rPr>
          <w:sz w:val="20"/>
        </w:rPr>
        <w:t>AGICOA</w:t>
      </w:r>
      <w:r>
        <w:rPr>
          <w:sz w:val="20"/>
        </w:rPr>
        <w:tab/>
      </w:r>
      <w:r w:rsidRPr="00FB738C">
        <w:rPr>
          <w:sz w:val="20"/>
        </w:rPr>
        <w:t>Asociaci</w:t>
      </w:r>
      <w:r>
        <w:rPr>
          <w:sz w:val="20"/>
        </w:rPr>
        <w:t>ó</w:t>
      </w:r>
      <w:r w:rsidRPr="00FB738C">
        <w:rPr>
          <w:sz w:val="20"/>
        </w:rPr>
        <w:t>n para la Gesti</w:t>
      </w:r>
      <w:r>
        <w:rPr>
          <w:sz w:val="20"/>
        </w:rPr>
        <w:t>ó</w:t>
      </w:r>
      <w:r w:rsidRPr="00FB738C">
        <w:rPr>
          <w:sz w:val="20"/>
        </w:rPr>
        <w:t>n Internacional Colectiva de Obras Audiovisuales</w:t>
      </w:r>
    </w:p>
    <w:p w:rsidR="00480D5F" w:rsidRPr="00480D5F" w:rsidRDefault="00480D5F" w:rsidP="00480D5F">
      <w:pPr>
        <w:tabs>
          <w:tab w:val="left" w:pos="2127"/>
        </w:tabs>
        <w:spacing w:after="40"/>
        <w:ind w:left="2126" w:hanging="2126"/>
        <w:rPr>
          <w:i/>
          <w:sz w:val="20"/>
        </w:rPr>
      </w:pPr>
      <w:r w:rsidRPr="00480D5F">
        <w:rPr>
          <w:sz w:val="20"/>
        </w:rPr>
        <w:t>AIMS</w:t>
      </w:r>
      <w:r w:rsidRPr="00480D5F">
        <w:rPr>
          <w:sz w:val="20"/>
        </w:rPr>
        <w:tab/>
        <w:t xml:space="preserve">Sistema de gestión de </w:t>
      </w:r>
      <w:r w:rsidR="00A31E43">
        <w:rPr>
          <w:sz w:val="20"/>
        </w:rPr>
        <w:t xml:space="preserve">la </w:t>
      </w:r>
      <w:r w:rsidRPr="00480D5F">
        <w:rPr>
          <w:sz w:val="20"/>
        </w:rPr>
        <w:t>información administrativa</w:t>
      </w:r>
    </w:p>
    <w:p w:rsidR="00480D5F" w:rsidRPr="00480D5F" w:rsidRDefault="00480D5F" w:rsidP="00480D5F">
      <w:pPr>
        <w:tabs>
          <w:tab w:val="left" w:pos="2127"/>
        </w:tabs>
        <w:spacing w:after="40"/>
        <w:ind w:left="2126" w:hanging="2126"/>
        <w:rPr>
          <w:sz w:val="20"/>
        </w:rPr>
      </w:pPr>
      <w:r w:rsidRPr="00480D5F">
        <w:rPr>
          <w:sz w:val="20"/>
        </w:rPr>
        <w:t>ARDI</w:t>
      </w:r>
      <w:r w:rsidRPr="00480D5F">
        <w:rPr>
          <w:sz w:val="20"/>
        </w:rPr>
        <w:tab/>
        <w:t>Acceso a la Investigación para el Desarrollo y la Innovación</w:t>
      </w:r>
    </w:p>
    <w:p w:rsidR="00480D5F" w:rsidRPr="00480D5F" w:rsidRDefault="00480D5F" w:rsidP="00480D5F">
      <w:pPr>
        <w:tabs>
          <w:tab w:val="left" w:pos="2127"/>
        </w:tabs>
        <w:spacing w:after="40"/>
        <w:ind w:left="2126" w:hanging="2126"/>
        <w:rPr>
          <w:sz w:val="20"/>
        </w:rPr>
      </w:pPr>
      <w:r w:rsidRPr="00480D5F">
        <w:rPr>
          <w:sz w:val="20"/>
        </w:rPr>
        <w:t>ASE</w:t>
      </w:r>
      <w:r w:rsidRPr="00480D5F">
        <w:rPr>
          <w:sz w:val="20"/>
        </w:rPr>
        <w:tab/>
        <w:t>Acuerdos de servicios especiales</w:t>
      </w:r>
    </w:p>
    <w:p w:rsidR="00480D5F" w:rsidRPr="00480D5F" w:rsidRDefault="00480D5F" w:rsidP="00480D5F">
      <w:pPr>
        <w:tabs>
          <w:tab w:val="left" w:pos="2127"/>
        </w:tabs>
        <w:spacing w:after="40"/>
        <w:rPr>
          <w:sz w:val="20"/>
        </w:rPr>
      </w:pPr>
      <w:r w:rsidRPr="00480D5F">
        <w:rPr>
          <w:sz w:val="20"/>
        </w:rPr>
        <w:t>ASEAN</w:t>
      </w:r>
      <w:r w:rsidRPr="00480D5F">
        <w:rPr>
          <w:sz w:val="20"/>
        </w:rPr>
        <w:tab/>
        <w:t>Asociación de Naciones del Asia Sudoriental</w:t>
      </w:r>
    </w:p>
    <w:p w:rsidR="00480D5F" w:rsidRPr="00480D5F" w:rsidRDefault="00480D5F" w:rsidP="00480D5F">
      <w:pPr>
        <w:tabs>
          <w:tab w:val="left" w:pos="2127"/>
        </w:tabs>
        <w:spacing w:after="40"/>
        <w:ind w:left="2127" w:hanging="2127"/>
        <w:rPr>
          <w:sz w:val="20"/>
        </w:rPr>
      </w:pPr>
      <w:r w:rsidRPr="00480D5F">
        <w:rPr>
          <w:sz w:val="20"/>
        </w:rPr>
        <w:t>ASHI</w:t>
      </w:r>
      <w:r w:rsidRPr="00480D5F">
        <w:rPr>
          <w:sz w:val="20"/>
        </w:rPr>
        <w:tab/>
        <w:t xml:space="preserve">Seguro médico tras la separación del servicio (del inglés </w:t>
      </w:r>
      <w:r w:rsidRPr="00480D5F">
        <w:rPr>
          <w:i/>
          <w:sz w:val="20"/>
        </w:rPr>
        <w:t>After-Service Health Insurance</w:t>
      </w:r>
      <w:r w:rsidRPr="00480D5F">
        <w:rPr>
          <w:sz w:val="20"/>
        </w:rPr>
        <w:t>)</w:t>
      </w:r>
    </w:p>
    <w:p w:rsidR="00480D5F" w:rsidRPr="00480D5F" w:rsidRDefault="00480D5F" w:rsidP="00480D5F">
      <w:pPr>
        <w:tabs>
          <w:tab w:val="left" w:pos="2127"/>
        </w:tabs>
        <w:spacing w:after="40"/>
        <w:rPr>
          <w:sz w:val="20"/>
        </w:rPr>
      </w:pPr>
      <w:r w:rsidRPr="00480D5F">
        <w:rPr>
          <w:sz w:val="20"/>
        </w:rPr>
        <w:t>ASPI</w:t>
      </w:r>
      <w:r w:rsidRPr="00480D5F">
        <w:rPr>
          <w:sz w:val="20"/>
        </w:rPr>
        <w:tab/>
        <w:t>Acceso a la Información Especializada sobre Patentes</w:t>
      </w:r>
    </w:p>
    <w:p w:rsidR="00480D5F" w:rsidRPr="002F663B" w:rsidRDefault="00480D5F" w:rsidP="00480D5F">
      <w:pPr>
        <w:tabs>
          <w:tab w:val="left" w:pos="2127"/>
        </w:tabs>
        <w:spacing w:after="40"/>
        <w:rPr>
          <w:sz w:val="20"/>
          <w:lang w:val="en-US"/>
        </w:rPr>
      </w:pPr>
      <w:r w:rsidRPr="002F663B">
        <w:rPr>
          <w:sz w:val="20"/>
          <w:lang w:val="en-US"/>
        </w:rPr>
        <w:t>AUTM</w:t>
      </w:r>
      <w:r w:rsidRPr="002F663B">
        <w:rPr>
          <w:sz w:val="20"/>
          <w:lang w:val="en-US"/>
        </w:rPr>
        <w:tab/>
      </w:r>
      <w:r w:rsidRPr="002F663B">
        <w:rPr>
          <w:i/>
          <w:sz w:val="20"/>
          <w:lang w:val="en-US"/>
        </w:rPr>
        <w:t>Association of University Technology Managers</w:t>
      </w:r>
    </w:p>
    <w:p w:rsidR="00480D5F" w:rsidRPr="00920C62" w:rsidRDefault="00480D5F" w:rsidP="00480D5F">
      <w:pPr>
        <w:tabs>
          <w:tab w:val="left" w:pos="2127"/>
        </w:tabs>
        <w:spacing w:after="120"/>
        <w:ind w:left="2126" w:hanging="2126"/>
        <w:rPr>
          <w:sz w:val="20"/>
          <w:lang w:val="en-US"/>
        </w:rPr>
      </w:pPr>
    </w:p>
    <w:p w:rsidR="00480D5F" w:rsidRPr="00480D5F" w:rsidRDefault="00480D5F" w:rsidP="00480D5F">
      <w:pPr>
        <w:tabs>
          <w:tab w:val="left" w:pos="2127"/>
        </w:tabs>
        <w:ind w:left="2126" w:hanging="2126"/>
        <w:rPr>
          <w:rStyle w:val="st"/>
          <w:sz w:val="20"/>
        </w:rPr>
      </w:pPr>
      <w:r w:rsidRPr="00480D5F">
        <w:rPr>
          <w:b/>
          <w:sz w:val="20"/>
        </w:rPr>
        <w:t>B</w:t>
      </w:r>
      <w:r w:rsidRPr="00480D5F">
        <w:rPr>
          <w:sz w:val="20"/>
        </w:rPr>
        <w:t>OIP</w:t>
      </w:r>
      <w:r w:rsidRPr="00480D5F">
        <w:rPr>
          <w:sz w:val="20"/>
        </w:rPr>
        <w:tab/>
        <w:t>Organización de Propiedad Intelectual del Benelux</w:t>
      </w:r>
    </w:p>
    <w:p w:rsidR="00480D5F" w:rsidRPr="00480D5F" w:rsidRDefault="00480D5F" w:rsidP="00480D5F">
      <w:pPr>
        <w:tabs>
          <w:tab w:val="left" w:pos="2127"/>
        </w:tabs>
        <w:spacing w:after="120"/>
        <w:ind w:left="2126" w:hanging="2126"/>
        <w:rPr>
          <w:sz w:val="20"/>
        </w:rPr>
      </w:pPr>
    </w:p>
    <w:p w:rsidR="00BD10A5" w:rsidRPr="00BD10A5" w:rsidRDefault="00480D5F" w:rsidP="00480D5F">
      <w:pPr>
        <w:tabs>
          <w:tab w:val="left" w:pos="2127"/>
        </w:tabs>
        <w:spacing w:after="40"/>
        <w:ind w:left="2127" w:hanging="2127"/>
        <w:rPr>
          <w:sz w:val="20"/>
        </w:rPr>
      </w:pPr>
      <w:r w:rsidRPr="00480D5F">
        <w:rPr>
          <w:b/>
          <w:sz w:val="20"/>
        </w:rPr>
        <w:t>C</w:t>
      </w:r>
      <w:r w:rsidR="00BD10A5" w:rsidRPr="00BD10A5">
        <w:rPr>
          <w:sz w:val="20"/>
        </w:rPr>
        <w:t>AI</w:t>
      </w:r>
      <w:r w:rsidR="00BD10A5" w:rsidRPr="00BD10A5">
        <w:rPr>
          <w:sz w:val="20"/>
        </w:rPr>
        <w:tab/>
        <w:t>Comisión Asesora sobre Inversiones (OMPI)</w:t>
      </w:r>
    </w:p>
    <w:p w:rsidR="00480D5F" w:rsidRPr="00480D5F" w:rsidRDefault="00BD10A5" w:rsidP="00480D5F">
      <w:pPr>
        <w:tabs>
          <w:tab w:val="left" w:pos="2127"/>
        </w:tabs>
        <w:spacing w:after="40"/>
        <w:ind w:left="2127" w:hanging="2127"/>
        <w:rPr>
          <w:sz w:val="20"/>
        </w:rPr>
      </w:pPr>
      <w:r w:rsidRPr="00BD10A5">
        <w:rPr>
          <w:sz w:val="20"/>
        </w:rPr>
        <w:t>C</w:t>
      </w:r>
      <w:r w:rsidR="00480D5F" w:rsidRPr="00480D5F">
        <w:rPr>
          <w:sz w:val="20"/>
        </w:rPr>
        <w:t>AM</w:t>
      </w:r>
      <w:r w:rsidR="00480D5F" w:rsidRPr="00480D5F">
        <w:rPr>
          <w:sz w:val="20"/>
        </w:rPr>
        <w:tab/>
        <w:t xml:space="preserve">Centro </w:t>
      </w:r>
      <w:r w:rsidR="009A75B0">
        <w:rPr>
          <w:sz w:val="20"/>
        </w:rPr>
        <w:t xml:space="preserve">administrativo de </w:t>
      </w:r>
      <w:proofErr w:type="spellStart"/>
      <w:r w:rsidR="009A75B0" w:rsidRPr="00F10E51">
        <w:rPr>
          <w:i/>
          <w:sz w:val="20"/>
        </w:rPr>
        <w:t>Morillons</w:t>
      </w:r>
      <w:proofErr w:type="spellEnd"/>
    </w:p>
    <w:p w:rsidR="00480D5F" w:rsidRPr="00480D5F" w:rsidRDefault="00480D5F" w:rsidP="00480D5F">
      <w:pPr>
        <w:tabs>
          <w:tab w:val="left" w:pos="2127"/>
        </w:tabs>
        <w:spacing w:after="40"/>
        <w:ind w:left="2127" w:hanging="2127"/>
        <w:rPr>
          <w:sz w:val="20"/>
        </w:rPr>
      </w:pPr>
      <w:r w:rsidRPr="00480D5F">
        <w:rPr>
          <w:sz w:val="20"/>
        </w:rPr>
        <w:t>CAPI</w:t>
      </w:r>
      <w:r w:rsidRPr="00480D5F">
        <w:rPr>
          <w:sz w:val="20"/>
        </w:rPr>
        <w:tab/>
        <w:t>Comisión de Administración Pública Internacional</w:t>
      </w:r>
    </w:p>
    <w:p w:rsidR="00480D5F" w:rsidRPr="00480D5F" w:rsidRDefault="00480D5F" w:rsidP="00480D5F">
      <w:pPr>
        <w:tabs>
          <w:tab w:val="left" w:pos="2127"/>
        </w:tabs>
        <w:spacing w:after="40"/>
        <w:ind w:left="2127" w:hanging="2127"/>
        <w:rPr>
          <w:sz w:val="20"/>
        </w:rPr>
      </w:pPr>
      <w:r w:rsidRPr="00480D5F">
        <w:rPr>
          <w:bCs/>
          <w:sz w:val="20"/>
        </w:rPr>
        <w:t>C</w:t>
      </w:r>
      <w:r w:rsidRPr="00480D5F">
        <w:rPr>
          <w:sz w:val="20"/>
        </w:rPr>
        <w:t>ASE</w:t>
      </w:r>
      <w:r w:rsidRPr="00480D5F">
        <w:rPr>
          <w:sz w:val="20"/>
        </w:rPr>
        <w:tab/>
        <w:t>Acceso Centralizado a los Resultados de la Búsqueda y el Examen</w:t>
      </w:r>
    </w:p>
    <w:p w:rsidR="00480D5F" w:rsidRPr="00480D5F" w:rsidRDefault="00480D5F" w:rsidP="00480D5F">
      <w:pPr>
        <w:tabs>
          <w:tab w:val="left" w:pos="2127"/>
        </w:tabs>
        <w:spacing w:after="40"/>
        <w:ind w:left="2127" w:hanging="2127"/>
        <w:rPr>
          <w:sz w:val="20"/>
        </w:rPr>
      </w:pPr>
      <w:r w:rsidRPr="00480D5F">
        <w:rPr>
          <w:sz w:val="20"/>
        </w:rPr>
        <w:t>CATI</w:t>
      </w:r>
      <w:r w:rsidRPr="00480D5F">
        <w:rPr>
          <w:sz w:val="20"/>
        </w:rPr>
        <w:tab/>
        <w:t>Centros de apoyo a la tecnología y la innovación</w:t>
      </w:r>
    </w:p>
    <w:p w:rsidR="00480D5F" w:rsidRPr="00480D5F" w:rsidRDefault="00480D5F" w:rsidP="00480D5F">
      <w:pPr>
        <w:tabs>
          <w:tab w:val="left" w:pos="2127"/>
        </w:tabs>
        <w:spacing w:after="40"/>
        <w:ind w:left="2127" w:hanging="2127"/>
        <w:rPr>
          <w:sz w:val="20"/>
        </w:rPr>
      </w:pPr>
      <w:r w:rsidRPr="00480D5F">
        <w:rPr>
          <w:sz w:val="20"/>
        </w:rPr>
        <w:t>CC.TT.</w:t>
      </w:r>
      <w:r w:rsidRPr="00480D5F">
        <w:rPr>
          <w:sz w:val="20"/>
        </w:rPr>
        <w:tab/>
        <w:t>Conocimientos tradicionales</w:t>
      </w:r>
    </w:p>
    <w:p w:rsidR="00480D5F" w:rsidRPr="00480D5F" w:rsidRDefault="00480D5F" w:rsidP="00480D5F">
      <w:pPr>
        <w:tabs>
          <w:tab w:val="left" w:pos="2127"/>
        </w:tabs>
        <w:spacing w:after="40"/>
        <w:ind w:left="2127" w:hanging="2127"/>
        <w:rPr>
          <w:sz w:val="20"/>
        </w:rPr>
      </w:pPr>
      <w:r w:rsidRPr="00480D5F">
        <w:rPr>
          <w:sz w:val="20"/>
        </w:rPr>
        <w:t>CCIS</w:t>
      </w:r>
      <w:r w:rsidRPr="00480D5F">
        <w:rPr>
          <w:sz w:val="20"/>
        </w:rPr>
        <w:tab/>
        <w:t>Comisión Consultiva Independiente de Supervisión</w:t>
      </w:r>
    </w:p>
    <w:p w:rsidR="00480D5F" w:rsidRPr="00480D5F" w:rsidRDefault="00480D5F" w:rsidP="00480D5F">
      <w:pPr>
        <w:tabs>
          <w:tab w:val="left" w:pos="2127"/>
        </w:tabs>
        <w:spacing w:after="40"/>
        <w:ind w:left="2127" w:hanging="2127"/>
        <w:rPr>
          <w:sz w:val="20"/>
        </w:rPr>
      </w:pPr>
      <w:proofErr w:type="spellStart"/>
      <w:r w:rsidRPr="00480D5F">
        <w:rPr>
          <w:sz w:val="20"/>
        </w:rPr>
        <w:t>ccTLD</w:t>
      </w:r>
      <w:proofErr w:type="spellEnd"/>
      <w:r w:rsidRPr="00480D5F">
        <w:rPr>
          <w:sz w:val="20"/>
        </w:rPr>
        <w:tab/>
        <w:t>Dominios de nivel superior correspondientes a códigos de países</w:t>
      </w:r>
    </w:p>
    <w:p w:rsidR="00480D5F" w:rsidRPr="00480D5F" w:rsidRDefault="00480D5F" w:rsidP="00480D5F">
      <w:pPr>
        <w:tabs>
          <w:tab w:val="left" w:pos="2127"/>
        </w:tabs>
        <w:spacing w:after="40"/>
        <w:ind w:left="2127" w:hanging="2127"/>
        <w:rPr>
          <w:sz w:val="20"/>
        </w:rPr>
      </w:pPr>
      <w:r w:rsidRPr="00480D5F">
        <w:rPr>
          <w:sz w:val="20"/>
        </w:rPr>
        <w:t>CDIP</w:t>
      </w:r>
      <w:r w:rsidRPr="00480D5F">
        <w:rPr>
          <w:sz w:val="20"/>
        </w:rPr>
        <w:tab/>
        <w:t>Comité de Desarrollo y Propiedad Intelectual</w:t>
      </w:r>
    </w:p>
    <w:p w:rsidR="00480D5F" w:rsidRPr="00480D5F" w:rsidRDefault="00480D5F" w:rsidP="00480D5F">
      <w:pPr>
        <w:tabs>
          <w:tab w:val="left" w:pos="2127"/>
        </w:tabs>
        <w:spacing w:after="40"/>
        <w:ind w:left="2127" w:hanging="2127"/>
        <w:rPr>
          <w:sz w:val="20"/>
        </w:rPr>
      </w:pPr>
      <w:r w:rsidRPr="00480D5F">
        <w:rPr>
          <w:sz w:val="20"/>
        </w:rPr>
        <w:t>CEI</w:t>
      </w:r>
      <w:r w:rsidRPr="00480D5F">
        <w:rPr>
          <w:sz w:val="20"/>
        </w:rPr>
        <w:tab/>
        <w:t>Comunidad de Estados Independientes</w:t>
      </w:r>
    </w:p>
    <w:p w:rsidR="00480D5F" w:rsidRPr="00480D5F" w:rsidRDefault="00480D5F" w:rsidP="00480D5F">
      <w:pPr>
        <w:tabs>
          <w:tab w:val="left" w:pos="2127"/>
        </w:tabs>
        <w:spacing w:after="40"/>
        <w:ind w:left="2127" w:hanging="2127"/>
        <w:rPr>
          <w:sz w:val="20"/>
        </w:rPr>
      </w:pPr>
      <w:r w:rsidRPr="00480D5F">
        <w:rPr>
          <w:sz w:val="20"/>
        </w:rPr>
        <w:t>CICE</w:t>
      </w:r>
      <w:r w:rsidRPr="00480D5F">
        <w:rPr>
          <w:sz w:val="20"/>
        </w:rPr>
        <w:tab/>
        <w:t>Centro Internacional de Cálculos Electrónicos de las Naciones Unidas</w:t>
      </w:r>
    </w:p>
    <w:p w:rsidR="00480D5F" w:rsidRPr="00480D5F" w:rsidRDefault="00480D5F" w:rsidP="00480D5F">
      <w:pPr>
        <w:tabs>
          <w:tab w:val="left" w:pos="2127"/>
        </w:tabs>
        <w:spacing w:after="40"/>
        <w:ind w:left="2127" w:hanging="2127"/>
        <w:rPr>
          <w:sz w:val="20"/>
        </w:rPr>
      </w:pPr>
      <w:r w:rsidRPr="00480D5F">
        <w:rPr>
          <w:sz w:val="20"/>
        </w:rPr>
        <w:t>CIG</w:t>
      </w:r>
      <w:r w:rsidRPr="00480D5F">
        <w:rPr>
          <w:sz w:val="20"/>
        </w:rPr>
        <w:tab/>
        <w:t>Comité Intergubernamental sobre Propiedad Intelectual y Recursos Genéticos, Conocimientos Tradicionales y Folclore</w:t>
      </w:r>
    </w:p>
    <w:p w:rsidR="00480D5F" w:rsidRDefault="00480D5F" w:rsidP="00480D5F">
      <w:pPr>
        <w:tabs>
          <w:tab w:val="left" w:pos="2127"/>
        </w:tabs>
        <w:spacing w:after="40"/>
        <w:ind w:left="2127" w:hanging="2127"/>
        <w:rPr>
          <w:sz w:val="20"/>
        </w:rPr>
      </w:pPr>
      <w:r w:rsidRPr="00480D5F">
        <w:rPr>
          <w:sz w:val="20"/>
        </w:rPr>
        <w:t>CIP</w:t>
      </w:r>
      <w:r w:rsidRPr="00480D5F">
        <w:rPr>
          <w:sz w:val="20"/>
        </w:rPr>
        <w:tab/>
        <w:t>Clasificación Internacional de Patentes</w:t>
      </w:r>
    </w:p>
    <w:p w:rsidR="00930331" w:rsidRPr="00480D5F" w:rsidRDefault="00930331" w:rsidP="00480D5F">
      <w:pPr>
        <w:tabs>
          <w:tab w:val="left" w:pos="2127"/>
        </w:tabs>
        <w:spacing w:after="40"/>
        <w:ind w:left="2127" w:hanging="2127"/>
        <w:rPr>
          <w:sz w:val="20"/>
        </w:rPr>
      </w:pPr>
      <w:r>
        <w:rPr>
          <w:sz w:val="20"/>
        </w:rPr>
        <w:t>CNR</w:t>
      </w:r>
      <w:r>
        <w:rPr>
          <w:sz w:val="20"/>
        </w:rPr>
        <w:tab/>
        <w:t>Centro Nacional de Registros (El Salvador)</w:t>
      </w:r>
    </w:p>
    <w:p w:rsidR="00480D5F" w:rsidRPr="00480D5F" w:rsidRDefault="00480D5F" w:rsidP="00480D5F">
      <w:pPr>
        <w:tabs>
          <w:tab w:val="left" w:pos="2127"/>
        </w:tabs>
        <w:spacing w:after="40"/>
        <w:rPr>
          <w:sz w:val="20"/>
        </w:rPr>
      </w:pPr>
    </w:p>
    <w:p w:rsidR="00480D5F" w:rsidRDefault="00480D5F" w:rsidP="00480D5F">
      <w:pPr>
        <w:tabs>
          <w:tab w:val="left" w:pos="2127"/>
        </w:tabs>
        <w:spacing w:after="40"/>
        <w:ind w:left="2127" w:hanging="2127"/>
        <w:rPr>
          <w:sz w:val="20"/>
        </w:rPr>
      </w:pPr>
      <w:r w:rsidRPr="00756540">
        <w:rPr>
          <w:b/>
          <w:sz w:val="20"/>
        </w:rPr>
        <w:t>D</w:t>
      </w:r>
      <w:r w:rsidRPr="00480D5F">
        <w:rPr>
          <w:sz w:val="20"/>
        </w:rPr>
        <w:t>AS</w:t>
      </w:r>
      <w:r w:rsidRPr="00480D5F">
        <w:rPr>
          <w:sz w:val="20"/>
        </w:rPr>
        <w:tab/>
        <w:t>Servicios de Acceso Digital a los Documentos de Prioridad</w:t>
      </w:r>
    </w:p>
    <w:p w:rsidR="00A31E43" w:rsidRPr="00A31E43" w:rsidRDefault="00A31E43" w:rsidP="00480D5F">
      <w:pPr>
        <w:tabs>
          <w:tab w:val="left" w:pos="2127"/>
        </w:tabs>
        <w:spacing w:after="40"/>
        <w:ind w:left="2127" w:hanging="2127"/>
        <w:rPr>
          <w:sz w:val="20"/>
        </w:rPr>
      </w:pPr>
      <w:r w:rsidRPr="00A31E43">
        <w:rPr>
          <w:sz w:val="20"/>
        </w:rPr>
        <w:t>DCI</w:t>
      </w:r>
      <w:r>
        <w:rPr>
          <w:sz w:val="20"/>
        </w:rPr>
        <w:tab/>
        <w:t>Dependencia Común de Inspección (ONU)</w:t>
      </w:r>
    </w:p>
    <w:p w:rsidR="00A21EA3" w:rsidRDefault="00A21EA3" w:rsidP="00480D5F">
      <w:pPr>
        <w:tabs>
          <w:tab w:val="left" w:pos="2127"/>
        </w:tabs>
        <w:spacing w:after="40"/>
        <w:ind w:left="2127" w:hanging="2127"/>
        <w:rPr>
          <w:sz w:val="20"/>
          <w:lang w:val="en-US"/>
        </w:rPr>
      </w:pPr>
      <w:r w:rsidRPr="00A21EA3">
        <w:rPr>
          <w:sz w:val="20"/>
          <w:lang w:val="en-US"/>
        </w:rPr>
        <w:t>DESCA</w:t>
      </w:r>
      <w:r w:rsidRPr="00A21EA3">
        <w:rPr>
          <w:sz w:val="20"/>
          <w:lang w:val="en-US"/>
        </w:rPr>
        <w:tab/>
      </w:r>
      <w:r w:rsidRPr="00A21EA3">
        <w:rPr>
          <w:i/>
          <w:sz w:val="20"/>
          <w:lang w:val="en-US"/>
        </w:rPr>
        <w:t>Development of a Simplified Consortium Agreement</w:t>
      </w:r>
    </w:p>
    <w:p w:rsidR="00A21EA3" w:rsidRPr="00A21EA3" w:rsidRDefault="00A21EA3" w:rsidP="00480D5F">
      <w:pPr>
        <w:tabs>
          <w:tab w:val="left" w:pos="2127"/>
        </w:tabs>
        <w:spacing w:after="40"/>
        <w:ind w:left="2127" w:hanging="2127"/>
        <w:rPr>
          <w:sz w:val="20"/>
        </w:rPr>
      </w:pPr>
      <w:r w:rsidRPr="00A21EA3">
        <w:rPr>
          <w:sz w:val="20"/>
        </w:rPr>
        <w:t xml:space="preserve">DGIPR </w:t>
      </w:r>
      <w:r>
        <w:rPr>
          <w:sz w:val="20"/>
        </w:rPr>
        <w:tab/>
      </w:r>
      <w:r w:rsidRPr="00A21EA3">
        <w:rPr>
          <w:sz w:val="20"/>
        </w:rPr>
        <w:t>Dirección General de Derechos de Propiedad Intelectual (Indonesia)</w:t>
      </w:r>
    </w:p>
    <w:p w:rsidR="00F10E51" w:rsidRPr="00F10E51" w:rsidRDefault="00F10E51" w:rsidP="00480D5F">
      <w:pPr>
        <w:tabs>
          <w:tab w:val="left" w:pos="2127"/>
        </w:tabs>
        <w:spacing w:after="40"/>
        <w:ind w:left="2127" w:hanging="2127"/>
        <w:rPr>
          <w:sz w:val="20"/>
        </w:rPr>
      </w:pPr>
      <w:r w:rsidRPr="00F10E51">
        <w:rPr>
          <w:sz w:val="20"/>
        </w:rPr>
        <w:t>DINAPI</w:t>
      </w:r>
      <w:r w:rsidRPr="00F10E51">
        <w:rPr>
          <w:sz w:val="20"/>
        </w:rPr>
        <w:tab/>
        <w:t>Dirección Nacional de Propiedad Intelectual</w:t>
      </w:r>
      <w:r>
        <w:rPr>
          <w:sz w:val="20"/>
        </w:rPr>
        <w:t xml:space="preserve"> (Paraguay)</w:t>
      </w:r>
    </w:p>
    <w:p w:rsidR="009A75B0" w:rsidRDefault="009A75B0" w:rsidP="00480D5F">
      <w:pPr>
        <w:tabs>
          <w:tab w:val="left" w:pos="2127"/>
        </w:tabs>
        <w:spacing w:after="40"/>
        <w:rPr>
          <w:sz w:val="20"/>
        </w:rPr>
      </w:pPr>
      <w:r>
        <w:rPr>
          <w:sz w:val="20"/>
        </w:rPr>
        <w:t>DKPTO</w:t>
      </w:r>
      <w:r>
        <w:rPr>
          <w:sz w:val="20"/>
        </w:rPr>
        <w:tab/>
        <w:t>Oficina Danesa de Patentes</w:t>
      </w:r>
    </w:p>
    <w:p w:rsidR="00F10E51" w:rsidRDefault="00F10E51" w:rsidP="00480D5F">
      <w:pPr>
        <w:tabs>
          <w:tab w:val="left" w:pos="2127"/>
        </w:tabs>
        <w:spacing w:after="40"/>
        <w:rPr>
          <w:sz w:val="20"/>
        </w:rPr>
      </w:pPr>
      <w:r>
        <w:rPr>
          <w:sz w:val="20"/>
        </w:rPr>
        <w:t>DNDA</w:t>
      </w:r>
      <w:r>
        <w:rPr>
          <w:sz w:val="20"/>
        </w:rPr>
        <w:tab/>
        <w:t>Dirección Nacional de Derechos de Autor (Colombia)</w:t>
      </w:r>
    </w:p>
    <w:p w:rsidR="00480D5F" w:rsidRPr="00480D5F" w:rsidRDefault="00480D5F" w:rsidP="00480D5F">
      <w:pPr>
        <w:tabs>
          <w:tab w:val="left" w:pos="2127"/>
        </w:tabs>
        <w:spacing w:after="40"/>
        <w:rPr>
          <w:sz w:val="20"/>
        </w:rPr>
      </w:pPr>
      <w:r w:rsidRPr="00480D5F">
        <w:rPr>
          <w:sz w:val="20"/>
        </w:rPr>
        <w:t>DNS</w:t>
      </w:r>
      <w:r w:rsidRPr="00480D5F">
        <w:rPr>
          <w:sz w:val="20"/>
        </w:rPr>
        <w:tab/>
        <w:t>Sistema de Nombres de Dominio de Internet</w:t>
      </w:r>
    </w:p>
    <w:p w:rsidR="00480D5F" w:rsidRPr="00480D5F" w:rsidRDefault="00480D5F" w:rsidP="00480D5F">
      <w:pPr>
        <w:tabs>
          <w:tab w:val="left" w:pos="2127"/>
        </w:tabs>
        <w:spacing w:after="40"/>
        <w:rPr>
          <w:sz w:val="20"/>
        </w:rPr>
      </w:pPr>
      <w:r w:rsidRPr="00480D5F">
        <w:rPr>
          <w:sz w:val="20"/>
        </w:rPr>
        <w:t>DPI</w:t>
      </w:r>
      <w:r w:rsidRPr="00480D5F">
        <w:rPr>
          <w:sz w:val="20"/>
        </w:rPr>
        <w:tab/>
        <w:t>Derechos de propiedad intelectual</w:t>
      </w:r>
    </w:p>
    <w:p w:rsidR="00480D5F" w:rsidRPr="00480D5F" w:rsidRDefault="00480D5F" w:rsidP="00480D5F">
      <w:pPr>
        <w:tabs>
          <w:tab w:val="left" w:pos="2127"/>
        </w:tabs>
        <w:spacing w:after="40"/>
        <w:rPr>
          <w:sz w:val="20"/>
        </w:rPr>
      </w:pPr>
      <w:r w:rsidRPr="00480D5F">
        <w:rPr>
          <w:sz w:val="20"/>
        </w:rPr>
        <w:t>DSI</w:t>
      </w:r>
      <w:r w:rsidRPr="00480D5F">
        <w:rPr>
          <w:sz w:val="20"/>
        </w:rPr>
        <w:tab/>
        <w:t>División de Supervisión Interna</w:t>
      </w:r>
    </w:p>
    <w:p w:rsidR="00480D5F" w:rsidRPr="00480D5F" w:rsidRDefault="00480D5F" w:rsidP="00480D5F">
      <w:pPr>
        <w:tabs>
          <w:tab w:val="left" w:pos="2127"/>
        </w:tabs>
        <w:spacing w:after="120"/>
        <w:ind w:left="2126" w:hanging="2126"/>
        <w:rPr>
          <w:sz w:val="20"/>
        </w:rPr>
      </w:pPr>
    </w:p>
    <w:p w:rsidR="009A75B0" w:rsidRPr="009A75B0" w:rsidRDefault="00480D5F" w:rsidP="00480D5F">
      <w:pPr>
        <w:tabs>
          <w:tab w:val="left" w:pos="2127"/>
        </w:tabs>
        <w:spacing w:after="40"/>
        <w:ind w:left="2127" w:hanging="2127"/>
        <w:rPr>
          <w:sz w:val="20"/>
          <w:lang w:val="en-US"/>
        </w:rPr>
      </w:pPr>
      <w:r w:rsidRPr="009A75B0">
        <w:rPr>
          <w:b/>
          <w:sz w:val="20"/>
          <w:lang w:val="en-US"/>
        </w:rPr>
        <w:t>E</w:t>
      </w:r>
      <w:r w:rsidR="009A75B0" w:rsidRPr="009A75B0">
        <w:rPr>
          <w:sz w:val="20"/>
          <w:lang w:val="en-US"/>
        </w:rPr>
        <w:t>ACIN</w:t>
      </w:r>
      <w:r w:rsidR="009A75B0" w:rsidRPr="009A75B0">
        <w:rPr>
          <w:sz w:val="20"/>
          <w:lang w:val="en-US"/>
        </w:rPr>
        <w:tab/>
      </w:r>
      <w:r w:rsidR="009A75B0" w:rsidRPr="009A75B0">
        <w:rPr>
          <w:i/>
          <w:sz w:val="20"/>
          <w:lang w:val="en-US"/>
        </w:rPr>
        <w:t>East Africa Climate Innovation Network</w:t>
      </w:r>
    </w:p>
    <w:p w:rsidR="00480D5F" w:rsidRPr="00480D5F" w:rsidRDefault="009A75B0" w:rsidP="00480D5F">
      <w:pPr>
        <w:tabs>
          <w:tab w:val="left" w:pos="2127"/>
        </w:tabs>
        <w:spacing w:after="40"/>
        <w:ind w:left="2127" w:hanging="2127"/>
        <w:rPr>
          <w:sz w:val="20"/>
        </w:rPr>
      </w:pPr>
      <w:r w:rsidRPr="009A75B0">
        <w:rPr>
          <w:sz w:val="20"/>
        </w:rPr>
        <w:t>E</w:t>
      </w:r>
      <w:r w:rsidR="00480D5F" w:rsidRPr="00480D5F">
        <w:rPr>
          <w:sz w:val="20"/>
        </w:rPr>
        <w:t>CT</w:t>
      </w:r>
      <w:r w:rsidR="00480D5F" w:rsidRPr="00480D5F">
        <w:rPr>
          <w:sz w:val="20"/>
        </w:rPr>
        <w:tab/>
        <w:t>Expresiones culturales tradicionales</w:t>
      </w:r>
    </w:p>
    <w:p w:rsidR="00480D5F" w:rsidRPr="00480D5F" w:rsidRDefault="00480D5F" w:rsidP="00480D5F">
      <w:pPr>
        <w:tabs>
          <w:tab w:val="left" w:pos="2127"/>
        </w:tabs>
        <w:spacing w:after="40"/>
        <w:ind w:left="2127" w:right="-759" w:hanging="2127"/>
        <w:rPr>
          <w:sz w:val="20"/>
        </w:rPr>
      </w:pPr>
      <w:r w:rsidRPr="00480D5F">
        <w:rPr>
          <w:sz w:val="20"/>
        </w:rPr>
        <w:t>EUIPO</w:t>
      </w:r>
      <w:r w:rsidRPr="00480D5F">
        <w:rPr>
          <w:sz w:val="20"/>
        </w:rPr>
        <w:tab/>
        <w:t>Oficina de Propiedad Intelectual de la Unión Europea</w:t>
      </w:r>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spacing w:after="40"/>
        <w:ind w:left="2127" w:right="-759" w:hanging="2127"/>
        <w:rPr>
          <w:sz w:val="20"/>
        </w:rPr>
      </w:pPr>
      <w:r w:rsidRPr="00480D5F">
        <w:rPr>
          <w:b/>
          <w:bCs/>
          <w:sz w:val="20"/>
        </w:rPr>
        <w:t>F</w:t>
      </w:r>
      <w:r w:rsidRPr="00480D5F">
        <w:rPr>
          <w:sz w:val="20"/>
        </w:rPr>
        <w:t>AO</w:t>
      </w:r>
      <w:r w:rsidRPr="00480D5F">
        <w:rPr>
          <w:sz w:val="20"/>
        </w:rPr>
        <w:tab/>
        <w:t>Organización de las Naciones Unidas para la Alimentación y la Agricultura</w:t>
      </w:r>
    </w:p>
    <w:p w:rsidR="00480D5F" w:rsidRPr="00480D5F" w:rsidRDefault="00480D5F" w:rsidP="00480D5F">
      <w:pPr>
        <w:tabs>
          <w:tab w:val="left" w:pos="2127"/>
        </w:tabs>
        <w:spacing w:after="40"/>
        <w:ind w:left="2127" w:right="-759" w:hanging="2127"/>
        <w:rPr>
          <w:sz w:val="20"/>
        </w:rPr>
      </w:pPr>
      <w:r w:rsidRPr="00480D5F">
        <w:rPr>
          <w:sz w:val="20"/>
        </w:rPr>
        <w:lastRenderedPageBreak/>
        <w:t>FRPI</w:t>
      </w:r>
      <w:r w:rsidRPr="00480D5F">
        <w:rPr>
          <w:bCs/>
          <w:sz w:val="20"/>
        </w:rPr>
        <w:tab/>
        <w:t>Fomentar el respeto por la propiedad intelectual</w:t>
      </w:r>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spacing w:after="40"/>
        <w:ind w:left="2127" w:right="-759" w:hanging="2127"/>
        <w:rPr>
          <w:sz w:val="20"/>
        </w:rPr>
      </w:pPr>
      <w:r w:rsidRPr="00480D5F">
        <w:rPr>
          <w:b/>
          <w:sz w:val="20"/>
        </w:rPr>
        <w:t>G</w:t>
      </w:r>
      <w:r w:rsidRPr="00480D5F">
        <w:rPr>
          <w:sz w:val="20"/>
        </w:rPr>
        <w:t>BD</w:t>
      </w:r>
      <w:r w:rsidRPr="00480D5F">
        <w:rPr>
          <w:sz w:val="20"/>
        </w:rPr>
        <w:tab/>
        <w:t>Base Mundial de Datos sobre Marcas</w:t>
      </w:r>
    </w:p>
    <w:p w:rsidR="00480D5F" w:rsidRPr="00480D5F" w:rsidRDefault="00480D5F" w:rsidP="00480D5F">
      <w:pPr>
        <w:tabs>
          <w:tab w:val="left" w:pos="2127"/>
        </w:tabs>
        <w:spacing w:after="40"/>
        <w:ind w:left="2127" w:right="-759" w:hanging="2127"/>
        <w:rPr>
          <w:sz w:val="20"/>
        </w:rPr>
      </w:pPr>
      <w:r w:rsidRPr="00480D5F">
        <w:rPr>
          <w:sz w:val="20"/>
        </w:rPr>
        <w:t>GDD</w:t>
      </w:r>
      <w:r w:rsidRPr="00480D5F">
        <w:rPr>
          <w:sz w:val="20"/>
        </w:rPr>
        <w:tab/>
        <w:t>Base Mundial de Datos sobre Diseños</w:t>
      </w:r>
    </w:p>
    <w:p w:rsidR="00480D5F" w:rsidRPr="002F663B" w:rsidRDefault="00480D5F" w:rsidP="00480D5F">
      <w:pPr>
        <w:tabs>
          <w:tab w:val="left" w:pos="2127"/>
        </w:tabs>
        <w:spacing w:after="40"/>
        <w:ind w:left="2127" w:right="-759" w:hanging="2127"/>
        <w:rPr>
          <w:sz w:val="20"/>
          <w:lang w:val="en-US"/>
        </w:rPr>
      </w:pPr>
      <w:r w:rsidRPr="002F663B">
        <w:rPr>
          <w:sz w:val="20"/>
          <w:lang w:val="en-US"/>
        </w:rPr>
        <w:t>GNIPA</w:t>
      </w:r>
      <w:r w:rsidRPr="002F663B">
        <w:rPr>
          <w:sz w:val="20"/>
          <w:lang w:val="en-US"/>
        </w:rPr>
        <w:tab/>
        <w:t>Global Network of IP Academies</w:t>
      </w:r>
    </w:p>
    <w:p w:rsidR="00480D5F" w:rsidRPr="00480D5F" w:rsidRDefault="00480D5F" w:rsidP="00480D5F">
      <w:pPr>
        <w:tabs>
          <w:tab w:val="left" w:pos="2127"/>
        </w:tabs>
        <w:spacing w:after="40"/>
        <w:ind w:left="2127" w:right="-759" w:hanging="2127"/>
        <w:rPr>
          <w:sz w:val="20"/>
        </w:rPr>
      </w:pPr>
      <w:proofErr w:type="spellStart"/>
      <w:r w:rsidRPr="00480D5F">
        <w:rPr>
          <w:sz w:val="20"/>
        </w:rPr>
        <w:t>gTLD</w:t>
      </w:r>
      <w:proofErr w:type="spellEnd"/>
      <w:r w:rsidRPr="00480D5F">
        <w:rPr>
          <w:sz w:val="20"/>
        </w:rPr>
        <w:tab/>
        <w:t>Dominios genéricos de nivel superior</w:t>
      </w:r>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rPr>
          <w:sz w:val="20"/>
        </w:rPr>
      </w:pPr>
      <w:r w:rsidRPr="00480D5F">
        <w:rPr>
          <w:b/>
          <w:sz w:val="20"/>
        </w:rPr>
        <w:t>I</w:t>
      </w:r>
      <w:r w:rsidRPr="00480D5F">
        <w:rPr>
          <w:sz w:val="20"/>
        </w:rPr>
        <w:t>B</w:t>
      </w:r>
      <w:r w:rsidRPr="00480D5F">
        <w:rPr>
          <w:sz w:val="20"/>
        </w:rPr>
        <w:tab/>
        <w:t>Oficina Internacional</w:t>
      </w:r>
    </w:p>
    <w:p w:rsidR="00480D5F" w:rsidRDefault="00480D5F" w:rsidP="00480D5F">
      <w:pPr>
        <w:tabs>
          <w:tab w:val="left" w:pos="2127"/>
        </w:tabs>
        <w:rPr>
          <w:sz w:val="20"/>
        </w:rPr>
      </w:pPr>
      <w:r w:rsidRPr="00480D5F">
        <w:rPr>
          <w:sz w:val="20"/>
        </w:rPr>
        <w:t>ICANN</w:t>
      </w:r>
      <w:r w:rsidRPr="00480D5F">
        <w:rPr>
          <w:sz w:val="20"/>
        </w:rPr>
        <w:tab/>
        <w:t>Corporación para la Asignación de Nombres y Números en Internet</w:t>
      </w:r>
    </w:p>
    <w:p w:rsidR="00A73213" w:rsidRPr="00480D5F" w:rsidRDefault="00A73213" w:rsidP="00480D5F">
      <w:pPr>
        <w:tabs>
          <w:tab w:val="left" w:pos="2127"/>
        </w:tabs>
        <w:rPr>
          <w:sz w:val="20"/>
        </w:rPr>
      </w:pPr>
      <w:r>
        <w:rPr>
          <w:sz w:val="20"/>
        </w:rPr>
        <w:t>ICOM</w:t>
      </w:r>
      <w:r>
        <w:rPr>
          <w:sz w:val="20"/>
        </w:rPr>
        <w:tab/>
        <w:t>Consejo Internacional de Museos</w:t>
      </w:r>
    </w:p>
    <w:p w:rsidR="00480D5F" w:rsidRPr="00480D5F" w:rsidRDefault="00480D5F" w:rsidP="00480D5F">
      <w:pPr>
        <w:tabs>
          <w:tab w:val="left" w:pos="2127"/>
        </w:tabs>
        <w:rPr>
          <w:sz w:val="20"/>
        </w:rPr>
      </w:pPr>
      <w:r w:rsidRPr="00480D5F">
        <w:rPr>
          <w:sz w:val="20"/>
        </w:rPr>
        <w:t>ICSEI</w:t>
      </w:r>
      <w:r w:rsidRPr="00480D5F">
        <w:rPr>
          <w:sz w:val="20"/>
        </w:rPr>
        <w:tab/>
        <w:t>Cooperación Internacional para la Búsqueda y el Examen de Invenciones</w:t>
      </w:r>
    </w:p>
    <w:p w:rsidR="00480D5F" w:rsidRPr="00480D5F" w:rsidRDefault="00480D5F" w:rsidP="00480D5F">
      <w:pPr>
        <w:tabs>
          <w:tab w:val="left" w:pos="2127"/>
        </w:tabs>
        <w:rPr>
          <w:sz w:val="20"/>
        </w:rPr>
      </w:pPr>
      <w:r w:rsidRPr="00480D5F">
        <w:rPr>
          <w:sz w:val="20"/>
        </w:rPr>
        <w:t>I+D</w:t>
      </w:r>
      <w:r w:rsidRPr="00480D5F">
        <w:rPr>
          <w:sz w:val="20"/>
        </w:rPr>
        <w:tab/>
        <w:t>Investigación y desarrollo</w:t>
      </w:r>
    </w:p>
    <w:p w:rsidR="00480D5F" w:rsidRPr="00480D5F" w:rsidRDefault="00480D5F" w:rsidP="00480D5F">
      <w:pPr>
        <w:tabs>
          <w:tab w:val="left" w:pos="2127"/>
        </w:tabs>
        <w:rPr>
          <w:sz w:val="20"/>
        </w:rPr>
      </w:pPr>
      <w:r w:rsidRPr="00480D5F">
        <w:rPr>
          <w:sz w:val="20"/>
        </w:rPr>
        <w:t>IIA</w:t>
      </w:r>
      <w:r w:rsidRPr="00480D5F">
        <w:rPr>
          <w:sz w:val="20"/>
        </w:rPr>
        <w:tab/>
        <w:t>Instituto de Auditores Internos</w:t>
      </w:r>
    </w:p>
    <w:p w:rsidR="00480D5F" w:rsidRPr="00480D5F" w:rsidRDefault="00480D5F" w:rsidP="00480D5F">
      <w:pPr>
        <w:tabs>
          <w:tab w:val="left" w:pos="2127"/>
        </w:tabs>
        <w:rPr>
          <w:sz w:val="20"/>
        </w:rPr>
      </w:pPr>
      <w:r w:rsidRPr="00480D5F">
        <w:rPr>
          <w:sz w:val="20"/>
        </w:rPr>
        <w:t>IMPI</w:t>
      </w:r>
      <w:r w:rsidRPr="00480D5F">
        <w:rPr>
          <w:sz w:val="20"/>
        </w:rPr>
        <w:tab/>
        <w:t>Instituto Mexicano de la Propiedad Industrial</w:t>
      </w:r>
    </w:p>
    <w:p w:rsidR="00F10E51" w:rsidRDefault="00480D5F" w:rsidP="00480D5F">
      <w:pPr>
        <w:tabs>
          <w:tab w:val="left" w:pos="2127"/>
        </w:tabs>
        <w:rPr>
          <w:sz w:val="20"/>
        </w:rPr>
      </w:pPr>
      <w:r w:rsidRPr="00480D5F">
        <w:rPr>
          <w:sz w:val="20"/>
        </w:rPr>
        <w:t>INPI</w:t>
      </w:r>
      <w:r w:rsidR="00F10E51">
        <w:rPr>
          <w:sz w:val="20"/>
        </w:rPr>
        <w:tab/>
        <w:t>Instituto Nacional de la Propiedad Industrial (Francia)</w:t>
      </w:r>
    </w:p>
    <w:p w:rsidR="00480D5F" w:rsidRPr="00480D5F" w:rsidRDefault="00F10E51" w:rsidP="00480D5F">
      <w:pPr>
        <w:tabs>
          <w:tab w:val="left" w:pos="2127"/>
        </w:tabs>
        <w:rPr>
          <w:sz w:val="20"/>
        </w:rPr>
      </w:pPr>
      <w:r>
        <w:rPr>
          <w:sz w:val="20"/>
        </w:rPr>
        <w:t>INPI-Brasil</w:t>
      </w:r>
      <w:r w:rsidR="00480D5F" w:rsidRPr="00480D5F">
        <w:rPr>
          <w:sz w:val="20"/>
        </w:rPr>
        <w:tab/>
        <w:t>Instituto Nacional de la Propiedad Industrial (Brasil)</w:t>
      </w:r>
    </w:p>
    <w:p w:rsidR="00480D5F" w:rsidRPr="00480D5F" w:rsidRDefault="00480D5F" w:rsidP="00480D5F">
      <w:pPr>
        <w:tabs>
          <w:tab w:val="left" w:pos="2127"/>
        </w:tabs>
        <w:ind w:left="2127" w:hanging="2127"/>
        <w:rPr>
          <w:sz w:val="20"/>
        </w:rPr>
      </w:pPr>
      <w:r w:rsidRPr="00480D5F">
        <w:rPr>
          <w:sz w:val="20"/>
        </w:rPr>
        <w:t>IP-DMD</w:t>
      </w:r>
      <w:r w:rsidRPr="00480D5F">
        <w:rPr>
          <w:sz w:val="20"/>
        </w:rPr>
        <w:tab/>
        <w:t>Base de datos de vinculación para atender las necesidades de desarrollo en materia de P.I.</w:t>
      </w:r>
    </w:p>
    <w:p w:rsidR="00480D5F" w:rsidRPr="00480D5F" w:rsidRDefault="00480D5F" w:rsidP="00480D5F">
      <w:pPr>
        <w:tabs>
          <w:tab w:val="left" w:pos="2127"/>
        </w:tabs>
        <w:rPr>
          <w:sz w:val="20"/>
        </w:rPr>
      </w:pPr>
      <w:r w:rsidRPr="00480D5F">
        <w:rPr>
          <w:sz w:val="20"/>
        </w:rPr>
        <w:t>IP-ROC</w:t>
      </w:r>
      <w:r w:rsidRPr="00480D5F">
        <w:rPr>
          <w:sz w:val="20"/>
        </w:rPr>
        <w:tab/>
        <w:t>Lista de consultores en propiedad intelectual</w:t>
      </w:r>
    </w:p>
    <w:p w:rsidR="00480D5F" w:rsidRPr="00480D5F" w:rsidRDefault="00480D5F" w:rsidP="00480D5F">
      <w:pPr>
        <w:tabs>
          <w:tab w:val="left" w:pos="2127"/>
        </w:tabs>
        <w:rPr>
          <w:sz w:val="20"/>
        </w:rPr>
      </w:pPr>
      <w:r w:rsidRPr="00480D5F">
        <w:rPr>
          <w:sz w:val="20"/>
        </w:rPr>
        <w:t>IP-TAD</w:t>
      </w:r>
      <w:r w:rsidRPr="00480D5F">
        <w:rPr>
          <w:sz w:val="20"/>
        </w:rPr>
        <w:tab/>
        <w:t>Base de datos de asistencia técnica en materia de propiedad intelectual</w:t>
      </w:r>
    </w:p>
    <w:p w:rsidR="00480D5F" w:rsidRPr="00480D5F" w:rsidRDefault="00480D5F" w:rsidP="00480D5F">
      <w:pPr>
        <w:tabs>
          <w:tab w:val="left" w:pos="2127"/>
        </w:tabs>
        <w:rPr>
          <w:sz w:val="20"/>
        </w:rPr>
      </w:pPr>
      <w:r w:rsidRPr="00480D5F">
        <w:rPr>
          <w:sz w:val="20"/>
        </w:rPr>
        <w:t>IPAG</w:t>
      </w:r>
      <w:r w:rsidRPr="00480D5F">
        <w:rPr>
          <w:sz w:val="20"/>
        </w:rPr>
        <w:tab/>
      </w:r>
      <w:proofErr w:type="spellStart"/>
      <w:r w:rsidRPr="00480D5F">
        <w:rPr>
          <w:i/>
          <w:sz w:val="20"/>
        </w:rPr>
        <w:t>Intellectual</w:t>
      </w:r>
      <w:proofErr w:type="spellEnd"/>
      <w:r w:rsidRPr="00480D5F">
        <w:rPr>
          <w:i/>
          <w:sz w:val="20"/>
        </w:rPr>
        <w:t xml:space="preserve"> </w:t>
      </w:r>
      <w:proofErr w:type="spellStart"/>
      <w:r w:rsidRPr="00480D5F">
        <w:rPr>
          <w:i/>
          <w:sz w:val="20"/>
        </w:rPr>
        <w:t>Property</w:t>
      </w:r>
      <w:proofErr w:type="spellEnd"/>
      <w:r w:rsidRPr="00480D5F">
        <w:rPr>
          <w:i/>
          <w:sz w:val="20"/>
        </w:rPr>
        <w:t xml:space="preserve"> </w:t>
      </w:r>
      <w:proofErr w:type="spellStart"/>
      <w:r w:rsidRPr="00480D5F">
        <w:rPr>
          <w:i/>
          <w:sz w:val="20"/>
        </w:rPr>
        <w:t>Agreement</w:t>
      </w:r>
      <w:proofErr w:type="spellEnd"/>
      <w:r w:rsidRPr="00480D5F">
        <w:rPr>
          <w:i/>
          <w:sz w:val="20"/>
        </w:rPr>
        <w:t xml:space="preserve"> Guide</w:t>
      </w:r>
    </w:p>
    <w:p w:rsidR="00480D5F" w:rsidRPr="00480D5F" w:rsidRDefault="00480D5F" w:rsidP="00480D5F">
      <w:pPr>
        <w:tabs>
          <w:tab w:val="left" w:pos="2127"/>
        </w:tabs>
        <w:rPr>
          <w:sz w:val="20"/>
        </w:rPr>
      </w:pPr>
      <w:r w:rsidRPr="00480D5F">
        <w:rPr>
          <w:sz w:val="20"/>
        </w:rPr>
        <w:t>IPAS</w:t>
      </w:r>
      <w:r w:rsidRPr="00480D5F">
        <w:rPr>
          <w:sz w:val="20"/>
        </w:rPr>
        <w:tab/>
        <w:t>Sistema de Automatización de la Propiedad Industrial</w:t>
      </w:r>
    </w:p>
    <w:p w:rsidR="00480D5F" w:rsidRDefault="00480D5F" w:rsidP="00480D5F">
      <w:pPr>
        <w:tabs>
          <w:tab w:val="left" w:pos="2127"/>
        </w:tabs>
        <w:rPr>
          <w:sz w:val="20"/>
        </w:rPr>
      </w:pPr>
      <w:r w:rsidRPr="00480D5F">
        <w:rPr>
          <w:sz w:val="20"/>
        </w:rPr>
        <w:t>IPOPHL</w:t>
      </w:r>
      <w:r w:rsidRPr="00480D5F">
        <w:rPr>
          <w:sz w:val="20"/>
        </w:rPr>
        <w:tab/>
        <w:t>Oficina de Propiedad Intelectual de Filipinas</w:t>
      </w:r>
    </w:p>
    <w:p w:rsidR="00A73213" w:rsidRPr="00480D5F" w:rsidRDefault="00A73213" w:rsidP="00480D5F">
      <w:pPr>
        <w:tabs>
          <w:tab w:val="left" w:pos="2127"/>
        </w:tabs>
        <w:rPr>
          <w:sz w:val="20"/>
        </w:rPr>
      </w:pPr>
      <w:r>
        <w:rPr>
          <w:sz w:val="20"/>
        </w:rPr>
        <w:t>IPOS</w:t>
      </w:r>
      <w:r>
        <w:rPr>
          <w:sz w:val="20"/>
        </w:rPr>
        <w:tab/>
        <w:t>Oficina de Propiedad Intelectual de Singapur</w:t>
      </w:r>
    </w:p>
    <w:p w:rsidR="00480D5F" w:rsidRPr="00480D5F" w:rsidRDefault="00480D5F" w:rsidP="00480D5F">
      <w:pPr>
        <w:tabs>
          <w:tab w:val="left" w:pos="2127"/>
        </w:tabs>
        <w:rPr>
          <w:sz w:val="20"/>
        </w:rPr>
      </w:pPr>
      <w:r w:rsidRPr="00480D5F">
        <w:rPr>
          <w:sz w:val="20"/>
        </w:rPr>
        <w:t>IPSAS</w:t>
      </w:r>
      <w:r w:rsidRPr="00480D5F">
        <w:rPr>
          <w:sz w:val="20"/>
        </w:rPr>
        <w:tab/>
        <w:t>Normas Internacionales de Contabilidad del Sector Público</w:t>
      </w:r>
    </w:p>
    <w:p w:rsidR="00480D5F" w:rsidRPr="00480D5F" w:rsidRDefault="00480D5F" w:rsidP="00480D5F">
      <w:pPr>
        <w:tabs>
          <w:tab w:val="left" w:pos="2127"/>
        </w:tabs>
        <w:rPr>
          <w:sz w:val="20"/>
        </w:rPr>
      </w:pPr>
      <w:r w:rsidRPr="00480D5F">
        <w:rPr>
          <w:sz w:val="20"/>
        </w:rPr>
        <w:t>ISO</w:t>
      </w:r>
      <w:r w:rsidRPr="00480D5F">
        <w:rPr>
          <w:sz w:val="20"/>
        </w:rPr>
        <w:tab/>
        <w:t>Organización Internacional de Normalización</w:t>
      </w:r>
    </w:p>
    <w:p w:rsidR="00480D5F" w:rsidRPr="00480D5F" w:rsidRDefault="00480D5F" w:rsidP="00480D5F">
      <w:pPr>
        <w:tabs>
          <w:tab w:val="left" w:pos="2127"/>
        </w:tabs>
        <w:rPr>
          <w:sz w:val="20"/>
        </w:rPr>
      </w:pPr>
      <w:r w:rsidRPr="00480D5F">
        <w:rPr>
          <w:sz w:val="20"/>
        </w:rPr>
        <w:t>ITIL</w:t>
      </w:r>
      <w:r w:rsidRPr="00480D5F">
        <w:rPr>
          <w:sz w:val="20"/>
        </w:rPr>
        <w:tab/>
        <w:t>Biblioteca de Infraestructura de T.I.</w:t>
      </w:r>
    </w:p>
    <w:p w:rsidR="00480D5F" w:rsidRPr="00480D5F" w:rsidRDefault="00480D5F" w:rsidP="00480D5F">
      <w:pPr>
        <w:tabs>
          <w:tab w:val="left" w:pos="2127"/>
        </w:tabs>
        <w:ind w:left="2127" w:hanging="2127"/>
        <w:rPr>
          <w:sz w:val="20"/>
        </w:rPr>
      </w:pPr>
      <w:r w:rsidRPr="00480D5F">
        <w:rPr>
          <w:sz w:val="20"/>
        </w:rPr>
        <w:t>ITPGRFA</w:t>
      </w:r>
      <w:r w:rsidRPr="00480D5F">
        <w:rPr>
          <w:sz w:val="20"/>
        </w:rPr>
        <w:tab/>
        <w:t>Tratado Internacional sobre los Recursos Fitogenéticos para la Alimentación y la Agricultura</w:t>
      </w:r>
    </w:p>
    <w:p w:rsidR="00480D5F" w:rsidRPr="00480D5F" w:rsidRDefault="00480D5F" w:rsidP="00480D5F">
      <w:pPr>
        <w:tabs>
          <w:tab w:val="left" w:pos="2127"/>
        </w:tabs>
        <w:spacing w:after="120"/>
        <w:ind w:left="2126" w:hanging="2126"/>
        <w:rPr>
          <w:sz w:val="20"/>
        </w:rPr>
      </w:pPr>
    </w:p>
    <w:p w:rsidR="00756540" w:rsidRDefault="00756540" w:rsidP="00480D5F">
      <w:pPr>
        <w:tabs>
          <w:tab w:val="left" w:pos="2127"/>
        </w:tabs>
        <w:rPr>
          <w:sz w:val="20"/>
        </w:rPr>
      </w:pPr>
      <w:r>
        <w:rPr>
          <w:b/>
          <w:sz w:val="20"/>
        </w:rPr>
        <w:t>J</w:t>
      </w:r>
      <w:r w:rsidRPr="00756540">
        <w:rPr>
          <w:sz w:val="20"/>
        </w:rPr>
        <w:t>PO</w:t>
      </w:r>
      <w:r>
        <w:rPr>
          <w:sz w:val="20"/>
        </w:rPr>
        <w:tab/>
        <w:t>Oficina Japonesa de Patentes</w:t>
      </w:r>
    </w:p>
    <w:p w:rsidR="00756540" w:rsidRDefault="00756540" w:rsidP="00480D5F">
      <w:pPr>
        <w:tabs>
          <w:tab w:val="left" w:pos="2127"/>
        </w:tabs>
        <w:rPr>
          <w:sz w:val="20"/>
        </w:rPr>
      </w:pPr>
    </w:p>
    <w:p w:rsidR="00A21EA3" w:rsidRDefault="00756540" w:rsidP="00756540">
      <w:pPr>
        <w:tabs>
          <w:tab w:val="left" w:pos="2127"/>
        </w:tabs>
        <w:ind w:left="2127" w:hanging="2127"/>
        <w:rPr>
          <w:b/>
          <w:sz w:val="20"/>
        </w:rPr>
      </w:pPr>
      <w:r w:rsidRPr="00756540">
        <w:rPr>
          <w:b/>
          <w:sz w:val="20"/>
        </w:rPr>
        <w:t>K</w:t>
      </w:r>
      <w:r w:rsidR="00A21EA3" w:rsidRPr="00A21EA3">
        <w:rPr>
          <w:sz w:val="20"/>
        </w:rPr>
        <w:t>CC</w:t>
      </w:r>
      <w:r w:rsidR="00A21EA3" w:rsidRPr="00A21EA3">
        <w:rPr>
          <w:sz w:val="20"/>
        </w:rPr>
        <w:tab/>
      </w:r>
      <w:r w:rsidR="00A21EA3">
        <w:rPr>
          <w:sz w:val="20"/>
        </w:rPr>
        <w:t>Comisión Surcoreana de Derecho de Autor</w:t>
      </w:r>
    </w:p>
    <w:p w:rsidR="00756540" w:rsidRDefault="00A21EA3" w:rsidP="00756540">
      <w:pPr>
        <w:tabs>
          <w:tab w:val="left" w:pos="2127"/>
        </w:tabs>
        <w:ind w:left="2127" w:hanging="2127"/>
        <w:rPr>
          <w:sz w:val="20"/>
        </w:rPr>
      </w:pPr>
      <w:r w:rsidRPr="00A21EA3">
        <w:rPr>
          <w:sz w:val="20"/>
        </w:rPr>
        <w:t>K</w:t>
      </w:r>
      <w:r w:rsidR="00756540">
        <w:rPr>
          <w:sz w:val="20"/>
        </w:rPr>
        <w:t>IPO</w:t>
      </w:r>
      <w:r w:rsidR="00756540">
        <w:rPr>
          <w:sz w:val="20"/>
        </w:rPr>
        <w:tab/>
      </w:r>
      <w:r w:rsidR="00756540" w:rsidRPr="00756540">
        <w:rPr>
          <w:sz w:val="20"/>
        </w:rPr>
        <w:t>Oficina Surcoreana de Propiedad Intelectual</w:t>
      </w:r>
    </w:p>
    <w:p w:rsidR="00930331" w:rsidRPr="00920C62" w:rsidRDefault="00930331" w:rsidP="00756540">
      <w:pPr>
        <w:tabs>
          <w:tab w:val="left" w:pos="2127"/>
        </w:tabs>
        <w:ind w:left="2127" w:hanging="2127"/>
        <w:rPr>
          <w:sz w:val="20"/>
          <w:lang w:val="en-US"/>
        </w:rPr>
      </w:pPr>
      <w:r w:rsidRPr="00920C62">
        <w:rPr>
          <w:sz w:val="20"/>
          <w:lang w:val="en-US"/>
        </w:rPr>
        <w:t>KOCCA</w:t>
      </w:r>
      <w:r w:rsidRPr="00920C62">
        <w:rPr>
          <w:sz w:val="20"/>
          <w:lang w:val="en-US"/>
        </w:rPr>
        <w:tab/>
      </w:r>
      <w:r w:rsidRPr="00920C62">
        <w:rPr>
          <w:i/>
          <w:sz w:val="20"/>
          <w:lang w:val="en-US"/>
        </w:rPr>
        <w:t>Korea Creative Content Agency</w:t>
      </w:r>
    </w:p>
    <w:p w:rsidR="009A75B0" w:rsidRPr="00920C62" w:rsidRDefault="009A75B0" w:rsidP="00756540">
      <w:pPr>
        <w:tabs>
          <w:tab w:val="left" w:pos="2127"/>
        </w:tabs>
        <w:ind w:left="2127" w:hanging="2127"/>
        <w:rPr>
          <w:sz w:val="20"/>
          <w:lang w:val="en-US"/>
        </w:rPr>
      </w:pPr>
      <w:r w:rsidRPr="00920C62">
        <w:rPr>
          <w:sz w:val="20"/>
          <w:lang w:val="en-US"/>
        </w:rPr>
        <w:t>KOTEC</w:t>
      </w:r>
      <w:r w:rsidRPr="00920C62">
        <w:rPr>
          <w:sz w:val="20"/>
          <w:lang w:val="en-US"/>
        </w:rPr>
        <w:tab/>
      </w:r>
      <w:r w:rsidRPr="00920C62">
        <w:rPr>
          <w:i/>
          <w:sz w:val="20"/>
          <w:lang w:val="en-US"/>
        </w:rPr>
        <w:t>Korea Technology Finance Corporation</w:t>
      </w:r>
    </w:p>
    <w:p w:rsidR="00756540" w:rsidRDefault="00756540" w:rsidP="00756540">
      <w:pPr>
        <w:tabs>
          <w:tab w:val="left" w:pos="2127"/>
        </w:tabs>
        <w:ind w:left="2127" w:hanging="2127"/>
        <w:rPr>
          <w:sz w:val="20"/>
        </w:rPr>
      </w:pPr>
      <w:r w:rsidRPr="00756540">
        <w:rPr>
          <w:sz w:val="20"/>
        </w:rPr>
        <w:t>KWIA</w:t>
      </w:r>
      <w:r w:rsidRPr="00756540">
        <w:rPr>
          <w:sz w:val="20"/>
        </w:rPr>
        <w:tab/>
        <w:t>Asociación Surcoreana de Inventoras</w:t>
      </w:r>
    </w:p>
    <w:p w:rsidR="00756540" w:rsidRDefault="00756540" w:rsidP="00480D5F">
      <w:pPr>
        <w:tabs>
          <w:tab w:val="left" w:pos="2127"/>
        </w:tabs>
        <w:rPr>
          <w:b/>
          <w:sz w:val="20"/>
        </w:rPr>
      </w:pPr>
    </w:p>
    <w:p w:rsidR="00480D5F" w:rsidRPr="00480D5F" w:rsidRDefault="00480D5F" w:rsidP="00480D5F">
      <w:pPr>
        <w:tabs>
          <w:tab w:val="left" w:pos="2127"/>
        </w:tabs>
        <w:rPr>
          <w:sz w:val="20"/>
        </w:rPr>
      </w:pPr>
      <w:r w:rsidRPr="00480D5F">
        <w:rPr>
          <w:b/>
          <w:sz w:val="20"/>
        </w:rPr>
        <w:t>M</w:t>
      </w:r>
      <w:r w:rsidRPr="00480D5F">
        <w:rPr>
          <w:sz w:val="20"/>
        </w:rPr>
        <w:t>GS</w:t>
      </w:r>
      <w:r w:rsidRPr="00480D5F">
        <w:rPr>
          <w:sz w:val="20"/>
        </w:rPr>
        <w:tab/>
        <w:t>Gestor de Productos y Servicios de Madrid</w:t>
      </w:r>
    </w:p>
    <w:p w:rsidR="00480D5F" w:rsidRPr="00480D5F" w:rsidRDefault="00480D5F" w:rsidP="00480D5F">
      <w:pPr>
        <w:tabs>
          <w:tab w:val="left" w:pos="2127"/>
        </w:tabs>
        <w:rPr>
          <w:sz w:val="20"/>
        </w:rPr>
      </w:pPr>
    </w:p>
    <w:p w:rsidR="00480D5F" w:rsidRPr="00480D5F" w:rsidRDefault="00480D5F" w:rsidP="00480D5F">
      <w:pPr>
        <w:tabs>
          <w:tab w:val="left" w:pos="2127"/>
        </w:tabs>
        <w:rPr>
          <w:sz w:val="20"/>
        </w:rPr>
      </w:pPr>
      <w:r w:rsidRPr="00480D5F">
        <w:rPr>
          <w:b/>
          <w:sz w:val="20"/>
        </w:rPr>
        <w:t>O</w:t>
      </w:r>
      <w:r w:rsidRPr="00480D5F">
        <w:rPr>
          <w:sz w:val="20"/>
        </w:rPr>
        <w:t>AMI</w:t>
      </w:r>
      <w:r w:rsidRPr="00480D5F">
        <w:rPr>
          <w:sz w:val="20"/>
        </w:rPr>
        <w:tab/>
        <w:t>Oficina de Armonización del Mercado Interior</w:t>
      </w:r>
    </w:p>
    <w:p w:rsidR="00480D5F" w:rsidRPr="00480D5F" w:rsidRDefault="00480D5F" w:rsidP="00480D5F">
      <w:pPr>
        <w:tabs>
          <w:tab w:val="left" w:pos="2127"/>
        </w:tabs>
        <w:rPr>
          <w:sz w:val="20"/>
        </w:rPr>
      </w:pPr>
      <w:r w:rsidRPr="00480D5F">
        <w:rPr>
          <w:sz w:val="20"/>
        </w:rPr>
        <w:t>ODM</w:t>
      </w:r>
      <w:r w:rsidRPr="00480D5F">
        <w:rPr>
          <w:sz w:val="20"/>
        </w:rPr>
        <w:tab/>
        <w:t>Objetivos de Desarrollo del Milenio</w:t>
      </w:r>
    </w:p>
    <w:p w:rsidR="00480D5F" w:rsidRPr="00480D5F" w:rsidRDefault="00480D5F" w:rsidP="00480D5F">
      <w:pPr>
        <w:tabs>
          <w:tab w:val="left" w:pos="2127"/>
        </w:tabs>
        <w:rPr>
          <w:sz w:val="20"/>
        </w:rPr>
      </w:pPr>
      <w:r w:rsidRPr="00480D5F">
        <w:rPr>
          <w:sz w:val="20"/>
        </w:rPr>
        <w:t>ODS</w:t>
      </w:r>
      <w:r w:rsidRPr="00480D5F">
        <w:rPr>
          <w:sz w:val="20"/>
        </w:rPr>
        <w:tab/>
        <w:t>Objetivos de desarrollo sostenible</w:t>
      </w:r>
    </w:p>
    <w:p w:rsidR="00480D5F" w:rsidRDefault="00480D5F" w:rsidP="00480D5F">
      <w:pPr>
        <w:tabs>
          <w:tab w:val="left" w:pos="2127"/>
        </w:tabs>
        <w:rPr>
          <w:sz w:val="20"/>
        </w:rPr>
      </w:pPr>
      <w:r w:rsidRPr="00480D5F">
        <w:rPr>
          <w:sz w:val="20"/>
        </w:rPr>
        <w:t>OEP</w:t>
      </w:r>
      <w:r w:rsidRPr="00480D5F">
        <w:rPr>
          <w:sz w:val="20"/>
        </w:rPr>
        <w:tab/>
        <w:t>Oficina Europea de Patentes</w:t>
      </w:r>
    </w:p>
    <w:p w:rsidR="00FB738C" w:rsidRPr="00480D5F" w:rsidRDefault="00FB738C" w:rsidP="00480D5F">
      <w:pPr>
        <w:tabs>
          <w:tab w:val="left" w:pos="2127"/>
        </w:tabs>
        <w:rPr>
          <w:sz w:val="20"/>
        </w:rPr>
      </w:pPr>
      <w:r>
        <w:rPr>
          <w:sz w:val="20"/>
        </w:rPr>
        <w:t>OEPM</w:t>
      </w:r>
      <w:r>
        <w:rPr>
          <w:sz w:val="20"/>
        </w:rPr>
        <w:tab/>
        <w:t>Oficina Española de Patentes y Marcas</w:t>
      </w:r>
    </w:p>
    <w:p w:rsidR="00480D5F" w:rsidRPr="00480D5F" w:rsidRDefault="00480D5F" w:rsidP="00480D5F">
      <w:pPr>
        <w:tabs>
          <w:tab w:val="left" w:pos="2127"/>
        </w:tabs>
        <w:rPr>
          <w:sz w:val="20"/>
        </w:rPr>
      </w:pPr>
      <w:r w:rsidRPr="00480D5F">
        <w:rPr>
          <w:sz w:val="20"/>
        </w:rPr>
        <w:t>OGC</w:t>
      </w:r>
      <w:r w:rsidRPr="00480D5F">
        <w:rPr>
          <w:sz w:val="20"/>
        </w:rPr>
        <w:tab/>
        <w:t>Organismos de gestión colectiva</w:t>
      </w:r>
    </w:p>
    <w:p w:rsidR="00480D5F" w:rsidRPr="00480D5F" w:rsidRDefault="00480D5F" w:rsidP="00480D5F">
      <w:pPr>
        <w:tabs>
          <w:tab w:val="left" w:pos="2127"/>
        </w:tabs>
        <w:rPr>
          <w:sz w:val="20"/>
        </w:rPr>
      </w:pPr>
      <w:r w:rsidRPr="00480D5F">
        <w:rPr>
          <w:sz w:val="20"/>
        </w:rPr>
        <w:t>OIG</w:t>
      </w:r>
      <w:r w:rsidRPr="00480D5F">
        <w:rPr>
          <w:sz w:val="20"/>
        </w:rPr>
        <w:tab/>
        <w:t>Organizaciones intergubernamentales</w:t>
      </w:r>
    </w:p>
    <w:p w:rsidR="00480D5F" w:rsidRPr="00480D5F" w:rsidRDefault="00480D5F" w:rsidP="00480D5F">
      <w:pPr>
        <w:tabs>
          <w:tab w:val="left" w:pos="2127"/>
        </w:tabs>
        <w:rPr>
          <w:sz w:val="20"/>
        </w:rPr>
      </w:pPr>
      <w:r w:rsidRPr="00480D5F">
        <w:rPr>
          <w:sz w:val="20"/>
        </w:rPr>
        <w:t>OMC</w:t>
      </w:r>
      <w:r w:rsidRPr="00480D5F">
        <w:rPr>
          <w:sz w:val="20"/>
        </w:rPr>
        <w:tab/>
        <w:t>Organización Mundial del Comercio</w:t>
      </w:r>
    </w:p>
    <w:p w:rsidR="00480D5F" w:rsidRPr="00480D5F" w:rsidRDefault="00480D5F" w:rsidP="00480D5F">
      <w:pPr>
        <w:tabs>
          <w:tab w:val="left" w:pos="2127"/>
        </w:tabs>
        <w:rPr>
          <w:sz w:val="20"/>
        </w:rPr>
      </w:pPr>
      <w:r w:rsidRPr="00480D5F">
        <w:rPr>
          <w:sz w:val="20"/>
        </w:rPr>
        <w:t>OMS</w:t>
      </w:r>
      <w:r w:rsidRPr="00480D5F">
        <w:rPr>
          <w:sz w:val="20"/>
        </w:rPr>
        <w:tab/>
        <w:t>Organización Mundial de la Salud</w:t>
      </w:r>
    </w:p>
    <w:p w:rsidR="00480D5F" w:rsidRPr="00480D5F" w:rsidRDefault="00480D5F" w:rsidP="00480D5F">
      <w:pPr>
        <w:tabs>
          <w:tab w:val="left" w:pos="2127"/>
        </w:tabs>
        <w:rPr>
          <w:sz w:val="20"/>
        </w:rPr>
      </w:pPr>
      <w:r w:rsidRPr="00480D5F">
        <w:rPr>
          <w:sz w:val="20"/>
        </w:rPr>
        <w:t>ONG</w:t>
      </w:r>
      <w:r w:rsidRPr="00480D5F">
        <w:rPr>
          <w:sz w:val="20"/>
        </w:rPr>
        <w:tab/>
        <w:t>Organizaciones no gubernamentales</w:t>
      </w:r>
    </w:p>
    <w:p w:rsidR="00480D5F" w:rsidRPr="00480D5F" w:rsidRDefault="00480D5F" w:rsidP="00480D5F">
      <w:pPr>
        <w:tabs>
          <w:tab w:val="left" w:pos="2127"/>
        </w:tabs>
        <w:rPr>
          <w:sz w:val="20"/>
        </w:rPr>
      </w:pPr>
      <w:r w:rsidRPr="00480D5F">
        <w:rPr>
          <w:sz w:val="20"/>
        </w:rPr>
        <w:t>ONU</w:t>
      </w:r>
      <w:r w:rsidRPr="00480D5F">
        <w:rPr>
          <w:sz w:val="20"/>
        </w:rPr>
        <w:tab/>
        <w:t>Naciones Unidas</w:t>
      </w:r>
    </w:p>
    <w:p w:rsidR="00480D5F" w:rsidRPr="00480D5F" w:rsidRDefault="00480D5F" w:rsidP="00480D5F">
      <w:pPr>
        <w:tabs>
          <w:tab w:val="left" w:pos="2127"/>
        </w:tabs>
        <w:rPr>
          <w:sz w:val="20"/>
        </w:rPr>
      </w:pPr>
      <w:r w:rsidRPr="00480D5F">
        <w:rPr>
          <w:sz w:val="20"/>
        </w:rPr>
        <w:t>OOB</w:t>
      </w:r>
      <w:r w:rsidRPr="00480D5F">
        <w:rPr>
          <w:sz w:val="20"/>
        </w:rPr>
        <w:tab/>
        <w:t>Oficina de la OMPI en el Brasil</w:t>
      </w:r>
    </w:p>
    <w:p w:rsidR="00480D5F" w:rsidRPr="00480D5F" w:rsidRDefault="00480D5F" w:rsidP="00480D5F">
      <w:pPr>
        <w:tabs>
          <w:tab w:val="left" w:pos="2127"/>
        </w:tabs>
        <w:rPr>
          <w:sz w:val="20"/>
        </w:rPr>
      </w:pPr>
      <w:r w:rsidRPr="00480D5F">
        <w:rPr>
          <w:sz w:val="20"/>
        </w:rPr>
        <w:t>OOC</w:t>
      </w:r>
      <w:r w:rsidRPr="00480D5F">
        <w:rPr>
          <w:sz w:val="20"/>
        </w:rPr>
        <w:tab/>
        <w:t>Oficina de la OMPI en China</w:t>
      </w:r>
    </w:p>
    <w:p w:rsidR="00480D5F" w:rsidRPr="00480D5F" w:rsidRDefault="00480D5F" w:rsidP="00480D5F">
      <w:pPr>
        <w:tabs>
          <w:tab w:val="left" w:pos="2127"/>
        </w:tabs>
        <w:rPr>
          <w:sz w:val="20"/>
        </w:rPr>
      </w:pPr>
      <w:r w:rsidRPr="00480D5F">
        <w:rPr>
          <w:sz w:val="20"/>
        </w:rPr>
        <w:t>OOJ</w:t>
      </w:r>
      <w:r w:rsidRPr="00480D5F">
        <w:rPr>
          <w:sz w:val="20"/>
        </w:rPr>
        <w:tab/>
        <w:t>Oficina de la OMPI en el Japón</w:t>
      </w:r>
    </w:p>
    <w:p w:rsidR="00480D5F" w:rsidRPr="00480D5F" w:rsidRDefault="00480D5F" w:rsidP="00480D5F">
      <w:pPr>
        <w:tabs>
          <w:tab w:val="left" w:pos="2127"/>
        </w:tabs>
        <w:rPr>
          <w:sz w:val="20"/>
        </w:rPr>
      </w:pPr>
      <w:r w:rsidRPr="00480D5F">
        <w:rPr>
          <w:sz w:val="20"/>
        </w:rPr>
        <w:t>OOR</w:t>
      </w:r>
      <w:r w:rsidRPr="00480D5F">
        <w:rPr>
          <w:sz w:val="20"/>
        </w:rPr>
        <w:tab/>
        <w:t>Oficina de la OMPI en la Federación de Rusia</w:t>
      </w:r>
    </w:p>
    <w:p w:rsidR="00480D5F" w:rsidRPr="00480D5F" w:rsidRDefault="00480D5F" w:rsidP="00480D5F">
      <w:pPr>
        <w:tabs>
          <w:tab w:val="left" w:pos="2127"/>
        </w:tabs>
        <w:rPr>
          <w:sz w:val="20"/>
        </w:rPr>
      </w:pPr>
      <w:r w:rsidRPr="00480D5F">
        <w:rPr>
          <w:sz w:val="20"/>
        </w:rPr>
        <w:t>OOS</w:t>
      </w:r>
      <w:r w:rsidRPr="00480D5F">
        <w:rPr>
          <w:sz w:val="20"/>
        </w:rPr>
        <w:tab/>
        <w:t>Oficina de la OMPI en Singapur</w:t>
      </w:r>
    </w:p>
    <w:p w:rsidR="00480D5F" w:rsidRPr="00480D5F" w:rsidRDefault="00480D5F" w:rsidP="00480D5F">
      <w:pPr>
        <w:tabs>
          <w:tab w:val="left" w:pos="2127"/>
        </w:tabs>
        <w:rPr>
          <w:sz w:val="20"/>
        </w:rPr>
      </w:pPr>
      <w:r w:rsidRPr="00480D5F">
        <w:rPr>
          <w:sz w:val="20"/>
        </w:rPr>
        <w:t>OPI</w:t>
      </w:r>
      <w:r w:rsidRPr="00480D5F">
        <w:rPr>
          <w:sz w:val="20"/>
        </w:rPr>
        <w:tab/>
        <w:t>Oficina(s) de propiedad intelectual</w:t>
      </w:r>
    </w:p>
    <w:p w:rsidR="00480D5F" w:rsidRPr="00480D5F" w:rsidRDefault="00480D5F" w:rsidP="00480D5F">
      <w:pPr>
        <w:tabs>
          <w:tab w:val="left" w:pos="2127"/>
        </w:tabs>
        <w:rPr>
          <w:sz w:val="20"/>
        </w:rPr>
      </w:pPr>
      <w:r w:rsidRPr="00480D5F">
        <w:rPr>
          <w:sz w:val="20"/>
        </w:rPr>
        <w:t>OTT</w:t>
      </w:r>
      <w:r w:rsidRPr="00480D5F">
        <w:rPr>
          <w:sz w:val="20"/>
        </w:rPr>
        <w:tab/>
        <w:t>Oficina de transferencia de tecnología</w:t>
      </w:r>
    </w:p>
    <w:p w:rsidR="00480D5F" w:rsidRPr="00480D5F" w:rsidRDefault="00480D5F" w:rsidP="00480D5F">
      <w:pPr>
        <w:tabs>
          <w:tab w:val="left" w:pos="2127"/>
        </w:tabs>
        <w:spacing w:after="120"/>
        <w:ind w:left="2126" w:hanging="2126"/>
        <w:rPr>
          <w:sz w:val="20"/>
        </w:rPr>
      </w:pPr>
    </w:p>
    <w:p w:rsidR="006C1C3C" w:rsidRDefault="00480D5F" w:rsidP="00480D5F">
      <w:pPr>
        <w:tabs>
          <w:tab w:val="left" w:pos="2127"/>
        </w:tabs>
        <w:rPr>
          <w:sz w:val="20"/>
        </w:rPr>
      </w:pPr>
      <w:r w:rsidRPr="00480D5F">
        <w:rPr>
          <w:b/>
          <w:sz w:val="20"/>
        </w:rPr>
        <w:lastRenderedPageBreak/>
        <w:t>P</w:t>
      </w:r>
      <w:r w:rsidRPr="00480D5F">
        <w:rPr>
          <w:sz w:val="20"/>
        </w:rPr>
        <w:t>AI</w:t>
      </w:r>
      <w:r w:rsidRPr="00480D5F">
        <w:rPr>
          <w:sz w:val="20"/>
        </w:rPr>
        <w:tab/>
        <w:t>Programa de asistencia a inventores</w:t>
      </w:r>
    </w:p>
    <w:p w:rsidR="00480D5F" w:rsidRPr="00480D5F" w:rsidRDefault="006C1C3C" w:rsidP="00480D5F">
      <w:pPr>
        <w:tabs>
          <w:tab w:val="left" w:pos="2127"/>
        </w:tabs>
        <w:rPr>
          <w:sz w:val="20"/>
        </w:rPr>
      </w:pPr>
      <w:r>
        <w:rPr>
          <w:sz w:val="20"/>
        </w:rPr>
        <w:t>PBC</w:t>
      </w:r>
      <w:r>
        <w:rPr>
          <w:sz w:val="20"/>
        </w:rPr>
        <w:tab/>
        <w:t>Comité del Programa y Presupuesto (OMPI)</w:t>
      </w:r>
      <w:r w:rsidR="00480D5F" w:rsidRPr="00480D5F">
        <w:rPr>
          <w:sz w:val="20"/>
        </w:rPr>
        <w:tab/>
      </w:r>
    </w:p>
    <w:p w:rsidR="00480D5F" w:rsidRPr="00480D5F" w:rsidRDefault="00480D5F" w:rsidP="00480D5F">
      <w:pPr>
        <w:tabs>
          <w:tab w:val="left" w:pos="2127"/>
        </w:tabs>
        <w:rPr>
          <w:sz w:val="20"/>
        </w:rPr>
      </w:pPr>
      <w:r w:rsidRPr="00480D5F">
        <w:rPr>
          <w:sz w:val="20"/>
        </w:rPr>
        <w:t>PCT</w:t>
      </w:r>
      <w:r w:rsidRPr="00480D5F">
        <w:rPr>
          <w:sz w:val="20"/>
        </w:rPr>
        <w:tab/>
        <w:t>Tratado de Cooperación en materia de Patentes</w:t>
      </w:r>
    </w:p>
    <w:p w:rsidR="00480D5F" w:rsidRPr="00480D5F" w:rsidRDefault="00480D5F" w:rsidP="00480D5F">
      <w:pPr>
        <w:tabs>
          <w:tab w:val="left" w:pos="2127"/>
        </w:tabs>
        <w:rPr>
          <w:sz w:val="20"/>
        </w:rPr>
      </w:pPr>
      <w:r w:rsidRPr="00480D5F">
        <w:rPr>
          <w:sz w:val="20"/>
        </w:rPr>
        <w:t>PEMP</w:t>
      </w:r>
      <w:r w:rsidRPr="00480D5F">
        <w:rPr>
          <w:sz w:val="20"/>
        </w:rPr>
        <w:tab/>
        <w:t>Plan Estratégico a Mediano Plazo</w:t>
      </w:r>
    </w:p>
    <w:p w:rsidR="00480D5F" w:rsidRPr="00480D5F" w:rsidRDefault="00480D5F" w:rsidP="00480D5F">
      <w:pPr>
        <w:tabs>
          <w:tab w:val="left" w:pos="2127"/>
        </w:tabs>
        <w:rPr>
          <w:sz w:val="20"/>
        </w:rPr>
      </w:pPr>
      <w:r w:rsidRPr="00480D5F">
        <w:rPr>
          <w:sz w:val="20"/>
        </w:rPr>
        <w:t>P.I.</w:t>
      </w:r>
      <w:r w:rsidRPr="00480D5F">
        <w:rPr>
          <w:sz w:val="20"/>
        </w:rPr>
        <w:tab/>
        <w:t>Propiedad intelectual</w:t>
      </w:r>
    </w:p>
    <w:p w:rsidR="00480D5F" w:rsidRPr="00480D5F" w:rsidRDefault="00480D5F" w:rsidP="00480D5F">
      <w:pPr>
        <w:tabs>
          <w:tab w:val="left" w:pos="2127"/>
        </w:tabs>
        <w:rPr>
          <w:sz w:val="20"/>
        </w:rPr>
      </w:pPr>
      <w:r w:rsidRPr="00480D5F">
        <w:rPr>
          <w:sz w:val="20"/>
        </w:rPr>
        <w:t>PLT</w:t>
      </w:r>
      <w:r w:rsidRPr="00480D5F">
        <w:rPr>
          <w:sz w:val="20"/>
        </w:rPr>
        <w:tab/>
        <w:t>Tratado sobre el Derecho de Patentes</w:t>
      </w:r>
    </w:p>
    <w:p w:rsidR="00480D5F" w:rsidRDefault="00480D5F" w:rsidP="00480D5F">
      <w:pPr>
        <w:tabs>
          <w:tab w:val="left" w:pos="2127"/>
        </w:tabs>
        <w:rPr>
          <w:sz w:val="20"/>
        </w:rPr>
      </w:pPr>
      <w:r w:rsidRPr="00480D5F">
        <w:rPr>
          <w:sz w:val="20"/>
        </w:rPr>
        <w:t>PMA</w:t>
      </w:r>
      <w:r w:rsidRPr="00480D5F">
        <w:rPr>
          <w:sz w:val="20"/>
        </w:rPr>
        <w:tab/>
        <w:t>Países menos adelantados</w:t>
      </w:r>
    </w:p>
    <w:p w:rsidR="005E315A" w:rsidRPr="00480D5F" w:rsidRDefault="005E315A" w:rsidP="00480D5F">
      <w:pPr>
        <w:tabs>
          <w:tab w:val="left" w:pos="2127"/>
        </w:tabs>
        <w:rPr>
          <w:sz w:val="20"/>
        </w:rPr>
      </w:pPr>
      <w:r>
        <w:rPr>
          <w:sz w:val="20"/>
        </w:rPr>
        <w:t>PMM</w:t>
      </w:r>
      <w:r>
        <w:rPr>
          <w:sz w:val="20"/>
        </w:rPr>
        <w:tab/>
        <w:t>Plan maestro de mejoras de infraestructura</w:t>
      </w:r>
    </w:p>
    <w:p w:rsidR="00480D5F" w:rsidRPr="00480D5F" w:rsidRDefault="00480D5F" w:rsidP="00480D5F">
      <w:pPr>
        <w:tabs>
          <w:tab w:val="left" w:pos="2127"/>
        </w:tabs>
        <w:rPr>
          <w:sz w:val="20"/>
        </w:rPr>
      </w:pPr>
      <w:r w:rsidRPr="00480D5F">
        <w:rPr>
          <w:sz w:val="20"/>
        </w:rPr>
        <w:t>PMSDS</w:t>
      </w:r>
      <w:r w:rsidRPr="00480D5F">
        <w:rPr>
          <w:sz w:val="20"/>
        </w:rPr>
        <w:tab/>
        <w:t>Sistema de Gestión del Desempeño y el Perfeccionamiento del Personal</w:t>
      </w:r>
    </w:p>
    <w:p w:rsidR="00480D5F" w:rsidRPr="00480D5F" w:rsidRDefault="00480D5F" w:rsidP="00480D5F">
      <w:pPr>
        <w:tabs>
          <w:tab w:val="left" w:pos="2127"/>
        </w:tabs>
        <w:rPr>
          <w:sz w:val="20"/>
        </w:rPr>
      </w:pPr>
      <w:r w:rsidRPr="00480D5F">
        <w:rPr>
          <w:noProof/>
          <w:sz w:val="20"/>
          <w:lang w:val="en-US" w:eastAsia="en-US"/>
        </w:rPr>
        <mc:AlternateContent>
          <mc:Choice Requires="wps">
            <w:drawing>
              <wp:anchor distT="0" distB="0" distL="114300" distR="114300" simplePos="0" relativeHeight="251665408" behindDoc="0" locked="0" layoutInCell="0" allowOverlap="1" wp14:anchorId="4FB15A76" wp14:editId="61E82F04">
                <wp:simplePos x="0" y="0"/>
                <wp:positionH relativeFrom="column">
                  <wp:posOffset>-2118995</wp:posOffset>
                </wp:positionH>
                <wp:positionV relativeFrom="paragraph">
                  <wp:posOffset>83185</wp:posOffset>
                </wp:positionV>
                <wp:extent cx="731520" cy="1097280"/>
                <wp:effectExtent l="10160" t="10795" r="10795" b="6350"/>
                <wp:wrapNone/>
                <wp:docPr id="983" name="Text Box 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653EAB" w:rsidRDefault="00653EAB" w:rsidP="00480D5F">
                            <w:pPr>
                              <w:pStyle w:val="BodyText2"/>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3" o:spid="_x0000_s1031" type="#_x0000_t202" style="position:absolute;margin-left:-166.85pt;margin-top:6.55pt;width:57.6pt;height:8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" o:allowincell="f">
                <v:textbox>
                  <w:txbxContent>
                    <w:p w:rsidR="00653EAB" w:rsidRDefault="00653EAB" w:rsidP="00480D5F">
                      <w:pPr>
                        <w:pStyle w:val="BodyText2"/>
                      </w:pPr>
                    </w:p>
                  </w:txbxContent>
                </v:textbox>
              </v:shape>
            </w:pict>
          </mc:Fallback>
        </mc:AlternateContent>
      </w:r>
      <w:r w:rsidRPr="00480D5F">
        <w:rPr>
          <w:sz w:val="20"/>
        </w:rPr>
        <w:t>PNUMA</w:t>
      </w:r>
      <w:r w:rsidRPr="00480D5F">
        <w:rPr>
          <w:sz w:val="20"/>
        </w:rPr>
        <w:tab/>
        <w:t>Programa de las Naciones Unidas para el Medio Ambiente</w:t>
      </w:r>
    </w:p>
    <w:p w:rsidR="00480D5F" w:rsidRPr="00480D5F" w:rsidRDefault="00480D5F" w:rsidP="00480D5F">
      <w:pPr>
        <w:tabs>
          <w:tab w:val="left" w:pos="2127"/>
        </w:tabs>
        <w:ind w:left="2127" w:hanging="2127"/>
        <w:rPr>
          <w:sz w:val="20"/>
        </w:rPr>
      </w:pPr>
      <w:r w:rsidRPr="00480D5F">
        <w:rPr>
          <w:sz w:val="20"/>
        </w:rPr>
        <w:t>Política Uniforme</w:t>
      </w:r>
      <w:r w:rsidRPr="00480D5F">
        <w:rPr>
          <w:sz w:val="20"/>
        </w:rPr>
        <w:tab/>
        <w:t>Política Uniforme de Solución de Controversias en materia de Nombres de Dominio</w:t>
      </w:r>
    </w:p>
    <w:p w:rsidR="00480D5F" w:rsidRPr="00480D5F" w:rsidRDefault="00480D5F" w:rsidP="00480D5F">
      <w:pPr>
        <w:tabs>
          <w:tab w:val="left" w:pos="2127"/>
        </w:tabs>
        <w:rPr>
          <w:sz w:val="20"/>
        </w:rPr>
      </w:pPr>
      <w:r w:rsidRPr="00480D5F">
        <w:rPr>
          <w:sz w:val="20"/>
        </w:rPr>
        <w:t>PPR</w:t>
      </w:r>
      <w:r w:rsidRPr="00480D5F">
        <w:rPr>
          <w:sz w:val="20"/>
        </w:rPr>
        <w:tab/>
        <w:t>Informe sobre el rendimiento de los programas</w:t>
      </w:r>
    </w:p>
    <w:p w:rsidR="00480D5F" w:rsidRPr="00480D5F" w:rsidRDefault="00480D5F" w:rsidP="00480D5F">
      <w:pPr>
        <w:tabs>
          <w:tab w:val="left" w:pos="2127"/>
        </w:tabs>
        <w:rPr>
          <w:sz w:val="20"/>
        </w:rPr>
      </w:pPr>
      <w:r w:rsidRPr="00480D5F">
        <w:rPr>
          <w:sz w:val="20"/>
        </w:rPr>
        <w:t>PRI</w:t>
      </w:r>
      <w:r w:rsidRPr="00480D5F">
        <w:rPr>
          <w:sz w:val="20"/>
        </w:rPr>
        <w:tab/>
        <w:t>Planificación de los recursos institucionales</w:t>
      </w:r>
    </w:p>
    <w:p w:rsidR="00480D5F" w:rsidRPr="00480D5F" w:rsidRDefault="00480D5F" w:rsidP="00480D5F">
      <w:pPr>
        <w:tabs>
          <w:tab w:val="left" w:pos="2127"/>
        </w:tabs>
        <w:rPr>
          <w:sz w:val="20"/>
        </w:rPr>
      </w:pPr>
      <w:r w:rsidRPr="00480D5F">
        <w:rPr>
          <w:sz w:val="20"/>
        </w:rPr>
        <w:t>Pymes</w:t>
      </w:r>
      <w:r w:rsidRPr="00480D5F">
        <w:rPr>
          <w:sz w:val="20"/>
        </w:rPr>
        <w:tab/>
        <w:t>Pequeñas y medianas empresas</w:t>
      </w:r>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rPr>
          <w:sz w:val="20"/>
        </w:rPr>
      </w:pPr>
      <w:r w:rsidRPr="00480D5F">
        <w:rPr>
          <w:b/>
          <w:sz w:val="20"/>
        </w:rPr>
        <w:t>R</w:t>
      </w:r>
      <w:r w:rsidRPr="00480D5F">
        <w:rPr>
          <w:sz w:val="20"/>
        </w:rPr>
        <w:t>O</w:t>
      </w:r>
      <w:r w:rsidRPr="00480D5F">
        <w:rPr>
          <w:sz w:val="20"/>
        </w:rPr>
        <w:tab/>
        <w:t>Oficina receptora</w:t>
      </w:r>
    </w:p>
    <w:p w:rsidR="00480D5F" w:rsidRPr="00480D5F" w:rsidRDefault="00480D5F" w:rsidP="00480D5F">
      <w:pPr>
        <w:tabs>
          <w:tab w:val="left" w:pos="2127"/>
        </w:tabs>
        <w:rPr>
          <w:sz w:val="20"/>
        </w:rPr>
      </w:pPr>
      <w:r w:rsidRPr="00480D5F">
        <w:rPr>
          <w:sz w:val="20"/>
        </w:rPr>
        <w:t>RR.GG.</w:t>
      </w:r>
      <w:r w:rsidRPr="00480D5F">
        <w:rPr>
          <w:sz w:val="20"/>
        </w:rPr>
        <w:tab/>
        <w:t>Recursos genéticos</w:t>
      </w:r>
    </w:p>
    <w:p w:rsidR="00480D5F" w:rsidRPr="00480D5F" w:rsidRDefault="00480D5F" w:rsidP="00480D5F">
      <w:pPr>
        <w:tabs>
          <w:tab w:val="left" w:pos="2127"/>
        </w:tabs>
        <w:rPr>
          <w:sz w:val="20"/>
        </w:rPr>
      </w:pPr>
      <w:r w:rsidRPr="00480D5F">
        <w:rPr>
          <w:sz w:val="20"/>
        </w:rPr>
        <w:t>RR.HH.</w:t>
      </w:r>
      <w:r w:rsidRPr="00480D5F">
        <w:rPr>
          <w:sz w:val="20"/>
        </w:rPr>
        <w:tab/>
        <w:t>Recursos humanos</w:t>
      </w:r>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rPr>
          <w:sz w:val="20"/>
        </w:rPr>
      </w:pPr>
      <w:r w:rsidRPr="00480D5F">
        <w:rPr>
          <w:b/>
          <w:sz w:val="20"/>
        </w:rPr>
        <w:t>S</w:t>
      </w:r>
      <w:r w:rsidRPr="00480D5F">
        <w:rPr>
          <w:sz w:val="20"/>
        </w:rPr>
        <w:t>CCR</w:t>
      </w:r>
      <w:r w:rsidRPr="00480D5F">
        <w:rPr>
          <w:sz w:val="20"/>
        </w:rPr>
        <w:tab/>
        <w:t>Comité Permanente de Derecho de Autor y Derechos Conexos</w:t>
      </w:r>
    </w:p>
    <w:p w:rsidR="00480D5F" w:rsidRPr="00480D5F" w:rsidRDefault="00480D5F" w:rsidP="00480D5F">
      <w:pPr>
        <w:tabs>
          <w:tab w:val="left" w:pos="2127"/>
        </w:tabs>
        <w:rPr>
          <w:sz w:val="20"/>
        </w:rPr>
      </w:pPr>
      <w:r w:rsidRPr="00480D5F">
        <w:rPr>
          <w:sz w:val="20"/>
        </w:rPr>
        <w:t>SCP</w:t>
      </w:r>
      <w:r w:rsidRPr="00480D5F">
        <w:rPr>
          <w:sz w:val="20"/>
        </w:rPr>
        <w:tab/>
        <w:t>Comité Permanente sobre el Derecho de Patentes</w:t>
      </w:r>
    </w:p>
    <w:p w:rsidR="00480D5F" w:rsidRDefault="00480D5F" w:rsidP="00480D5F">
      <w:pPr>
        <w:tabs>
          <w:tab w:val="left" w:pos="2127"/>
        </w:tabs>
        <w:ind w:left="2127" w:hanging="2127"/>
        <w:rPr>
          <w:sz w:val="20"/>
        </w:rPr>
      </w:pPr>
      <w:r w:rsidRPr="00480D5F">
        <w:rPr>
          <w:sz w:val="20"/>
        </w:rPr>
        <w:t>SCT</w:t>
      </w:r>
      <w:r w:rsidRPr="00480D5F">
        <w:rPr>
          <w:sz w:val="20"/>
        </w:rPr>
        <w:tab/>
        <w:t>Comité Permanente sobre el Derecho de Marcas, Diseños Industriales e Indicaciones Geográficas</w:t>
      </w:r>
    </w:p>
    <w:p w:rsidR="00930331" w:rsidRPr="00480D5F" w:rsidRDefault="00930331" w:rsidP="00480D5F">
      <w:pPr>
        <w:tabs>
          <w:tab w:val="left" w:pos="2127"/>
        </w:tabs>
        <w:ind w:left="2127" w:hanging="2127"/>
        <w:rPr>
          <w:sz w:val="20"/>
        </w:rPr>
      </w:pPr>
      <w:r>
        <w:rPr>
          <w:sz w:val="20"/>
        </w:rPr>
        <w:t>SFA</w:t>
      </w:r>
      <w:r>
        <w:rPr>
          <w:sz w:val="20"/>
        </w:rPr>
        <w:tab/>
      </w:r>
      <w:proofErr w:type="spellStart"/>
      <w:r w:rsidRPr="00930331">
        <w:rPr>
          <w:i/>
          <w:sz w:val="20"/>
        </w:rPr>
        <w:t>Swiss</w:t>
      </w:r>
      <w:proofErr w:type="spellEnd"/>
      <w:r w:rsidRPr="00930331">
        <w:rPr>
          <w:i/>
          <w:sz w:val="20"/>
        </w:rPr>
        <w:t xml:space="preserve"> </w:t>
      </w:r>
      <w:proofErr w:type="spellStart"/>
      <w:r w:rsidRPr="00930331">
        <w:rPr>
          <w:i/>
          <w:sz w:val="20"/>
        </w:rPr>
        <w:t>Franchis</w:t>
      </w:r>
      <w:r>
        <w:rPr>
          <w:i/>
          <w:sz w:val="20"/>
        </w:rPr>
        <w:t>e</w:t>
      </w:r>
      <w:proofErr w:type="spellEnd"/>
      <w:r w:rsidRPr="00930331">
        <w:rPr>
          <w:i/>
          <w:sz w:val="20"/>
        </w:rPr>
        <w:t xml:space="preserve"> </w:t>
      </w:r>
      <w:proofErr w:type="spellStart"/>
      <w:r w:rsidRPr="00930331">
        <w:rPr>
          <w:i/>
          <w:sz w:val="20"/>
        </w:rPr>
        <w:t>Association</w:t>
      </w:r>
      <w:proofErr w:type="spellEnd"/>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ind w:left="2127" w:hanging="2127"/>
        <w:rPr>
          <w:sz w:val="20"/>
        </w:rPr>
      </w:pPr>
      <w:r w:rsidRPr="00480D5F">
        <w:rPr>
          <w:sz w:val="20"/>
        </w:rPr>
        <w:t>TAG</w:t>
      </w:r>
      <w:r w:rsidRPr="00480D5F">
        <w:rPr>
          <w:sz w:val="20"/>
        </w:rPr>
        <w:tab/>
        <w:t xml:space="preserve">Transparencia, rendición de cuentas y gobernanza (del inglés </w:t>
      </w:r>
      <w:r w:rsidRPr="00480D5F">
        <w:rPr>
          <w:i/>
          <w:sz w:val="20"/>
        </w:rPr>
        <w:t>Transparency, accountability and governance</w:t>
      </w:r>
      <w:r w:rsidRPr="00480D5F">
        <w:rPr>
          <w:sz w:val="20"/>
        </w:rPr>
        <w:t>)</w:t>
      </w:r>
    </w:p>
    <w:p w:rsidR="00480D5F" w:rsidRPr="00480D5F" w:rsidRDefault="00480D5F" w:rsidP="00480D5F">
      <w:pPr>
        <w:tabs>
          <w:tab w:val="left" w:pos="2127"/>
        </w:tabs>
        <w:rPr>
          <w:sz w:val="20"/>
        </w:rPr>
      </w:pPr>
      <w:r w:rsidRPr="00480D5F">
        <w:rPr>
          <w:sz w:val="20"/>
        </w:rPr>
        <w:t>T.I.</w:t>
      </w:r>
      <w:r w:rsidRPr="00480D5F">
        <w:rPr>
          <w:sz w:val="20"/>
        </w:rPr>
        <w:tab/>
        <w:t>Tecnologías de la Información</w:t>
      </w:r>
    </w:p>
    <w:p w:rsidR="00480D5F" w:rsidRPr="00480D5F" w:rsidRDefault="00480D5F" w:rsidP="00480D5F">
      <w:pPr>
        <w:tabs>
          <w:tab w:val="left" w:pos="2127"/>
        </w:tabs>
        <w:rPr>
          <w:sz w:val="20"/>
        </w:rPr>
      </w:pPr>
      <w:r w:rsidRPr="00480D5F">
        <w:rPr>
          <w:sz w:val="20"/>
        </w:rPr>
        <w:t>TIC</w:t>
      </w:r>
      <w:r w:rsidRPr="00480D5F">
        <w:rPr>
          <w:sz w:val="20"/>
        </w:rPr>
        <w:tab/>
        <w:t xml:space="preserve">Tecnologías de la información y de las comunicaciones </w:t>
      </w:r>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rPr>
          <w:sz w:val="20"/>
        </w:rPr>
      </w:pPr>
      <w:r w:rsidRPr="00480D5F">
        <w:rPr>
          <w:b/>
          <w:sz w:val="20"/>
        </w:rPr>
        <w:t>U</w:t>
      </w:r>
      <w:r w:rsidRPr="00480D5F">
        <w:rPr>
          <w:sz w:val="20"/>
        </w:rPr>
        <w:t>E</w:t>
      </w:r>
      <w:r w:rsidRPr="00480D5F">
        <w:rPr>
          <w:sz w:val="20"/>
        </w:rPr>
        <w:tab/>
        <w:t>Unión Europea</w:t>
      </w:r>
    </w:p>
    <w:p w:rsidR="00480D5F" w:rsidRPr="00480D5F" w:rsidRDefault="00480D5F" w:rsidP="00480D5F">
      <w:pPr>
        <w:tabs>
          <w:tab w:val="left" w:pos="2127"/>
        </w:tabs>
        <w:rPr>
          <w:sz w:val="20"/>
        </w:rPr>
      </w:pPr>
      <w:r w:rsidRPr="00480D5F">
        <w:rPr>
          <w:sz w:val="20"/>
        </w:rPr>
        <w:t>UNCTAD</w:t>
      </w:r>
      <w:r w:rsidRPr="00480D5F">
        <w:rPr>
          <w:sz w:val="20"/>
        </w:rPr>
        <w:tab/>
        <w:t>Conferencia de las Naciones Unidas sobre Comercio y Desarrollo</w:t>
      </w:r>
    </w:p>
    <w:p w:rsidR="00480D5F" w:rsidRPr="00480D5F" w:rsidRDefault="00480D5F" w:rsidP="00480D5F">
      <w:pPr>
        <w:tabs>
          <w:tab w:val="left" w:pos="2127"/>
        </w:tabs>
        <w:ind w:left="2127" w:hanging="2127"/>
        <w:rPr>
          <w:sz w:val="20"/>
        </w:rPr>
      </w:pPr>
      <w:r w:rsidRPr="00480D5F">
        <w:rPr>
          <w:sz w:val="20"/>
        </w:rPr>
        <w:t>UNESCO</w:t>
      </w:r>
      <w:r w:rsidRPr="00480D5F">
        <w:rPr>
          <w:sz w:val="20"/>
        </w:rPr>
        <w:tab/>
        <w:t>Organización de las Naciones Unidas para la Educación, la Ciencia y la Cultura</w:t>
      </w:r>
    </w:p>
    <w:p w:rsidR="00480D5F" w:rsidRPr="00480D5F" w:rsidRDefault="00480D5F" w:rsidP="00480D5F">
      <w:pPr>
        <w:tabs>
          <w:tab w:val="left" w:pos="2127"/>
        </w:tabs>
        <w:rPr>
          <w:sz w:val="20"/>
        </w:rPr>
      </w:pPr>
      <w:r w:rsidRPr="00480D5F">
        <w:rPr>
          <w:sz w:val="20"/>
        </w:rPr>
        <w:t>UNOSSC</w:t>
      </w:r>
      <w:r w:rsidRPr="00480D5F">
        <w:rPr>
          <w:sz w:val="20"/>
        </w:rPr>
        <w:tab/>
        <w:t>Oficina de las Naciones Unidas para la Cooperación Sur-Sur</w:t>
      </w:r>
    </w:p>
    <w:p w:rsidR="00480D5F" w:rsidRPr="00480D5F" w:rsidRDefault="00480D5F" w:rsidP="00480D5F">
      <w:pPr>
        <w:tabs>
          <w:tab w:val="left" w:pos="2127"/>
        </w:tabs>
        <w:rPr>
          <w:sz w:val="20"/>
        </w:rPr>
      </w:pPr>
      <w:r w:rsidRPr="00480D5F">
        <w:rPr>
          <w:sz w:val="20"/>
        </w:rPr>
        <w:t>UNSAS</w:t>
      </w:r>
      <w:r w:rsidRPr="00480D5F">
        <w:rPr>
          <w:sz w:val="20"/>
        </w:rPr>
        <w:tab/>
        <w:t>Normas de contabilidad del sistema de Naciones Unidas</w:t>
      </w:r>
    </w:p>
    <w:p w:rsidR="00480D5F" w:rsidRPr="00480D5F" w:rsidRDefault="00480D5F" w:rsidP="00480D5F">
      <w:pPr>
        <w:tabs>
          <w:tab w:val="left" w:pos="2127"/>
        </w:tabs>
        <w:rPr>
          <w:sz w:val="20"/>
        </w:rPr>
      </w:pPr>
      <w:r w:rsidRPr="00480D5F">
        <w:rPr>
          <w:sz w:val="20"/>
        </w:rPr>
        <w:t>UPOV</w:t>
      </w:r>
      <w:r w:rsidRPr="00480D5F">
        <w:rPr>
          <w:sz w:val="20"/>
        </w:rPr>
        <w:tab/>
        <w:t>Unión Internacional para la Protección de las Obtenciones Vegetales</w:t>
      </w:r>
    </w:p>
    <w:p w:rsidR="00480D5F" w:rsidRPr="00480D5F" w:rsidRDefault="00480D5F" w:rsidP="00480D5F">
      <w:pPr>
        <w:tabs>
          <w:tab w:val="left" w:pos="2127"/>
        </w:tabs>
        <w:rPr>
          <w:sz w:val="20"/>
        </w:rPr>
      </w:pPr>
      <w:r w:rsidRPr="00480D5F">
        <w:rPr>
          <w:sz w:val="20"/>
        </w:rPr>
        <w:t>USPTO</w:t>
      </w:r>
      <w:r w:rsidRPr="00480D5F">
        <w:rPr>
          <w:sz w:val="20"/>
        </w:rPr>
        <w:tab/>
        <w:t>Oficina de Patentes y Marcas de los Estados Unidos de América</w:t>
      </w:r>
    </w:p>
    <w:p w:rsidR="00480D5F" w:rsidRPr="00480D5F" w:rsidRDefault="00480D5F" w:rsidP="00480D5F">
      <w:pPr>
        <w:tabs>
          <w:tab w:val="left" w:pos="2127"/>
        </w:tabs>
        <w:spacing w:after="120"/>
        <w:ind w:left="2126" w:hanging="2126"/>
        <w:rPr>
          <w:sz w:val="20"/>
        </w:rPr>
      </w:pPr>
    </w:p>
    <w:p w:rsidR="00480D5F" w:rsidRPr="00480D5F" w:rsidRDefault="00480D5F" w:rsidP="00480D5F">
      <w:pPr>
        <w:tabs>
          <w:tab w:val="left" w:pos="2127"/>
        </w:tabs>
        <w:rPr>
          <w:sz w:val="20"/>
        </w:rPr>
      </w:pPr>
      <w:r w:rsidRPr="00480D5F">
        <w:rPr>
          <w:b/>
          <w:sz w:val="20"/>
        </w:rPr>
        <w:t>W</w:t>
      </w:r>
      <w:r w:rsidRPr="00480D5F">
        <w:rPr>
          <w:sz w:val="20"/>
        </w:rPr>
        <w:t>CC</w:t>
      </w:r>
      <w:r w:rsidRPr="00480D5F">
        <w:rPr>
          <w:sz w:val="20"/>
        </w:rPr>
        <w:tab/>
      </w:r>
      <w:r w:rsidRPr="00480D5F">
        <w:rPr>
          <w:i/>
          <w:sz w:val="20"/>
        </w:rPr>
        <w:t>WIPO Copyright Connection</w:t>
      </w:r>
    </w:p>
    <w:p w:rsidR="00480D5F" w:rsidRPr="00480D5F" w:rsidRDefault="00480D5F" w:rsidP="00480D5F">
      <w:pPr>
        <w:tabs>
          <w:tab w:val="left" w:pos="2127"/>
        </w:tabs>
        <w:rPr>
          <w:sz w:val="20"/>
        </w:rPr>
      </w:pPr>
      <w:r w:rsidRPr="00480D5F">
        <w:rPr>
          <w:sz w:val="20"/>
        </w:rPr>
        <w:t>WCT</w:t>
      </w:r>
      <w:r w:rsidRPr="00480D5F">
        <w:rPr>
          <w:sz w:val="20"/>
        </w:rPr>
        <w:tab/>
        <w:t>Tratado de la OMPI sobre Derecho de Autor</w:t>
      </w:r>
    </w:p>
    <w:p w:rsidR="00480D5F" w:rsidRPr="00480D5F" w:rsidRDefault="00480D5F" w:rsidP="00480D5F">
      <w:pPr>
        <w:tabs>
          <w:tab w:val="left" w:pos="2127"/>
        </w:tabs>
        <w:rPr>
          <w:sz w:val="20"/>
        </w:rPr>
      </w:pPr>
      <w:r w:rsidRPr="00480D5F">
        <w:rPr>
          <w:sz w:val="20"/>
        </w:rPr>
        <w:t>WIPO CASE</w:t>
      </w:r>
      <w:r w:rsidRPr="00480D5F">
        <w:rPr>
          <w:sz w:val="20"/>
        </w:rPr>
        <w:tab/>
        <w:t>Acceso centralizado a los resultados de la búsqueda y el examen</w:t>
      </w:r>
    </w:p>
    <w:p w:rsidR="00480D5F" w:rsidRPr="00480D5F" w:rsidRDefault="00480D5F" w:rsidP="00480D5F">
      <w:pPr>
        <w:tabs>
          <w:tab w:val="left" w:pos="2127"/>
        </w:tabs>
        <w:rPr>
          <w:sz w:val="20"/>
        </w:rPr>
      </w:pPr>
      <w:r w:rsidRPr="00480D5F">
        <w:rPr>
          <w:sz w:val="20"/>
        </w:rPr>
        <w:t>WPPT</w:t>
      </w:r>
      <w:r w:rsidRPr="00480D5F">
        <w:rPr>
          <w:sz w:val="20"/>
        </w:rPr>
        <w:tab/>
        <w:t>Tratado de la OMPI sobre Interpretación o Ejecución y Fonogramas</w:t>
      </w:r>
    </w:p>
    <w:p w:rsidR="00480D5F" w:rsidRPr="00480D5F" w:rsidRDefault="00480D5F" w:rsidP="00480D5F">
      <w:pPr>
        <w:rPr>
          <w:rFonts w:eastAsiaTheme="minorEastAsia"/>
          <w:sz w:val="20"/>
          <w:lang w:eastAsia="ja-JP"/>
        </w:rPr>
      </w:pPr>
    </w:p>
    <w:p w:rsidR="00480D5F" w:rsidRPr="00480D5F" w:rsidRDefault="00480D5F" w:rsidP="00480D5F">
      <w:pPr>
        <w:rPr>
          <w:rFonts w:eastAsiaTheme="minorEastAsia"/>
          <w:sz w:val="20"/>
          <w:lang w:eastAsia="ja-JP"/>
        </w:rPr>
      </w:pPr>
    </w:p>
    <w:p w:rsidR="00480D5F" w:rsidRPr="00480D5F" w:rsidRDefault="00480D5F" w:rsidP="00480D5F">
      <w:pPr>
        <w:ind w:left="4536"/>
        <w:jc w:val="center"/>
        <w:rPr>
          <w:rFonts w:eastAsia="Times New Roman"/>
          <w:sz w:val="20"/>
          <w:lang w:eastAsia="en-US"/>
        </w:rPr>
      </w:pPr>
      <w:r w:rsidRPr="00480D5F">
        <w:rPr>
          <w:rFonts w:eastAsia="Times New Roman"/>
          <w:sz w:val="20"/>
          <w:lang w:eastAsia="en-US"/>
        </w:rPr>
        <w:t xml:space="preserve">[Fin del </w:t>
      </w:r>
      <w:r w:rsidR="005A1711">
        <w:rPr>
          <w:rFonts w:eastAsia="Times New Roman"/>
          <w:sz w:val="20"/>
          <w:lang w:eastAsia="en-US"/>
        </w:rPr>
        <w:t xml:space="preserve">apéndice IV y del </w:t>
      </w:r>
      <w:r w:rsidRPr="00480D5F">
        <w:rPr>
          <w:rFonts w:eastAsia="Times New Roman"/>
          <w:sz w:val="20"/>
          <w:lang w:eastAsia="en-US"/>
        </w:rPr>
        <w:t>documento]</w:t>
      </w:r>
    </w:p>
    <w:p w:rsidR="00480D5F" w:rsidRPr="00480D5F" w:rsidRDefault="00480D5F" w:rsidP="00480D5F">
      <w:pPr>
        <w:rPr>
          <w:rFonts w:eastAsiaTheme="minorEastAsia"/>
          <w:sz w:val="20"/>
          <w:lang w:eastAsia="ja-JP"/>
        </w:rPr>
      </w:pPr>
    </w:p>
    <w:p w:rsidR="0027782F" w:rsidRPr="00480D5F" w:rsidRDefault="0027782F" w:rsidP="009A4292">
      <w:pPr>
        <w:pStyle w:val="Endofdocument-Annex"/>
        <w:ind w:left="0"/>
        <w:rPr>
          <w:sz w:val="20"/>
          <w:lang w:val="es-ES"/>
        </w:rPr>
      </w:pPr>
    </w:p>
    <w:sectPr w:rsidR="0027782F" w:rsidRPr="00480D5F" w:rsidSect="00A34E19">
      <w:headerReference w:type="even" r:id="rId148"/>
      <w:headerReference w:type="default" r:id="rId149"/>
      <w:footerReference w:type="even" r:id="rId150"/>
      <w:footerReference w:type="first" r:id="rId151"/>
      <w:endnotePr>
        <w:numFmt w:val="decimal"/>
      </w:endnotePr>
      <w:pgSz w:w="11907" w:h="16840" w:code="9"/>
      <w:pgMar w:top="624" w:right="1418" w:bottom="1418" w:left="1418" w:header="624" w:footer="68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3EAB" w:rsidRDefault="00653EAB">
      <w:r>
        <w:separator/>
      </w:r>
    </w:p>
  </w:endnote>
  <w:endnote w:type="continuationSeparator" w:id="0">
    <w:p w:rsidR="00653EAB" w:rsidRPr="009D30E6" w:rsidRDefault="00653EAB" w:rsidP="007E663E">
      <w:pPr>
        <w:rPr>
          <w:sz w:val="17"/>
          <w:szCs w:val="17"/>
        </w:rPr>
      </w:pPr>
      <w:r w:rsidRPr="009D30E6">
        <w:rPr>
          <w:sz w:val="17"/>
          <w:szCs w:val="17"/>
        </w:rPr>
        <w:separator/>
      </w:r>
    </w:p>
    <w:p w:rsidR="00653EAB" w:rsidRPr="007E663E" w:rsidRDefault="00653EAB" w:rsidP="007E663E">
      <w:pPr>
        <w:spacing w:after="60"/>
        <w:rPr>
          <w:sz w:val="17"/>
          <w:szCs w:val="17"/>
        </w:rPr>
      </w:pPr>
      <w:r>
        <w:rPr>
          <w:sz w:val="17"/>
        </w:rPr>
        <w:t>[Continuación de la nota de la página anterior]</w:t>
      </w:r>
    </w:p>
  </w:endnote>
  <w:endnote w:type="continuationNotice" w:id="1">
    <w:p w:rsidR="00653EAB" w:rsidRPr="007E663E" w:rsidRDefault="00653EAB" w:rsidP="007E663E">
      <w:pPr>
        <w:spacing w:before="60"/>
        <w:jc w:val="right"/>
        <w:rPr>
          <w:sz w:val="17"/>
          <w:szCs w:val="17"/>
        </w:rPr>
      </w:pPr>
      <w:r w:rsidRPr="0075377A">
        <w:rPr>
          <w:sz w:val="17"/>
          <w:szCs w:val="17"/>
        </w:rPr>
        <w:t>[Sigue la nota en la pá</w:t>
      </w:r>
      <w:r>
        <w:rPr>
          <w:sz w:val="17"/>
          <w:szCs w:val="17"/>
        </w:rPr>
        <w:t>gina siguiente]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 w:name="Arial Bold">
    <w:panose1 w:val="020B0704020202020204"/>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altName w:val="맑은 고딕"/>
    <w:panose1 w:val="020B0503020000020004"/>
    <w:charset w:val="81"/>
    <w:family w:val="swiss"/>
    <w:pitch w:val="variable"/>
    <w:sig w:usb0="900002AF" w:usb1="09D77CFB" w:usb2="00000012" w:usb3="00000000" w:csb0="00080001" w:csb1="00000000"/>
  </w:font>
  <w:font w:name="Cordia New">
    <w:panose1 w:val="020B0304020202020204"/>
    <w:charset w:val="00"/>
    <w:family w:val="swiss"/>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174BBF" w:rsidRDefault="00653EAB" w:rsidP="00F4400D">
    <w:pPr>
      <w:pStyle w:val="Footer"/>
      <w:jc w:val="center"/>
      <w:rPr>
        <w:sz w:val="20"/>
      </w:rPr>
    </w:pPr>
  </w:p>
  <w:p w:rsidR="00653EAB" w:rsidRPr="00F4400D" w:rsidRDefault="00653EAB" w:rsidP="00F4400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F4400D" w:rsidRDefault="00653EAB" w:rsidP="00F4400D">
    <w:pPr>
      <w:pStyle w:val="Footer"/>
      <w:jc w:val="center"/>
    </w:pPr>
    <w:r w:rsidRPr="00174BBF">
      <w:rPr>
        <w:sz w:val="20"/>
      </w:rPr>
      <w:fldChar w:fldCharType="begin"/>
    </w:r>
    <w:r w:rsidRPr="00174BBF">
      <w:rPr>
        <w:sz w:val="20"/>
      </w:rPr>
      <w:instrText xml:space="preserve"> PAGE   \* MERGEFORMAT </w:instrText>
    </w:r>
    <w:r w:rsidRPr="00174BBF">
      <w:rPr>
        <w:sz w:val="20"/>
      </w:rPr>
      <w:fldChar w:fldCharType="separate"/>
    </w:r>
    <w:r w:rsidR="00112BA3">
      <w:rPr>
        <w:noProof/>
        <w:sz w:val="20"/>
      </w:rPr>
      <w:t>2</w:t>
    </w:r>
    <w:r w:rsidRPr="00174BBF">
      <w:rPr>
        <w:noProof/>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174BBF" w:rsidRDefault="00653EAB" w:rsidP="00174BBF">
    <w:pPr>
      <w:pStyle w:val="Footer"/>
      <w:jc w:val="center"/>
      <w:rPr>
        <w:sz w:val="20"/>
      </w:rPr>
    </w:pPr>
    <w:r w:rsidRPr="00174BBF">
      <w:rPr>
        <w:sz w:val="20"/>
      </w:rPr>
      <w:fldChar w:fldCharType="begin"/>
    </w:r>
    <w:r w:rsidRPr="00174BBF">
      <w:rPr>
        <w:sz w:val="20"/>
      </w:rPr>
      <w:instrText xml:space="preserve"> PAGE   \* MERGEFORMAT </w:instrText>
    </w:r>
    <w:r w:rsidRPr="00174BBF">
      <w:rPr>
        <w:sz w:val="20"/>
      </w:rPr>
      <w:fldChar w:fldCharType="separate"/>
    </w:r>
    <w:r w:rsidR="00112BA3">
      <w:rPr>
        <w:noProof/>
        <w:sz w:val="20"/>
      </w:rPr>
      <w:t>1</w:t>
    </w:r>
    <w:r w:rsidRPr="00174BBF">
      <w:rPr>
        <w:noProof/>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D470BE" w:rsidRDefault="00653EAB" w:rsidP="00D470BE">
    <w:pPr>
      <w:pStyle w:val="Footer"/>
      <w:jc w:val="center"/>
      <w:rPr>
        <w:sz w:val="20"/>
      </w:rPr>
    </w:pPr>
    <w:r w:rsidRPr="00D470BE">
      <w:rPr>
        <w:sz w:val="20"/>
      </w:rPr>
      <w:fldChar w:fldCharType="begin"/>
    </w:r>
    <w:r w:rsidRPr="00D470BE">
      <w:rPr>
        <w:sz w:val="20"/>
      </w:rPr>
      <w:instrText xml:space="preserve"> PAGE   \* MERGEFORMAT </w:instrText>
    </w:r>
    <w:r w:rsidRPr="00D470BE">
      <w:rPr>
        <w:sz w:val="20"/>
      </w:rPr>
      <w:fldChar w:fldCharType="separate"/>
    </w:r>
    <w:r w:rsidR="00156844">
      <w:rPr>
        <w:noProof/>
        <w:sz w:val="20"/>
      </w:rPr>
      <w:t>24</w:t>
    </w:r>
    <w:r w:rsidRPr="00D470BE">
      <w:rPr>
        <w:noProof/>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745A5C" w:rsidRDefault="00653EAB" w:rsidP="00745A5C">
    <w:pPr>
      <w:pStyle w:val="Footer"/>
      <w:jc w:val="center"/>
      <w:rPr>
        <w:sz w:val="20"/>
      </w:rPr>
    </w:pPr>
    <w:r w:rsidRPr="00745A5C">
      <w:rPr>
        <w:sz w:val="20"/>
      </w:rPr>
      <w:fldChar w:fldCharType="begin"/>
    </w:r>
    <w:r w:rsidRPr="00745A5C">
      <w:rPr>
        <w:sz w:val="20"/>
      </w:rPr>
      <w:instrText xml:space="preserve"> PAGE   \* MERGEFORMAT </w:instrText>
    </w:r>
    <w:r w:rsidRPr="00745A5C">
      <w:rPr>
        <w:sz w:val="20"/>
      </w:rPr>
      <w:fldChar w:fldCharType="separate"/>
    </w:r>
    <w:r w:rsidR="00112BA3">
      <w:rPr>
        <w:noProof/>
        <w:sz w:val="20"/>
      </w:rPr>
      <w:t>21</w:t>
    </w:r>
    <w:r w:rsidRPr="00745A5C">
      <w:rPr>
        <w:noProof/>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rPr>
      <w:id w:val="530849583"/>
      <w:docPartObj>
        <w:docPartGallery w:val="Page Numbers (Bottom of Page)"/>
        <w:docPartUnique/>
      </w:docPartObj>
    </w:sdtPr>
    <w:sdtEndPr>
      <w:rPr>
        <w:noProof/>
      </w:rPr>
    </w:sdtEndPr>
    <w:sdtContent>
      <w:p w:rsidR="00653EAB" w:rsidRPr="002B5856" w:rsidRDefault="00653EAB">
        <w:pPr>
          <w:pStyle w:val="Footer"/>
          <w:jc w:val="center"/>
          <w:rPr>
            <w:sz w:val="20"/>
          </w:rPr>
        </w:pPr>
        <w:r w:rsidRPr="002B5856">
          <w:rPr>
            <w:sz w:val="20"/>
          </w:rPr>
          <w:fldChar w:fldCharType="begin"/>
        </w:r>
        <w:r w:rsidRPr="002B5856">
          <w:rPr>
            <w:sz w:val="20"/>
          </w:rPr>
          <w:instrText xml:space="preserve"> PAGE   \* MERGEFORMAT </w:instrText>
        </w:r>
        <w:r w:rsidRPr="002B5856">
          <w:rPr>
            <w:sz w:val="20"/>
          </w:rPr>
          <w:fldChar w:fldCharType="separate"/>
        </w:r>
        <w:r w:rsidR="00112BA3">
          <w:rPr>
            <w:noProof/>
            <w:sz w:val="20"/>
          </w:rPr>
          <w:t>28</w:t>
        </w:r>
        <w:r w:rsidRPr="002B5856">
          <w:rPr>
            <w:noProof/>
            <w:sz w:val="20"/>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4795899"/>
      <w:docPartObj>
        <w:docPartGallery w:val="Page Numbers (Bottom of Page)"/>
        <w:docPartUnique/>
      </w:docPartObj>
    </w:sdtPr>
    <w:sdtEndPr>
      <w:rPr>
        <w:noProof/>
        <w:sz w:val="20"/>
      </w:rPr>
    </w:sdtEndPr>
    <w:sdtContent>
      <w:p w:rsidR="00653EAB" w:rsidRPr="00FB4F81" w:rsidRDefault="00653EAB" w:rsidP="00A34E19">
        <w:pPr>
          <w:pStyle w:val="Footer"/>
          <w:jc w:val="center"/>
          <w:rPr>
            <w:sz w:val="20"/>
          </w:rPr>
        </w:pPr>
        <w:r w:rsidRPr="00FB4F81">
          <w:rPr>
            <w:sz w:val="20"/>
          </w:rPr>
          <w:fldChar w:fldCharType="begin"/>
        </w:r>
        <w:r w:rsidRPr="00FB4F81">
          <w:rPr>
            <w:sz w:val="20"/>
          </w:rPr>
          <w:instrText xml:space="preserve"> PAGE   \* MERGEFORMAT </w:instrText>
        </w:r>
        <w:r w:rsidRPr="00FB4F81">
          <w:rPr>
            <w:sz w:val="20"/>
          </w:rPr>
          <w:fldChar w:fldCharType="separate"/>
        </w:r>
        <w:r w:rsidR="00156844">
          <w:rPr>
            <w:noProof/>
            <w:sz w:val="20"/>
          </w:rPr>
          <w:t>26</w:t>
        </w:r>
        <w:r w:rsidRPr="00FB4F81">
          <w:rPr>
            <w:noProof/>
            <w:sz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3EAB" w:rsidRDefault="00653EAB">
      <w:r>
        <w:separator/>
      </w:r>
    </w:p>
  </w:footnote>
  <w:footnote w:type="continuationSeparator" w:id="0">
    <w:p w:rsidR="00653EAB" w:rsidRPr="009D30E6" w:rsidRDefault="00653EAB" w:rsidP="007E663E">
      <w:pPr>
        <w:rPr>
          <w:sz w:val="17"/>
          <w:szCs w:val="17"/>
        </w:rPr>
      </w:pPr>
      <w:r w:rsidRPr="009D30E6">
        <w:rPr>
          <w:sz w:val="17"/>
          <w:szCs w:val="17"/>
        </w:rPr>
        <w:separator/>
      </w:r>
    </w:p>
    <w:p w:rsidR="00653EAB" w:rsidRPr="007E663E" w:rsidRDefault="00653EAB" w:rsidP="007E663E">
      <w:pPr>
        <w:spacing w:after="60"/>
        <w:rPr>
          <w:sz w:val="17"/>
          <w:szCs w:val="17"/>
        </w:rPr>
      </w:pPr>
      <w:r>
        <w:rPr>
          <w:sz w:val="17"/>
        </w:rPr>
        <w:t>[Continuación de la nota de la página anterior]</w:t>
      </w:r>
    </w:p>
  </w:footnote>
  <w:footnote w:type="continuationNotice" w:id="1">
    <w:p w:rsidR="00653EAB" w:rsidRPr="007E663E" w:rsidRDefault="00653EAB" w:rsidP="007E663E">
      <w:pPr>
        <w:spacing w:before="60"/>
        <w:jc w:val="right"/>
        <w:rPr>
          <w:sz w:val="17"/>
          <w:szCs w:val="17"/>
        </w:rPr>
      </w:pPr>
      <w:r w:rsidRPr="007E663E">
        <w:rPr>
          <w:sz w:val="17"/>
          <w:szCs w:val="17"/>
        </w:rPr>
        <w:t>[Sigue la nota en la página siguiente]</w:t>
      </w:r>
    </w:p>
  </w:footnote>
  <w:footnote w:id="2">
    <w:p w:rsidR="00653EAB" w:rsidRPr="00D33CB3" w:rsidRDefault="00653EAB" w:rsidP="007D1BBF">
      <w:pPr>
        <w:pStyle w:val="FootnoteText"/>
        <w:rPr>
          <w:sz w:val="16"/>
          <w:szCs w:val="16"/>
        </w:rPr>
      </w:pPr>
      <w:r w:rsidRPr="00D33CB3">
        <w:rPr>
          <w:rStyle w:val="FootnoteReference"/>
          <w:sz w:val="16"/>
          <w:szCs w:val="16"/>
        </w:rPr>
        <w:footnoteRef/>
      </w:r>
      <w:r w:rsidRPr="00D33CB3">
        <w:rPr>
          <w:sz w:val="16"/>
          <w:szCs w:val="16"/>
        </w:rPr>
        <w:t xml:space="preserve"> En respuesta a la petición de los Estados miembros, en el marco de los programas pudieron definirse objetivos que no habían sido definidos en el presupuesto por programas de 2016/17, esto es, objetivos “por determinar”, durante el ejercicio de actualización de las referencias de base, utilizando como base los datos de fines de 2015.  Los objetivos no definidos durante ese proceso siguen sin definirse;  por consiguiente, los datos sobre el rendimiento figuran como "no mensurables.  A fin de reforzar el mecanismo de presentación de informes en 2016/17, se ha prestado mayor atención a la tarea de actualización/definición de las referencias de base y de los objetivos para que, en los programas, puedan actualizarse los objetivos en los casos en que el objetivo ya se haya cumplido al final de 2015, de conformidad con el informe de validación </w:t>
      </w:r>
      <w:r>
        <w:rPr>
          <w:sz w:val="16"/>
          <w:szCs w:val="16"/>
        </w:rPr>
        <w:t xml:space="preserve">por la DSI </w:t>
      </w:r>
      <w:r w:rsidRPr="00D33CB3">
        <w:rPr>
          <w:sz w:val="16"/>
          <w:szCs w:val="16"/>
        </w:rPr>
        <w:t xml:space="preserve">del documento PPR </w:t>
      </w:r>
      <w:r>
        <w:rPr>
          <w:sz w:val="16"/>
          <w:szCs w:val="16"/>
        </w:rPr>
        <w:t>d</w:t>
      </w:r>
      <w:r w:rsidRPr="00D33CB3">
        <w:rPr>
          <w:sz w:val="16"/>
          <w:szCs w:val="16"/>
        </w:rPr>
        <w:t>e 2014/15.</w:t>
      </w:r>
    </w:p>
  </w:footnote>
  <w:footnote w:id="3">
    <w:p w:rsidR="00653EAB" w:rsidRPr="00D33CB3" w:rsidRDefault="00653EAB" w:rsidP="008271A4">
      <w:pPr>
        <w:pStyle w:val="FootnoteText"/>
        <w:rPr>
          <w:sz w:val="16"/>
          <w:szCs w:val="16"/>
        </w:rPr>
      </w:pPr>
      <w:r w:rsidRPr="00D33CB3">
        <w:rPr>
          <w:rStyle w:val="FootnoteReference"/>
          <w:sz w:val="16"/>
          <w:szCs w:val="16"/>
        </w:rPr>
        <w:footnoteRef/>
      </w:r>
      <w:r w:rsidRPr="00D33CB3">
        <w:rPr>
          <w:sz w:val="16"/>
          <w:szCs w:val="16"/>
        </w:rPr>
        <w:t xml:space="preserve"> </w:t>
      </w:r>
      <w:hyperlink r:id="rId1" w:history="1">
        <w:r w:rsidRPr="00D33CB3">
          <w:rPr>
            <w:rStyle w:val="Hyperlink"/>
            <w:sz w:val="16"/>
            <w:szCs w:val="16"/>
          </w:rPr>
          <w:t>http://www.wipo.int/amc/en/new/2016_qmsurvey.html</w:t>
        </w:r>
      </w:hyperlink>
      <w:r w:rsidRPr="00D33CB3">
        <w:rPr>
          <w:sz w:val="16"/>
          <w:szCs w:val="16"/>
        </w:rPr>
        <w:t xml:space="preserve"> </w:t>
      </w:r>
    </w:p>
  </w:footnote>
  <w:footnote w:id="4">
    <w:p w:rsidR="00653EAB" w:rsidRPr="00D33CB3" w:rsidRDefault="00653EAB" w:rsidP="00745A5C">
      <w:pPr>
        <w:pStyle w:val="FootnoteText"/>
        <w:rPr>
          <w:sz w:val="16"/>
          <w:szCs w:val="16"/>
        </w:rPr>
      </w:pPr>
      <w:r w:rsidRPr="00D33CB3">
        <w:rPr>
          <w:rStyle w:val="FootnoteReference"/>
          <w:sz w:val="16"/>
          <w:szCs w:val="16"/>
        </w:rPr>
        <w:footnoteRef/>
      </w:r>
      <w:r w:rsidRPr="00D33CB3">
        <w:rPr>
          <w:sz w:val="16"/>
          <w:szCs w:val="16"/>
        </w:rPr>
        <w:t xml:space="preserve"> La comercialización se define como la aplicación de tecnologías apropiadas en el sector público.</w:t>
      </w:r>
    </w:p>
  </w:footnote>
  <w:footnote w:id="5">
    <w:p w:rsidR="00653EAB" w:rsidRPr="00D33CB3" w:rsidRDefault="00653EAB" w:rsidP="007355CE">
      <w:pPr>
        <w:pStyle w:val="FootnoteText"/>
        <w:rPr>
          <w:sz w:val="16"/>
          <w:szCs w:val="16"/>
        </w:rPr>
      </w:pPr>
      <w:r w:rsidRPr="00D33CB3">
        <w:rPr>
          <w:rStyle w:val="FootnoteReference"/>
          <w:sz w:val="16"/>
          <w:szCs w:val="16"/>
        </w:rPr>
        <w:footnoteRef/>
      </w:r>
      <w:r w:rsidRPr="00D33CB3">
        <w:rPr>
          <w:sz w:val="16"/>
          <w:szCs w:val="16"/>
        </w:rPr>
        <w:t xml:space="preserve"> Informe sobre el examen independiente de la aplicación de las recomendaciones de la Agenda para el Desarrollo:  </w:t>
      </w:r>
      <w:hyperlink r:id="rId2" w:history="1">
        <w:r w:rsidRPr="00D33CB3">
          <w:rPr>
            <w:rStyle w:val="Hyperlink"/>
            <w:sz w:val="16"/>
            <w:szCs w:val="16"/>
          </w:rPr>
          <w:t>CDIP/18/7</w:t>
        </w:r>
      </w:hyperlink>
    </w:p>
  </w:footnote>
  <w:footnote w:id="6">
    <w:p w:rsidR="00653EAB" w:rsidRPr="00D33CB3" w:rsidRDefault="00653EAB" w:rsidP="00745A5C">
      <w:pPr>
        <w:pStyle w:val="FootnoteText"/>
        <w:rPr>
          <w:sz w:val="16"/>
          <w:szCs w:val="16"/>
        </w:rPr>
      </w:pPr>
      <w:r w:rsidRPr="00D33CB3">
        <w:rPr>
          <w:rStyle w:val="FootnoteReference"/>
          <w:sz w:val="16"/>
          <w:szCs w:val="16"/>
        </w:rPr>
        <w:footnoteRef/>
      </w:r>
      <w:r w:rsidRPr="00D33CB3">
        <w:rPr>
          <w:sz w:val="16"/>
          <w:szCs w:val="16"/>
        </w:rPr>
        <w:t xml:space="preserve"> Corrección:  En 2015, había seis Oficinas en países en transición (76 Oficinas en total) que utilizaban los sistemas ofimáticos de la OMPI para las Oficinas de P.I., en lugar de siete (77 en total) como figuraba en el PPR de 2014/15.</w:t>
      </w:r>
    </w:p>
  </w:footnote>
  <w:footnote w:id="7">
    <w:p w:rsidR="00653EAB" w:rsidRPr="00685335" w:rsidRDefault="00653EAB" w:rsidP="007E58DC">
      <w:pPr>
        <w:pStyle w:val="FootnoteText"/>
        <w:rPr>
          <w:sz w:val="16"/>
          <w:szCs w:val="16"/>
        </w:rPr>
      </w:pPr>
      <w:r w:rsidRPr="00685335">
        <w:rPr>
          <w:rStyle w:val="FootnoteReference"/>
          <w:sz w:val="16"/>
          <w:szCs w:val="16"/>
        </w:rPr>
        <w:footnoteRef/>
      </w:r>
      <w:r w:rsidRPr="00685335">
        <w:rPr>
          <w:sz w:val="16"/>
          <w:szCs w:val="16"/>
        </w:rPr>
        <w:t xml:space="preserve"> </w:t>
      </w:r>
      <w:r>
        <w:rPr>
          <w:sz w:val="16"/>
          <w:szCs w:val="16"/>
        </w:rPr>
        <w:t xml:space="preserve">Resultados  del “Indicadores mundiales de propiedad intelectual”:  800 artículos en la prensa, con inclusión de los  principales medios de comunicación, y más de 172.000  visualizaciones (“impresiones”) de los tuits del lanzamiento del “Indicadores mundiales de propiedad intellectual”.  Resultados del Índice Mundial de Innovación:    más de 7400 artículos en la prensa, una amplia difusión en la televisión y más de 171.000 visualizaciones de los tuits </w:t>
      </w:r>
      <w:r w:rsidRPr="00685335">
        <w:rPr>
          <w:sz w:val="16"/>
          <w:szCs w:val="16"/>
        </w:rPr>
        <w:t xml:space="preserve"> WIPO’s #GII2016.</w:t>
      </w:r>
    </w:p>
  </w:footnote>
  <w:footnote w:id="8">
    <w:p w:rsidR="00653EAB" w:rsidRPr="00D33CB3" w:rsidRDefault="00653EAB" w:rsidP="008F3D8D">
      <w:pPr>
        <w:pStyle w:val="FootnoteText"/>
        <w:rPr>
          <w:sz w:val="16"/>
          <w:szCs w:val="16"/>
        </w:rPr>
      </w:pPr>
      <w:r w:rsidRPr="00D33CB3">
        <w:rPr>
          <w:rStyle w:val="FootnoteReference"/>
          <w:sz w:val="16"/>
          <w:szCs w:val="16"/>
        </w:rPr>
        <w:footnoteRef/>
      </w:r>
      <w:r w:rsidRPr="00D33CB3">
        <w:rPr>
          <w:sz w:val="16"/>
          <w:szCs w:val="16"/>
        </w:rPr>
        <w:t xml:space="preserve"> Resumen de la presidencia:  </w:t>
      </w:r>
      <w:hyperlink r:id="rId3" w:history="1">
        <w:r w:rsidRPr="00D33CB3">
          <w:rPr>
            <w:rStyle w:val="Hyperlink"/>
            <w:sz w:val="16"/>
            <w:szCs w:val="16"/>
          </w:rPr>
          <w:t>SCP/23/5</w:t>
        </w:r>
      </w:hyperlink>
    </w:p>
  </w:footnote>
  <w:footnote w:id="9">
    <w:p w:rsidR="00653EAB" w:rsidRPr="00D33CB3" w:rsidRDefault="00653EAB" w:rsidP="008F3D8D">
      <w:pPr>
        <w:pStyle w:val="FootnoteText"/>
        <w:rPr>
          <w:sz w:val="16"/>
          <w:szCs w:val="16"/>
        </w:rPr>
      </w:pPr>
      <w:r w:rsidRPr="00D33CB3">
        <w:rPr>
          <w:rStyle w:val="FootnoteReference"/>
          <w:sz w:val="16"/>
          <w:szCs w:val="16"/>
        </w:rPr>
        <w:footnoteRef/>
      </w:r>
      <w:r w:rsidRPr="00D33CB3">
        <w:rPr>
          <w:sz w:val="16"/>
          <w:szCs w:val="16"/>
        </w:rPr>
        <w:t xml:space="preserve"> Resumen de la presidencia:  </w:t>
      </w:r>
      <w:hyperlink r:id="rId4" w:history="1">
        <w:r w:rsidRPr="00D33CB3">
          <w:rPr>
            <w:rStyle w:val="Hyperlink"/>
            <w:sz w:val="16"/>
            <w:szCs w:val="16"/>
          </w:rPr>
          <w:t>SCP/24/5</w:t>
        </w:r>
      </w:hyperlink>
    </w:p>
  </w:footnote>
  <w:footnote w:id="10">
    <w:p w:rsidR="00653EAB" w:rsidRPr="00D33CB3" w:rsidRDefault="00653EAB" w:rsidP="008F3D8D">
      <w:pPr>
        <w:pStyle w:val="FootnoteText"/>
        <w:rPr>
          <w:sz w:val="16"/>
          <w:szCs w:val="16"/>
        </w:rPr>
      </w:pPr>
      <w:r w:rsidRPr="00D33CB3">
        <w:rPr>
          <w:rStyle w:val="FootnoteReference"/>
          <w:sz w:val="16"/>
          <w:szCs w:val="16"/>
        </w:rPr>
        <w:footnoteRef/>
      </w:r>
      <w:r w:rsidRPr="00D33CB3">
        <w:rPr>
          <w:sz w:val="16"/>
          <w:szCs w:val="16"/>
        </w:rPr>
        <w:t xml:space="preserve"> Ibídem.</w:t>
      </w:r>
    </w:p>
  </w:footnote>
  <w:footnote w:id="11">
    <w:p w:rsidR="00653EAB" w:rsidRPr="00D33CB3" w:rsidRDefault="00653EAB" w:rsidP="008F3D8D">
      <w:pPr>
        <w:pStyle w:val="FootnoteText"/>
        <w:rPr>
          <w:sz w:val="16"/>
          <w:szCs w:val="16"/>
        </w:rPr>
      </w:pPr>
      <w:r w:rsidRPr="00D33CB3">
        <w:rPr>
          <w:rStyle w:val="FootnoteReference"/>
          <w:sz w:val="16"/>
          <w:szCs w:val="16"/>
        </w:rPr>
        <w:footnoteRef/>
      </w:r>
      <w:r w:rsidRPr="00D33CB3">
        <w:rPr>
          <w:sz w:val="16"/>
          <w:szCs w:val="16"/>
        </w:rPr>
        <w:t xml:space="preserve"> Resumen de la presidencia:  </w:t>
      </w:r>
      <w:hyperlink r:id="rId5" w:history="1">
        <w:r w:rsidRPr="00D33CB3">
          <w:rPr>
            <w:rStyle w:val="Hyperlink"/>
            <w:sz w:val="16"/>
            <w:szCs w:val="16"/>
          </w:rPr>
          <w:t>SCP/25/5</w:t>
        </w:r>
      </w:hyperlink>
      <w:r w:rsidRPr="00D33CB3">
        <w:rPr>
          <w:sz w:val="16"/>
          <w:szCs w:val="16"/>
        </w:rPr>
        <w:t xml:space="preserve"> </w:t>
      </w:r>
    </w:p>
  </w:footnote>
  <w:footnote w:id="12">
    <w:p w:rsidR="00653EAB" w:rsidRPr="00D33CB3" w:rsidRDefault="00653EAB" w:rsidP="00A34E19">
      <w:pPr>
        <w:pStyle w:val="FootnoteText"/>
        <w:rPr>
          <w:sz w:val="16"/>
          <w:szCs w:val="16"/>
        </w:rPr>
      </w:pPr>
      <w:r w:rsidRPr="00D33CB3">
        <w:rPr>
          <w:rStyle w:val="FootnoteReference"/>
          <w:sz w:val="16"/>
          <w:szCs w:val="16"/>
        </w:rPr>
        <w:footnoteRef/>
      </w:r>
      <w:r w:rsidRPr="00D33CB3">
        <w:rPr>
          <w:sz w:val="16"/>
          <w:szCs w:val="16"/>
        </w:rPr>
        <w:t xml:space="preserve"> Informe resumido:  Punto 14 del orden del día consolidado:  </w:t>
      </w:r>
      <w:hyperlink r:id="rId6" w:history="1">
        <w:r w:rsidRPr="00D33CB3">
          <w:rPr>
            <w:rStyle w:val="Hyperlink"/>
            <w:color w:val="auto"/>
            <w:sz w:val="16"/>
            <w:szCs w:val="16"/>
          </w:rPr>
          <w:t>A/56/16 A</w:t>
        </w:r>
        <w:r>
          <w:rPr>
            <w:rStyle w:val="Hyperlink"/>
            <w:color w:val="auto"/>
            <w:sz w:val="16"/>
            <w:szCs w:val="16"/>
          </w:rPr>
          <w:t>dd</w:t>
        </w:r>
        <w:r w:rsidRPr="00D33CB3">
          <w:rPr>
            <w:rStyle w:val="Hyperlink"/>
            <w:color w:val="auto"/>
            <w:sz w:val="16"/>
            <w:szCs w:val="16"/>
          </w:rPr>
          <w:t>.4</w:t>
        </w:r>
      </w:hyperlink>
    </w:p>
  </w:footnote>
  <w:footnote w:id="13">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Recopilación de las respuestas al cuestionario sobre diseños de interfaces gráficas de usuario (IGU), iconos, y fuentes/tipos</w:t>
      </w:r>
      <w:r w:rsidRPr="00D33CB3">
        <w:rPr>
          <w:sz w:val="16"/>
          <w:szCs w:val="16"/>
        </w:rPr>
        <w:t xml:space="preserve">:  </w:t>
      </w:r>
      <w:hyperlink r:id="rId7" w:history="1">
        <w:r w:rsidRPr="00D33CB3">
          <w:rPr>
            <w:rStyle w:val="Hyperlink"/>
            <w:color w:val="auto"/>
            <w:sz w:val="16"/>
            <w:szCs w:val="16"/>
          </w:rPr>
          <w:t>SCT/36/2 R</w:t>
        </w:r>
        <w:r>
          <w:rPr>
            <w:rStyle w:val="Hyperlink"/>
            <w:color w:val="auto"/>
            <w:sz w:val="16"/>
            <w:szCs w:val="16"/>
          </w:rPr>
          <w:t>ev</w:t>
        </w:r>
        <w:r w:rsidRPr="00D33CB3">
          <w:rPr>
            <w:rStyle w:val="Hyperlink"/>
            <w:color w:val="auto"/>
            <w:sz w:val="16"/>
            <w:szCs w:val="16"/>
          </w:rPr>
          <w:t>.</w:t>
        </w:r>
      </w:hyperlink>
      <w:r w:rsidRPr="00D33CB3">
        <w:rPr>
          <w:sz w:val="16"/>
          <w:szCs w:val="16"/>
        </w:rPr>
        <w:t xml:space="preserve"> </w:t>
      </w:r>
    </w:p>
  </w:footnote>
  <w:footnote w:id="14">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w:t>
      </w:r>
      <w:hyperlink r:id="rId8" w:history="1">
        <w:r w:rsidRPr="00D33CB3">
          <w:rPr>
            <w:sz w:val="16"/>
            <w:szCs w:val="16"/>
          </w:rPr>
          <w:t xml:space="preserve"> Protección de los nombres de países contra su registro y uso como marcas: prácticas, enfoques y posibles ámbitos de convergencia:  </w:t>
        </w:r>
        <w:r w:rsidRPr="00D33CB3">
          <w:rPr>
            <w:rStyle w:val="Hyperlink"/>
            <w:color w:val="auto"/>
            <w:sz w:val="16"/>
            <w:szCs w:val="16"/>
          </w:rPr>
          <w:t>SCT/35/4</w:t>
        </w:r>
      </w:hyperlink>
      <w:r w:rsidRPr="00D33CB3">
        <w:rPr>
          <w:sz w:val="16"/>
          <w:szCs w:val="16"/>
        </w:rPr>
        <w:t xml:space="preserve"> </w:t>
      </w:r>
    </w:p>
  </w:footnote>
  <w:footnote w:id="15">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Resumen de la presidencia:  </w:t>
      </w:r>
      <w:hyperlink r:id="rId9" w:history="1">
        <w:r w:rsidRPr="00D33CB3">
          <w:rPr>
            <w:rStyle w:val="Hyperlink"/>
            <w:color w:val="auto"/>
            <w:sz w:val="16"/>
            <w:szCs w:val="16"/>
          </w:rPr>
          <w:t>SCT/36/5</w:t>
        </w:r>
      </w:hyperlink>
      <w:r w:rsidRPr="00D33CB3">
        <w:rPr>
          <w:sz w:val="16"/>
          <w:szCs w:val="16"/>
        </w:rPr>
        <w:t xml:space="preserve"> </w:t>
      </w:r>
    </w:p>
  </w:footnote>
  <w:footnote w:id="16">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Resumen de la presidencia:  </w:t>
      </w:r>
      <w:hyperlink r:id="rId10" w:history="1">
        <w:hyperlink r:id="rId11" w:history="1">
          <w:r w:rsidRPr="00D33CB3">
            <w:rPr>
              <w:rStyle w:val="Hyperlink"/>
              <w:sz w:val="16"/>
              <w:szCs w:val="16"/>
            </w:rPr>
            <w:t>SCCR31/REF/SUMMARY BY CHAIR</w:t>
          </w:r>
        </w:hyperlink>
      </w:hyperlink>
    </w:p>
  </w:footnote>
  <w:footnote w:id="17">
    <w:p w:rsidR="00653EAB" w:rsidRPr="00D33CB3" w:rsidRDefault="00653EAB" w:rsidP="00A34E19">
      <w:pPr>
        <w:pStyle w:val="FootnoteText"/>
        <w:rPr>
          <w:sz w:val="16"/>
          <w:szCs w:val="16"/>
        </w:rPr>
      </w:pPr>
      <w:r w:rsidRPr="00D33CB3">
        <w:rPr>
          <w:rStyle w:val="FootnoteReference"/>
          <w:sz w:val="16"/>
          <w:szCs w:val="16"/>
        </w:rPr>
        <w:footnoteRef/>
      </w:r>
      <w:r w:rsidRPr="00D33CB3">
        <w:rPr>
          <w:sz w:val="16"/>
          <w:szCs w:val="16"/>
        </w:rPr>
        <w:t xml:space="preserve"> Resumen de la presidencia:  </w:t>
      </w:r>
      <w:hyperlink r:id="rId12" w:history="1">
        <w:r w:rsidRPr="00D33CB3">
          <w:rPr>
            <w:rStyle w:val="Hyperlink"/>
            <w:sz w:val="16"/>
            <w:szCs w:val="16"/>
          </w:rPr>
          <w:t>REF/SCCR/32/SUMMARY BY THE CHAIR</w:t>
        </w:r>
      </w:hyperlink>
    </w:p>
  </w:footnote>
  <w:footnote w:id="18">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Resumen de la presidencia:  </w:t>
      </w:r>
      <w:hyperlink r:id="rId13" w:history="1">
        <w:hyperlink r:id="rId14" w:history="1">
          <w:r w:rsidRPr="00D33CB3">
            <w:rPr>
              <w:rStyle w:val="Hyperlink"/>
              <w:sz w:val="16"/>
              <w:szCs w:val="16"/>
            </w:rPr>
            <w:t>SCCR/33/SUMMARY BY THE CHAIR</w:t>
          </w:r>
        </w:hyperlink>
      </w:hyperlink>
    </w:p>
  </w:footnote>
  <w:footnote w:id="19">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Las Directrices se finalizaron en 2014 y en la actualidad se encuentran en fase de prueba cuya terminación está prevista antes de junio de 2016.</w:t>
      </w:r>
    </w:p>
  </w:footnote>
  <w:footnote w:id="20">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Actualmente en curso de redacción.</w:t>
      </w:r>
    </w:p>
  </w:footnote>
  <w:footnote w:id="21">
    <w:p w:rsidR="00653EAB" w:rsidRPr="005D26C9" w:rsidRDefault="00653EAB">
      <w:pPr>
        <w:pStyle w:val="FootnoteText"/>
        <w:rPr>
          <w:sz w:val="16"/>
          <w:szCs w:val="16"/>
        </w:rPr>
      </w:pPr>
      <w:r w:rsidRPr="005D26C9">
        <w:rPr>
          <w:rStyle w:val="FootnoteReference"/>
          <w:sz w:val="16"/>
          <w:szCs w:val="16"/>
        </w:rPr>
        <w:footnoteRef/>
      </w:r>
      <w:r w:rsidRPr="005D26C9">
        <w:rPr>
          <w:sz w:val="16"/>
          <w:szCs w:val="16"/>
        </w:rPr>
        <w:t xml:space="preserve"> Se ha añadido un margen de tolerancia a fin de dar cabida a las economías que puedan lograrse en el corto plazo y que puedan incidir en los niveles de calidad.</w:t>
      </w:r>
    </w:p>
  </w:footnote>
  <w:footnote w:id="22">
    <w:p w:rsidR="00653EAB" w:rsidRPr="00D33CB3" w:rsidRDefault="00653EAB">
      <w:pPr>
        <w:pStyle w:val="FootnoteText"/>
        <w:rPr>
          <w:b/>
          <w:sz w:val="16"/>
          <w:szCs w:val="16"/>
        </w:rPr>
      </w:pPr>
      <w:r w:rsidRPr="00D33CB3">
        <w:rPr>
          <w:rStyle w:val="FootnoteReference"/>
          <w:sz w:val="16"/>
          <w:szCs w:val="16"/>
        </w:rPr>
        <w:footnoteRef/>
      </w:r>
      <w:r w:rsidRPr="00D33CB3">
        <w:rPr>
          <w:sz w:val="16"/>
          <w:szCs w:val="16"/>
        </w:rPr>
        <w:t xml:space="preserve"> Para calcular la cifra actualizada, en relación con la referencia original publicada en el informe sobre el presupuesto por programas de 2016/17, se utilizaron los datos más actualizados.</w:t>
      </w:r>
    </w:p>
  </w:footnote>
  <w:footnote w:id="23">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Ibídem.</w:t>
      </w:r>
    </w:p>
  </w:footnote>
  <w:footnote w:id="24">
    <w:p w:rsidR="00653EAB" w:rsidRPr="00D33CB3" w:rsidRDefault="00653EAB" w:rsidP="00C24C56">
      <w:pPr>
        <w:pStyle w:val="FootnoteText"/>
        <w:jc w:val="both"/>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Se entiende por ejemplar original una solicitud PCT que, una vez presentada ante una Oficina receptora, es tramitada y remitida por ésta a la IB.  Puesto que los ejemplares originales son remitidos a la Oficina Internacional una vez que fueron tramitados por una Oficina receptora, los plazos de tramitación aplicados por dichas oficinas tendrán una marcada incidencia en las estadísticas.  Por ello, si bien las tendencias relativas a la recepción de ejemplares originales son indicadores válidos del volumen de trabajo de la IB, no se ajustan fielmente a las tendencias relativas a la presentación de solicitudes PCT.</w:t>
      </w:r>
    </w:p>
  </w:footnote>
  <w:footnote w:id="25">
    <w:p w:rsidR="00653EAB" w:rsidRPr="00D33CB3" w:rsidRDefault="00653EAB" w:rsidP="00C24C56">
      <w:pPr>
        <w:pStyle w:val="FootnoteText"/>
        <w:jc w:val="both"/>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Tras una revisión independiente de los parámetros de rendimiento del Servicio de Sistemas de Información del PCT, su definición se modificó ligeramente con respecto a la que se describe en el presupuesto por programas de 2014/15.</w:t>
      </w:r>
    </w:p>
  </w:footnote>
  <w:footnote w:id="26">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La referencia de base ha sido actualizada para reflejar el número de Partes Contratantes a fines de 2015 teniendo en cuenta la fecha de entrada en vigor, mientras que en el documento PPR de 2014/15 se tiene en cuenta la fecha de depósito del instrumento.</w:t>
      </w:r>
    </w:p>
  </w:footnote>
  <w:footnote w:id="27">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La referencia de base actualizada se basa en una nueva metodología, en contraste con la referencia original en el presupuesto de 2016/17.  A partir de la nueva metodología, a fines de 2012 la cuota de mercado era del 67%. </w:t>
      </w:r>
    </w:p>
  </w:footnote>
  <w:footnote w:id="28">
    <w:p w:rsidR="00653EAB" w:rsidRPr="00D33CB3" w:rsidRDefault="00653EAB" w:rsidP="00A34E19">
      <w:pPr>
        <w:pStyle w:val="FootnoteText"/>
        <w:rPr>
          <w:sz w:val="16"/>
          <w:szCs w:val="16"/>
        </w:rPr>
      </w:pPr>
      <w:r w:rsidRPr="00D33CB3">
        <w:rPr>
          <w:rStyle w:val="FootnoteReference"/>
          <w:sz w:val="16"/>
          <w:szCs w:val="16"/>
        </w:rPr>
        <w:footnoteRef/>
      </w:r>
      <w:r w:rsidRPr="00D33CB3">
        <w:rPr>
          <w:sz w:val="16"/>
          <w:szCs w:val="16"/>
        </w:rPr>
        <w:t xml:space="preserve"> Los datos se suministran teniendo en cuenta la fecha de presentación en la Oficina de origen, y no la fecha de recepción en la Oficina Internacional según se señalaba en los anteriores informes sobre el rendimiento de los programas.</w:t>
      </w:r>
    </w:p>
  </w:footnote>
  <w:footnote w:id="29">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La referencia de base ha sido actualizada para reflejar las cifras más actuales.</w:t>
      </w:r>
    </w:p>
  </w:footnote>
  <w:footnote w:id="30">
    <w:p w:rsidR="00653EAB" w:rsidRPr="00D33CB3" w:rsidRDefault="00653EAB" w:rsidP="00A34E19">
      <w:pPr>
        <w:pStyle w:val="FootnoteText"/>
        <w:tabs>
          <w:tab w:val="left" w:pos="567"/>
        </w:tabs>
        <w:rPr>
          <w:sz w:val="16"/>
          <w:szCs w:val="16"/>
        </w:rPr>
      </w:pPr>
      <w:r w:rsidRPr="00D33CB3">
        <w:rPr>
          <w:rStyle w:val="FootnoteReference"/>
          <w:sz w:val="16"/>
          <w:szCs w:val="16"/>
        </w:rPr>
        <w:footnoteRef/>
      </w:r>
      <w:r w:rsidRPr="00D33CB3">
        <w:rPr>
          <w:sz w:val="16"/>
          <w:szCs w:val="16"/>
        </w:rPr>
        <w:t xml:space="preserve"> Corrección:  En el documento PPR de 2014, el porcentaje de irregularidades señalado, del 36%, era incorrecto.  El porcentaje correcto es el 34%.</w:t>
      </w:r>
    </w:p>
  </w:footnote>
  <w:footnote w:id="31">
    <w:p w:rsidR="00653EAB" w:rsidRPr="00920C62" w:rsidRDefault="00653EAB">
      <w:pPr>
        <w:pStyle w:val="FootnoteText"/>
        <w:rPr>
          <w:sz w:val="16"/>
          <w:szCs w:val="16"/>
          <w:lang w:val="en-US"/>
        </w:rPr>
      </w:pPr>
      <w:r w:rsidRPr="00D33CB3">
        <w:rPr>
          <w:rStyle w:val="FootnoteReference"/>
          <w:sz w:val="16"/>
          <w:szCs w:val="16"/>
        </w:rPr>
        <w:footnoteRef/>
      </w:r>
      <w:r w:rsidRPr="00920C62">
        <w:rPr>
          <w:sz w:val="16"/>
          <w:szCs w:val="16"/>
          <w:lang w:val="en-US"/>
        </w:rPr>
        <w:t xml:space="preserve"> </w:t>
      </w:r>
      <w:hyperlink r:id="rId15" w:history="1">
        <w:r w:rsidRPr="00920C62">
          <w:rPr>
            <w:rStyle w:val="Hyperlink"/>
            <w:sz w:val="16"/>
            <w:szCs w:val="16"/>
            <w:lang w:val="en-US"/>
          </w:rPr>
          <w:t>MM/LD/WG/13/2</w:t>
        </w:r>
      </w:hyperlink>
      <w:r w:rsidRPr="00920C62">
        <w:rPr>
          <w:sz w:val="16"/>
          <w:szCs w:val="16"/>
          <w:lang w:val="en-US"/>
        </w:rPr>
        <w:t>.</w:t>
      </w:r>
    </w:p>
  </w:footnote>
  <w:footnote w:id="32">
    <w:p w:rsidR="00653EAB" w:rsidRPr="00920C62" w:rsidRDefault="00653EAB">
      <w:pPr>
        <w:pStyle w:val="FootnoteText"/>
        <w:rPr>
          <w:sz w:val="16"/>
          <w:szCs w:val="16"/>
          <w:lang w:val="en-US"/>
        </w:rPr>
      </w:pPr>
      <w:r w:rsidRPr="00D33CB3">
        <w:rPr>
          <w:rStyle w:val="FootnoteReference"/>
          <w:sz w:val="16"/>
          <w:szCs w:val="16"/>
        </w:rPr>
        <w:footnoteRef/>
      </w:r>
      <w:r w:rsidRPr="00920C62">
        <w:rPr>
          <w:sz w:val="16"/>
          <w:szCs w:val="16"/>
          <w:lang w:val="en-US"/>
        </w:rPr>
        <w:t xml:space="preserve"> </w:t>
      </w:r>
      <w:hyperlink r:id="rId16" w:history="1">
        <w:r w:rsidRPr="00920C62">
          <w:rPr>
            <w:rStyle w:val="Hyperlink"/>
            <w:sz w:val="16"/>
            <w:szCs w:val="16"/>
            <w:lang w:val="en-US"/>
          </w:rPr>
          <w:t>MM/LD/WG/14/2 Rev.</w:t>
        </w:r>
      </w:hyperlink>
    </w:p>
  </w:footnote>
  <w:footnote w:id="33">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Informe de la quinta sesión de la Asamblea de la Unión de Madrid:  </w:t>
      </w:r>
      <w:hyperlink r:id="rId17" w:history="1">
        <w:r w:rsidRPr="00D33CB3">
          <w:rPr>
            <w:rStyle w:val="Hyperlink"/>
            <w:sz w:val="16"/>
            <w:szCs w:val="16"/>
          </w:rPr>
          <w:t>MM/A/50/5</w:t>
        </w:r>
      </w:hyperlink>
      <w:r w:rsidRPr="00D33CB3">
        <w:rPr>
          <w:rStyle w:val="Hyperlink"/>
          <w:sz w:val="16"/>
          <w:szCs w:val="16"/>
        </w:rPr>
        <w:t>.</w:t>
      </w:r>
    </w:p>
  </w:footnote>
  <w:footnote w:id="34">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Debido a la mejora del cálculo del costo total de producción (véase el Anexo sobre los indicadores de las operaciones del Sistema de Madrid, párrafo 7), el costo unitario no es comparable con la referencia de base, de lo que se deriva una calificación de “no mensurable”.</w:t>
      </w:r>
    </w:p>
  </w:footnote>
  <w:footnote w:id="35">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Ibídem.</w:t>
      </w:r>
    </w:p>
  </w:footnote>
  <w:footnote w:id="36">
    <w:p w:rsidR="00653EAB" w:rsidRPr="00D33CB3" w:rsidRDefault="00653EAB" w:rsidP="00CB26C6">
      <w:pPr>
        <w:pStyle w:val="FootnoteText"/>
        <w:rPr>
          <w:sz w:val="16"/>
          <w:szCs w:val="16"/>
        </w:rPr>
      </w:pPr>
      <w:r w:rsidRPr="00D33CB3">
        <w:rPr>
          <w:rStyle w:val="FootnoteReference"/>
          <w:sz w:val="16"/>
          <w:szCs w:val="16"/>
        </w:rPr>
        <w:footnoteRef/>
      </w:r>
      <w:r w:rsidRPr="00D33CB3">
        <w:rPr>
          <w:sz w:val="16"/>
          <w:szCs w:val="16"/>
        </w:rPr>
        <w:t xml:space="preserve"> Los datos se proporcionan sobre la base de la fecha de presentación en la Oficina de origen en lugar de la fecha de recepción en la IB, como figuraba en anteriores informes sobre el rendimiento de los programas.</w:t>
      </w:r>
    </w:p>
  </w:footnote>
  <w:footnote w:id="37">
    <w:p w:rsidR="00653EAB" w:rsidRPr="00D33CB3" w:rsidRDefault="00653EAB" w:rsidP="00CB26C6">
      <w:pPr>
        <w:pStyle w:val="FootnoteText"/>
        <w:rPr>
          <w:sz w:val="16"/>
          <w:szCs w:val="16"/>
        </w:rPr>
      </w:pPr>
      <w:r w:rsidRPr="00D33CB3">
        <w:rPr>
          <w:rStyle w:val="FootnoteReference"/>
          <w:sz w:val="16"/>
          <w:szCs w:val="16"/>
        </w:rPr>
        <w:footnoteRef/>
      </w:r>
      <w:r w:rsidRPr="00D33CB3">
        <w:rPr>
          <w:sz w:val="16"/>
          <w:szCs w:val="16"/>
        </w:rPr>
        <w:t xml:space="preserve"> El promedio de clases por registro en  2015 ascendió a 6,8 en lugar de 7,7, como figuraba en el documento PPR de 2014/15.</w:t>
      </w:r>
    </w:p>
  </w:footnote>
  <w:footnote w:id="38">
    <w:p w:rsidR="00653EAB" w:rsidRPr="00D33CB3" w:rsidRDefault="00653EAB" w:rsidP="00CB26C6">
      <w:pPr>
        <w:pStyle w:val="FootnoteText"/>
        <w:rPr>
          <w:sz w:val="16"/>
          <w:szCs w:val="16"/>
        </w:rPr>
      </w:pPr>
      <w:r w:rsidRPr="00D33CB3">
        <w:rPr>
          <w:rStyle w:val="FootnoteReference"/>
          <w:sz w:val="16"/>
          <w:szCs w:val="16"/>
        </w:rPr>
        <w:footnoteRef/>
      </w:r>
      <w:r w:rsidRPr="00D33CB3">
        <w:rPr>
          <w:sz w:val="16"/>
          <w:szCs w:val="16"/>
        </w:rPr>
        <w:t xml:space="preserve">  Véase “Volumen total de trabajo realizado” más arriba.</w:t>
      </w:r>
    </w:p>
  </w:footnote>
  <w:footnote w:id="39">
    <w:p w:rsidR="00653EAB" w:rsidRPr="00D33CB3" w:rsidRDefault="00653EAB" w:rsidP="00CB26C6">
      <w:pPr>
        <w:pStyle w:val="FootnoteText"/>
        <w:rPr>
          <w:sz w:val="16"/>
          <w:szCs w:val="16"/>
        </w:rPr>
      </w:pPr>
      <w:r w:rsidRPr="00D33CB3">
        <w:rPr>
          <w:rStyle w:val="FootnoteReference"/>
          <w:sz w:val="16"/>
          <w:szCs w:val="16"/>
        </w:rPr>
        <w:footnoteRef/>
      </w:r>
      <w:r w:rsidRPr="00D33CB3">
        <w:rPr>
          <w:sz w:val="16"/>
          <w:szCs w:val="16"/>
        </w:rPr>
        <w:t xml:space="preserve">  Véase “Volumen total de trabajo realizado” más arriba.</w:t>
      </w:r>
    </w:p>
  </w:footnote>
  <w:footnote w:id="40">
    <w:p w:rsidR="00653EAB" w:rsidRPr="00D33CB3" w:rsidRDefault="00653EAB" w:rsidP="00CB26C6">
      <w:pPr>
        <w:pStyle w:val="FootnoteText"/>
        <w:rPr>
          <w:sz w:val="16"/>
          <w:szCs w:val="16"/>
        </w:rPr>
      </w:pPr>
      <w:r w:rsidRPr="00D33CB3">
        <w:rPr>
          <w:rStyle w:val="FootnoteReference"/>
          <w:sz w:val="16"/>
          <w:szCs w:val="16"/>
        </w:rPr>
        <w:footnoteRef/>
      </w:r>
      <w:r w:rsidRPr="00D33CB3">
        <w:rPr>
          <w:sz w:val="16"/>
          <w:szCs w:val="16"/>
        </w:rPr>
        <w:t xml:space="preserve"> El Marco de Gestión de la Calidad del Registro de Madrid está disponible, previa solicitud a </w:t>
      </w:r>
      <w:hyperlink r:id="rId18" w:history="1">
        <w:r w:rsidRPr="00D33CB3">
          <w:rPr>
            <w:rStyle w:val="Hyperlink"/>
            <w:sz w:val="16"/>
            <w:szCs w:val="16"/>
          </w:rPr>
          <w:t>madrid.qp@wipo.int</w:t>
        </w:r>
      </w:hyperlink>
      <w:r w:rsidRPr="00D33CB3">
        <w:rPr>
          <w:sz w:val="16"/>
          <w:szCs w:val="16"/>
        </w:rPr>
        <w:t>.</w:t>
      </w:r>
    </w:p>
  </w:footnote>
  <w:footnote w:id="41">
    <w:p w:rsidR="00653EAB" w:rsidRPr="00D33CB3" w:rsidRDefault="00653EAB" w:rsidP="00CB26C6">
      <w:pPr>
        <w:pStyle w:val="FootnoteText"/>
        <w:rPr>
          <w:sz w:val="16"/>
          <w:szCs w:val="16"/>
        </w:rPr>
      </w:pPr>
      <w:r w:rsidRPr="00D33CB3">
        <w:rPr>
          <w:rStyle w:val="FootnoteReference"/>
          <w:sz w:val="16"/>
          <w:szCs w:val="16"/>
        </w:rPr>
        <w:footnoteRef/>
      </w:r>
      <w:r w:rsidRPr="00D33CB3">
        <w:rPr>
          <w:sz w:val="16"/>
          <w:szCs w:val="16"/>
        </w:rPr>
        <w:t xml:space="preserve"> Transacciones que contienen uno o más errores.</w:t>
      </w:r>
    </w:p>
  </w:footnote>
  <w:footnote w:id="42">
    <w:p w:rsidR="00653EAB" w:rsidRPr="00D33CB3" w:rsidRDefault="00653EAB" w:rsidP="000D3D40">
      <w:pPr>
        <w:pStyle w:val="FootnoteText"/>
        <w:tabs>
          <w:tab w:val="left" w:pos="567"/>
        </w:tabs>
        <w:rPr>
          <w:sz w:val="16"/>
          <w:szCs w:val="16"/>
        </w:rPr>
      </w:pPr>
      <w:r w:rsidRPr="00D33CB3">
        <w:rPr>
          <w:rStyle w:val="FootnoteReference"/>
          <w:sz w:val="16"/>
          <w:szCs w:val="16"/>
        </w:rPr>
        <w:footnoteRef/>
      </w:r>
      <w:r w:rsidRPr="00D33CB3">
        <w:rPr>
          <w:sz w:val="16"/>
          <w:szCs w:val="16"/>
        </w:rPr>
        <w:t xml:space="preserve">  El número total de irregularidades en 2015 ascendió a 2.062 en lugar de las 2.118 indicadas en el documento PPR de 2014/15.</w:t>
      </w:r>
    </w:p>
  </w:footnote>
  <w:footnote w:id="43">
    <w:p w:rsidR="00653EAB" w:rsidRPr="00D33CB3" w:rsidRDefault="00653EAB" w:rsidP="000D3D40">
      <w:pPr>
        <w:pStyle w:val="FootnoteText"/>
        <w:tabs>
          <w:tab w:val="left" w:pos="567"/>
        </w:tabs>
        <w:rPr>
          <w:sz w:val="16"/>
          <w:szCs w:val="16"/>
        </w:rPr>
      </w:pPr>
      <w:r w:rsidRPr="00D33CB3">
        <w:rPr>
          <w:rStyle w:val="FootnoteReference"/>
          <w:sz w:val="16"/>
          <w:szCs w:val="16"/>
        </w:rPr>
        <w:footnoteRef/>
      </w:r>
      <w:r w:rsidRPr="00D33CB3">
        <w:rPr>
          <w:sz w:val="16"/>
          <w:szCs w:val="16"/>
        </w:rPr>
        <w:t xml:space="preserve">  Debido a incoherencias en el cálculo de la proporción de solicitudes con irregularidades u observaciones, los datos comunicados en anteriores informes sobre el rendimiento de los programas han sido ahora corregidos para todo el período 2012</w:t>
      </w:r>
      <w:r w:rsidRPr="00D33CB3">
        <w:rPr>
          <w:sz w:val="16"/>
          <w:szCs w:val="16"/>
        </w:rPr>
        <w:noBreakHyphen/>
        <w:t>2016.</w:t>
      </w:r>
    </w:p>
  </w:footnote>
  <w:footnote w:id="44">
    <w:p w:rsidR="00653EAB" w:rsidRPr="00D33CB3" w:rsidRDefault="00653EAB" w:rsidP="000D3D40">
      <w:pPr>
        <w:pStyle w:val="FootnoteText"/>
        <w:tabs>
          <w:tab w:val="left" w:pos="567"/>
        </w:tabs>
        <w:rPr>
          <w:sz w:val="16"/>
          <w:szCs w:val="16"/>
        </w:rPr>
      </w:pPr>
      <w:r w:rsidRPr="00D33CB3">
        <w:rPr>
          <w:rStyle w:val="FootnoteReference"/>
          <w:sz w:val="16"/>
          <w:szCs w:val="16"/>
        </w:rPr>
        <w:footnoteRef/>
      </w:r>
      <w:r w:rsidRPr="00D33CB3">
        <w:rPr>
          <w:sz w:val="16"/>
          <w:szCs w:val="16"/>
        </w:rPr>
        <w:t xml:space="preserve"> </w:t>
      </w:r>
      <w:r w:rsidRPr="00D33CB3">
        <w:rPr>
          <w:sz w:val="16"/>
          <w:szCs w:val="16"/>
        </w:rPr>
        <w:tab/>
        <w:t>La revisión en cuestión se explicó detalladamente en el documento PPR de 2014, e incluía en particular poner en sintonía la metodología de cálculo de los costos directos e indirectos correspondientes al Sistema de La Haya con las metodologías de cálculo de los costos unitarios correspondientes al Sistema del PCT y al de Madrid.</w:t>
      </w:r>
    </w:p>
  </w:footnote>
  <w:footnote w:id="45">
    <w:p w:rsidR="00653EAB" w:rsidRPr="00D33CB3" w:rsidRDefault="00653EAB" w:rsidP="000D3D40">
      <w:pPr>
        <w:pStyle w:val="FootnoteText"/>
        <w:tabs>
          <w:tab w:val="left" w:pos="567"/>
        </w:tabs>
        <w:rPr>
          <w:sz w:val="16"/>
          <w:szCs w:val="16"/>
        </w:rPr>
      </w:pPr>
      <w:r w:rsidRPr="00D33CB3">
        <w:rPr>
          <w:rStyle w:val="FootnoteReference"/>
          <w:sz w:val="16"/>
          <w:szCs w:val="16"/>
        </w:rPr>
        <w:footnoteRef/>
      </w:r>
      <w:r w:rsidRPr="00D33CB3">
        <w:rPr>
          <w:sz w:val="16"/>
          <w:szCs w:val="16"/>
        </w:rPr>
        <w:t xml:space="preserve"> </w:t>
      </w:r>
      <w:r w:rsidRPr="00D33CB3">
        <w:rPr>
          <w:sz w:val="16"/>
          <w:szCs w:val="16"/>
        </w:rPr>
        <w:tab/>
        <w:t>Véase la relación entre solicitudes y renovaciones en “Volumen total de trabajo”, más adelante.</w:t>
      </w:r>
    </w:p>
  </w:footnote>
  <w:footnote w:id="46">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A fines de 2015 se había adoptado un total de 23 regímenes especiales, y no 20, como se señalaba en el documento PPR de 2014/15. </w:t>
      </w:r>
    </w:p>
  </w:footnote>
  <w:footnote w:id="47">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Informe sobre el examen independiente de la aplicación de las recomendaciones de la Agenda para el Desarrollo</w:t>
      </w:r>
      <w:r w:rsidRPr="00D33CB3">
        <w:rPr>
          <w:sz w:val="16"/>
          <w:szCs w:val="16"/>
        </w:rPr>
        <w:t xml:space="preserve">:  </w:t>
      </w:r>
      <w:hyperlink r:id="rId19" w:history="1">
        <w:r w:rsidRPr="00D33CB3">
          <w:rPr>
            <w:rStyle w:val="Hyperlink"/>
            <w:sz w:val="16"/>
            <w:szCs w:val="16"/>
          </w:rPr>
          <w:t>CDIP/18/7</w:t>
        </w:r>
      </w:hyperlink>
    </w:p>
  </w:footnote>
  <w:footnote w:id="48">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Al final de 2015, Fiji todavía no las había adoptado, contrariamente a lo que se señala en el documento PPR de 2014/15.</w:t>
      </w:r>
    </w:p>
  </w:footnote>
  <w:footnote w:id="49">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No hay mecanismos existentes disponibles.   Durante el bienio 2016/17 se elaborará un mecanismo apropiado.</w:t>
      </w:r>
      <w:r w:rsidRPr="00D33CB3">
        <w:rPr>
          <w:sz w:val="16"/>
          <w:szCs w:val="16"/>
        </w:rPr>
        <w:t xml:space="preserve"> </w:t>
      </w:r>
    </w:p>
  </w:footnote>
  <w:footnote w:id="50">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bidi="th-TH"/>
        </w:rPr>
        <w:t xml:space="preserve">i)  Proyecto LATIPAT en colaboración con la OEP y la OEPM;  ii) Proyecto sobre indicaciones geográficas, productos cuyas características se deben a su origen y desarrollo de marcas en asociación con el Banco Interamericano de Desarrollo (BID), la </w:t>
      </w:r>
      <w:r w:rsidRPr="00D33CB3">
        <w:rPr>
          <w:i/>
          <w:sz w:val="16"/>
          <w:szCs w:val="16"/>
          <w:lang w:bidi="th-TH"/>
        </w:rPr>
        <w:t>Caribbean Export Development Agency</w:t>
      </w:r>
      <w:r w:rsidRPr="00D33CB3">
        <w:rPr>
          <w:sz w:val="16"/>
          <w:szCs w:val="16"/>
          <w:lang w:bidi="th-TH"/>
        </w:rPr>
        <w:t xml:space="preserve"> (CEDA) y el </w:t>
      </w:r>
      <w:r w:rsidRPr="00D33CB3">
        <w:rPr>
          <w:i/>
          <w:sz w:val="16"/>
          <w:szCs w:val="16"/>
          <w:lang w:bidi="th-TH"/>
        </w:rPr>
        <w:t>Technical Centre for Agricultural and Rural Corporation</w:t>
      </w:r>
      <w:r w:rsidRPr="00D33CB3">
        <w:rPr>
          <w:sz w:val="16"/>
          <w:szCs w:val="16"/>
          <w:lang w:bidi="th-TH"/>
        </w:rPr>
        <w:t xml:space="preserve"> (CTA);  iii) </w:t>
      </w:r>
      <w:r w:rsidRPr="00D33CB3">
        <w:rPr>
          <w:sz w:val="16"/>
          <w:szCs w:val="16"/>
        </w:rPr>
        <w:t>Proyecto sobre indicaciones geográficas en el Caribe - </w:t>
      </w:r>
      <w:r w:rsidRPr="00D33CB3">
        <w:rPr>
          <w:sz w:val="16"/>
          <w:szCs w:val="16"/>
          <w:lang w:bidi="th-TH"/>
        </w:rPr>
        <w:t xml:space="preserve">Proyecto sobre indicaciones geográficas, productos cuyas características se deben a su origen y desarrollo de marcas en asociación con el Banco Interamericano de Desarrollo (BID), la </w:t>
      </w:r>
      <w:r w:rsidRPr="00D33CB3">
        <w:rPr>
          <w:i/>
          <w:sz w:val="16"/>
          <w:szCs w:val="16"/>
          <w:lang w:bidi="th-TH"/>
        </w:rPr>
        <w:t>Caribbean Export Development Agency</w:t>
      </w:r>
      <w:r w:rsidRPr="00D33CB3">
        <w:rPr>
          <w:sz w:val="16"/>
          <w:szCs w:val="16"/>
          <w:lang w:bidi="th-TH"/>
        </w:rPr>
        <w:t xml:space="preserve"> (CEDA) y el </w:t>
      </w:r>
      <w:r w:rsidRPr="00D33CB3">
        <w:rPr>
          <w:i/>
          <w:sz w:val="16"/>
          <w:szCs w:val="16"/>
          <w:lang w:bidi="th-TH"/>
        </w:rPr>
        <w:t>Technical Centre for Agricultural and Rural Corporation</w:t>
      </w:r>
      <w:r w:rsidRPr="00D33CB3">
        <w:rPr>
          <w:sz w:val="16"/>
          <w:szCs w:val="16"/>
          <w:lang w:bidi="th-TH"/>
        </w:rPr>
        <w:t xml:space="preserve"> (CTA</w:t>
      </w:r>
      <w:r w:rsidRPr="00D33CB3">
        <w:rPr>
          <w:sz w:val="16"/>
          <w:szCs w:val="16"/>
        </w:rPr>
        <w:t xml:space="preserve">); </w:t>
      </w:r>
      <w:r w:rsidRPr="00D33CB3">
        <w:rPr>
          <w:sz w:val="16"/>
          <w:szCs w:val="16"/>
          <w:lang w:bidi="th-TH"/>
        </w:rPr>
        <w:t xml:space="preserve"> iv) Oficina Regional de Patentes en los Estados del Caribe con la Administración de Patentes del Caribe;  v) Plataforma CIBEPYME en el marco del programa iberoamericano;  vi) Plataforma INFOTE</w:t>
      </w:r>
      <w:r>
        <w:rPr>
          <w:sz w:val="16"/>
          <w:szCs w:val="16"/>
          <w:lang w:bidi="th-TH"/>
        </w:rPr>
        <w:t>C</w:t>
      </w:r>
      <w:r w:rsidRPr="00D33CB3">
        <w:rPr>
          <w:sz w:val="16"/>
          <w:szCs w:val="16"/>
          <w:lang w:bidi="th-TH"/>
        </w:rPr>
        <w:t xml:space="preserve"> en el marco del programa iberoamericano; </w:t>
      </w:r>
      <w:r w:rsidRPr="00D33CB3">
        <w:rPr>
          <w:sz w:val="16"/>
          <w:szCs w:val="16"/>
        </w:rPr>
        <w:t xml:space="preserve"> vii) </w:t>
      </w:r>
      <w:r w:rsidRPr="00D33CB3">
        <w:rPr>
          <w:sz w:val="16"/>
          <w:szCs w:val="16"/>
          <w:lang w:bidi="th-TH"/>
        </w:rPr>
        <w:t xml:space="preserve">Colaboración continua con la plataforma </w:t>
      </w:r>
      <w:r w:rsidRPr="00D33CB3">
        <w:rPr>
          <w:i/>
          <w:sz w:val="16"/>
          <w:szCs w:val="16"/>
          <w:lang w:bidi="th-TH"/>
        </w:rPr>
        <w:t>Regional Entrepreneurial Asset Commercialization Hub</w:t>
      </w:r>
      <w:r w:rsidRPr="00D33CB3">
        <w:rPr>
          <w:sz w:val="16"/>
          <w:szCs w:val="16"/>
          <w:lang w:bidi="th-TH"/>
        </w:rPr>
        <w:t xml:space="preserve"> (proyecto REACH) con el BID y el </w:t>
      </w:r>
      <w:r w:rsidRPr="00D33CB3">
        <w:rPr>
          <w:i/>
          <w:sz w:val="16"/>
          <w:szCs w:val="16"/>
          <w:lang w:bidi="th-TH"/>
        </w:rPr>
        <w:t>Young Americas Business Trust</w:t>
      </w:r>
      <w:r w:rsidRPr="00D33CB3">
        <w:rPr>
          <w:sz w:val="16"/>
          <w:szCs w:val="16"/>
          <w:lang w:bidi="th-TH"/>
        </w:rPr>
        <w:t xml:space="preserve"> (YABT).</w:t>
      </w:r>
    </w:p>
  </w:footnote>
  <w:footnote w:id="51">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Por “CATI sostenibles” se entiende instituciones autónomas desde el punto de vista financiero y técnico a las que la OMPI presta asesoramiento cuando lo solicitan.</w:t>
      </w:r>
      <w:r w:rsidRPr="00D33CB3">
        <w:rPr>
          <w:sz w:val="16"/>
          <w:szCs w:val="16"/>
        </w:rPr>
        <w:t xml:space="preserve">  La sostenibilidad se mide con arreglo a los siguientes niveles de desarrollo:  </w:t>
      </w:r>
    </w:p>
    <w:p w:rsidR="00653EAB" w:rsidRPr="00D33CB3" w:rsidRDefault="00653EAB" w:rsidP="00185608">
      <w:pPr>
        <w:pStyle w:val="FootnoteText"/>
        <w:numPr>
          <w:ilvl w:val="0"/>
          <w:numId w:val="46"/>
        </w:numPr>
        <w:rPr>
          <w:sz w:val="16"/>
          <w:szCs w:val="16"/>
        </w:rPr>
      </w:pPr>
      <w:r w:rsidRPr="00D33CB3">
        <w:rPr>
          <w:b/>
          <w:sz w:val="16"/>
          <w:szCs w:val="16"/>
        </w:rPr>
        <w:t>Nivel de desarrollo 1</w:t>
      </w:r>
      <w:r w:rsidRPr="00D33CB3">
        <w:rPr>
          <w:sz w:val="16"/>
          <w:szCs w:val="16"/>
        </w:rPr>
        <w:t xml:space="preserve">- a) Firma de un acuerdo de prestación de servicios entre la OMPI y el coordinador nacional;  b) Firma de acuerdos institucionales entre el coordinador nacional y las instituciones en que se establezcan los CATI;  y c) Presentación de al menos un informe anual sobre las actividades nacionales de los CATI; </w:t>
      </w:r>
    </w:p>
    <w:p w:rsidR="00653EAB" w:rsidRPr="00D33CB3" w:rsidRDefault="00653EAB" w:rsidP="00185608">
      <w:pPr>
        <w:pStyle w:val="FootnoteText"/>
        <w:numPr>
          <w:ilvl w:val="0"/>
          <w:numId w:val="46"/>
        </w:numPr>
        <w:rPr>
          <w:sz w:val="16"/>
          <w:szCs w:val="16"/>
        </w:rPr>
      </w:pPr>
      <w:r w:rsidRPr="00D33CB3">
        <w:rPr>
          <w:b/>
          <w:sz w:val="16"/>
          <w:szCs w:val="16"/>
        </w:rPr>
        <w:t>Nivel de desarrollo 2</w:t>
      </w:r>
      <w:r w:rsidRPr="00D33CB3">
        <w:rPr>
          <w:sz w:val="16"/>
          <w:szCs w:val="16"/>
        </w:rPr>
        <w:t xml:space="preserve">- Cuando se hayan cumplido los criterios del nivel 1 + el suministro de búsquedas de información básica sobre patentes, por ejemplo, búsquedas de patentes en el estado de la técnica;  y </w:t>
      </w:r>
    </w:p>
    <w:p w:rsidR="00653EAB" w:rsidRPr="00D33CB3" w:rsidRDefault="00653EAB" w:rsidP="00185608">
      <w:pPr>
        <w:pStyle w:val="FootnoteText"/>
        <w:numPr>
          <w:ilvl w:val="0"/>
          <w:numId w:val="46"/>
        </w:numPr>
        <w:rPr>
          <w:sz w:val="16"/>
          <w:szCs w:val="16"/>
        </w:rPr>
      </w:pPr>
      <w:r w:rsidRPr="00D33CB3">
        <w:rPr>
          <w:b/>
          <w:sz w:val="16"/>
          <w:szCs w:val="16"/>
        </w:rPr>
        <w:t>Nivel de desarrollo 3</w:t>
      </w:r>
      <w:r w:rsidRPr="00D33CB3">
        <w:rPr>
          <w:sz w:val="16"/>
          <w:szCs w:val="16"/>
        </w:rPr>
        <w:t>- Cuando se hayan cumplido los criterios del nivel 2 + la prestación de servicios de P.I. de valor añadido, por ejemplo, la redacción de informes sobre la actividad de patentamiento.</w:t>
      </w:r>
    </w:p>
  </w:footnote>
  <w:footnote w:id="52">
    <w:p w:rsidR="00653EAB" w:rsidRPr="00186A88" w:rsidRDefault="00653EAB">
      <w:pPr>
        <w:pStyle w:val="FootnoteText"/>
        <w:rPr>
          <w:sz w:val="16"/>
          <w:szCs w:val="16"/>
        </w:rPr>
      </w:pPr>
      <w:r w:rsidRPr="00186A88">
        <w:rPr>
          <w:rStyle w:val="FootnoteReference"/>
          <w:sz w:val="16"/>
          <w:szCs w:val="16"/>
        </w:rPr>
        <w:footnoteRef/>
      </w:r>
      <w:r w:rsidRPr="00186A88">
        <w:rPr>
          <w:sz w:val="16"/>
          <w:szCs w:val="16"/>
        </w:rPr>
        <w:t xml:space="preserve"> Apoyo y asesoramiento sobre servicios de análisis de patentes, sobre gestión y comercialización de activos de P.I., el programa de asistencia a inventores, utilizar y localizar invenciones que están en el dominio público, servicios de solución de controversias, redacción de solicitudes de patente.</w:t>
      </w:r>
    </w:p>
  </w:footnote>
  <w:footnote w:id="53">
    <w:p w:rsidR="00653EAB" w:rsidRPr="00FF0B21" w:rsidRDefault="00653EAB" w:rsidP="00FF0B21">
      <w:pPr>
        <w:pStyle w:val="FootnoteText"/>
        <w:rPr>
          <w:sz w:val="16"/>
          <w:szCs w:val="16"/>
        </w:rPr>
      </w:pPr>
      <w:r w:rsidRPr="00FF0B21">
        <w:rPr>
          <w:rStyle w:val="FootnoteReference"/>
          <w:sz w:val="16"/>
          <w:szCs w:val="16"/>
        </w:rPr>
        <w:footnoteRef/>
      </w:r>
      <w:r w:rsidRPr="00FF0B21">
        <w:rPr>
          <w:sz w:val="16"/>
          <w:szCs w:val="16"/>
        </w:rPr>
        <w:t xml:space="preserve"> Ibídem.</w:t>
      </w:r>
    </w:p>
  </w:footnote>
  <w:footnote w:id="54">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Al final de 2015, se registraron 572 controversias y buenos oficios que incumbían a partes de países con economías en transición y desarrollados, mientras que en el documento PPR de 2014/15 se anotaron 461. </w:t>
      </w:r>
    </w:p>
  </w:footnote>
  <w:footnote w:id="55">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Cifra estimada.</w:t>
      </w:r>
    </w:p>
  </w:footnote>
  <w:footnote w:id="56">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Por “academias nacionales sostenibles” se entiende instituciones que son autónomas desde el punto de vista financiero y técnico y a las que la OMPI presta asesoramiento cuando lo solicitan.</w:t>
      </w:r>
    </w:p>
  </w:footnote>
  <w:footnote w:id="57">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En 2015, a fin de lograr disponer de una base de usuarios más selectiva para el boletín, se modificaron los criterios de suscripción y se exigió a los suscriptores que volvieran a suscribirse.</w:t>
      </w:r>
      <w:r w:rsidRPr="00D33CB3">
        <w:rPr>
          <w:sz w:val="16"/>
          <w:szCs w:val="16"/>
        </w:rPr>
        <w:t xml:space="preserve"> </w:t>
      </w:r>
    </w:p>
  </w:footnote>
  <w:footnote w:id="58">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El número de descargas correspondiente al cuarto trimestre de 2016 se extrapoló de los datos correspondientes al período enero-septiembre de 2016.  En septiembre de 2016 se mejoró la herramienta de estadísticas de Internet a fin de optimizar la estabilidad, a consecuencia de lo cual no se pudo hacer un seguimiento de los datos correspondientes al último trimestre de 2016.</w:t>
      </w:r>
    </w:p>
  </w:footnote>
  <w:footnote w:id="59">
    <w:p w:rsidR="00653EAB" w:rsidRPr="00D33CB3" w:rsidRDefault="00653EAB" w:rsidP="00EE1CCE">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Por “CATI sostenibles” se entiende instituciones autónomas desde el punto de vista financiero y técnico a las que la OMPI presta asesoramiento cuando lo solicitan.</w:t>
      </w:r>
    </w:p>
  </w:footnote>
  <w:footnote w:id="60">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Corrección:  El número total de modificaciones en 2014 fue 560 y no 570 tal como se informaba en el Informe sobre el rendimiento de los programas en 2014.</w:t>
      </w:r>
    </w:p>
  </w:footnote>
  <w:footnote w:id="61">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 xml:space="preserve">Por “CATI sostenibles” se entiende instituciones autónomas desde el punto de vista financiero y técnico a las que la OMPI presta asesoramiento cuando lo solicitan.  </w:t>
      </w:r>
      <w:r w:rsidRPr="00D33CB3">
        <w:rPr>
          <w:sz w:val="16"/>
          <w:szCs w:val="16"/>
        </w:rPr>
        <w:t xml:space="preserve">El grado de sostenibilidad se mide a partir de los siguientes niveles de desarrollo:  </w:t>
      </w:r>
    </w:p>
    <w:p w:rsidR="00653EAB" w:rsidRPr="00D33CB3" w:rsidRDefault="00653EAB" w:rsidP="00502550">
      <w:pPr>
        <w:pStyle w:val="FootnoteText"/>
        <w:numPr>
          <w:ilvl w:val="0"/>
          <w:numId w:val="46"/>
        </w:numPr>
        <w:rPr>
          <w:sz w:val="16"/>
          <w:szCs w:val="16"/>
        </w:rPr>
      </w:pPr>
      <w:r w:rsidRPr="00D33CB3">
        <w:rPr>
          <w:b/>
          <w:sz w:val="16"/>
          <w:szCs w:val="16"/>
        </w:rPr>
        <w:t>Nivel de desarrollo 1</w:t>
      </w:r>
      <w:r w:rsidRPr="00D33CB3">
        <w:rPr>
          <w:sz w:val="16"/>
          <w:szCs w:val="16"/>
        </w:rPr>
        <w:t>- a) Firma de un acuerdo de prestación de servicios entre la OMPI y el coordinador nacional;  b) Firma de acuerdos institucionales entre el coordinador nacional y las instituciones en que se establezcan los CATI;  y c) Presentación de al menos un informe anual sobre las actividades nacionales de los CATI;  el nivel de desarrollo 1 se habrá alcanzado plenamente cuando se obtenga a + b + c.</w:t>
      </w:r>
    </w:p>
    <w:p w:rsidR="00653EAB" w:rsidRPr="00D33CB3" w:rsidRDefault="00653EAB" w:rsidP="00502550">
      <w:pPr>
        <w:pStyle w:val="FootnoteText"/>
        <w:numPr>
          <w:ilvl w:val="0"/>
          <w:numId w:val="46"/>
        </w:numPr>
        <w:rPr>
          <w:sz w:val="16"/>
          <w:szCs w:val="16"/>
        </w:rPr>
      </w:pPr>
      <w:r w:rsidRPr="00D33CB3">
        <w:rPr>
          <w:b/>
          <w:sz w:val="16"/>
          <w:szCs w:val="16"/>
        </w:rPr>
        <w:t>Nivel de desarrollo 2</w:t>
      </w:r>
      <w:r w:rsidRPr="00D33CB3">
        <w:rPr>
          <w:sz w:val="16"/>
          <w:szCs w:val="16"/>
        </w:rPr>
        <w:t>- Cuando se hayan cumplido los criterios del nivel 1 + el suministro de búsquedas de información básica sobre patentes, por ejemplo, búsquedas de patentes en el estado de la técnica;  y</w:t>
      </w:r>
    </w:p>
    <w:p w:rsidR="00653EAB" w:rsidRPr="00D33CB3" w:rsidRDefault="00653EAB" w:rsidP="00502550">
      <w:pPr>
        <w:pStyle w:val="FootnoteText"/>
        <w:numPr>
          <w:ilvl w:val="0"/>
          <w:numId w:val="46"/>
        </w:numPr>
        <w:rPr>
          <w:sz w:val="16"/>
          <w:szCs w:val="16"/>
        </w:rPr>
      </w:pPr>
      <w:r w:rsidRPr="00D33CB3">
        <w:rPr>
          <w:b/>
          <w:sz w:val="16"/>
          <w:szCs w:val="16"/>
        </w:rPr>
        <w:t>Nivel de desarrollo 3</w:t>
      </w:r>
      <w:r w:rsidRPr="00D33CB3">
        <w:rPr>
          <w:sz w:val="16"/>
          <w:szCs w:val="16"/>
        </w:rPr>
        <w:t>- Cuando se hayan cumplido los criterios del nivel 2 + la prestación de servicios de P.I. de valor añadido, por ejemplo, la redacción de informes sobre la actividad de patentamiento.</w:t>
      </w:r>
    </w:p>
  </w:footnote>
  <w:footnote w:id="62">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Apoyo y asesoramiento sobre servicios de análisis de patentes, sobre gestión y comercialización de activos de P.I., el programa de asistencia a inventores, utilizar y localizar invenciones que están en el dominio público, servicios de solución de controversias, redacción de solicitudes de patente.</w:t>
      </w:r>
    </w:p>
  </w:footnote>
  <w:footnote w:id="63">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Ibídem.</w:t>
      </w:r>
    </w:p>
  </w:footnote>
  <w:footnote w:id="64">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Corrección:  Al final de 2015, había 12 Oficinas bajo el rubro “Otros”, y no 17, como se señalaba en el documento PPR de 2014/15.</w:t>
      </w:r>
    </w:p>
  </w:footnote>
  <w:footnote w:id="65">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Datos obtenidos a partir de las antiguas herramientas y metodologías estadísticas en Internet.</w:t>
      </w:r>
    </w:p>
  </w:footnote>
  <w:footnote w:id="66">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Ibídem.</w:t>
      </w:r>
    </w:p>
  </w:footnote>
  <w:footnote w:id="67">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Se determinarán los valores de referencia y los objetivos a fines de 2015, una vez que se hayan comprobado y confirmado las nuevas herramientas y metodologías estadísticas en Internet.</w:t>
      </w:r>
      <w:r w:rsidRPr="00D33CB3">
        <w:rPr>
          <w:sz w:val="16"/>
          <w:szCs w:val="16"/>
        </w:rPr>
        <w:t xml:space="preserve"> </w:t>
      </w:r>
    </w:p>
  </w:footnote>
  <w:footnote w:id="68">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El número de descargas (en un plazo de seis meses) de la Reseña anual del PCT se triplicó con creces, hasta alcanzar la cifra de 29.921 en 2015.  Tal aumento no estaba previsto y tal vez pueda explicarse desde un punto de vista técnico;  se efectuará un control de las estadísticas de descarga en relación con una posible variación similar.</w:t>
      </w:r>
    </w:p>
  </w:footnote>
  <w:footnote w:id="69">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hyperlink r:id="rId20" w:history="1">
        <w:r w:rsidRPr="0033692C">
          <w:rPr>
            <w:rStyle w:val="Hyperlink"/>
            <w:sz w:val="16"/>
            <w:szCs w:val="16"/>
          </w:rPr>
          <w:t>http://www.wipo.int/econ_stat/es/economics/gii/</w:t>
        </w:r>
      </w:hyperlink>
      <w:r w:rsidRPr="00D33CB3">
        <w:rPr>
          <w:sz w:val="16"/>
          <w:szCs w:val="16"/>
        </w:rPr>
        <w:t xml:space="preserve">      </w:t>
      </w:r>
    </w:p>
  </w:footnote>
  <w:footnote w:id="70">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En 2014/15, se contabilizaron 48.190 visitantes diferentes, y no 50.368, como se señalaba en el documento PPR de 2014/15.</w:t>
      </w:r>
    </w:p>
  </w:footnote>
  <w:footnote w:id="71">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w:t>
      </w:r>
      <w:hyperlink r:id="rId21" w:history="1">
        <w:r w:rsidRPr="00D33CB3">
          <w:rPr>
            <w:rStyle w:val="Hyperlink"/>
            <w:sz w:val="16"/>
            <w:szCs w:val="16"/>
          </w:rPr>
          <w:t>https://www.globalinnovationindex.org/</w:t>
        </w:r>
      </w:hyperlink>
      <w:r w:rsidRPr="00D33CB3">
        <w:rPr>
          <w:rStyle w:val="Hyperlink"/>
          <w:sz w:val="16"/>
          <w:szCs w:val="16"/>
        </w:rPr>
        <w:t xml:space="preserve">      </w:t>
      </w:r>
    </w:p>
  </w:footnote>
  <w:footnote w:id="72">
    <w:p w:rsidR="00653EAB" w:rsidRPr="00D33CB3" w:rsidRDefault="00653EAB">
      <w:pPr>
        <w:pStyle w:val="FootnoteText"/>
        <w:rPr>
          <w:rStyle w:val="Hyperlink"/>
          <w:sz w:val="16"/>
          <w:szCs w:val="16"/>
        </w:rPr>
      </w:pPr>
      <w:r w:rsidRPr="00D33CB3">
        <w:rPr>
          <w:rStyle w:val="FootnoteReference"/>
          <w:sz w:val="16"/>
          <w:szCs w:val="16"/>
        </w:rPr>
        <w:footnoteRef/>
      </w:r>
      <w:r w:rsidRPr="00D33CB3">
        <w:rPr>
          <w:sz w:val="16"/>
          <w:szCs w:val="16"/>
        </w:rPr>
        <w:t xml:space="preserve"> Corrección:  En 2014/15, se contabilizaron 317.690 visitantes diferentes, y no 300.283, como se señalaba en el documento PPR de</w:t>
      </w:r>
      <w:r w:rsidRPr="00D33CB3">
        <w:rPr>
          <w:rStyle w:val="Hyperlink"/>
          <w:sz w:val="16"/>
          <w:szCs w:val="16"/>
        </w:rPr>
        <w:t xml:space="preserve"> 2014/15.</w:t>
      </w:r>
    </w:p>
  </w:footnote>
  <w:footnote w:id="73">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hyperlink r:id="rId22" w:history="1">
        <w:r w:rsidRPr="00D33CB3">
          <w:rPr>
            <w:rStyle w:val="Hyperlink"/>
            <w:sz w:val="16"/>
            <w:szCs w:val="16"/>
          </w:rPr>
          <w:t>http://www.wipo.int/edocs/pubdocs/es/wipo_pub_944_2015.pdf</w:t>
        </w:r>
      </w:hyperlink>
    </w:p>
  </w:footnote>
  <w:footnote w:id="74">
    <w:p w:rsidR="00653EAB" w:rsidRPr="00D33CB3" w:rsidRDefault="00653EAB">
      <w:pPr>
        <w:pStyle w:val="FootnoteText"/>
        <w:rPr>
          <w:sz w:val="16"/>
          <w:szCs w:val="16"/>
        </w:rPr>
      </w:pPr>
      <w:r w:rsidRPr="00D33CB3">
        <w:rPr>
          <w:rStyle w:val="FootnoteReference"/>
          <w:sz w:val="16"/>
          <w:szCs w:val="16"/>
          <w:highlight w:val="yellow"/>
        </w:rPr>
        <w:footnoteRef/>
      </w:r>
      <w:r w:rsidRPr="00D33CB3">
        <w:rPr>
          <w:sz w:val="16"/>
          <w:szCs w:val="16"/>
        </w:rPr>
        <w:t xml:space="preserve"> </w:t>
      </w:r>
    </w:p>
  </w:footnote>
  <w:footnote w:id="75">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Las colaboraciones estratégicas consisten en alianzas de naturaleza sistemática y a largo plazo, con inclusión de las que se establezcan por medio de acuerdos de cooperación, y se ocupan de elementos relacionados con fomentar el respeto por la P.I.</w:t>
      </w:r>
    </w:p>
  </w:footnote>
  <w:footnote w:id="76">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El número real de miembros de  WIPO Re:Search de países en desarrollo/PMA a fines de 2015 </w:t>
      </w:r>
      <w:r>
        <w:rPr>
          <w:sz w:val="16"/>
          <w:szCs w:val="16"/>
        </w:rPr>
        <w:t>era</w:t>
      </w:r>
      <w:r w:rsidRPr="00D33CB3">
        <w:rPr>
          <w:sz w:val="16"/>
          <w:szCs w:val="16"/>
        </w:rPr>
        <w:t xml:space="preserve"> de 36 y no de 22 como se recoge en el informe PPR 2014/15.  </w:t>
      </w:r>
    </w:p>
  </w:footnote>
  <w:footnote w:id="77">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El número de páginas vistas en el sitio de la salud mundial y la P.I. fue de 9.233 y no de 31.800 como se recoge en el informe PPR 2014/15.</w:t>
      </w:r>
    </w:p>
  </w:footnote>
  <w:footnote w:id="78">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El número de descargas de archivos correspondiente al cuarto trimestre de 2016 se ha extrapolado de los datos correspondientes al período enero-septiembre de 2016.  En septiembre de 2016 se mejoró la herramienta de estadísticas de Internet para optimizar la estabilidad, a consecuencia de lo cual no se pudo hacer un seguimiento de los datos del último trimestre de 2016.</w:t>
      </w:r>
    </w:p>
  </w:footnote>
  <w:footnote w:id="79">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El objetivo del 23% se basa en el promedio de la industria calculado por la plataforma MailChimp de comercialización de correo-e</w:t>
      </w:r>
      <w:r>
        <w:rPr>
          <w:sz w:val="16"/>
          <w:szCs w:val="16"/>
        </w:rPr>
        <w:t>.</w:t>
      </w:r>
      <w:r w:rsidRPr="00D33CB3">
        <w:rPr>
          <w:sz w:val="16"/>
          <w:szCs w:val="16"/>
        </w:rPr>
        <w:t xml:space="preserve"> </w:t>
      </w:r>
    </w:p>
  </w:footnote>
  <w:footnote w:id="80">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A fines de 2015 Twitter sustituyó la característica/botón “favorite” por “like” (“me gusta”).</w:t>
      </w:r>
    </w:p>
  </w:footnote>
  <w:footnote w:id="81">
    <w:p w:rsidR="00653EAB" w:rsidRPr="00D33CB3" w:rsidRDefault="00653EAB" w:rsidP="00710EF9">
      <w:pPr>
        <w:pStyle w:val="FootnoteText"/>
        <w:rPr>
          <w:sz w:val="16"/>
          <w:szCs w:val="16"/>
        </w:rPr>
      </w:pPr>
      <w:r w:rsidRPr="00D33CB3">
        <w:rPr>
          <w:rStyle w:val="FootnoteReference"/>
          <w:sz w:val="16"/>
          <w:szCs w:val="16"/>
        </w:rPr>
        <w:footnoteRef/>
      </w:r>
      <w:r w:rsidRPr="00D33CB3">
        <w:rPr>
          <w:sz w:val="16"/>
          <w:szCs w:val="16"/>
        </w:rPr>
        <w:t xml:space="preserve"> En 2016 se adoptó una nueva metodología para medir la satisfacción del cliente, la cual no es comparable con los objetivos definidos en el presupuesto de 2016/17.</w:t>
      </w:r>
    </w:p>
  </w:footnote>
  <w:footnote w:id="82">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Los datos correspondientes al año más reciente en relación con este indicador en el momento de la publicación anual del PPR;  las cifras se actualizan a lo largo del tiempo en el Centro de Datos Estadísticos de P.I. de la OMPI  y, por lo tanto, las referencias actualizadas reflejan a menudo pequeñas diferencias con los datos indicados en el PPR de 2014/15.</w:t>
      </w:r>
    </w:p>
  </w:footnote>
  <w:footnote w:id="83">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Aunque la entrada en vigor se produjo en 2016, el instrumento de adhesión de la República Democrática Popular Lao fue depositado ante la OMPI en diciembre de 2015.  Quedó incluido en el PPR de 2014/15 y, por lo tanto, en el presente documento queda reflejado en la referencia actualizada.</w:t>
      </w:r>
    </w:p>
  </w:footnote>
  <w:footnote w:id="84">
    <w:p w:rsidR="00653EAB" w:rsidRPr="00D33CB3" w:rsidRDefault="00653EAB" w:rsidP="00230FAA">
      <w:pPr>
        <w:pStyle w:val="FootnoteText"/>
        <w:rPr>
          <w:sz w:val="16"/>
          <w:szCs w:val="16"/>
        </w:rPr>
      </w:pPr>
      <w:r w:rsidRPr="00D33CB3">
        <w:rPr>
          <w:rStyle w:val="FootnoteReference"/>
          <w:sz w:val="16"/>
          <w:szCs w:val="16"/>
        </w:rPr>
        <w:footnoteRef/>
      </w:r>
      <w:r w:rsidRPr="00D33CB3">
        <w:rPr>
          <w:sz w:val="16"/>
          <w:szCs w:val="16"/>
        </w:rPr>
        <w:t xml:space="preserve"> Por “CATI sostenibles” se entiende instituciones autónomas desde el punto de vista financiero y técnico a las que la OMPI presta asesoramiento cuando lo solicitan.  La sostenibilidad se mide con arreglo a los siguientes niveles de desarrollo:  </w:t>
      </w:r>
    </w:p>
    <w:p w:rsidR="00653EAB" w:rsidRPr="00D33CB3" w:rsidRDefault="00653EAB" w:rsidP="00230FAA">
      <w:pPr>
        <w:pStyle w:val="FootnoteText"/>
        <w:numPr>
          <w:ilvl w:val="0"/>
          <w:numId w:val="46"/>
        </w:numPr>
        <w:rPr>
          <w:sz w:val="16"/>
          <w:szCs w:val="16"/>
        </w:rPr>
      </w:pPr>
      <w:r w:rsidRPr="00D33CB3">
        <w:rPr>
          <w:b/>
          <w:sz w:val="16"/>
          <w:szCs w:val="16"/>
        </w:rPr>
        <w:t>Nivel de desarrollo 1</w:t>
      </w:r>
      <w:r w:rsidRPr="00D33CB3">
        <w:rPr>
          <w:sz w:val="16"/>
          <w:szCs w:val="16"/>
        </w:rPr>
        <w:t xml:space="preserve">- a) Firma de un acuerdo de prestación de servicios entre la OMPI y el coordinador nacional;  b) Firma de acuerdos institucionales entre el coordinador nacional y las instituciones en que se establezcan los CATI;  y c) Presentación de al menos un informe anual sobre las actividades nacionales de los CATI; </w:t>
      </w:r>
    </w:p>
    <w:p w:rsidR="00653EAB" w:rsidRPr="00D33CB3" w:rsidRDefault="00653EAB" w:rsidP="00230FAA">
      <w:pPr>
        <w:pStyle w:val="FootnoteText"/>
        <w:numPr>
          <w:ilvl w:val="0"/>
          <w:numId w:val="46"/>
        </w:numPr>
        <w:rPr>
          <w:sz w:val="16"/>
          <w:szCs w:val="16"/>
        </w:rPr>
      </w:pPr>
      <w:r w:rsidRPr="00D33CB3">
        <w:rPr>
          <w:b/>
          <w:sz w:val="16"/>
          <w:szCs w:val="16"/>
        </w:rPr>
        <w:t>Nivel de desarrollo 2</w:t>
      </w:r>
      <w:r w:rsidRPr="00D33CB3">
        <w:rPr>
          <w:sz w:val="16"/>
          <w:szCs w:val="16"/>
        </w:rPr>
        <w:t xml:space="preserve">- Cuando se hayan cumplido los criterios del nivel 1 + el suministro de búsquedas de información básica sobre patentes, por ejemplo, búsquedas de patentes en el estado de la técnica;  y </w:t>
      </w:r>
    </w:p>
    <w:p w:rsidR="00653EAB" w:rsidRPr="00D33CB3" w:rsidRDefault="00653EAB" w:rsidP="00230FAA">
      <w:pPr>
        <w:pStyle w:val="FootnoteText"/>
        <w:tabs>
          <w:tab w:val="left" w:pos="426"/>
        </w:tabs>
        <w:ind w:left="426" w:hanging="426"/>
        <w:rPr>
          <w:sz w:val="16"/>
          <w:szCs w:val="16"/>
        </w:rPr>
      </w:pPr>
      <w:r w:rsidRPr="00D33CB3">
        <w:rPr>
          <w:bCs/>
          <w:sz w:val="16"/>
          <w:szCs w:val="16"/>
        </w:rPr>
        <w:t>-</w:t>
      </w:r>
      <w:r w:rsidRPr="00D33CB3">
        <w:rPr>
          <w:b/>
          <w:sz w:val="16"/>
          <w:szCs w:val="16"/>
        </w:rPr>
        <w:tab/>
        <w:t>Nivel de desarrollo 3</w:t>
      </w:r>
      <w:r w:rsidRPr="00D33CB3">
        <w:rPr>
          <w:sz w:val="16"/>
          <w:szCs w:val="16"/>
        </w:rPr>
        <w:t>- Cuando se hayan cumplido los criterios del nivel 2 + la prestación de servicios de P.I. de valor añadido, por ejemplo, la redacción de informes sobre la actividad de patentamiento.</w:t>
      </w:r>
    </w:p>
  </w:footnote>
  <w:footnote w:id="85">
    <w:p w:rsidR="00653EAB" w:rsidRPr="00D33CB3" w:rsidRDefault="00653EAB" w:rsidP="00EE1CCE">
      <w:pPr>
        <w:pStyle w:val="FootnoteText"/>
        <w:rPr>
          <w:sz w:val="16"/>
          <w:szCs w:val="16"/>
        </w:rPr>
      </w:pPr>
      <w:r w:rsidRPr="00D33CB3">
        <w:rPr>
          <w:rStyle w:val="FootnoteReference"/>
          <w:sz w:val="16"/>
          <w:szCs w:val="16"/>
        </w:rPr>
        <w:footnoteRef/>
      </w:r>
      <w:r w:rsidRPr="00D33CB3">
        <w:rPr>
          <w:sz w:val="16"/>
          <w:szCs w:val="16"/>
        </w:rPr>
        <w:t xml:space="preserve"> Con carácter excepcional, el indicador de rendimiento original “Porcentaje de peticiones de asistencia relativa a la seguridad y la vigilancia atendidas puntualmente en las conferencias o actividades organizadas en Ginebra o en otros lugares” se ha modificado para reflejar con mayor exactitud la esencia de lo que se mide, es decir, el porcentaje de conferencias y eventos cubiertos, antes que la puntualidad de las peticiones.</w:t>
      </w:r>
    </w:p>
  </w:footnote>
  <w:footnote w:id="86">
    <w:p w:rsidR="00653EAB" w:rsidRPr="00D33CB3" w:rsidRDefault="00653EAB" w:rsidP="003E0A02">
      <w:pPr>
        <w:pStyle w:val="FootnoteText"/>
        <w:rPr>
          <w:sz w:val="16"/>
          <w:szCs w:val="16"/>
        </w:rPr>
      </w:pPr>
      <w:r w:rsidRPr="00D33CB3">
        <w:rPr>
          <w:rStyle w:val="FootnoteReference"/>
          <w:sz w:val="16"/>
          <w:szCs w:val="16"/>
        </w:rPr>
        <w:footnoteRef/>
      </w:r>
      <w:r w:rsidRPr="00D33CB3">
        <w:rPr>
          <w:sz w:val="16"/>
          <w:szCs w:val="16"/>
        </w:rPr>
        <w:t xml:space="preserve"> La escala y las valoraciones se basan en las conclusiones del examen general, a cargo de la Dependencia Común de Inspección (DCI), de la gestión por resultados, efe</w:t>
      </w:r>
      <w:r>
        <w:rPr>
          <w:sz w:val="16"/>
          <w:szCs w:val="16"/>
        </w:rPr>
        <w:t>ctuado en todo el Sistema de la ONU</w:t>
      </w:r>
      <w:r w:rsidRPr="00D33CB3">
        <w:rPr>
          <w:sz w:val="16"/>
          <w:szCs w:val="16"/>
        </w:rPr>
        <w:t xml:space="preserve"> en 2015.  El informe todavía no ha sido presentado.  La escala de valoración es la siguiente:  Etapa 2: no iniciada;  Etapa 2: Análisis para la integración de la gestión por resultados;  Etapa 3:  En curso de integración;  Etapa 4:  Plenamente integrada y aprendizaje continuo para su perfeccionamiento o ajuste;  Etapa 5:  Evaluación y renovación.</w:t>
      </w:r>
    </w:p>
  </w:footnote>
  <w:footnote w:id="87">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Política revisada de inversiones:  </w:t>
      </w:r>
      <w:hyperlink r:id="rId23" w:history="1">
        <w:r w:rsidRPr="00D33CB3">
          <w:rPr>
            <w:rStyle w:val="Hyperlink"/>
            <w:sz w:val="16"/>
            <w:szCs w:val="16"/>
          </w:rPr>
          <w:t>WO/PBC/24/10</w:t>
        </w:r>
      </w:hyperlink>
    </w:p>
  </w:footnote>
  <w:footnote w:id="88">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En el documento PPR de 2014/15 se indicaba un porcentaje de solicitudes tramitadas en un plazo de 5 días laborables del 100%, en el marco de un indicador del rendimiento diferente.</w:t>
      </w:r>
    </w:p>
  </w:footnote>
  <w:footnote w:id="89">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Corrección:  En 2015, el porcentaje era del 94,7%, y no del 92,8%, como se señalaba en el documento PPR de 2014/15.</w:t>
      </w:r>
    </w:p>
  </w:footnote>
  <w:footnote w:id="90">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Únicamente los puestos en las categorías profesional y superiores sujetos a los principios de distribución geográfica.</w:t>
      </w:r>
    </w:p>
  </w:footnote>
  <w:footnote w:id="91">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La escala y las valoraciones se basan en las conclusiones del examen general, a cargo de la Dependencia Común de Inspección (DCI), de la gestión por resultados con respecto a todo el Sistema de las Naciones Unidas.  El informe todavía no ha sido presentado.  La escala de valoración es la siguiente:  Etapa 1: No iniciada;  Etapa 2: Análisis para la integración de la gestión por resultados;  Etapa 3:  En curso de integración;  Etapa 4:  Plenamente integrada y aprendizaje continuo para su perfeccionamiento o ajuste;  Etapa 5:  Evaluación y renovación.</w:t>
      </w:r>
    </w:p>
  </w:footnote>
  <w:footnote w:id="92">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2015 trajo consigo una disminución de costos inhabitualmente elevada; se usa como objetivo el resultado más indicativo de los datos de 2014.</w:t>
      </w:r>
    </w:p>
  </w:footnote>
  <w:footnote w:id="93">
    <w:p w:rsidR="00653EAB" w:rsidRPr="00D01136" w:rsidRDefault="00653EAB">
      <w:pPr>
        <w:pStyle w:val="FootnoteText"/>
        <w:rPr>
          <w:sz w:val="16"/>
          <w:szCs w:val="16"/>
        </w:rPr>
      </w:pPr>
      <w:r w:rsidRPr="00D01136">
        <w:rPr>
          <w:rStyle w:val="FootnoteReference"/>
          <w:sz w:val="16"/>
          <w:szCs w:val="16"/>
        </w:rPr>
        <w:footnoteRef/>
      </w:r>
      <w:r w:rsidRPr="00D01136">
        <w:rPr>
          <w:sz w:val="16"/>
          <w:szCs w:val="16"/>
        </w:rPr>
        <w:t xml:space="preserve">  Empresa de gestión de viajes.</w:t>
      </w:r>
    </w:p>
  </w:footnote>
  <w:footnote w:id="94">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Verificación / inventario anual </w:t>
      </w:r>
    </w:p>
  </w:footnote>
  <w:footnote w:id="95">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Ibíd</w:t>
      </w:r>
    </w:p>
  </w:footnote>
  <w:footnote w:id="96">
    <w:p w:rsidR="00653EAB" w:rsidRPr="00D33CB3" w:rsidRDefault="00653EAB" w:rsidP="003E0A02">
      <w:pPr>
        <w:pStyle w:val="FootnoteText"/>
        <w:rPr>
          <w:sz w:val="16"/>
          <w:szCs w:val="16"/>
        </w:rPr>
      </w:pPr>
      <w:r w:rsidRPr="00D33CB3">
        <w:rPr>
          <w:rStyle w:val="FootnoteReference"/>
          <w:sz w:val="16"/>
          <w:szCs w:val="16"/>
        </w:rPr>
        <w:footnoteRef/>
      </w:r>
      <w:r w:rsidRPr="00D33CB3">
        <w:rPr>
          <w:sz w:val="16"/>
          <w:szCs w:val="16"/>
        </w:rPr>
        <w:t xml:space="preserve"> Verificación /inventario bienal </w:t>
      </w:r>
    </w:p>
  </w:footnote>
  <w:footnote w:id="97">
    <w:p w:rsidR="00653EAB" w:rsidRPr="00D33CB3" w:rsidRDefault="00653EAB" w:rsidP="003E0A02">
      <w:pPr>
        <w:pStyle w:val="FootnoteText"/>
        <w:ind w:left="90" w:hanging="90"/>
        <w:rPr>
          <w:sz w:val="16"/>
          <w:szCs w:val="16"/>
        </w:rPr>
      </w:pPr>
      <w:r w:rsidRPr="00D33CB3">
        <w:rPr>
          <w:rStyle w:val="FootnoteReference"/>
          <w:sz w:val="16"/>
          <w:szCs w:val="16"/>
        </w:rPr>
        <w:footnoteRef/>
      </w:r>
      <w:r w:rsidRPr="00D33CB3">
        <w:rPr>
          <w:sz w:val="16"/>
          <w:szCs w:val="16"/>
        </w:rPr>
        <w:t xml:space="preserve"> Mediciones realizadas para los viajes y los edificios a fines de un año dado, validadas en octubre de 2016 por el PNUMA (se toma como referencia el informe “Greening the Blue Report 2016” publicado por el PNUMA).  Las cifras correspondientes a los edificios comprenden la totalidad de los edificios de la sede, los edificios alquilados en Ginebra y las oficinas de la OMPI en el exterior (en el caso de éstas, mediante una fórmula).</w:t>
      </w:r>
    </w:p>
  </w:footnote>
  <w:footnote w:id="98">
    <w:p w:rsidR="00653EAB" w:rsidRPr="00D33CB3" w:rsidRDefault="00653EAB" w:rsidP="003E0A02">
      <w:pPr>
        <w:pStyle w:val="FootnoteText"/>
        <w:ind w:left="90" w:hanging="90"/>
        <w:rPr>
          <w:sz w:val="16"/>
          <w:szCs w:val="16"/>
        </w:rPr>
      </w:pPr>
      <w:r w:rsidRPr="00D33CB3">
        <w:rPr>
          <w:rStyle w:val="FootnoteReference"/>
          <w:sz w:val="16"/>
          <w:szCs w:val="16"/>
        </w:rPr>
        <w:footnoteRef/>
      </w:r>
      <w:r w:rsidRPr="00D33CB3">
        <w:rPr>
          <w:sz w:val="16"/>
          <w:szCs w:val="16"/>
        </w:rPr>
        <w:t xml:space="preserve"> La OMPI recibe el recuento final validado de las emisiones anuales del Programa de las Naciones Unidas para el Medio Ambiente (PNUMA) en octubre del año siguiente.</w:t>
      </w:r>
    </w:p>
  </w:footnote>
  <w:footnote w:id="99">
    <w:p w:rsidR="00653EAB" w:rsidRPr="002F663B" w:rsidRDefault="00653EAB">
      <w:pPr>
        <w:pStyle w:val="FootnoteText"/>
        <w:rPr>
          <w:sz w:val="16"/>
          <w:szCs w:val="16"/>
        </w:rPr>
      </w:pPr>
      <w:r w:rsidRPr="00D33CB3">
        <w:rPr>
          <w:rStyle w:val="FootnoteReference"/>
          <w:sz w:val="16"/>
          <w:szCs w:val="16"/>
        </w:rPr>
        <w:footnoteRef/>
      </w:r>
      <w:r w:rsidRPr="00D33CB3">
        <w:rPr>
          <w:sz w:val="16"/>
          <w:szCs w:val="16"/>
        </w:rPr>
        <w:t xml:space="preserve"> Ibíd</w:t>
      </w:r>
      <w:r>
        <w:rPr>
          <w:sz w:val="16"/>
          <w:szCs w:val="16"/>
        </w:rPr>
        <w:t>em.</w:t>
      </w:r>
    </w:p>
  </w:footnote>
  <w:footnote w:id="100">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Costos unitarios en dólares EE.UU.:  servidores (422 dólares EE.UU.), almacenamiento (239 dólares EE.UU.), copia de seguridad (257 dólares EE.UU.); las cantidades en francos suizos están basadas en el tipo de cambio operacional medio de Naciones Unidas de 0,98 dólares EE.UU. por franco suizo correspondiente a los pagos efectuados al CICE en 2015.</w:t>
      </w:r>
    </w:p>
  </w:footnote>
  <w:footnote w:id="101">
    <w:p w:rsidR="00653EAB" w:rsidRPr="00D33CB3" w:rsidRDefault="00653EAB" w:rsidP="003E0A02">
      <w:pPr>
        <w:pStyle w:val="FootnoteText"/>
        <w:rPr>
          <w:sz w:val="16"/>
          <w:szCs w:val="16"/>
        </w:rPr>
      </w:pPr>
      <w:r w:rsidRPr="00D33CB3">
        <w:rPr>
          <w:rStyle w:val="FootnoteReference"/>
          <w:sz w:val="16"/>
          <w:szCs w:val="16"/>
        </w:rPr>
        <w:footnoteRef/>
      </w:r>
      <w:r w:rsidRPr="00D33CB3">
        <w:rPr>
          <w:sz w:val="16"/>
          <w:szCs w:val="16"/>
        </w:rPr>
        <w:t xml:space="preserve"> Corrección:  El porcentaje de usuarios completamente satisfechos en 2015 fue del 63,8</w:t>
      </w:r>
      <w:r>
        <w:rPr>
          <w:sz w:val="16"/>
          <w:szCs w:val="16"/>
        </w:rPr>
        <w:t>%</w:t>
      </w:r>
      <w:r w:rsidRPr="00D33CB3">
        <w:rPr>
          <w:sz w:val="16"/>
          <w:szCs w:val="16"/>
        </w:rPr>
        <w:t xml:space="preserve"> y no del 70,5</w:t>
      </w:r>
      <w:r>
        <w:rPr>
          <w:sz w:val="16"/>
          <w:szCs w:val="16"/>
        </w:rPr>
        <w:t>%</w:t>
      </w:r>
      <w:r w:rsidRPr="00D33CB3">
        <w:rPr>
          <w:sz w:val="16"/>
          <w:szCs w:val="16"/>
        </w:rPr>
        <w:t xml:space="preserve"> como se indicó en el informe PPR de 2014/15.</w:t>
      </w:r>
    </w:p>
  </w:footnote>
  <w:footnote w:id="102">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Informe anual del director de la División de Supervisión Interna (DSI):  </w:t>
      </w:r>
      <w:hyperlink r:id="rId24" w:history="1">
        <w:r w:rsidRPr="00ED069F">
          <w:rPr>
            <w:rStyle w:val="Hyperlink"/>
            <w:sz w:val="16"/>
            <w:szCs w:val="16"/>
          </w:rPr>
          <w:t>WO/PBC/24/6</w:t>
        </w:r>
      </w:hyperlink>
    </w:p>
  </w:footnote>
  <w:footnote w:id="103">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Informe anual del director de la División de Supervisión Interna (DSI):  </w:t>
      </w:r>
      <w:hyperlink r:id="rId25" w:history="1">
        <w:r w:rsidRPr="00ED069F">
          <w:rPr>
            <w:rStyle w:val="Hyperlink"/>
            <w:sz w:val="16"/>
            <w:szCs w:val="16"/>
          </w:rPr>
          <w:t>WO/PBC/25/5</w:t>
        </w:r>
      </w:hyperlink>
    </w:p>
  </w:footnote>
  <w:footnote w:id="104">
    <w:p w:rsidR="00653EAB" w:rsidRPr="004738EC" w:rsidRDefault="00653EAB">
      <w:pPr>
        <w:pStyle w:val="FootnoteText"/>
        <w:rPr>
          <w:sz w:val="16"/>
          <w:szCs w:val="16"/>
        </w:rPr>
      </w:pPr>
      <w:r w:rsidRPr="004738EC">
        <w:rPr>
          <w:rStyle w:val="FootnoteReference"/>
          <w:sz w:val="16"/>
          <w:szCs w:val="16"/>
        </w:rPr>
        <w:footnoteRef/>
      </w:r>
      <w:r w:rsidRPr="004738EC">
        <w:rPr>
          <w:sz w:val="16"/>
          <w:szCs w:val="16"/>
        </w:rPr>
        <w:t xml:space="preserve">  En comparación con 2015, la complejidad de </w:t>
      </w:r>
      <w:r>
        <w:rPr>
          <w:sz w:val="16"/>
          <w:szCs w:val="16"/>
        </w:rPr>
        <w:t>las campañas de</w:t>
      </w:r>
      <w:r w:rsidRPr="004738EC">
        <w:rPr>
          <w:sz w:val="16"/>
          <w:szCs w:val="16"/>
        </w:rPr>
        <w:t xml:space="preserve"> ataque</w:t>
      </w:r>
      <w:r>
        <w:rPr>
          <w:sz w:val="16"/>
          <w:szCs w:val="16"/>
        </w:rPr>
        <w:t xml:space="preserve"> con</w:t>
      </w:r>
      <w:r w:rsidRPr="004738EC">
        <w:rPr>
          <w:sz w:val="16"/>
          <w:szCs w:val="16"/>
        </w:rPr>
        <w:t xml:space="preserve"> mensajes electrónicos fraudulentos</w:t>
      </w:r>
      <w:r>
        <w:rPr>
          <w:sz w:val="16"/>
          <w:szCs w:val="16"/>
        </w:rPr>
        <w:t xml:space="preserve"> aumentó</w:t>
      </w:r>
      <w:r w:rsidRPr="004738EC">
        <w:rPr>
          <w:sz w:val="16"/>
          <w:szCs w:val="16"/>
        </w:rPr>
        <w:t xml:space="preserve"> en 2016, lo cual es reflejo de la evolución constante del entorno de riesgo.  El número de usuarios que detectan y denuncian los ataques </w:t>
      </w:r>
      <w:r>
        <w:rPr>
          <w:sz w:val="16"/>
          <w:szCs w:val="16"/>
        </w:rPr>
        <w:t>con</w:t>
      </w:r>
      <w:r w:rsidRPr="004738EC">
        <w:rPr>
          <w:sz w:val="16"/>
          <w:szCs w:val="16"/>
        </w:rPr>
        <w:t xml:space="preserve"> mensajes electrónicos fraudulentos pasó del 26% en 2015 al 46% en 2016.</w:t>
      </w:r>
    </w:p>
  </w:footnote>
  <w:footnote w:id="105">
    <w:p w:rsidR="00653EAB" w:rsidRPr="00D33CB3" w:rsidRDefault="00653EAB" w:rsidP="003E0A02">
      <w:pPr>
        <w:rPr>
          <w:sz w:val="16"/>
          <w:szCs w:val="16"/>
        </w:rPr>
      </w:pPr>
      <w:r w:rsidRPr="00D33CB3">
        <w:rPr>
          <w:rStyle w:val="FootnoteReference"/>
          <w:sz w:val="16"/>
          <w:szCs w:val="16"/>
        </w:rPr>
        <w:footnoteRef/>
      </w:r>
      <w:r w:rsidRPr="00D33CB3">
        <w:rPr>
          <w:sz w:val="16"/>
          <w:szCs w:val="16"/>
        </w:rPr>
        <w:t xml:space="preserve"> Excepcionalmente, el indicador de rendimiento original “</w:t>
      </w:r>
      <w:r>
        <w:rPr>
          <w:sz w:val="16"/>
          <w:szCs w:val="16"/>
        </w:rPr>
        <w:t>%</w:t>
      </w:r>
      <w:r w:rsidRPr="00D33CB3">
        <w:rPr>
          <w:sz w:val="16"/>
          <w:szCs w:val="16"/>
        </w:rPr>
        <w:t xml:space="preserve"> de peticiones de asistencia relativa a la seguridad atendidas puntualmente en las conferencias o actividades organizadas en Ginebra o en otros lugares” fue modificado a fin de reflejar con más precisión lo que esencialmente es objeto de medición, esto es, el porcentaje de conferencias y eventos que son objeto de apoyo y no la puntualidad con que se atiende la solicitud. </w:t>
      </w:r>
    </w:p>
  </w:footnote>
  <w:footnote w:id="106">
    <w:p w:rsidR="00653EAB" w:rsidRPr="00D33CB3" w:rsidRDefault="00653EAB" w:rsidP="009327D7">
      <w:pPr>
        <w:pStyle w:val="FootnoteText"/>
        <w:rPr>
          <w:sz w:val="16"/>
          <w:szCs w:val="16"/>
        </w:rPr>
      </w:pPr>
      <w:r w:rsidRPr="00D33CB3">
        <w:rPr>
          <w:rStyle w:val="FootnoteReference"/>
          <w:sz w:val="16"/>
          <w:szCs w:val="16"/>
        </w:rPr>
        <w:footnoteRef/>
      </w:r>
      <w:r w:rsidRPr="00D33CB3">
        <w:rPr>
          <w:sz w:val="16"/>
          <w:szCs w:val="16"/>
        </w:rPr>
        <w:t xml:space="preserve"> En sintonía con el informe de la DSI de validación del documento PPR correspondiente a 2014/15:  </w:t>
      </w:r>
      <w:hyperlink r:id="rId26" w:history="1">
        <w:r w:rsidRPr="00D33CB3">
          <w:rPr>
            <w:rStyle w:val="Hyperlink"/>
            <w:sz w:val="16"/>
            <w:szCs w:val="16"/>
          </w:rPr>
          <w:t>http://www.wipo.int/meetings/en/doc_details.jsp?doc_id=343158</w:t>
        </w:r>
      </w:hyperlink>
      <w:r w:rsidRPr="00D33CB3">
        <w:rPr>
          <w:sz w:val="16"/>
          <w:szCs w:val="16"/>
        </w:rPr>
        <w:t xml:space="preserve"> </w:t>
      </w:r>
    </w:p>
  </w:footnote>
  <w:footnote w:id="107">
    <w:p w:rsidR="00653EAB" w:rsidRPr="00D33CB3" w:rsidRDefault="00653EAB" w:rsidP="009327D7">
      <w:pPr>
        <w:pStyle w:val="FootnoteText"/>
        <w:rPr>
          <w:sz w:val="16"/>
          <w:szCs w:val="16"/>
        </w:rPr>
      </w:pPr>
      <w:r w:rsidRPr="00D33CB3">
        <w:rPr>
          <w:rStyle w:val="FootnoteReference"/>
          <w:sz w:val="16"/>
          <w:szCs w:val="16"/>
        </w:rPr>
        <w:footnoteRef/>
      </w:r>
      <w:r w:rsidRPr="00D33CB3">
        <w:rPr>
          <w:sz w:val="16"/>
          <w:szCs w:val="16"/>
        </w:rPr>
        <w:t xml:space="preserve"> Según el proceso de definición de las referencias de base y los objetivos actualizados, comenzado a mediados de 2016.</w:t>
      </w:r>
    </w:p>
  </w:footnote>
  <w:footnote w:id="108">
    <w:p w:rsidR="00653EAB" w:rsidRPr="00D33CB3" w:rsidRDefault="00653EAB" w:rsidP="009327D7">
      <w:pPr>
        <w:pStyle w:val="FootnoteText"/>
        <w:rPr>
          <w:sz w:val="16"/>
          <w:szCs w:val="16"/>
        </w:rPr>
      </w:pPr>
      <w:r w:rsidRPr="00D33CB3">
        <w:rPr>
          <w:rStyle w:val="FootnoteReference"/>
          <w:sz w:val="16"/>
          <w:szCs w:val="16"/>
        </w:rPr>
        <w:footnoteRef/>
      </w:r>
      <w:r w:rsidRPr="00D33CB3">
        <w:rPr>
          <w:sz w:val="16"/>
          <w:szCs w:val="16"/>
        </w:rPr>
        <w:t xml:space="preserve"> Ibídem.</w:t>
      </w:r>
    </w:p>
  </w:footnote>
  <w:footnote w:id="109">
    <w:p w:rsidR="00653EAB" w:rsidRPr="00D33CB3" w:rsidRDefault="00653EAB" w:rsidP="009327D7">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Los objetivos no definidos durante ese proceso siguen sin definirse, por consiguiente, el rendimiento recibe la calificación de "No mensurable".</w:t>
      </w:r>
    </w:p>
  </w:footnote>
  <w:footnote w:id="110">
    <w:p w:rsidR="00653EAB" w:rsidRPr="00D33CB3" w:rsidRDefault="00653EAB" w:rsidP="00027A9C">
      <w:pPr>
        <w:pStyle w:val="FootnoteText"/>
        <w:rPr>
          <w:sz w:val="16"/>
          <w:szCs w:val="16"/>
        </w:rPr>
      </w:pPr>
      <w:r w:rsidRPr="00D33CB3">
        <w:rPr>
          <w:rStyle w:val="FootnoteReference"/>
          <w:sz w:val="16"/>
          <w:szCs w:val="16"/>
        </w:rPr>
        <w:footnoteRef/>
      </w:r>
      <w:r w:rsidRPr="00D33CB3">
        <w:rPr>
          <w:rFonts w:eastAsia="Arial"/>
          <w:sz w:val="16"/>
          <w:szCs w:val="16"/>
          <w:bdr w:val="nil"/>
        </w:rPr>
        <w:t xml:space="preserve"> Comenzó en 2015.</w:t>
      </w:r>
    </w:p>
  </w:footnote>
  <w:footnote w:id="111">
    <w:p w:rsidR="00653EAB" w:rsidRPr="00D33CB3" w:rsidRDefault="00653EAB" w:rsidP="00027A9C">
      <w:pPr>
        <w:pStyle w:val="FootnoteText"/>
        <w:rPr>
          <w:sz w:val="16"/>
          <w:szCs w:val="16"/>
        </w:rPr>
      </w:pPr>
      <w:r w:rsidRPr="00D33CB3">
        <w:rPr>
          <w:rStyle w:val="FootnoteReference"/>
          <w:sz w:val="16"/>
          <w:szCs w:val="16"/>
        </w:rPr>
        <w:footnoteRef/>
      </w:r>
      <w:r w:rsidRPr="00D33CB3">
        <w:rPr>
          <w:rFonts w:eastAsia="Arial"/>
          <w:sz w:val="16"/>
          <w:szCs w:val="16"/>
          <w:bdr w:val="nil"/>
        </w:rPr>
        <w:t xml:space="preserve"> Comenzó en abril de 2015.</w:t>
      </w:r>
    </w:p>
  </w:footnote>
  <w:footnote w:id="112">
    <w:p w:rsidR="00653EAB" w:rsidRPr="00D33CB3" w:rsidRDefault="00653EAB">
      <w:pPr>
        <w:pStyle w:val="FootnoteText"/>
        <w:rPr>
          <w:sz w:val="16"/>
          <w:szCs w:val="16"/>
        </w:rPr>
      </w:pPr>
      <w:r w:rsidRPr="00D33CB3">
        <w:rPr>
          <w:rStyle w:val="FootnoteReference"/>
          <w:sz w:val="16"/>
          <w:szCs w:val="16"/>
        </w:rPr>
        <w:footnoteRef/>
      </w:r>
      <w:r w:rsidRPr="00D33CB3">
        <w:rPr>
          <w:rFonts w:eastAsia="Arial"/>
          <w:sz w:val="16"/>
          <w:szCs w:val="16"/>
          <w:bdr w:val="nil"/>
        </w:rPr>
        <w:t xml:space="preserve"> Sistema de asistencia para la gestión de búsquedas y el examen de solicitudes de patentes para Centroamérica y la República Dominicana</w:t>
      </w:r>
    </w:p>
  </w:footnote>
  <w:footnote w:id="113">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http://www.wipo.int/edocs/mdocs/govbody/es/a_51/a_51_16.pdf</w:t>
      </w:r>
    </w:p>
  </w:footnote>
  <w:footnote w:id="114">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sz w:val="16"/>
          <w:szCs w:val="16"/>
          <w:lang w:val="es-ES_tradnl"/>
        </w:rPr>
        <w:t>http://www.wipo.int/edocs/mdocs/govbody/es/wo_pbc_22/wo_pbc_22_21.pdf</w:t>
      </w:r>
    </w:p>
  </w:footnote>
  <w:footnote w:id="115">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Pueden producirse discrepancias debido al redondeo</w:t>
      </w:r>
      <w:r w:rsidRPr="00D33CB3">
        <w:rPr>
          <w:sz w:val="16"/>
          <w:szCs w:val="16"/>
          <w:lang w:val="es-ES_tradnl"/>
        </w:rPr>
        <w:t>.</w:t>
      </w:r>
      <w:r w:rsidRPr="00D33CB3">
        <w:rPr>
          <w:sz w:val="16"/>
          <w:szCs w:val="16"/>
        </w:rPr>
        <w:t xml:space="preserve"> </w:t>
      </w:r>
    </w:p>
  </w:footnote>
  <w:footnote w:id="116">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Tras la designación del proveedor, se modificó el orden de ejecución.</w:t>
      </w:r>
    </w:p>
  </w:footnote>
  <w:footnote w:id="117">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Pueden producirse discrepancias debido al redondeo</w:t>
      </w:r>
      <w:r w:rsidRPr="00D33CB3">
        <w:rPr>
          <w:sz w:val="16"/>
          <w:szCs w:val="16"/>
          <w:lang w:val="es-ES_tradnl"/>
        </w:rPr>
        <w:t>.</w:t>
      </w:r>
      <w:r w:rsidRPr="00D33CB3">
        <w:rPr>
          <w:sz w:val="16"/>
          <w:szCs w:val="16"/>
        </w:rPr>
        <w:t xml:space="preserve"> </w:t>
      </w:r>
    </w:p>
  </w:footnote>
  <w:footnote w:id="118">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Pueden producirse discrepancias debido al redondeo</w:t>
      </w:r>
      <w:r w:rsidRPr="00D33CB3">
        <w:rPr>
          <w:sz w:val="16"/>
          <w:szCs w:val="16"/>
          <w:lang w:val="es-ES_tradnl"/>
        </w:rPr>
        <w:t>.</w:t>
      </w:r>
      <w:r w:rsidRPr="00D33CB3">
        <w:rPr>
          <w:sz w:val="16"/>
          <w:szCs w:val="16"/>
        </w:rPr>
        <w:t xml:space="preserve"> </w:t>
      </w:r>
    </w:p>
  </w:footnote>
  <w:footnote w:id="119">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Proceso de licitación del arquitecto/piloto de las obras y selección.</w:t>
      </w:r>
    </w:p>
  </w:footnote>
  <w:footnote w:id="120">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Procesos de licitación de los ingenieros de las obras y selección.</w:t>
      </w:r>
    </w:p>
  </w:footnote>
  <w:footnote w:id="121">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Siempre que no sea necesario efectuar trabajos de reparación adicionales que no estén cubiertos por la garantía.</w:t>
      </w:r>
    </w:p>
  </w:footnote>
  <w:footnote w:id="122">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Pueden producirse discrepancias debido al redondeo</w:t>
      </w:r>
      <w:r w:rsidRPr="00D33CB3">
        <w:rPr>
          <w:sz w:val="16"/>
          <w:szCs w:val="16"/>
          <w:lang w:val="es-ES_tradnl"/>
        </w:rPr>
        <w:t>.</w:t>
      </w:r>
      <w:r w:rsidRPr="00D33CB3">
        <w:rPr>
          <w:sz w:val="16"/>
          <w:szCs w:val="16"/>
        </w:rPr>
        <w:t xml:space="preserve"> </w:t>
      </w:r>
    </w:p>
  </w:footnote>
  <w:footnote w:id="123">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Pueden producirse discrepancias debido al redondeo</w:t>
      </w:r>
      <w:r w:rsidRPr="00D33CB3">
        <w:rPr>
          <w:sz w:val="16"/>
          <w:szCs w:val="16"/>
          <w:lang w:val="es-ES_tradnl"/>
        </w:rPr>
        <w:t>.</w:t>
      </w:r>
      <w:r w:rsidRPr="00D33CB3">
        <w:rPr>
          <w:sz w:val="16"/>
          <w:szCs w:val="16"/>
        </w:rPr>
        <w:t xml:space="preserve"> </w:t>
      </w:r>
    </w:p>
  </w:footnote>
  <w:footnote w:id="124">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Pueden producirse discrepancias debido al redondeo</w:t>
      </w:r>
      <w:r w:rsidRPr="00D33CB3">
        <w:rPr>
          <w:sz w:val="16"/>
          <w:szCs w:val="16"/>
          <w:lang w:val="es-ES_tradnl"/>
        </w:rPr>
        <w:t>.</w:t>
      </w:r>
      <w:r w:rsidRPr="00D33CB3">
        <w:rPr>
          <w:sz w:val="16"/>
          <w:szCs w:val="16"/>
        </w:rPr>
        <w:t xml:space="preserve"> </w:t>
      </w:r>
    </w:p>
  </w:footnote>
  <w:footnote w:id="125">
    <w:p w:rsidR="00653EAB" w:rsidRPr="00D33CB3" w:rsidRDefault="00653EAB" w:rsidP="00027A9C">
      <w:pPr>
        <w:pStyle w:val="FootnoteText"/>
        <w:rPr>
          <w:sz w:val="16"/>
          <w:szCs w:val="16"/>
        </w:rPr>
      </w:pPr>
      <w:r w:rsidRPr="00D33CB3">
        <w:rPr>
          <w:rStyle w:val="FootnoteReference"/>
          <w:sz w:val="16"/>
          <w:szCs w:val="16"/>
        </w:rPr>
        <w:footnoteRef/>
      </w:r>
      <w:r w:rsidRPr="00D33CB3">
        <w:rPr>
          <w:sz w:val="16"/>
          <w:szCs w:val="16"/>
        </w:rPr>
        <w:t xml:space="preserve"> </w:t>
      </w:r>
      <w:r w:rsidRPr="00D33CB3">
        <w:rPr>
          <w:bCs/>
          <w:sz w:val="16"/>
          <w:szCs w:val="16"/>
        </w:rPr>
        <w:t>Pueden producirse discrepancias debido al redondeo</w:t>
      </w:r>
      <w:r w:rsidRPr="00D33CB3">
        <w:rPr>
          <w:sz w:val="16"/>
          <w:szCs w:val="16"/>
          <w:lang w:val="es-ES_tradnl"/>
        </w:rPr>
        <w:t>.</w:t>
      </w:r>
      <w:r w:rsidRPr="00D33CB3">
        <w:rPr>
          <w:sz w:val="16"/>
          <w:szCs w:val="16"/>
        </w:rPr>
        <w:t xml:space="preserve"> </w:t>
      </w:r>
    </w:p>
  </w:footnote>
  <w:footnote w:id="126">
    <w:p w:rsidR="00653EAB" w:rsidRPr="00D33CB3" w:rsidRDefault="00653EAB">
      <w:pPr>
        <w:pStyle w:val="FootnoteText"/>
        <w:rPr>
          <w:sz w:val="16"/>
          <w:szCs w:val="16"/>
        </w:rPr>
      </w:pPr>
      <w:r w:rsidRPr="00D33CB3">
        <w:rPr>
          <w:rStyle w:val="FootnoteReference"/>
          <w:sz w:val="16"/>
          <w:szCs w:val="16"/>
        </w:rPr>
        <w:footnoteRef/>
      </w:r>
      <w:r w:rsidRPr="00D33CB3">
        <w:rPr>
          <w:sz w:val="16"/>
          <w:szCs w:val="16"/>
        </w:rPr>
        <w:t xml:space="preserve"> Se devolverá a las Reservas a fines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Default="00653EAB" w:rsidP="00477D6B">
    <w:pPr>
      <w:jc w:val="right"/>
    </w:pPr>
    <w:bookmarkStart w:id="5" w:name="Code2"/>
    <w:bookmarkEnd w:id="5"/>
    <w:r>
      <w:t>WO/PBC/26/2</w:t>
    </w:r>
  </w:p>
  <w:p w:rsidR="00653EAB" w:rsidRDefault="00653EAB" w:rsidP="00477D6B">
    <w:pPr>
      <w:jc w:val="right"/>
    </w:pPr>
    <w:r>
      <w:t xml:space="preserve">página </w:t>
    </w:r>
    <w:r>
      <w:fldChar w:fldCharType="begin"/>
    </w:r>
    <w:r>
      <w:instrText xml:space="preserve"> PAGE  \* MERGEFORMAT </w:instrText>
    </w:r>
    <w:r>
      <w:fldChar w:fldCharType="separate"/>
    </w:r>
    <w:r>
      <w:rPr>
        <w:noProof/>
      </w:rPr>
      <w:t>3</w:t>
    </w:r>
    <w:r>
      <w:fldChar w:fldCharType="end"/>
    </w:r>
  </w:p>
  <w:p w:rsidR="00653EAB" w:rsidRDefault="00653EAB" w:rsidP="00477D6B">
    <w:pPr>
      <w:jc w:val="righ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8F3D8D" w:rsidRDefault="00653EAB" w:rsidP="00A34E19">
    <w:pPr>
      <w:pStyle w:val="Header"/>
      <w:jc w:val="right"/>
      <w:rPr>
        <w:b/>
        <w:sz w:val="18"/>
      </w:rPr>
    </w:pPr>
    <w:r w:rsidRPr="008F3D8D">
      <w:rPr>
        <w:b/>
        <w:sz w:val="18"/>
        <w:lang w:val="es-ES_tradnl"/>
      </w:rPr>
      <w:t>Informe sobre el rendimiento de los programas en 2016</w:t>
    </w:r>
  </w:p>
  <w:p w:rsidR="00653EAB" w:rsidRPr="008F3D8D" w:rsidRDefault="00653EAB" w:rsidP="00A34E19">
    <w:pPr>
      <w:pStyle w:val="Header"/>
      <w:jc w:val="right"/>
      <w:rPr>
        <w:b/>
        <w:sz w:val="16"/>
        <w:szCs w:val="18"/>
      </w:rPr>
    </w:pPr>
  </w:p>
  <w:p w:rsidR="00653EAB" w:rsidRPr="00F364C1" w:rsidRDefault="00653EAB" w:rsidP="00A34E19">
    <w:pPr>
      <w:pStyle w:val="Header"/>
      <w:jc w:val="right"/>
      <w:rPr>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Default="00653EAB" w:rsidP="0052092A">
    <w:pPr>
      <w:pStyle w:val="Header"/>
      <w:rPr>
        <w:b/>
        <w:sz w:val="18"/>
        <w:szCs w:val="18"/>
      </w:rPr>
    </w:pPr>
    <w:r w:rsidRPr="00AA6F2F">
      <w:rPr>
        <w:b/>
        <w:sz w:val="18"/>
        <w:szCs w:val="18"/>
      </w:rPr>
      <w:t>Informe sobre el rendimiento de los programas en 2016</w:t>
    </w:r>
  </w:p>
  <w:p w:rsidR="00653EAB" w:rsidRPr="00AA6F2F" w:rsidRDefault="00653EAB" w:rsidP="0052092A">
    <w:pPr>
      <w:pStyle w:val="Header"/>
      <w:rPr>
        <w:b/>
        <w:sz w:val="18"/>
        <w:szCs w:val="18"/>
      </w:rPr>
    </w:pPr>
  </w:p>
  <w:p w:rsidR="00653EAB" w:rsidRPr="0052092A" w:rsidRDefault="00653EAB" w:rsidP="0052092A">
    <w:pPr>
      <w:pStyle w:val="Head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Default="00653EAB" w:rsidP="00477D6B">
    <w:pPr>
      <w:jc w:val="right"/>
    </w:pPr>
    <w:r>
      <w:t>WO/PBC/26/2</w:t>
    </w:r>
  </w:p>
  <w:p w:rsidR="00653EAB" w:rsidRDefault="00653EAB" w:rsidP="00477D6B">
    <w:pPr>
      <w:jc w:val="right"/>
    </w:pPr>
    <w:r>
      <w:t xml:space="preserve">página </w:t>
    </w:r>
    <w:r>
      <w:fldChar w:fldCharType="begin"/>
    </w:r>
    <w:r>
      <w:instrText xml:space="preserve"> PAGE  \* MERGEFORMAT </w:instrText>
    </w:r>
    <w:r>
      <w:fldChar w:fldCharType="separate"/>
    </w:r>
    <w:r>
      <w:rPr>
        <w:noProof/>
      </w:rPr>
      <w:t>283</w:t>
    </w:r>
    <w:r>
      <w:fldChar w:fldCharType="end"/>
    </w:r>
  </w:p>
  <w:p w:rsidR="00653EAB" w:rsidRDefault="00653EAB" w:rsidP="00477D6B">
    <w:pPr>
      <w:jc w:val="righ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Default="00653EA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1874B2" w:rsidRDefault="00653EAB" w:rsidP="001874B2">
    <w:pPr>
      <w:pStyle w:val="Header"/>
      <w:rPr>
        <w:b/>
        <w:sz w:val="18"/>
        <w:szCs w:val="18"/>
      </w:rPr>
    </w:pPr>
    <w:r w:rsidRPr="001874B2">
      <w:rPr>
        <w:b/>
        <w:sz w:val="18"/>
        <w:szCs w:val="18"/>
      </w:rPr>
      <w:t>Informe sobre el rendimiento de los programas en 2016</w:t>
    </w:r>
  </w:p>
  <w:p w:rsidR="00653EAB" w:rsidRPr="001874B2" w:rsidRDefault="00653EAB" w:rsidP="001874B2">
    <w:pPr>
      <w:pStyle w:val="Header"/>
      <w:rPr>
        <w:b/>
        <w:sz w:val="18"/>
        <w:szCs w:val="18"/>
      </w:rPr>
    </w:pPr>
  </w:p>
  <w:p w:rsidR="00653EAB" w:rsidRPr="001874B2" w:rsidRDefault="00653EAB" w:rsidP="001874B2">
    <w:pPr>
      <w:pStyle w:val="Header"/>
      <w:rPr>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1874B2" w:rsidRDefault="00653EAB" w:rsidP="001874B2">
    <w:pPr>
      <w:pStyle w:val="Header"/>
      <w:jc w:val="right"/>
      <w:rPr>
        <w:b/>
        <w:sz w:val="18"/>
        <w:szCs w:val="18"/>
      </w:rPr>
    </w:pPr>
    <w:r w:rsidRPr="001874B2">
      <w:rPr>
        <w:b/>
        <w:sz w:val="18"/>
        <w:szCs w:val="18"/>
      </w:rPr>
      <w:t>Informe sobre el rendimiento de los programas en 2016</w:t>
    </w:r>
  </w:p>
  <w:p w:rsidR="00653EAB" w:rsidRPr="001874B2" w:rsidRDefault="00653EAB" w:rsidP="001874B2">
    <w:pPr>
      <w:pStyle w:val="Header"/>
      <w:jc w:val="right"/>
      <w:rPr>
        <w:b/>
        <w:sz w:val="18"/>
        <w:szCs w:val="18"/>
      </w:rPr>
    </w:pPr>
  </w:p>
  <w:p w:rsidR="00653EAB" w:rsidRPr="001874B2" w:rsidRDefault="00653EAB" w:rsidP="001874B2">
    <w:pPr>
      <w:pStyle w:val="Header"/>
      <w:jc w:val="right"/>
      <w:rPr>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Default="00653EAB" w:rsidP="001456FB">
    <w:pPr>
      <w:pStyle w:val="Header"/>
      <w:jc w:val="right"/>
      <w:rPr>
        <w:b/>
        <w:sz w:val="18"/>
        <w:szCs w:val="18"/>
      </w:rPr>
    </w:pPr>
    <w:r w:rsidRPr="00AA6F2F">
      <w:rPr>
        <w:b/>
        <w:sz w:val="18"/>
        <w:szCs w:val="18"/>
      </w:rPr>
      <w:t>Informe sobre el rendimiento de los programas en 2016</w:t>
    </w:r>
  </w:p>
  <w:p w:rsidR="00653EAB" w:rsidRPr="00AA6F2F" w:rsidRDefault="00653EAB" w:rsidP="001456FB">
    <w:pPr>
      <w:pStyle w:val="Header"/>
      <w:jc w:val="right"/>
      <w:rPr>
        <w:b/>
        <w:sz w:val="18"/>
        <w:szCs w:val="18"/>
      </w:rPr>
    </w:pPr>
  </w:p>
  <w:p w:rsidR="00653EAB" w:rsidRPr="00AA6F2F" w:rsidRDefault="00653EAB" w:rsidP="001456FB">
    <w:pPr>
      <w:pStyle w:val="Header"/>
      <w:jc w:val="right"/>
      <w:rPr>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Default="00653EAB" w:rsidP="00653EAB">
    <w:pPr>
      <w:pStyle w:val="Header"/>
      <w:rPr>
        <w:b/>
        <w:sz w:val="18"/>
        <w:szCs w:val="18"/>
      </w:rPr>
    </w:pPr>
    <w:r w:rsidRPr="00AA6F2F">
      <w:rPr>
        <w:b/>
        <w:sz w:val="18"/>
        <w:szCs w:val="18"/>
      </w:rPr>
      <w:t>Informe sobre el rendimiento de los programas en 2016</w:t>
    </w:r>
  </w:p>
  <w:p w:rsidR="00653EAB" w:rsidRPr="00AA6F2F" w:rsidRDefault="00653EAB" w:rsidP="00653EAB">
    <w:pPr>
      <w:pStyle w:val="Header"/>
      <w:rPr>
        <w:b/>
        <w:sz w:val="18"/>
        <w:szCs w:val="18"/>
      </w:rPr>
    </w:pPr>
  </w:p>
  <w:p w:rsidR="00653EAB" w:rsidRPr="00AA6F2F" w:rsidRDefault="00653EAB" w:rsidP="00653EAB">
    <w:pPr>
      <w:pStyle w:val="Header"/>
      <w:rPr>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3EAB" w:rsidRPr="00CB0118" w:rsidRDefault="00653EAB" w:rsidP="00A34E19">
    <w:pPr>
      <w:pStyle w:val="Header"/>
      <w:rPr>
        <w:b/>
        <w:sz w:val="18"/>
      </w:rPr>
    </w:pPr>
    <w:r w:rsidRPr="00CB0118">
      <w:rPr>
        <w:b/>
        <w:sz w:val="18"/>
      </w:rPr>
      <w:t>Informe sobre el rendimiento de los programas en 2016</w:t>
    </w:r>
  </w:p>
  <w:p w:rsidR="00653EAB" w:rsidRPr="00CB0118" w:rsidRDefault="00653EAB" w:rsidP="00A34E19">
    <w:pPr>
      <w:pStyle w:val="Header"/>
      <w:rPr>
        <w:b/>
        <w:sz w:val="16"/>
        <w:szCs w:val="18"/>
      </w:rPr>
    </w:pPr>
  </w:p>
  <w:p w:rsidR="00653EAB" w:rsidRPr="00CB0118" w:rsidRDefault="00653EAB" w:rsidP="00A34E19">
    <w:pPr>
      <w:pStyle w:val="Head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37645"/>
    <w:multiLevelType w:val="hybridMultilevel"/>
    <w:tmpl w:val="EA16096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16663D3"/>
    <w:multiLevelType w:val="hybridMultilevel"/>
    <w:tmpl w:val="C1208378"/>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232E6D"/>
    <w:multiLevelType w:val="hybridMultilevel"/>
    <w:tmpl w:val="B328B0E2"/>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D72E19"/>
    <w:multiLevelType w:val="hybridMultilevel"/>
    <w:tmpl w:val="BFCEBDA2"/>
    <w:lvl w:ilvl="0" w:tplc="1AA0ABC2">
      <w:start w:val="1"/>
      <w:numFmt w:val="bullet"/>
      <w:lvlText w:val=""/>
      <w:lvlJc w:val="left"/>
      <w:pPr>
        <w:ind w:left="360" w:hanging="360"/>
      </w:pPr>
      <w:rPr>
        <w:rFonts w:ascii="Symbol" w:hAnsi="Symbol" w:hint="default"/>
      </w:rPr>
    </w:lvl>
    <w:lvl w:ilvl="1" w:tplc="04090005">
      <w:start w:val="1"/>
      <w:numFmt w:val="bullet"/>
      <w:lvlText w:val=""/>
      <w:lvlJc w:val="left"/>
      <w:pPr>
        <w:ind w:left="1290" w:hanging="570"/>
      </w:pPr>
      <w:rPr>
        <w:rFonts w:ascii="Wingdings" w:hAnsi="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02EA7B88"/>
    <w:multiLevelType w:val="hybridMultilevel"/>
    <w:tmpl w:val="81A890E2"/>
    <w:lvl w:ilvl="0" w:tplc="AAB0B656">
      <w:start w:val="1"/>
      <w:numFmt w:val="decimal"/>
      <w:lvlText w:val="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C972C5"/>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570B53"/>
    <w:multiLevelType w:val="hybridMultilevel"/>
    <w:tmpl w:val="C2FA8E28"/>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62D2705"/>
    <w:multiLevelType w:val="hybridMultilevel"/>
    <w:tmpl w:val="2D7A1E20"/>
    <w:lvl w:ilvl="0" w:tplc="87009630">
      <w:start w:val="6"/>
      <w:numFmt w:val="bullet"/>
      <w:lvlText w:val="-"/>
      <w:lvlJc w:val="left"/>
      <w:pPr>
        <w:ind w:left="180" w:hanging="360"/>
      </w:pPr>
      <w:rPr>
        <w:rFonts w:ascii="Arial" w:eastAsia="Times New Roman" w:hAnsi="Arial" w:cs="Aria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8">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nsid w:val="079B6BCD"/>
    <w:multiLevelType w:val="hybridMultilevel"/>
    <w:tmpl w:val="BC1E600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9B7BDC"/>
    <w:multiLevelType w:val="hybridMultilevel"/>
    <w:tmpl w:val="69CC52AA"/>
    <w:lvl w:ilvl="0" w:tplc="E5FEC7A4">
      <w:start w:val="1"/>
      <w:numFmt w:val="decimal"/>
      <w:lvlText w:val="24.%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0B3A6863"/>
    <w:multiLevelType w:val="hybridMultilevel"/>
    <w:tmpl w:val="D376D9C4"/>
    <w:lvl w:ilvl="0" w:tplc="87009630">
      <w:start w:val="6"/>
      <w:numFmt w:val="bullet"/>
      <w:lvlText w:val="-"/>
      <w:lvlJc w:val="left"/>
      <w:pPr>
        <w:ind w:left="151" w:hanging="360"/>
      </w:pPr>
      <w:rPr>
        <w:rFonts w:ascii="Arial" w:eastAsia="Times New Roman" w:hAnsi="Arial" w:cs="Arial" w:hint="default"/>
      </w:rPr>
    </w:lvl>
    <w:lvl w:ilvl="1" w:tplc="04090003" w:tentative="1">
      <w:start w:val="1"/>
      <w:numFmt w:val="bullet"/>
      <w:lvlText w:val="o"/>
      <w:lvlJc w:val="left"/>
      <w:pPr>
        <w:ind w:left="871" w:hanging="360"/>
      </w:pPr>
      <w:rPr>
        <w:rFonts w:ascii="Courier New" w:hAnsi="Courier New" w:cs="Courier New" w:hint="default"/>
      </w:rPr>
    </w:lvl>
    <w:lvl w:ilvl="2" w:tplc="04090005" w:tentative="1">
      <w:start w:val="1"/>
      <w:numFmt w:val="bullet"/>
      <w:lvlText w:val=""/>
      <w:lvlJc w:val="left"/>
      <w:pPr>
        <w:ind w:left="1591" w:hanging="360"/>
      </w:pPr>
      <w:rPr>
        <w:rFonts w:ascii="Wingdings" w:hAnsi="Wingdings" w:hint="default"/>
      </w:rPr>
    </w:lvl>
    <w:lvl w:ilvl="3" w:tplc="04090001" w:tentative="1">
      <w:start w:val="1"/>
      <w:numFmt w:val="bullet"/>
      <w:lvlText w:val=""/>
      <w:lvlJc w:val="left"/>
      <w:pPr>
        <w:ind w:left="2311" w:hanging="360"/>
      </w:pPr>
      <w:rPr>
        <w:rFonts w:ascii="Symbol" w:hAnsi="Symbol" w:hint="default"/>
      </w:rPr>
    </w:lvl>
    <w:lvl w:ilvl="4" w:tplc="04090003" w:tentative="1">
      <w:start w:val="1"/>
      <w:numFmt w:val="bullet"/>
      <w:lvlText w:val="o"/>
      <w:lvlJc w:val="left"/>
      <w:pPr>
        <w:ind w:left="3031" w:hanging="360"/>
      </w:pPr>
      <w:rPr>
        <w:rFonts w:ascii="Courier New" w:hAnsi="Courier New" w:cs="Courier New" w:hint="default"/>
      </w:rPr>
    </w:lvl>
    <w:lvl w:ilvl="5" w:tplc="04090005" w:tentative="1">
      <w:start w:val="1"/>
      <w:numFmt w:val="bullet"/>
      <w:lvlText w:val=""/>
      <w:lvlJc w:val="left"/>
      <w:pPr>
        <w:ind w:left="3751" w:hanging="360"/>
      </w:pPr>
      <w:rPr>
        <w:rFonts w:ascii="Wingdings" w:hAnsi="Wingdings" w:hint="default"/>
      </w:rPr>
    </w:lvl>
    <w:lvl w:ilvl="6" w:tplc="04090001" w:tentative="1">
      <w:start w:val="1"/>
      <w:numFmt w:val="bullet"/>
      <w:lvlText w:val=""/>
      <w:lvlJc w:val="left"/>
      <w:pPr>
        <w:ind w:left="4471" w:hanging="360"/>
      </w:pPr>
      <w:rPr>
        <w:rFonts w:ascii="Symbol" w:hAnsi="Symbol" w:hint="default"/>
      </w:rPr>
    </w:lvl>
    <w:lvl w:ilvl="7" w:tplc="04090003" w:tentative="1">
      <w:start w:val="1"/>
      <w:numFmt w:val="bullet"/>
      <w:lvlText w:val="o"/>
      <w:lvlJc w:val="left"/>
      <w:pPr>
        <w:ind w:left="5191" w:hanging="360"/>
      </w:pPr>
      <w:rPr>
        <w:rFonts w:ascii="Courier New" w:hAnsi="Courier New" w:cs="Courier New" w:hint="default"/>
      </w:rPr>
    </w:lvl>
    <w:lvl w:ilvl="8" w:tplc="04090005" w:tentative="1">
      <w:start w:val="1"/>
      <w:numFmt w:val="bullet"/>
      <w:lvlText w:val=""/>
      <w:lvlJc w:val="left"/>
      <w:pPr>
        <w:ind w:left="5911" w:hanging="360"/>
      </w:pPr>
      <w:rPr>
        <w:rFonts w:ascii="Wingdings" w:hAnsi="Wingdings" w:hint="default"/>
      </w:rPr>
    </w:lvl>
  </w:abstractNum>
  <w:abstractNum w:abstractNumId="12">
    <w:nsid w:val="0BD223AE"/>
    <w:multiLevelType w:val="hybridMultilevel"/>
    <w:tmpl w:val="61BE3338"/>
    <w:lvl w:ilvl="0" w:tplc="0409000F">
      <w:start w:val="1"/>
      <w:numFmt w:val="decimal"/>
      <w:lvlText w:val="%1."/>
      <w:lvlJc w:val="left"/>
      <w:pPr>
        <w:ind w:left="1069"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0D775362"/>
    <w:multiLevelType w:val="hybridMultilevel"/>
    <w:tmpl w:val="53A8C59E"/>
    <w:lvl w:ilvl="0" w:tplc="87009630">
      <w:start w:val="6"/>
      <w:numFmt w:val="bullet"/>
      <w:lvlText w:val="-"/>
      <w:lvlJc w:val="left"/>
      <w:pPr>
        <w:ind w:left="1080" w:hanging="72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0FA2762D"/>
    <w:multiLevelType w:val="hybridMultilevel"/>
    <w:tmpl w:val="C95A2E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0192F6F"/>
    <w:multiLevelType w:val="hybridMultilevel"/>
    <w:tmpl w:val="8AE05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nsid w:val="115D5E10"/>
    <w:multiLevelType w:val="hybridMultilevel"/>
    <w:tmpl w:val="331E9460"/>
    <w:lvl w:ilvl="0" w:tplc="04090017">
      <w:start w:val="1"/>
      <w:numFmt w:val="lowerLetter"/>
      <w:lvlText w:val="%1)"/>
      <w:lvlJc w:val="left"/>
      <w:pPr>
        <w:ind w:left="-260" w:hanging="360"/>
      </w:pPr>
      <w:rPr>
        <w:rFonts w:hint="default"/>
      </w:rPr>
    </w:lvl>
    <w:lvl w:ilvl="1" w:tplc="04090019" w:tentative="1">
      <w:start w:val="1"/>
      <w:numFmt w:val="lowerLetter"/>
      <w:lvlText w:val="%2."/>
      <w:lvlJc w:val="left"/>
      <w:pPr>
        <w:ind w:left="460" w:hanging="360"/>
      </w:pPr>
    </w:lvl>
    <w:lvl w:ilvl="2" w:tplc="0409001B" w:tentative="1">
      <w:start w:val="1"/>
      <w:numFmt w:val="lowerRoman"/>
      <w:lvlText w:val="%3."/>
      <w:lvlJc w:val="right"/>
      <w:pPr>
        <w:ind w:left="1180" w:hanging="180"/>
      </w:pPr>
    </w:lvl>
    <w:lvl w:ilvl="3" w:tplc="0409000F" w:tentative="1">
      <w:start w:val="1"/>
      <w:numFmt w:val="decimal"/>
      <w:lvlText w:val="%4."/>
      <w:lvlJc w:val="left"/>
      <w:pPr>
        <w:ind w:left="1900" w:hanging="360"/>
      </w:pPr>
    </w:lvl>
    <w:lvl w:ilvl="4" w:tplc="04090019" w:tentative="1">
      <w:start w:val="1"/>
      <w:numFmt w:val="lowerLetter"/>
      <w:lvlText w:val="%5."/>
      <w:lvlJc w:val="left"/>
      <w:pPr>
        <w:ind w:left="2620" w:hanging="360"/>
      </w:pPr>
    </w:lvl>
    <w:lvl w:ilvl="5" w:tplc="0409001B" w:tentative="1">
      <w:start w:val="1"/>
      <w:numFmt w:val="lowerRoman"/>
      <w:lvlText w:val="%6."/>
      <w:lvlJc w:val="right"/>
      <w:pPr>
        <w:ind w:left="3340" w:hanging="180"/>
      </w:pPr>
    </w:lvl>
    <w:lvl w:ilvl="6" w:tplc="0409000F" w:tentative="1">
      <w:start w:val="1"/>
      <w:numFmt w:val="decimal"/>
      <w:lvlText w:val="%7."/>
      <w:lvlJc w:val="left"/>
      <w:pPr>
        <w:ind w:left="4060" w:hanging="360"/>
      </w:pPr>
    </w:lvl>
    <w:lvl w:ilvl="7" w:tplc="04090019" w:tentative="1">
      <w:start w:val="1"/>
      <w:numFmt w:val="lowerLetter"/>
      <w:lvlText w:val="%8."/>
      <w:lvlJc w:val="left"/>
      <w:pPr>
        <w:ind w:left="4780" w:hanging="360"/>
      </w:pPr>
    </w:lvl>
    <w:lvl w:ilvl="8" w:tplc="0409001B" w:tentative="1">
      <w:start w:val="1"/>
      <w:numFmt w:val="lowerRoman"/>
      <w:lvlText w:val="%9."/>
      <w:lvlJc w:val="right"/>
      <w:pPr>
        <w:ind w:left="5500" w:hanging="180"/>
      </w:pPr>
    </w:lvl>
  </w:abstractNum>
  <w:abstractNum w:abstractNumId="17">
    <w:nsid w:val="119B0B4A"/>
    <w:multiLevelType w:val="hybridMultilevel"/>
    <w:tmpl w:val="7F9AA59C"/>
    <w:lvl w:ilvl="0" w:tplc="D66809AC">
      <w:start w:val="1"/>
      <w:numFmt w:val="decimal"/>
      <w:lvlText w:val="21.%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12B30DEB"/>
    <w:multiLevelType w:val="hybridMultilevel"/>
    <w:tmpl w:val="78E8EB80"/>
    <w:lvl w:ilvl="0" w:tplc="1AA0ABC2">
      <w:start w:val="1"/>
      <w:numFmt w:val="bullet"/>
      <w:lvlText w:val=""/>
      <w:lvlJc w:val="left"/>
      <w:pPr>
        <w:ind w:left="-2286" w:hanging="360"/>
      </w:pPr>
      <w:rPr>
        <w:rFonts w:ascii="Symbol" w:hAnsi="Symbol" w:hint="default"/>
      </w:rPr>
    </w:lvl>
    <w:lvl w:ilvl="1" w:tplc="04090003">
      <w:start w:val="1"/>
      <w:numFmt w:val="bullet"/>
      <w:lvlText w:val="o"/>
      <w:lvlJc w:val="left"/>
      <w:pPr>
        <w:ind w:left="-1566" w:hanging="360"/>
      </w:pPr>
      <w:rPr>
        <w:rFonts w:ascii="Courier New" w:hAnsi="Courier New" w:cs="Courier New" w:hint="default"/>
      </w:rPr>
    </w:lvl>
    <w:lvl w:ilvl="2" w:tplc="04090005">
      <w:start w:val="1"/>
      <w:numFmt w:val="bullet"/>
      <w:lvlText w:val=""/>
      <w:lvlJc w:val="left"/>
      <w:pPr>
        <w:ind w:left="-846" w:hanging="360"/>
      </w:pPr>
      <w:rPr>
        <w:rFonts w:ascii="Wingdings" w:hAnsi="Wingdings" w:hint="default"/>
      </w:rPr>
    </w:lvl>
    <w:lvl w:ilvl="3" w:tplc="04090001">
      <w:start w:val="1"/>
      <w:numFmt w:val="bullet"/>
      <w:lvlText w:val=""/>
      <w:lvlJc w:val="left"/>
      <w:pPr>
        <w:ind w:left="-126" w:hanging="360"/>
      </w:pPr>
      <w:rPr>
        <w:rFonts w:ascii="Symbol" w:hAnsi="Symbol" w:hint="default"/>
      </w:rPr>
    </w:lvl>
    <w:lvl w:ilvl="4" w:tplc="04090003">
      <w:start w:val="1"/>
      <w:numFmt w:val="bullet"/>
      <w:lvlText w:val="o"/>
      <w:lvlJc w:val="left"/>
      <w:pPr>
        <w:ind w:left="594" w:hanging="360"/>
      </w:pPr>
      <w:rPr>
        <w:rFonts w:ascii="Courier New" w:hAnsi="Courier New" w:cs="Courier New" w:hint="default"/>
      </w:rPr>
    </w:lvl>
    <w:lvl w:ilvl="5" w:tplc="04090005">
      <w:start w:val="1"/>
      <w:numFmt w:val="bullet"/>
      <w:lvlText w:val=""/>
      <w:lvlJc w:val="left"/>
      <w:pPr>
        <w:ind w:left="1314" w:hanging="360"/>
      </w:pPr>
      <w:rPr>
        <w:rFonts w:ascii="Wingdings" w:hAnsi="Wingdings" w:hint="default"/>
      </w:rPr>
    </w:lvl>
    <w:lvl w:ilvl="6" w:tplc="04090001">
      <w:start w:val="1"/>
      <w:numFmt w:val="bullet"/>
      <w:lvlText w:val=""/>
      <w:lvlJc w:val="left"/>
      <w:pPr>
        <w:ind w:left="2034" w:hanging="360"/>
      </w:pPr>
      <w:rPr>
        <w:rFonts w:ascii="Symbol" w:hAnsi="Symbol" w:hint="default"/>
      </w:rPr>
    </w:lvl>
    <w:lvl w:ilvl="7" w:tplc="04090003">
      <w:start w:val="1"/>
      <w:numFmt w:val="bullet"/>
      <w:lvlText w:val="o"/>
      <w:lvlJc w:val="left"/>
      <w:pPr>
        <w:ind w:left="2754" w:hanging="360"/>
      </w:pPr>
      <w:rPr>
        <w:rFonts w:ascii="Courier New" w:hAnsi="Courier New" w:cs="Courier New" w:hint="default"/>
      </w:rPr>
    </w:lvl>
    <w:lvl w:ilvl="8" w:tplc="04090005">
      <w:start w:val="1"/>
      <w:numFmt w:val="bullet"/>
      <w:lvlText w:val=""/>
      <w:lvlJc w:val="left"/>
      <w:pPr>
        <w:ind w:left="3474" w:hanging="360"/>
      </w:pPr>
      <w:rPr>
        <w:rFonts w:ascii="Wingdings" w:hAnsi="Wingdings" w:hint="default"/>
      </w:rPr>
    </w:lvl>
  </w:abstractNum>
  <w:abstractNum w:abstractNumId="20">
    <w:nsid w:val="13D931C1"/>
    <w:multiLevelType w:val="hybridMultilevel"/>
    <w:tmpl w:val="F1D6543C"/>
    <w:lvl w:ilvl="0" w:tplc="3F7262DC">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8BA5C3C"/>
    <w:multiLevelType w:val="hybridMultilevel"/>
    <w:tmpl w:val="8A86DAFC"/>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A09768D"/>
    <w:multiLevelType w:val="hybridMultilevel"/>
    <w:tmpl w:val="A7A86F02"/>
    <w:lvl w:ilvl="0" w:tplc="2D4AE1C4">
      <w:start w:val="1"/>
      <w:numFmt w:val="bullet"/>
      <w:lvlText w:val="-"/>
      <w:lvlJc w:val="left"/>
      <w:pPr>
        <w:ind w:left="210" w:hanging="360"/>
      </w:pPr>
      <w:rPr>
        <w:rFonts w:ascii="Courier New" w:hAnsi="Courier New" w:hint="default"/>
      </w:rPr>
    </w:lvl>
    <w:lvl w:ilvl="1" w:tplc="04090003" w:tentative="1">
      <w:start w:val="1"/>
      <w:numFmt w:val="bullet"/>
      <w:lvlText w:val="o"/>
      <w:lvlJc w:val="left"/>
      <w:pPr>
        <w:ind w:left="930" w:hanging="360"/>
      </w:pPr>
      <w:rPr>
        <w:rFonts w:ascii="Courier New" w:hAnsi="Courier New" w:cs="Courier New" w:hint="default"/>
      </w:rPr>
    </w:lvl>
    <w:lvl w:ilvl="2" w:tplc="04090005" w:tentative="1">
      <w:start w:val="1"/>
      <w:numFmt w:val="bullet"/>
      <w:lvlText w:val=""/>
      <w:lvlJc w:val="left"/>
      <w:pPr>
        <w:ind w:left="1650" w:hanging="360"/>
      </w:pPr>
      <w:rPr>
        <w:rFonts w:ascii="Wingdings" w:hAnsi="Wingdings" w:hint="default"/>
      </w:rPr>
    </w:lvl>
    <w:lvl w:ilvl="3" w:tplc="04090001" w:tentative="1">
      <w:start w:val="1"/>
      <w:numFmt w:val="bullet"/>
      <w:lvlText w:val=""/>
      <w:lvlJc w:val="left"/>
      <w:pPr>
        <w:ind w:left="2370" w:hanging="360"/>
      </w:pPr>
      <w:rPr>
        <w:rFonts w:ascii="Symbol" w:hAnsi="Symbol" w:hint="default"/>
      </w:rPr>
    </w:lvl>
    <w:lvl w:ilvl="4" w:tplc="04090003" w:tentative="1">
      <w:start w:val="1"/>
      <w:numFmt w:val="bullet"/>
      <w:lvlText w:val="o"/>
      <w:lvlJc w:val="left"/>
      <w:pPr>
        <w:ind w:left="3090" w:hanging="360"/>
      </w:pPr>
      <w:rPr>
        <w:rFonts w:ascii="Courier New" w:hAnsi="Courier New" w:cs="Courier New" w:hint="default"/>
      </w:rPr>
    </w:lvl>
    <w:lvl w:ilvl="5" w:tplc="04090005" w:tentative="1">
      <w:start w:val="1"/>
      <w:numFmt w:val="bullet"/>
      <w:lvlText w:val=""/>
      <w:lvlJc w:val="left"/>
      <w:pPr>
        <w:ind w:left="3810" w:hanging="360"/>
      </w:pPr>
      <w:rPr>
        <w:rFonts w:ascii="Wingdings" w:hAnsi="Wingdings" w:hint="default"/>
      </w:rPr>
    </w:lvl>
    <w:lvl w:ilvl="6" w:tplc="04090001" w:tentative="1">
      <w:start w:val="1"/>
      <w:numFmt w:val="bullet"/>
      <w:lvlText w:val=""/>
      <w:lvlJc w:val="left"/>
      <w:pPr>
        <w:ind w:left="4530" w:hanging="360"/>
      </w:pPr>
      <w:rPr>
        <w:rFonts w:ascii="Symbol" w:hAnsi="Symbol" w:hint="default"/>
      </w:rPr>
    </w:lvl>
    <w:lvl w:ilvl="7" w:tplc="04090003" w:tentative="1">
      <w:start w:val="1"/>
      <w:numFmt w:val="bullet"/>
      <w:lvlText w:val="o"/>
      <w:lvlJc w:val="left"/>
      <w:pPr>
        <w:ind w:left="5250" w:hanging="360"/>
      </w:pPr>
      <w:rPr>
        <w:rFonts w:ascii="Courier New" w:hAnsi="Courier New" w:cs="Courier New" w:hint="default"/>
      </w:rPr>
    </w:lvl>
    <w:lvl w:ilvl="8" w:tplc="04090005" w:tentative="1">
      <w:start w:val="1"/>
      <w:numFmt w:val="bullet"/>
      <w:lvlText w:val=""/>
      <w:lvlJc w:val="left"/>
      <w:pPr>
        <w:ind w:left="5970" w:hanging="360"/>
      </w:pPr>
      <w:rPr>
        <w:rFonts w:ascii="Wingdings" w:hAnsi="Wingdings" w:hint="default"/>
      </w:rPr>
    </w:lvl>
  </w:abstractNum>
  <w:abstractNum w:abstractNumId="23">
    <w:nsid w:val="1A154E0F"/>
    <w:multiLevelType w:val="hybridMultilevel"/>
    <w:tmpl w:val="BEA2D9A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A305C65"/>
    <w:multiLevelType w:val="hybridMultilevel"/>
    <w:tmpl w:val="BA968B58"/>
    <w:lvl w:ilvl="0" w:tplc="0000000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A3B7367"/>
    <w:multiLevelType w:val="hybridMultilevel"/>
    <w:tmpl w:val="61BE333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6">
    <w:nsid w:val="1B22262A"/>
    <w:multiLevelType w:val="hybridMultilevel"/>
    <w:tmpl w:val="C626543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1B605764"/>
    <w:multiLevelType w:val="hybridMultilevel"/>
    <w:tmpl w:val="5C1E54E8"/>
    <w:lvl w:ilvl="0" w:tplc="5B683A3A">
      <w:start w:val="1"/>
      <w:numFmt w:val="upperRoman"/>
      <w:lvlText w:val="%1."/>
      <w:lvlJc w:val="left"/>
      <w:pPr>
        <w:ind w:left="1080" w:hanging="720"/>
      </w:pPr>
      <w:rPr>
        <w:rFonts w:hint="default"/>
      </w:rPr>
    </w:lvl>
    <w:lvl w:ilvl="1" w:tplc="A2369E28">
      <w:start w:val="1"/>
      <w:numFmt w:val="lowerLetter"/>
      <w:lvlText w:val="(%2)"/>
      <w:lvlJc w:val="left"/>
      <w:pPr>
        <w:ind w:left="1440" w:hanging="360"/>
      </w:pPr>
      <w:rPr>
        <w:rFonts w:hint="default"/>
        <w:i/>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C6A54F8"/>
    <w:multiLevelType w:val="hybridMultilevel"/>
    <w:tmpl w:val="B7887F0A"/>
    <w:lvl w:ilvl="0" w:tplc="EB1640FE">
      <w:start w:val="4"/>
      <w:numFmt w:val="bullet"/>
      <w:lvlText w:val="-"/>
      <w:lvlJc w:val="left"/>
      <w:pPr>
        <w:ind w:left="930" w:hanging="360"/>
      </w:pPr>
      <w:rPr>
        <w:rFonts w:ascii="Arial" w:eastAsia="SimSun" w:hAnsi="Arial" w:cs="Arial" w:hint="default"/>
      </w:rPr>
    </w:lvl>
    <w:lvl w:ilvl="1" w:tplc="04090003">
      <w:start w:val="1"/>
      <w:numFmt w:val="bullet"/>
      <w:lvlText w:val="o"/>
      <w:lvlJc w:val="left"/>
      <w:pPr>
        <w:ind w:left="1650" w:hanging="360"/>
      </w:pPr>
      <w:rPr>
        <w:rFonts w:ascii="Courier New" w:hAnsi="Courier New" w:cs="Courier New" w:hint="default"/>
      </w:rPr>
    </w:lvl>
    <w:lvl w:ilvl="2" w:tplc="04090005">
      <w:start w:val="1"/>
      <w:numFmt w:val="bullet"/>
      <w:lvlText w:val=""/>
      <w:lvlJc w:val="left"/>
      <w:pPr>
        <w:ind w:left="2370" w:hanging="360"/>
      </w:pPr>
      <w:rPr>
        <w:rFonts w:ascii="Wingdings" w:hAnsi="Wingdings" w:hint="default"/>
      </w:rPr>
    </w:lvl>
    <w:lvl w:ilvl="3" w:tplc="04090001">
      <w:start w:val="1"/>
      <w:numFmt w:val="bullet"/>
      <w:lvlText w:val=""/>
      <w:lvlJc w:val="left"/>
      <w:pPr>
        <w:ind w:left="3090" w:hanging="360"/>
      </w:pPr>
      <w:rPr>
        <w:rFonts w:ascii="Symbol" w:hAnsi="Symbol" w:hint="default"/>
      </w:rPr>
    </w:lvl>
    <w:lvl w:ilvl="4" w:tplc="04090003">
      <w:start w:val="1"/>
      <w:numFmt w:val="bullet"/>
      <w:lvlText w:val="o"/>
      <w:lvlJc w:val="left"/>
      <w:pPr>
        <w:ind w:left="3810" w:hanging="360"/>
      </w:pPr>
      <w:rPr>
        <w:rFonts w:ascii="Courier New" w:hAnsi="Courier New" w:cs="Courier New" w:hint="default"/>
      </w:rPr>
    </w:lvl>
    <w:lvl w:ilvl="5" w:tplc="04090005">
      <w:start w:val="1"/>
      <w:numFmt w:val="bullet"/>
      <w:lvlText w:val=""/>
      <w:lvlJc w:val="left"/>
      <w:pPr>
        <w:ind w:left="4530" w:hanging="360"/>
      </w:pPr>
      <w:rPr>
        <w:rFonts w:ascii="Wingdings" w:hAnsi="Wingdings" w:hint="default"/>
      </w:rPr>
    </w:lvl>
    <w:lvl w:ilvl="6" w:tplc="04090001">
      <w:start w:val="1"/>
      <w:numFmt w:val="bullet"/>
      <w:lvlText w:val=""/>
      <w:lvlJc w:val="left"/>
      <w:pPr>
        <w:ind w:left="5250" w:hanging="360"/>
      </w:pPr>
      <w:rPr>
        <w:rFonts w:ascii="Symbol" w:hAnsi="Symbol" w:hint="default"/>
      </w:rPr>
    </w:lvl>
    <w:lvl w:ilvl="7" w:tplc="04090003">
      <w:start w:val="1"/>
      <w:numFmt w:val="bullet"/>
      <w:lvlText w:val="o"/>
      <w:lvlJc w:val="left"/>
      <w:pPr>
        <w:ind w:left="5970" w:hanging="360"/>
      </w:pPr>
      <w:rPr>
        <w:rFonts w:ascii="Courier New" w:hAnsi="Courier New" w:cs="Courier New" w:hint="default"/>
      </w:rPr>
    </w:lvl>
    <w:lvl w:ilvl="8" w:tplc="04090005">
      <w:start w:val="1"/>
      <w:numFmt w:val="bullet"/>
      <w:lvlText w:val=""/>
      <w:lvlJc w:val="left"/>
      <w:pPr>
        <w:ind w:left="6690" w:hanging="360"/>
      </w:pPr>
      <w:rPr>
        <w:rFonts w:ascii="Wingdings" w:hAnsi="Wingdings" w:hint="default"/>
      </w:rPr>
    </w:lvl>
  </w:abstractNum>
  <w:abstractNum w:abstractNumId="29">
    <w:nsid w:val="1C8018A3"/>
    <w:multiLevelType w:val="hybridMultilevel"/>
    <w:tmpl w:val="C0D2E790"/>
    <w:lvl w:ilvl="0" w:tplc="488EC4A6">
      <w:start w:val="1"/>
      <w:numFmt w:val="decimal"/>
      <w:lvlText w:val="22.%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DFE43DF"/>
    <w:multiLevelType w:val="hybridMultilevel"/>
    <w:tmpl w:val="852EC71A"/>
    <w:lvl w:ilvl="0" w:tplc="D3C83796">
      <w:start w:val="1"/>
      <w:numFmt w:val="decimal"/>
      <w:lvlText w:val="1.%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E9B6292"/>
    <w:multiLevelType w:val="hybridMultilevel"/>
    <w:tmpl w:val="EF92583A"/>
    <w:lvl w:ilvl="0" w:tplc="87009630">
      <w:start w:val="6"/>
      <w:numFmt w:val="bullet"/>
      <w:lvlText w:val="-"/>
      <w:lvlJc w:val="left"/>
      <w:pPr>
        <w:ind w:left="720" w:hanging="360"/>
      </w:pPr>
      <w:rPr>
        <w:rFonts w:ascii="Arial" w:eastAsia="Times New Roman"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3">
    <w:nsid w:val="202A2B79"/>
    <w:multiLevelType w:val="hybridMultilevel"/>
    <w:tmpl w:val="0954384A"/>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2A71453"/>
    <w:multiLevelType w:val="hybridMultilevel"/>
    <w:tmpl w:val="D43A5352"/>
    <w:lvl w:ilvl="0" w:tplc="F676B65C">
      <w:start w:val="1"/>
      <w:numFmt w:val="bullet"/>
      <w:lvlText w:val="-"/>
      <w:lvlJc w:val="left"/>
      <w:pPr>
        <w:ind w:left="360" w:hanging="360"/>
      </w:pPr>
      <w:rPr>
        <w:rFonts w:ascii="Arial" w:eastAsiaTheme="minorEastAsia"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nsid w:val="233F670F"/>
    <w:multiLevelType w:val="hybridMultilevel"/>
    <w:tmpl w:val="FF3071C0"/>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38722F0"/>
    <w:multiLevelType w:val="hybridMultilevel"/>
    <w:tmpl w:val="446C30F6"/>
    <w:lvl w:ilvl="0" w:tplc="1C8C75B6">
      <w:start w:val="1"/>
      <w:numFmt w:val="decimal"/>
      <w:lvlText w:val="15.%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nsid w:val="249B77C4"/>
    <w:multiLevelType w:val="hybridMultilevel"/>
    <w:tmpl w:val="289EA6E6"/>
    <w:lvl w:ilvl="0" w:tplc="744023CC">
      <w:start w:val="1"/>
      <w:numFmt w:val="decimal"/>
      <w:lvlText w:val="14.%1"/>
      <w:lvlJc w:val="left"/>
      <w:pPr>
        <w:ind w:left="720" w:hanging="360"/>
      </w:pPr>
      <w:rPr>
        <w:rFonts w:ascii="Arial" w:hAnsi="Arial" w:cs="Arial"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B45952"/>
    <w:multiLevelType w:val="hybridMultilevel"/>
    <w:tmpl w:val="327066CE"/>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2A9B42E2"/>
    <w:multiLevelType w:val="hybridMultilevel"/>
    <w:tmpl w:val="484011B6"/>
    <w:lvl w:ilvl="0" w:tplc="04090013">
      <w:start w:val="1"/>
      <w:numFmt w:val="upperRoman"/>
      <w:lvlText w:val="%1."/>
      <w:lvlJc w:val="righ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41">
    <w:nsid w:val="2B4B28BE"/>
    <w:multiLevelType w:val="hybridMultilevel"/>
    <w:tmpl w:val="52505382"/>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D7D5DCC"/>
    <w:multiLevelType w:val="hybridMultilevel"/>
    <w:tmpl w:val="88AEEE08"/>
    <w:lvl w:ilvl="0" w:tplc="1AA0ABC2">
      <w:start w:val="1"/>
      <w:numFmt w:val="bullet"/>
      <w:lvlText w:val=""/>
      <w:lvlJc w:val="left"/>
      <w:pPr>
        <w:ind w:left="720" w:hanging="360"/>
      </w:pPr>
      <w:rPr>
        <w:rFonts w:ascii="Symbol" w:hAnsi="Symbol" w:hint="default"/>
        <w:color w:val="1F497D" w:themeColor="text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nsid w:val="2DC47965"/>
    <w:multiLevelType w:val="hybridMultilevel"/>
    <w:tmpl w:val="1988CFBC"/>
    <w:lvl w:ilvl="0" w:tplc="D4AC6882">
      <w:start w:val="1"/>
      <w:numFmt w:val="low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311108F6"/>
    <w:multiLevelType w:val="hybridMultilevel"/>
    <w:tmpl w:val="5A3E7C90"/>
    <w:lvl w:ilvl="0" w:tplc="CB40DC84">
      <w:start w:val="1"/>
      <w:numFmt w:val="decimal"/>
      <w:lvlText w:val="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31332D30"/>
    <w:multiLevelType w:val="hybridMultilevel"/>
    <w:tmpl w:val="DD78CA3C"/>
    <w:lvl w:ilvl="0" w:tplc="B494411A">
      <w:start w:val="1"/>
      <w:numFmt w:val="decimal"/>
      <w:lvlText w:val="23.%1"/>
      <w:lvlJc w:val="left"/>
      <w:pPr>
        <w:ind w:left="1260" w:hanging="360"/>
      </w:pPr>
      <w:rPr>
        <w:rFonts w:ascii="Arial" w:hAnsi="Arial" w:hint="default"/>
        <w:sz w:val="20"/>
        <w:szCs w:val="20"/>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7">
    <w:nsid w:val="31A12D08"/>
    <w:multiLevelType w:val="hybridMultilevel"/>
    <w:tmpl w:val="5C5485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22853D2"/>
    <w:multiLevelType w:val="hybridMultilevel"/>
    <w:tmpl w:val="AF887D14"/>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69B0598"/>
    <w:multiLevelType w:val="hybridMultilevel"/>
    <w:tmpl w:val="98987B9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nsid w:val="37D5235E"/>
    <w:multiLevelType w:val="hybridMultilevel"/>
    <w:tmpl w:val="E4D8B9DC"/>
    <w:lvl w:ilvl="0" w:tplc="5332F970">
      <w:numFmt w:val="bullet"/>
      <w:lvlText w:val="-"/>
      <w:lvlJc w:val="left"/>
      <w:pPr>
        <w:ind w:left="360" w:hanging="360"/>
      </w:pPr>
      <w:rPr>
        <w:rFonts w:ascii="Arial" w:eastAsia="Times New Roman" w:hAnsi="Arial" w:cs="Arial" w:hint="default"/>
        <w:lang w:val="en-US"/>
      </w:rPr>
    </w:lvl>
    <w:lvl w:ilvl="1" w:tplc="D334F858">
      <w:start w:val="1"/>
      <w:numFmt w:val="bullet"/>
      <w:lvlText w:val="o"/>
      <w:lvlJc w:val="left"/>
      <w:pPr>
        <w:ind w:left="1080" w:hanging="360"/>
      </w:pPr>
      <w:rPr>
        <w:rFonts w:ascii="Courier New" w:hAnsi="Courier New" w:cs="Courier New" w:hint="default"/>
      </w:rPr>
    </w:lvl>
    <w:lvl w:ilvl="2" w:tplc="0262DB1E">
      <w:start w:val="1"/>
      <w:numFmt w:val="bullet"/>
      <w:lvlText w:val=""/>
      <w:lvlJc w:val="left"/>
      <w:pPr>
        <w:ind w:left="1800" w:hanging="360"/>
      </w:pPr>
      <w:rPr>
        <w:rFonts w:ascii="Wingdings" w:hAnsi="Wingdings" w:hint="default"/>
      </w:rPr>
    </w:lvl>
    <w:lvl w:ilvl="3" w:tplc="B2DC4550">
      <w:start w:val="1"/>
      <w:numFmt w:val="bullet"/>
      <w:lvlText w:val=""/>
      <w:lvlJc w:val="left"/>
      <w:pPr>
        <w:ind w:left="2520" w:hanging="360"/>
      </w:pPr>
      <w:rPr>
        <w:rFonts w:ascii="Symbol" w:hAnsi="Symbol" w:hint="default"/>
      </w:rPr>
    </w:lvl>
    <w:lvl w:ilvl="4" w:tplc="66C04DD8">
      <w:start w:val="1"/>
      <w:numFmt w:val="bullet"/>
      <w:lvlText w:val="o"/>
      <w:lvlJc w:val="left"/>
      <w:pPr>
        <w:ind w:left="3240" w:hanging="360"/>
      </w:pPr>
      <w:rPr>
        <w:rFonts w:ascii="Courier New" w:hAnsi="Courier New" w:cs="Courier New" w:hint="default"/>
      </w:rPr>
    </w:lvl>
    <w:lvl w:ilvl="5" w:tplc="C5583236">
      <w:start w:val="1"/>
      <w:numFmt w:val="bullet"/>
      <w:lvlText w:val=""/>
      <w:lvlJc w:val="left"/>
      <w:pPr>
        <w:ind w:left="3960" w:hanging="360"/>
      </w:pPr>
      <w:rPr>
        <w:rFonts w:ascii="Wingdings" w:hAnsi="Wingdings" w:hint="default"/>
      </w:rPr>
    </w:lvl>
    <w:lvl w:ilvl="6" w:tplc="B35085EE">
      <w:start w:val="1"/>
      <w:numFmt w:val="bullet"/>
      <w:lvlText w:val=""/>
      <w:lvlJc w:val="left"/>
      <w:pPr>
        <w:ind w:left="4680" w:hanging="360"/>
      </w:pPr>
      <w:rPr>
        <w:rFonts w:ascii="Symbol" w:hAnsi="Symbol" w:hint="default"/>
      </w:rPr>
    </w:lvl>
    <w:lvl w:ilvl="7" w:tplc="891A3BEA">
      <w:start w:val="1"/>
      <w:numFmt w:val="bullet"/>
      <w:lvlText w:val="o"/>
      <w:lvlJc w:val="left"/>
      <w:pPr>
        <w:ind w:left="5400" w:hanging="360"/>
      </w:pPr>
      <w:rPr>
        <w:rFonts w:ascii="Courier New" w:hAnsi="Courier New" w:cs="Courier New" w:hint="default"/>
      </w:rPr>
    </w:lvl>
    <w:lvl w:ilvl="8" w:tplc="E85A4502">
      <w:start w:val="1"/>
      <w:numFmt w:val="bullet"/>
      <w:lvlText w:val=""/>
      <w:lvlJc w:val="left"/>
      <w:pPr>
        <w:ind w:left="6120" w:hanging="360"/>
      </w:pPr>
      <w:rPr>
        <w:rFonts w:ascii="Wingdings" w:hAnsi="Wingdings" w:hint="default"/>
      </w:rPr>
    </w:lvl>
  </w:abstractNum>
  <w:abstractNum w:abstractNumId="52">
    <w:nsid w:val="382B066F"/>
    <w:multiLevelType w:val="hybridMultilevel"/>
    <w:tmpl w:val="CBD66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3AB2731A"/>
    <w:multiLevelType w:val="hybridMultilevel"/>
    <w:tmpl w:val="4C945534"/>
    <w:lvl w:ilvl="0" w:tplc="03345ED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3D00797F"/>
    <w:multiLevelType w:val="hybridMultilevel"/>
    <w:tmpl w:val="9BE65ADA"/>
    <w:lvl w:ilvl="0" w:tplc="3ACE795C">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3DBD2CB5"/>
    <w:multiLevelType w:val="hybridMultilevel"/>
    <w:tmpl w:val="C6820B6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3DEB20A5"/>
    <w:multiLevelType w:val="hybridMultilevel"/>
    <w:tmpl w:val="3FE0E78E"/>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8">
    <w:nsid w:val="3E1D2610"/>
    <w:multiLevelType w:val="hybridMultilevel"/>
    <w:tmpl w:val="E0B2B4AA"/>
    <w:lvl w:ilvl="0" w:tplc="95AEB980">
      <w:start w:val="1"/>
      <w:numFmt w:val="decimal"/>
      <w:lvlText w:val="26.%1"/>
      <w:lvlJc w:val="left"/>
      <w:pPr>
        <w:ind w:left="360" w:hanging="360"/>
      </w:pPr>
      <w:rPr>
        <w:rFonts w:ascii="Arial" w:hAnsi="Arial" w:hint="default"/>
        <w:b w:val="0"/>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9">
    <w:nsid w:val="3E795B56"/>
    <w:multiLevelType w:val="hybridMultilevel"/>
    <w:tmpl w:val="37B6A0A4"/>
    <w:lvl w:ilvl="0" w:tplc="9E5A64B4">
      <w:numFmt w:val="bullet"/>
      <w:lvlText w:val="-"/>
      <w:lvlJc w:val="left"/>
      <w:pPr>
        <w:ind w:left="720" w:hanging="360"/>
      </w:pPr>
      <w:rPr>
        <w:rFonts w:ascii="Arial" w:eastAsia="Calibri" w:hAnsi="Arial" w:cs="Arial" w:hint="default"/>
      </w:rPr>
    </w:lvl>
    <w:lvl w:ilvl="1" w:tplc="9E5A64B4">
      <w:numFmt w:val="bullet"/>
      <w:lvlText w:val="-"/>
      <w:lvlJc w:val="left"/>
      <w:pPr>
        <w:ind w:left="1440" w:hanging="360"/>
      </w:pPr>
      <w:rPr>
        <w:rFonts w:ascii="Arial" w:eastAsia="Calibr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FA85A25"/>
    <w:multiLevelType w:val="hybridMultilevel"/>
    <w:tmpl w:val="EB3E49EE"/>
    <w:lvl w:ilvl="0" w:tplc="1AA0ABC2">
      <w:start w:val="1"/>
      <w:numFmt w:val="bullet"/>
      <w:lvlText w:val=""/>
      <w:lvlJc w:val="left"/>
      <w:pPr>
        <w:ind w:left="45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1">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02D38C5"/>
    <w:multiLevelType w:val="hybridMultilevel"/>
    <w:tmpl w:val="D304E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0490209"/>
    <w:multiLevelType w:val="hybridMultilevel"/>
    <w:tmpl w:val="AABA3276"/>
    <w:lvl w:ilvl="0" w:tplc="29E003E4">
      <w:start w:val="25"/>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41A8189B"/>
    <w:multiLevelType w:val="hybridMultilevel"/>
    <w:tmpl w:val="EC1CA7AC"/>
    <w:lvl w:ilvl="0" w:tplc="9ACACD06">
      <w:start w:val="1"/>
      <w:numFmt w:val="decimal"/>
      <w:lvlText w:val="9.%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5">
    <w:nsid w:val="42B14CA7"/>
    <w:multiLevelType w:val="hybridMultilevel"/>
    <w:tmpl w:val="01C2B2BE"/>
    <w:lvl w:ilvl="0" w:tplc="143CC9B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34A2B1C"/>
    <w:multiLevelType w:val="hybridMultilevel"/>
    <w:tmpl w:val="69FC5D36"/>
    <w:lvl w:ilvl="0" w:tplc="70F84272">
      <w:start w:val="1"/>
      <w:numFmt w:val="decimal"/>
      <w:lvlText w:val="3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45BB48CC"/>
    <w:multiLevelType w:val="hybridMultilevel"/>
    <w:tmpl w:val="3D4CE1BE"/>
    <w:lvl w:ilvl="0" w:tplc="C20A7E80">
      <w:start w:val="315"/>
      <w:numFmt w:val="bullet"/>
      <w:lvlText w:val=""/>
      <w:lvlJc w:val="left"/>
      <w:pPr>
        <w:ind w:left="360" w:hanging="360"/>
      </w:pPr>
      <w:rPr>
        <w:rFonts w:ascii="Symbol" w:eastAsia="Times New Roman" w:hAnsi="Symbol" w:cs="Times New Roman" w:hint="default"/>
        <w:color w:val="000000"/>
        <w:sz w:val="22"/>
        <w:lang w:val="es-E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46660231"/>
    <w:multiLevelType w:val="hybridMultilevel"/>
    <w:tmpl w:val="9EA0DDF4"/>
    <w:lvl w:ilvl="0" w:tplc="CBE48860">
      <w:start w:val="315"/>
      <w:numFmt w:val="bullet"/>
      <w:lvlText w:val=""/>
      <w:lvlJc w:val="left"/>
      <w:pPr>
        <w:ind w:left="360" w:hanging="360"/>
      </w:pPr>
      <w:rPr>
        <w:rFonts w:ascii="Symbol" w:eastAsia="Times New Roman" w:hAnsi="Symbol" w:cs="Times New Roman" w:hint="default"/>
        <w:color w:val="000000"/>
        <w:sz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4759624B"/>
    <w:multiLevelType w:val="hybridMultilevel"/>
    <w:tmpl w:val="0E86A092"/>
    <w:lvl w:ilvl="0" w:tplc="C35E69EC">
      <w:start w:val="4"/>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47F969DE"/>
    <w:multiLevelType w:val="hybridMultilevel"/>
    <w:tmpl w:val="B9FED5C0"/>
    <w:lvl w:ilvl="0" w:tplc="FDC4E848">
      <w:start w:val="1"/>
      <w:numFmt w:val="decimal"/>
      <w:lvlText w:val="2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899699A"/>
    <w:multiLevelType w:val="hybridMultilevel"/>
    <w:tmpl w:val="F6FA852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908699F"/>
    <w:multiLevelType w:val="hybridMultilevel"/>
    <w:tmpl w:val="B4E0A58A"/>
    <w:lvl w:ilvl="0" w:tplc="0DB42CE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9766D3C"/>
    <w:multiLevelType w:val="hybridMultilevel"/>
    <w:tmpl w:val="9C84E178"/>
    <w:lvl w:ilvl="0" w:tplc="9412DDEE">
      <w:start w:val="1"/>
      <w:numFmt w:val="decimal"/>
      <w:lvlText w:val="5.%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4A6005A5"/>
    <w:multiLevelType w:val="hybridMultilevel"/>
    <w:tmpl w:val="714CFEDE"/>
    <w:lvl w:ilvl="0" w:tplc="547817D4">
      <w:start w:val="89"/>
      <w:numFmt w:val="bullet"/>
      <w:lvlText w:val="-"/>
      <w:lvlJc w:val="left"/>
      <w:pPr>
        <w:ind w:left="720" w:hanging="360"/>
      </w:pPr>
      <w:rPr>
        <w:rFonts w:ascii="Arial" w:eastAsia="Times New Roman" w:hAnsi="Arial" w:cs="Aria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6">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BF531FE"/>
    <w:multiLevelType w:val="hybridMultilevel"/>
    <w:tmpl w:val="3BF6BB34"/>
    <w:lvl w:ilvl="0" w:tplc="1AA0ABC2">
      <w:start w:val="1"/>
      <w:numFmt w:val="bullet"/>
      <w:lvlText w:val=""/>
      <w:lvlJc w:val="left"/>
      <w:pPr>
        <w:ind w:left="360" w:hanging="360"/>
      </w:pPr>
      <w:rPr>
        <w:rFonts w:ascii="Symbol" w:hAnsi="Symbol" w:hint="default"/>
      </w:rPr>
    </w:lvl>
    <w:lvl w:ilvl="1" w:tplc="1AA0ABC2">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4CE770E8"/>
    <w:multiLevelType w:val="hybridMultilevel"/>
    <w:tmpl w:val="88721354"/>
    <w:lvl w:ilvl="0" w:tplc="6E8C5A3E">
      <w:start w:val="1"/>
      <w:numFmt w:val="decimal"/>
      <w:lvlText w:val="1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3F7A87"/>
    <w:multiLevelType w:val="hybridMultilevel"/>
    <w:tmpl w:val="B956867E"/>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50D3643F"/>
    <w:multiLevelType w:val="hybridMultilevel"/>
    <w:tmpl w:val="9468E8F8"/>
    <w:lvl w:ilvl="0" w:tplc="8CB68382">
      <w:start w:val="3"/>
      <w:numFmt w:val="bullet"/>
      <w:lvlText w:val="-"/>
      <w:lvlJc w:val="left"/>
      <w:pPr>
        <w:ind w:left="1080" w:hanging="360"/>
      </w:pPr>
      <w:rPr>
        <w:rFonts w:ascii="Arial" w:eastAsia="Times New Roman" w:hAnsi="Arial" w:cs="Arial"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52096F3D"/>
    <w:multiLevelType w:val="hybridMultilevel"/>
    <w:tmpl w:val="28DE3B3E"/>
    <w:lvl w:ilvl="0" w:tplc="0FDCC4BC">
      <w:start w:val="1"/>
      <w:numFmt w:val="decimal"/>
      <w:lvlText w:val="3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55EC02B8"/>
    <w:multiLevelType w:val="hybridMultilevel"/>
    <w:tmpl w:val="0DDE77C0"/>
    <w:lvl w:ilvl="0" w:tplc="00000006">
      <w:start w:val="1"/>
      <w:numFmt w:val="bullet"/>
      <w:lvlText w:val=""/>
      <w:lvlJc w:val="left"/>
      <w:pPr>
        <w:ind w:left="360" w:hanging="360"/>
      </w:pPr>
      <w:rPr>
        <w:rFonts w:ascii="Symbol" w:hAnsi="Symbol" w:cs="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571A406D"/>
    <w:multiLevelType w:val="hybridMultilevel"/>
    <w:tmpl w:val="9B464592"/>
    <w:lvl w:ilvl="0" w:tplc="357E81EC">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6">
    <w:nsid w:val="580629F9"/>
    <w:multiLevelType w:val="hybridMultilevel"/>
    <w:tmpl w:val="61F8CFD0"/>
    <w:lvl w:ilvl="0" w:tplc="2D323568">
      <w:start w:val="1"/>
      <w:numFmt w:val="decimal"/>
      <w:lvlText w:val="11.%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nsid w:val="584E6FDA"/>
    <w:multiLevelType w:val="hybridMultilevel"/>
    <w:tmpl w:val="20FE11C4"/>
    <w:lvl w:ilvl="0" w:tplc="F81601A8">
      <w:start w:val="1"/>
      <w:numFmt w:val="decimal"/>
      <w:lvlText w:val="19.%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8">
    <w:nsid w:val="590E3C9F"/>
    <w:multiLevelType w:val="hybridMultilevel"/>
    <w:tmpl w:val="5F78F936"/>
    <w:lvl w:ilvl="0" w:tplc="42727B2A">
      <w:start w:val="1"/>
      <w:numFmt w:val="decimal"/>
      <w:lvlText w:val="28.%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9A14648"/>
    <w:multiLevelType w:val="hybridMultilevel"/>
    <w:tmpl w:val="E3FCC5BC"/>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5A232C8B"/>
    <w:multiLevelType w:val="hybridMultilevel"/>
    <w:tmpl w:val="F0E4F56C"/>
    <w:lvl w:ilvl="0" w:tplc="75FA6534">
      <w:start w:val="1"/>
      <w:numFmt w:val="decimal"/>
      <w:lvlText w:val="%1."/>
      <w:lvlJc w:val="left"/>
      <w:pPr>
        <w:ind w:left="720" w:hanging="360"/>
      </w:pPr>
    </w:lvl>
    <w:lvl w:ilvl="1" w:tplc="04090017">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C851CCE"/>
    <w:multiLevelType w:val="hybridMultilevel"/>
    <w:tmpl w:val="D5AA77B2"/>
    <w:lvl w:ilvl="0" w:tplc="87009630">
      <w:start w:val="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5DA70756"/>
    <w:multiLevelType w:val="hybridMultilevel"/>
    <w:tmpl w:val="0C7AFC9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5E9D0A0F"/>
    <w:multiLevelType w:val="hybridMultilevel"/>
    <w:tmpl w:val="37C6F916"/>
    <w:lvl w:ilvl="0" w:tplc="F788E182">
      <w:start w:val="1"/>
      <w:numFmt w:val="decimal"/>
      <w:lvlText w:val="16.%1"/>
      <w:lvlJc w:val="left"/>
      <w:pPr>
        <w:tabs>
          <w:tab w:val="num" w:pos="-288"/>
        </w:tabs>
        <w:ind w:left="72" w:hanging="72"/>
      </w:pPr>
      <w:rPr>
        <w:rFonts w:ascii="Arial" w:hAnsi="Arial" w:hint="default"/>
        <w:sz w:val="20"/>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94">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0AC6B54"/>
    <w:multiLevelType w:val="hybridMultilevel"/>
    <w:tmpl w:val="14C637B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60B95ED1"/>
    <w:multiLevelType w:val="hybridMultilevel"/>
    <w:tmpl w:val="F110AF26"/>
    <w:lvl w:ilvl="0" w:tplc="18C0FE8C">
      <w:start w:val="1"/>
      <w:numFmt w:val="decimal"/>
      <w:lvlText w:val="3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7">
    <w:nsid w:val="60D6367B"/>
    <w:multiLevelType w:val="hybridMultilevel"/>
    <w:tmpl w:val="08C02DB0"/>
    <w:lvl w:ilvl="0" w:tplc="81F2B812">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61A663FC"/>
    <w:multiLevelType w:val="hybridMultilevel"/>
    <w:tmpl w:val="289EC3B2"/>
    <w:lvl w:ilvl="0" w:tplc="193EA12C">
      <w:start w:val="1"/>
      <w:numFmt w:val="decimal"/>
      <w:lvlText w:val="4.%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4369F3"/>
    <w:multiLevelType w:val="hybridMultilevel"/>
    <w:tmpl w:val="79F67380"/>
    <w:lvl w:ilvl="0" w:tplc="8EC25160">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646B2683"/>
    <w:multiLevelType w:val="hybridMultilevel"/>
    <w:tmpl w:val="1CD6B6BE"/>
    <w:lvl w:ilvl="0" w:tplc="D21E4396">
      <w:start w:val="1"/>
      <w:numFmt w:val="decimal"/>
      <w:lvlText w:val="12.%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nsid w:val="649442A6"/>
    <w:multiLevelType w:val="hybridMultilevel"/>
    <w:tmpl w:val="8F5E6E48"/>
    <w:lvl w:ilvl="0" w:tplc="3350DEF8">
      <w:start w:val="1"/>
      <w:numFmt w:val="decimal"/>
      <w:lvlText w:val="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2">
    <w:nsid w:val="6561185A"/>
    <w:multiLevelType w:val="hybridMultilevel"/>
    <w:tmpl w:val="B20E40BC"/>
    <w:lvl w:ilvl="0" w:tplc="616AAF6A">
      <w:start w:val="56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63F44ED"/>
    <w:multiLevelType w:val="hybridMultilevel"/>
    <w:tmpl w:val="D3AE3480"/>
    <w:lvl w:ilvl="0" w:tplc="3EAEFBA6">
      <w:start w:val="1"/>
      <w:numFmt w:val="decimal"/>
      <w:lvlText w:val="27.%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7A1604F"/>
    <w:multiLevelType w:val="hybridMultilevel"/>
    <w:tmpl w:val="11566E68"/>
    <w:lvl w:ilvl="0" w:tplc="547817D4">
      <w:start w:val="89"/>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05">
    <w:nsid w:val="67C40E7B"/>
    <w:multiLevelType w:val="hybridMultilevel"/>
    <w:tmpl w:val="68005320"/>
    <w:lvl w:ilvl="0" w:tplc="1AA0ABC2">
      <w:start w:val="1"/>
      <w:numFmt w:val="bullet"/>
      <w:lvlText w:val=""/>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06">
    <w:nsid w:val="67F90372"/>
    <w:multiLevelType w:val="hybridMultilevel"/>
    <w:tmpl w:val="B126A7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6A1C00ED"/>
    <w:multiLevelType w:val="hybridMultilevel"/>
    <w:tmpl w:val="61964DD6"/>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nsid w:val="6A940E30"/>
    <w:multiLevelType w:val="hybridMultilevel"/>
    <w:tmpl w:val="7E144F0A"/>
    <w:lvl w:ilvl="0" w:tplc="6A32891C">
      <w:start w:val="1"/>
      <w:numFmt w:val="decimal"/>
      <w:lvlText w:val="10.%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0">
    <w:nsid w:val="6AA0536A"/>
    <w:multiLevelType w:val="hybridMultilevel"/>
    <w:tmpl w:val="5D26E96A"/>
    <w:lvl w:ilvl="0" w:tplc="44B09C82">
      <w:start w:val="1"/>
      <w:numFmt w:val="decimal"/>
      <w:lvlText w:val="13.%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nsid w:val="6D1A3D07"/>
    <w:multiLevelType w:val="hybridMultilevel"/>
    <w:tmpl w:val="068EB972"/>
    <w:lvl w:ilvl="0" w:tplc="1544486C">
      <w:start w:val="1"/>
      <w:numFmt w:val="decimal"/>
      <w:lvlText w:val="2.%1"/>
      <w:lvlJc w:val="left"/>
      <w:pPr>
        <w:ind w:left="36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6DA054A2"/>
    <w:multiLevelType w:val="hybridMultilevel"/>
    <w:tmpl w:val="4CD4D532"/>
    <w:lvl w:ilvl="0" w:tplc="36CEEF98">
      <w:start w:val="3"/>
      <w:numFmt w:val="bullet"/>
      <w:lvlText w:val="-"/>
      <w:lvlJc w:val="left"/>
      <w:pPr>
        <w:ind w:left="800" w:hanging="360"/>
      </w:pPr>
      <w:rPr>
        <w:rFonts w:ascii="Arial" w:eastAsia="Times New Roman" w:hAnsi="Arial" w:cs="Arial"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114">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nsid w:val="72962270"/>
    <w:multiLevelType w:val="hybridMultilevel"/>
    <w:tmpl w:val="FFC013AA"/>
    <w:lvl w:ilvl="0" w:tplc="C8088452">
      <w:start w:val="1"/>
      <w:numFmt w:val="bullet"/>
      <w:lvlText w:val="−"/>
      <w:lvlJc w:val="left"/>
      <w:pPr>
        <w:ind w:left="360" w:hanging="360"/>
      </w:pPr>
      <w:rPr>
        <w:rFonts w:ascii="Arial" w:eastAsiaTheme="minorEastAsia"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17">
    <w:nsid w:val="733E68C7"/>
    <w:multiLevelType w:val="hybridMultilevel"/>
    <w:tmpl w:val="BB8A5216"/>
    <w:lvl w:ilvl="0" w:tplc="2130A91C">
      <w:numFmt w:val="bullet"/>
      <w:lvlText w:val="-"/>
      <w:lvlJc w:val="left"/>
      <w:pPr>
        <w:ind w:left="360" w:hanging="360"/>
      </w:pPr>
      <w:rPr>
        <w:rFonts w:ascii="Arial" w:eastAsia="SimSu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8">
    <w:nsid w:val="738E6515"/>
    <w:multiLevelType w:val="hybridMultilevel"/>
    <w:tmpl w:val="CE38C5F8"/>
    <w:lvl w:ilvl="0" w:tplc="216470E8">
      <w:start w:val="1"/>
      <w:numFmt w:val="decimal"/>
      <w:lvlText w:val="6.%1"/>
      <w:lvlJc w:val="left"/>
      <w:pPr>
        <w:ind w:left="720" w:hanging="360"/>
      </w:pPr>
      <w:rPr>
        <w:rFonts w:ascii="Arial" w:hAnsi="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3B6686E"/>
    <w:multiLevelType w:val="hybridMultilevel"/>
    <w:tmpl w:val="D76AA022"/>
    <w:lvl w:ilvl="0" w:tplc="E5A6BAE6">
      <w:start w:val="6"/>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nsid w:val="73EF6FCB"/>
    <w:multiLevelType w:val="hybridMultilevel"/>
    <w:tmpl w:val="D94E0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nsid w:val="75482CC4"/>
    <w:multiLevelType w:val="hybridMultilevel"/>
    <w:tmpl w:val="4BCC6290"/>
    <w:lvl w:ilvl="0" w:tplc="357E81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75D11C28"/>
    <w:multiLevelType w:val="multilevel"/>
    <w:tmpl w:val="78E0CF4C"/>
    <w:lvl w:ilvl="0">
      <w:start w:val="1"/>
      <w:numFmt w:val="decimal"/>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23">
    <w:nsid w:val="75D377BE"/>
    <w:multiLevelType w:val="hybridMultilevel"/>
    <w:tmpl w:val="226E585A"/>
    <w:lvl w:ilvl="0" w:tplc="880460B2">
      <w:start w:val="1"/>
      <w:numFmt w:val="decimal"/>
      <w:lvlText w:val="20.%1"/>
      <w:lvlJc w:val="left"/>
      <w:pPr>
        <w:ind w:left="0" w:hanging="360"/>
      </w:pPr>
      <w:rPr>
        <w:rFonts w:ascii="Arial" w:hAnsi="Arial" w:hint="default"/>
        <w:sz w:val="20"/>
        <w:szCs w:val="20"/>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4">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nsid w:val="77CB0908"/>
    <w:multiLevelType w:val="hybridMultilevel"/>
    <w:tmpl w:val="3F7A7662"/>
    <w:lvl w:ilvl="0" w:tplc="CAE64F14">
      <w:start w:val="1"/>
      <w:numFmt w:val="decimal"/>
      <w:lvlText w:val="17.%1"/>
      <w:lvlJc w:val="left"/>
      <w:pPr>
        <w:ind w:left="360" w:hanging="360"/>
      </w:pPr>
      <w:rPr>
        <w:rFonts w:ascii="Arial" w:hAnsi="Arial" w:hint="default"/>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nsid w:val="783D01F9"/>
    <w:multiLevelType w:val="hybridMultilevel"/>
    <w:tmpl w:val="A2B8EF34"/>
    <w:lvl w:ilvl="0" w:tplc="03345ED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9EB765C"/>
    <w:multiLevelType w:val="hybridMultilevel"/>
    <w:tmpl w:val="F64671BA"/>
    <w:lvl w:ilvl="0" w:tplc="616AAF6A">
      <w:start w:val="560"/>
      <w:numFmt w:val="bullet"/>
      <w:lvlText w:val="-"/>
      <w:lvlJc w:val="left"/>
      <w:pPr>
        <w:ind w:left="120" w:hanging="360"/>
      </w:pPr>
      <w:rPr>
        <w:rFonts w:ascii="Arial" w:eastAsiaTheme="minorHAnsi" w:hAnsi="Arial" w:cs="Arial" w:hint="default"/>
      </w:rPr>
    </w:lvl>
    <w:lvl w:ilvl="1" w:tplc="04090003" w:tentative="1">
      <w:start w:val="1"/>
      <w:numFmt w:val="bullet"/>
      <w:lvlText w:val="o"/>
      <w:lvlJc w:val="left"/>
      <w:pPr>
        <w:ind w:left="840" w:hanging="360"/>
      </w:pPr>
      <w:rPr>
        <w:rFonts w:ascii="Courier New" w:hAnsi="Courier New" w:cs="Courier New" w:hint="default"/>
      </w:rPr>
    </w:lvl>
    <w:lvl w:ilvl="2" w:tplc="04090005" w:tentative="1">
      <w:start w:val="1"/>
      <w:numFmt w:val="bullet"/>
      <w:lvlText w:val=""/>
      <w:lvlJc w:val="left"/>
      <w:pPr>
        <w:ind w:left="1560" w:hanging="360"/>
      </w:pPr>
      <w:rPr>
        <w:rFonts w:ascii="Wingdings" w:hAnsi="Wingdings" w:hint="default"/>
      </w:rPr>
    </w:lvl>
    <w:lvl w:ilvl="3" w:tplc="04090001" w:tentative="1">
      <w:start w:val="1"/>
      <w:numFmt w:val="bullet"/>
      <w:lvlText w:val=""/>
      <w:lvlJc w:val="left"/>
      <w:pPr>
        <w:ind w:left="2280" w:hanging="360"/>
      </w:pPr>
      <w:rPr>
        <w:rFonts w:ascii="Symbol" w:hAnsi="Symbol" w:hint="default"/>
      </w:rPr>
    </w:lvl>
    <w:lvl w:ilvl="4" w:tplc="04090003" w:tentative="1">
      <w:start w:val="1"/>
      <w:numFmt w:val="bullet"/>
      <w:lvlText w:val="o"/>
      <w:lvlJc w:val="left"/>
      <w:pPr>
        <w:ind w:left="3000" w:hanging="360"/>
      </w:pPr>
      <w:rPr>
        <w:rFonts w:ascii="Courier New" w:hAnsi="Courier New" w:cs="Courier New" w:hint="default"/>
      </w:rPr>
    </w:lvl>
    <w:lvl w:ilvl="5" w:tplc="04090005" w:tentative="1">
      <w:start w:val="1"/>
      <w:numFmt w:val="bullet"/>
      <w:lvlText w:val=""/>
      <w:lvlJc w:val="left"/>
      <w:pPr>
        <w:ind w:left="3720" w:hanging="360"/>
      </w:pPr>
      <w:rPr>
        <w:rFonts w:ascii="Wingdings" w:hAnsi="Wingdings" w:hint="default"/>
      </w:rPr>
    </w:lvl>
    <w:lvl w:ilvl="6" w:tplc="04090001" w:tentative="1">
      <w:start w:val="1"/>
      <w:numFmt w:val="bullet"/>
      <w:lvlText w:val=""/>
      <w:lvlJc w:val="left"/>
      <w:pPr>
        <w:ind w:left="4440" w:hanging="360"/>
      </w:pPr>
      <w:rPr>
        <w:rFonts w:ascii="Symbol" w:hAnsi="Symbol" w:hint="default"/>
      </w:rPr>
    </w:lvl>
    <w:lvl w:ilvl="7" w:tplc="04090003" w:tentative="1">
      <w:start w:val="1"/>
      <w:numFmt w:val="bullet"/>
      <w:lvlText w:val="o"/>
      <w:lvlJc w:val="left"/>
      <w:pPr>
        <w:ind w:left="5160" w:hanging="360"/>
      </w:pPr>
      <w:rPr>
        <w:rFonts w:ascii="Courier New" w:hAnsi="Courier New" w:cs="Courier New" w:hint="default"/>
      </w:rPr>
    </w:lvl>
    <w:lvl w:ilvl="8" w:tplc="04090005" w:tentative="1">
      <w:start w:val="1"/>
      <w:numFmt w:val="bullet"/>
      <w:lvlText w:val=""/>
      <w:lvlJc w:val="left"/>
      <w:pPr>
        <w:ind w:left="5880" w:hanging="360"/>
      </w:pPr>
      <w:rPr>
        <w:rFonts w:ascii="Wingdings" w:hAnsi="Wingdings" w:hint="default"/>
      </w:rPr>
    </w:lvl>
  </w:abstractNum>
  <w:abstractNum w:abstractNumId="128">
    <w:nsid w:val="7CB0373C"/>
    <w:multiLevelType w:val="hybridMultilevel"/>
    <w:tmpl w:val="ED8C91A8"/>
    <w:lvl w:ilvl="0" w:tplc="3D6E0BCA">
      <w:numFmt w:val="bullet"/>
      <w:lvlText w:val="-"/>
      <w:lvlJc w:val="left"/>
      <w:pPr>
        <w:ind w:left="360" w:hanging="360"/>
      </w:pPr>
      <w:rPr>
        <w:rFonts w:ascii="Arial" w:eastAsia="Times New Roman" w:hAnsi="Arial" w:cs="Aria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nsid w:val="7CB87600"/>
    <w:multiLevelType w:val="hybridMultilevel"/>
    <w:tmpl w:val="B448BE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0">
    <w:nsid w:val="7FC21B01"/>
    <w:multiLevelType w:val="hybridMultilevel"/>
    <w:tmpl w:val="75AA8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8"/>
  </w:num>
  <w:num w:numId="2">
    <w:abstractNumId w:val="8"/>
  </w:num>
  <w:num w:numId="3">
    <w:abstractNumId w:val="32"/>
  </w:num>
  <w:num w:numId="4">
    <w:abstractNumId w:val="116"/>
  </w:num>
  <w:num w:numId="5">
    <w:abstractNumId w:val="72"/>
  </w:num>
  <w:num w:numId="6">
    <w:abstractNumId w:val="40"/>
  </w:num>
  <w:num w:numId="7">
    <w:abstractNumId w:val="95"/>
  </w:num>
  <w:num w:numId="8">
    <w:abstractNumId w:val="92"/>
  </w:num>
  <w:num w:numId="9">
    <w:abstractNumId w:val="62"/>
  </w:num>
  <w:num w:numId="10">
    <w:abstractNumId w:val="5"/>
  </w:num>
  <w:num w:numId="11">
    <w:abstractNumId w:val="39"/>
  </w:num>
  <w:num w:numId="12">
    <w:abstractNumId w:val="30"/>
  </w:num>
  <w:num w:numId="13">
    <w:abstractNumId w:val="128"/>
  </w:num>
  <w:num w:numId="14">
    <w:abstractNumId w:val="111"/>
  </w:num>
  <w:num w:numId="15">
    <w:abstractNumId w:val="80"/>
  </w:num>
  <w:num w:numId="16">
    <w:abstractNumId w:val="45"/>
  </w:num>
  <w:num w:numId="17">
    <w:abstractNumId w:val="98"/>
  </w:num>
  <w:num w:numId="18">
    <w:abstractNumId w:val="16"/>
  </w:num>
  <w:num w:numId="19">
    <w:abstractNumId w:val="73"/>
  </w:num>
  <w:num w:numId="20">
    <w:abstractNumId w:val="107"/>
  </w:num>
  <w:num w:numId="21">
    <w:abstractNumId w:val="94"/>
  </w:num>
  <w:num w:numId="22">
    <w:abstractNumId w:val="18"/>
  </w:num>
  <w:num w:numId="23">
    <w:abstractNumId w:val="102"/>
  </w:num>
  <w:num w:numId="24">
    <w:abstractNumId w:val="41"/>
  </w:num>
  <w:num w:numId="25">
    <w:abstractNumId w:val="34"/>
  </w:num>
  <w:num w:numId="26">
    <w:abstractNumId w:val="127"/>
  </w:num>
  <w:num w:numId="27">
    <w:abstractNumId w:val="118"/>
  </w:num>
  <w:num w:numId="28">
    <w:abstractNumId w:val="22"/>
  </w:num>
  <w:num w:numId="29">
    <w:abstractNumId w:val="44"/>
  </w:num>
  <w:num w:numId="30">
    <w:abstractNumId w:val="27"/>
  </w:num>
  <w:num w:numId="31">
    <w:abstractNumId w:val="52"/>
  </w:num>
  <w:num w:numId="32">
    <w:abstractNumId w:val="120"/>
  </w:num>
  <w:num w:numId="33">
    <w:abstractNumId w:val="130"/>
  </w:num>
  <w:num w:numId="34">
    <w:abstractNumId w:val="90"/>
  </w:num>
  <w:num w:numId="35">
    <w:abstractNumId w:val="1"/>
  </w:num>
  <w:num w:numId="36">
    <w:abstractNumId w:val="82"/>
  </w:num>
  <w:num w:numId="37">
    <w:abstractNumId w:val="9"/>
  </w:num>
  <w:num w:numId="38">
    <w:abstractNumId w:val="75"/>
  </w:num>
  <w:num w:numId="39">
    <w:abstractNumId w:val="57"/>
  </w:num>
  <w:num w:numId="40">
    <w:abstractNumId w:val="104"/>
  </w:num>
  <w:num w:numId="41">
    <w:abstractNumId w:val="96"/>
  </w:num>
  <w:num w:numId="42">
    <w:abstractNumId w:val="101"/>
  </w:num>
  <w:num w:numId="43">
    <w:abstractNumId w:val="4"/>
  </w:num>
  <w:num w:numId="44">
    <w:abstractNumId w:val="60"/>
  </w:num>
  <w:num w:numId="45">
    <w:abstractNumId w:val="53"/>
  </w:num>
  <w:num w:numId="46">
    <w:abstractNumId w:val="89"/>
  </w:num>
  <w:num w:numId="47">
    <w:abstractNumId w:val="23"/>
  </w:num>
  <w:num w:numId="48">
    <w:abstractNumId w:val="49"/>
  </w:num>
  <w:num w:numId="49">
    <w:abstractNumId w:val="59"/>
  </w:num>
  <w:num w:numId="50">
    <w:abstractNumId w:val="31"/>
  </w:num>
  <w:num w:numId="51">
    <w:abstractNumId w:val="11"/>
  </w:num>
  <w:num w:numId="52">
    <w:abstractNumId w:val="64"/>
  </w:num>
  <w:num w:numId="53">
    <w:abstractNumId w:val="0"/>
  </w:num>
  <w:num w:numId="54">
    <w:abstractNumId w:val="109"/>
  </w:num>
  <w:num w:numId="55">
    <w:abstractNumId w:val="69"/>
  </w:num>
  <w:num w:numId="56">
    <w:abstractNumId w:val="6"/>
  </w:num>
  <w:num w:numId="57">
    <w:abstractNumId w:val="86"/>
  </w:num>
  <w:num w:numId="58">
    <w:abstractNumId w:val="2"/>
  </w:num>
  <w:num w:numId="59">
    <w:abstractNumId w:val="24"/>
  </w:num>
  <w:num w:numId="60">
    <w:abstractNumId w:val="66"/>
  </w:num>
  <w:num w:numId="61">
    <w:abstractNumId w:val="108"/>
  </w:num>
  <w:num w:numId="62">
    <w:abstractNumId w:val="124"/>
  </w:num>
  <w:num w:numId="63">
    <w:abstractNumId w:val="56"/>
  </w:num>
  <w:num w:numId="64">
    <w:abstractNumId w:val="14"/>
  </w:num>
  <w:num w:numId="65">
    <w:abstractNumId w:val="100"/>
  </w:num>
  <w:num w:numId="66">
    <w:abstractNumId w:val="110"/>
  </w:num>
  <w:num w:numId="67">
    <w:abstractNumId w:val="38"/>
  </w:num>
  <w:num w:numId="68">
    <w:abstractNumId w:val="119"/>
  </w:num>
  <w:num w:numId="69">
    <w:abstractNumId w:val="37"/>
  </w:num>
  <w:num w:numId="70">
    <w:abstractNumId w:val="93"/>
  </w:num>
  <w:num w:numId="71">
    <w:abstractNumId w:val="48"/>
  </w:num>
  <w:num w:numId="72">
    <w:abstractNumId w:val="125"/>
  </w:num>
  <w:num w:numId="73">
    <w:abstractNumId w:val="83"/>
  </w:num>
  <w:num w:numId="74">
    <w:abstractNumId w:val="106"/>
  </w:num>
  <w:num w:numId="75">
    <w:abstractNumId w:val="79"/>
  </w:num>
  <w:num w:numId="76">
    <w:abstractNumId w:val="87"/>
  </w:num>
  <w:num w:numId="77">
    <w:abstractNumId w:val="74"/>
  </w:num>
  <w:num w:numId="78">
    <w:abstractNumId w:val="85"/>
  </w:num>
  <w:num w:numId="79">
    <w:abstractNumId w:val="13"/>
  </w:num>
  <w:num w:numId="80">
    <w:abstractNumId w:val="7"/>
  </w:num>
  <w:num w:numId="81">
    <w:abstractNumId w:val="123"/>
  </w:num>
  <w:num w:numId="82">
    <w:abstractNumId w:val="114"/>
  </w:num>
  <w:num w:numId="83">
    <w:abstractNumId w:val="112"/>
  </w:num>
  <w:num w:numId="84">
    <w:abstractNumId w:val="91"/>
  </w:num>
  <w:num w:numId="85">
    <w:abstractNumId w:val="17"/>
  </w:num>
  <w:num w:numId="86">
    <w:abstractNumId w:val="97"/>
  </w:num>
  <w:num w:numId="87">
    <w:abstractNumId w:val="99"/>
  </w:num>
  <w:num w:numId="88">
    <w:abstractNumId w:val="21"/>
  </w:num>
  <w:num w:numId="89">
    <w:abstractNumId w:val="33"/>
  </w:num>
  <w:num w:numId="90">
    <w:abstractNumId w:val="29"/>
  </w:num>
  <w:num w:numId="91">
    <w:abstractNumId w:val="20"/>
  </w:num>
  <w:num w:numId="92">
    <w:abstractNumId w:val="46"/>
  </w:num>
  <w:num w:numId="93">
    <w:abstractNumId w:val="121"/>
  </w:num>
  <w:num w:numId="94">
    <w:abstractNumId w:val="36"/>
  </w:num>
  <w:num w:numId="95">
    <w:abstractNumId w:val="115"/>
  </w:num>
  <w:num w:numId="96">
    <w:abstractNumId w:val="10"/>
  </w:num>
  <w:num w:numId="97">
    <w:abstractNumId w:val="54"/>
  </w:num>
  <w:num w:numId="98">
    <w:abstractNumId w:val="126"/>
  </w:num>
  <w:num w:numId="99">
    <w:abstractNumId w:val="70"/>
  </w:num>
  <w:num w:numId="100">
    <w:abstractNumId w:val="58"/>
  </w:num>
  <w:num w:numId="101">
    <w:abstractNumId w:val="103"/>
  </w:num>
  <w:num w:numId="102">
    <w:abstractNumId w:val="26"/>
  </w:num>
  <w:num w:numId="103">
    <w:abstractNumId w:val="88"/>
  </w:num>
  <w:num w:numId="104">
    <w:abstractNumId w:val="68"/>
  </w:num>
  <w:num w:numId="105">
    <w:abstractNumId w:val="67"/>
  </w:num>
  <w:num w:numId="106">
    <w:abstractNumId w:val="122"/>
  </w:num>
  <w:num w:numId="107">
    <w:abstractNumId w:val="51"/>
  </w:num>
  <w:num w:numId="108">
    <w:abstractNumId w:val="61"/>
  </w:num>
  <w:num w:numId="109">
    <w:abstractNumId w:val="55"/>
  </w:num>
  <w:num w:numId="1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num>
  <w:num w:numId="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2"/>
  </w:num>
  <w:num w:numId="114">
    <w:abstractNumId w:val="63"/>
  </w:num>
  <w:num w:numId="115">
    <w:abstractNumId w:val="50"/>
  </w:num>
  <w:num w:numId="1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28"/>
  </w:num>
  <w:num w:numId="118">
    <w:abstractNumId w:val="117"/>
  </w:num>
  <w:num w:numId="119">
    <w:abstractNumId w:val="35"/>
  </w:num>
  <w:num w:numId="120">
    <w:abstractNumId w:val="81"/>
  </w:num>
  <w:num w:numId="121">
    <w:abstractNumId w:val="47"/>
  </w:num>
  <w:num w:numId="122">
    <w:abstractNumId w:val="113"/>
  </w:num>
  <w:num w:numId="123">
    <w:abstractNumId w:val="76"/>
  </w:num>
  <w:num w:numId="124">
    <w:abstractNumId w:val="43"/>
  </w:num>
  <w:num w:numId="125">
    <w:abstractNumId w:val="84"/>
  </w:num>
  <w:num w:numId="126">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9"/>
  </w:num>
  <w:num w:numId="128">
    <w:abstractNumId w:val="105"/>
  </w:num>
  <w:num w:numId="129">
    <w:abstractNumId w:val="122"/>
    <w:lvlOverride w:ilvl="0">
      <w:startOverride w:val="2"/>
    </w:lvlOverride>
    <w:lvlOverride w:ilvl="1">
      <w:startOverride w:val="2"/>
    </w:lvlOverride>
    <w:lvlOverride w:ilvl="2">
      <w:startOverride w:val="3"/>
    </w:lvlOverride>
    <w:lvlOverride w:ilvl="3"/>
    <w:lvlOverride w:ilvl="4"/>
    <w:lvlOverride w:ilvl="5"/>
    <w:lvlOverride w:ilvl="6"/>
    <w:lvlOverride w:ilvl="7"/>
    <w:lvlOverride w:ilvl="8"/>
  </w:num>
  <w:num w:numId="130">
    <w:abstractNumId w:val="122"/>
    <w:lvlOverride w:ilvl="0">
      <w:startOverride w:val="2"/>
    </w:lvlOverride>
    <w:lvlOverride w:ilvl="1">
      <w:startOverride w:val="3"/>
    </w:lvlOverride>
    <w:lvlOverride w:ilvl="2">
      <w:startOverride w:val="7"/>
    </w:lvlOverride>
    <w:lvlOverride w:ilvl="3"/>
    <w:lvlOverride w:ilvl="4"/>
    <w:lvlOverride w:ilvl="5"/>
    <w:lvlOverride w:ilvl="6"/>
    <w:lvlOverride w:ilvl="7"/>
    <w:lvlOverride w:ilvl="8"/>
  </w:num>
  <w:num w:numId="131">
    <w:abstractNumId w:val="71"/>
  </w:num>
  <w:num w:numId="132">
    <w:abstractNumId w:val="77"/>
  </w:num>
  <w:num w:numId="133">
    <w:abstractNumId w:val="3"/>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evenAndOddHeaders/>
  <w:displayHorizontalDrawingGridEvery w:val="0"/>
  <w:displayVerticalDrawingGridEvery w:val="0"/>
  <w:doNotUseMarginsForDrawingGridOrigin/>
  <w:noPunctuationKerning/>
  <w:characterSpacingControl w:val="doNotCompress"/>
  <w:hdrShapeDefaults>
    <o:shapedefaults v:ext="edit" spidmax="296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3D10"/>
    <w:rsid w:val="00000531"/>
    <w:rsid w:val="00010686"/>
    <w:rsid w:val="00011E5B"/>
    <w:rsid w:val="0001406B"/>
    <w:rsid w:val="00024891"/>
    <w:rsid w:val="00027A9C"/>
    <w:rsid w:val="00030B1C"/>
    <w:rsid w:val="000313D8"/>
    <w:rsid w:val="00037126"/>
    <w:rsid w:val="000377FC"/>
    <w:rsid w:val="00046CA2"/>
    <w:rsid w:val="000503DE"/>
    <w:rsid w:val="00052915"/>
    <w:rsid w:val="000621BB"/>
    <w:rsid w:val="00072E03"/>
    <w:rsid w:val="00076D24"/>
    <w:rsid w:val="00081DFA"/>
    <w:rsid w:val="00091624"/>
    <w:rsid w:val="000A09A0"/>
    <w:rsid w:val="000D3D40"/>
    <w:rsid w:val="000E3BB3"/>
    <w:rsid w:val="000E5ACC"/>
    <w:rsid w:val="000E7374"/>
    <w:rsid w:val="000E7E3A"/>
    <w:rsid w:val="000F5E56"/>
    <w:rsid w:val="00104994"/>
    <w:rsid w:val="00112BA3"/>
    <w:rsid w:val="00114022"/>
    <w:rsid w:val="00122917"/>
    <w:rsid w:val="001246DB"/>
    <w:rsid w:val="00125985"/>
    <w:rsid w:val="001362EE"/>
    <w:rsid w:val="00144BEA"/>
    <w:rsid w:val="001456FB"/>
    <w:rsid w:val="00146406"/>
    <w:rsid w:val="00152CEA"/>
    <w:rsid w:val="00156844"/>
    <w:rsid w:val="001733AD"/>
    <w:rsid w:val="00174BBF"/>
    <w:rsid w:val="00176F6A"/>
    <w:rsid w:val="00182B8E"/>
    <w:rsid w:val="001832A6"/>
    <w:rsid w:val="00185608"/>
    <w:rsid w:val="00186A88"/>
    <w:rsid w:val="001874B2"/>
    <w:rsid w:val="00192594"/>
    <w:rsid w:val="001A576F"/>
    <w:rsid w:val="001B0601"/>
    <w:rsid w:val="001B23B7"/>
    <w:rsid w:val="001B5C61"/>
    <w:rsid w:val="001C78CD"/>
    <w:rsid w:val="001E405F"/>
    <w:rsid w:val="001E5F2E"/>
    <w:rsid w:val="00207838"/>
    <w:rsid w:val="002211FB"/>
    <w:rsid w:val="00221E80"/>
    <w:rsid w:val="00230FAA"/>
    <w:rsid w:val="0023287E"/>
    <w:rsid w:val="002417A1"/>
    <w:rsid w:val="002425AD"/>
    <w:rsid w:val="00246433"/>
    <w:rsid w:val="002541B0"/>
    <w:rsid w:val="002634C4"/>
    <w:rsid w:val="0027782F"/>
    <w:rsid w:val="002819AF"/>
    <w:rsid w:val="00285E41"/>
    <w:rsid w:val="002863C9"/>
    <w:rsid w:val="00286D86"/>
    <w:rsid w:val="002A5326"/>
    <w:rsid w:val="002B6025"/>
    <w:rsid w:val="002C00CD"/>
    <w:rsid w:val="002C37EA"/>
    <w:rsid w:val="002C7090"/>
    <w:rsid w:val="002D23D7"/>
    <w:rsid w:val="002E0F47"/>
    <w:rsid w:val="002E3AE7"/>
    <w:rsid w:val="002F4E68"/>
    <w:rsid w:val="002F663B"/>
    <w:rsid w:val="00300814"/>
    <w:rsid w:val="003017A4"/>
    <w:rsid w:val="00316A96"/>
    <w:rsid w:val="0033692C"/>
    <w:rsid w:val="00340B48"/>
    <w:rsid w:val="00354647"/>
    <w:rsid w:val="00355B51"/>
    <w:rsid w:val="00377273"/>
    <w:rsid w:val="003845C1"/>
    <w:rsid w:val="00387287"/>
    <w:rsid w:val="00392F8C"/>
    <w:rsid w:val="003A134D"/>
    <w:rsid w:val="003A6012"/>
    <w:rsid w:val="003A7AA8"/>
    <w:rsid w:val="003B1260"/>
    <w:rsid w:val="003D5A5F"/>
    <w:rsid w:val="003E0A02"/>
    <w:rsid w:val="003E48F1"/>
    <w:rsid w:val="003F18F6"/>
    <w:rsid w:val="003F347A"/>
    <w:rsid w:val="003F3AAF"/>
    <w:rsid w:val="004218A6"/>
    <w:rsid w:val="00421967"/>
    <w:rsid w:val="00423E3E"/>
    <w:rsid w:val="00425619"/>
    <w:rsid w:val="00427AF4"/>
    <w:rsid w:val="0045231F"/>
    <w:rsid w:val="00461346"/>
    <w:rsid w:val="004647DA"/>
    <w:rsid w:val="00465A13"/>
    <w:rsid w:val="0046793F"/>
    <w:rsid w:val="004708E7"/>
    <w:rsid w:val="004738EC"/>
    <w:rsid w:val="00474DCA"/>
    <w:rsid w:val="00477808"/>
    <w:rsid w:val="00477D6B"/>
    <w:rsid w:val="0048069B"/>
    <w:rsid w:val="00480D5F"/>
    <w:rsid w:val="00490413"/>
    <w:rsid w:val="004A6C37"/>
    <w:rsid w:val="004B0073"/>
    <w:rsid w:val="004B4473"/>
    <w:rsid w:val="004B4A9D"/>
    <w:rsid w:val="004B66D2"/>
    <w:rsid w:val="004C3DD6"/>
    <w:rsid w:val="004C75E3"/>
    <w:rsid w:val="004E297D"/>
    <w:rsid w:val="004E3187"/>
    <w:rsid w:val="004E4018"/>
    <w:rsid w:val="004E456B"/>
    <w:rsid w:val="00502550"/>
    <w:rsid w:val="00505F44"/>
    <w:rsid w:val="0050685A"/>
    <w:rsid w:val="0052092A"/>
    <w:rsid w:val="00527F58"/>
    <w:rsid w:val="00531B02"/>
    <w:rsid w:val="005332F0"/>
    <w:rsid w:val="00534901"/>
    <w:rsid w:val="005355C5"/>
    <w:rsid w:val="005426B5"/>
    <w:rsid w:val="0055013B"/>
    <w:rsid w:val="005618B7"/>
    <w:rsid w:val="0057046A"/>
    <w:rsid w:val="00571B99"/>
    <w:rsid w:val="00576699"/>
    <w:rsid w:val="005877CF"/>
    <w:rsid w:val="00595838"/>
    <w:rsid w:val="00595A41"/>
    <w:rsid w:val="00596002"/>
    <w:rsid w:val="005A1290"/>
    <w:rsid w:val="005A1711"/>
    <w:rsid w:val="005D26C9"/>
    <w:rsid w:val="005E315A"/>
    <w:rsid w:val="005E4F1B"/>
    <w:rsid w:val="005E6EFB"/>
    <w:rsid w:val="005F276E"/>
    <w:rsid w:val="005F5945"/>
    <w:rsid w:val="0060248E"/>
    <w:rsid w:val="00605827"/>
    <w:rsid w:val="00610671"/>
    <w:rsid w:val="006141AE"/>
    <w:rsid w:val="00631EC2"/>
    <w:rsid w:val="00632AB7"/>
    <w:rsid w:val="006431BE"/>
    <w:rsid w:val="006529E9"/>
    <w:rsid w:val="00653EAB"/>
    <w:rsid w:val="0065578E"/>
    <w:rsid w:val="00661AD2"/>
    <w:rsid w:val="00672926"/>
    <w:rsid w:val="00675021"/>
    <w:rsid w:val="00681341"/>
    <w:rsid w:val="0069450B"/>
    <w:rsid w:val="00694A7E"/>
    <w:rsid w:val="00696FB6"/>
    <w:rsid w:val="006A06C6"/>
    <w:rsid w:val="006A7CD1"/>
    <w:rsid w:val="006B4E97"/>
    <w:rsid w:val="006C1C3C"/>
    <w:rsid w:val="006C527B"/>
    <w:rsid w:val="006E5430"/>
    <w:rsid w:val="00710EF9"/>
    <w:rsid w:val="007224C8"/>
    <w:rsid w:val="007321D4"/>
    <w:rsid w:val="007334B9"/>
    <w:rsid w:val="007355CE"/>
    <w:rsid w:val="00736639"/>
    <w:rsid w:val="00740E61"/>
    <w:rsid w:val="00745A5C"/>
    <w:rsid w:val="00756540"/>
    <w:rsid w:val="00757EAB"/>
    <w:rsid w:val="00762D7C"/>
    <w:rsid w:val="00763943"/>
    <w:rsid w:val="00765259"/>
    <w:rsid w:val="007744A6"/>
    <w:rsid w:val="00787A60"/>
    <w:rsid w:val="00794BE2"/>
    <w:rsid w:val="007979FA"/>
    <w:rsid w:val="007A4550"/>
    <w:rsid w:val="007A5581"/>
    <w:rsid w:val="007B5E22"/>
    <w:rsid w:val="007B71FE"/>
    <w:rsid w:val="007C3D10"/>
    <w:rsid w:val="007D13B7"/>
    <w:rsid w:val="007D1BBF"/>
    <w:rsid w:val="007D781E"/>
    <w:rsid w:val="007D78DE"/>
    <w:rsid w:val="007E58DC"/>
    <w:rsid w:val="007E663E"/>
    <w:rsid w:val="007F7EA5"/>
    <w:rsid w:val="00800064"/>
    <w:rsid w:val="00815082"/>
    <w:rsid w:val="008159DF"/>
    <w:rsid w:val="008271A4"/>
    <w:rsid w:val="00840F83"/>
    <w:rsid w:val="008415E8"/>
    <w:rsid w:val="008478E0"/>
    <w:rsid w:val="0085003C"/>
    <w:rsid w:val="00860FA1"/>
    <w:rsid w:val="00867DB8"/>
    <w:rsid w:val="008714E0"/>
    <w:rsid w:val="0088395E"/>
    <w:rsid w:val="008B2CC1"/>
    <w:rsid w:val="008C553B"/>
    <w:rsid w:val="008D0A1D"/>
    <w:rsid w:val="008D2647"/>
    <w:rsid w:val="008D51E7"/>
    <w:rsid w:val="008D7CBC"/>
    <w:rsid w:val="008E4684"/>
    <w:rsid w:val="008E6BD6"/>
    <w:rsid w:val="008F2A2B"/>
    <w:rsid w:val="008F3D8D"/>
    <w:rsid w:val="009009C6"/>
    <w:rsid w:val="00901851"/>
    <w:rsid w:val="009030ED"/>
    <w:rsid w:val="0090731E"/>
    <w:rsid w:val="00920C62"/>
    <w:rsid w:val="0092565D"/>
    <w:rsid w:val="00930331"/>
    <w:rsid w:val="009327D7"/>
    <w:rsid w:val="00964D17"/>
    <w:rsid w:val="00966A22"/>
    <w:rsid w:val="00972F03"/>
    <w:rsid w:val="009823CC"/>
    <w:rsid w:val="009A0C8B"/>
    <w:rsid w:val="009A20CD"/>
    <w:rsid w:val="009A4292"/>
    <w:rsid w:val="009A75B0"/>
    <w:rsid w:val="009B2749"/>
    <w:rsid w:val="009B6241"/>
    <w:rsid w:val="009C5017"/>
    <w:rsid w:val="009C7707"/>
    <w:rsid w:val="009E058E"/>
    <w:rsid w:val="009E160D"/>
    <w:rsid w:val="009F3F34"/>
    <w:rsid w:val="009F4F14"/>
    <w:rsid w:val="00A16FC0"/>
    <w:rsid w:val="00A21EA3"/>
    <w:rsid w:val="00A31E43"/>
    <w:rsid w:val="00A32C9E"/>
    <w:rsid w:val="00A34E19"/>
    <w:rsid w:val="00A60B05"/>
    <w:rsid w:val="00A62D9E"/>
    <w:rsid w:val="00A73213"/>
    <w:rsid w:val="00A77A46"/>
    <w:rsid w:val="00A87351"/>
    <w:rsid w:val="00A97031"/>
    <w:rsid w:val="00A97612"/>
    <w:rsid w:val="00AA6F2F"/>
    <w:rsid w:val="00AA75F7"/>
    <w:rsid w:val="00AB2B3B"/>
    <w:rsid w:val="00AB613D"/>
    <w:rsid w:val="00AE7F20"/>
    <w:rsid w:val="00AF4AF6"/>
    <w:rsid w:val="00B06083"/>
    <w:rsid w:val="00B1479B"/>
    <w:rsid w:val="00B20722"/>
    <w:rsid w:val="00B21B25"/>
    <w:rsid w:val="00B22B13"/>
    <w:rsid w:val="00B24783"/>
    <w:rsid w:val="00B24F04"/>
    <w:rsid w:val="00B33863"/>
    <w:rsid w:val="00B534D5"/>
    <w:rsid w:val="00B548F9"/>
    <w:rsid w:val="00B562A5"/>
    <w:rsid w:val="00B65A0A"/>
    <w:rsid w:val="00B67CDC"/>
    <w:rsid w:val="00B72D36"/>
    <w:rsid w:val="00B77BB0"/>
    <w:rsid w:val="00B92E4D"/>
    <w:rsid w:val="00BA15A2"/>
    <w:rsid w:val="00BB2376"/>
    <w:rsid w:val="00BB3471"/>
    <w:rsid w:val="00BB3ABC"/>
    <w:rsid w:val="00BB510E"/>
    <w:rsid w:val="00BC2ED2"/>
    <w:rsid w:val="00BC4164"/>
    <w:rsid w:val="00BC5839"/>
    <w:rsid w:val="00BD10A5"/>
    <w:rsid w:val="00BD2DCC"/>
    <w:rsid w:val="00BD70A6"/>
    <w:rsid w:val="00BE17BF"/>
    <w:rsid w:val="00BF4560"/>
    <w:rsid w:val="00C104CF"/>
    <w:rsid w:val="00C24C56"/>
    <w:rsid w:val="00C26EBC"/>
    <w:rsid w:val="00C40DAA"/>
    <w:rsid w:val="00C43583"/>
    <w:rsid w:val="00C62EEB"/>
    <w:rsid w:val="00C6542E"/>
    <w:rsid w:val="00C71F45"/>
    <w:rsid w:val="00C7419B"/>
    <w:rsid w:val="00C90559"/>
    <w:rsid w:val="00CA2251"/>
    <w:rsid w:val="00CB0271"/>
    <w:rsid w:val="00CB26C6"/>
    <w:rsid w:val="00CE3454"/>
    <w:rsid w:val="00D01016"/>
    <w:rsid w:val="00D01136"/>
    <w:rsid w:val="00D15CAE"/>
    <w:rsid w:val="00D306F3"/>
    <w:rsid w:val="00D33CB3"/>
    <w:rsid w:val="00D37332"/>
    <w:rsid w:val="00D40B07"/>
    <w:rsid w:val="00D4426A"/>
    <w:rsid w:val="00D470BE"/>
    <w:rsid w:val="00D476D4"/>
    <w:rsid w:val="00D507B2"/>
    <w:rsid w:val="00D529A5"/>
    <w:rsid w:val="00D56C7C"/>
    <w:rsid w:val="00D71B4D"/>
    <w:rsid w:val="00D874E5"/>
    <w:rsid w:val="00D90289"/>
    <w:rsid w:val="00D928E9"/>
    <w:rsid w:val="00D93D55"/>
    <w:rsid w:val="00DC4C60"/>
    <w:rsid w:val="00DC5B09"/>
    <w:rsid w:val="00DE282B"/>
    <w:rsid w:val="00DF0EED"/>
    <w:rsid w:val="00DF7910"/>
    <w:rsid w:val="00E0079A"/>
    <w:rsid w:val="00E119B8"/>
    <w:rsid w:val="00E13A20"/>
    <w:rsid w:val="00E26770"/>
    <w:rsid w:val="00E34342"/>
    <w:rsid w:val="00E444DA"/>
    <w:rsid w:val="00E45C84"/>
    <w:rsid w:val="00E504E5"/>
    <w:rsid w:val="00E60CD1"/>
    <w:rsid w:val="00E615AB"/>
    <w:rsid w:val="00E72AF0"/>
    <w:rsid w:val="00E81CF1"/>
    <w:rsid w:val="00E852C6"/>
    <w:rsid w:val="00EA2CF6"/>
    <w:rsid w:val="00EB7A3E"/>
    <w:rsid w:val="00EC401A"/>
    <w:rsid w:val="00EC71D6"/>
    <w:rsid w:val="00ED069F"/>
    <w:rsid w:val="00ED129D"/>
    <w:rsid w:val="00ED5AF2"/>
    <w:rsid w:val="00EE1CCE"/>
    <w:rsid w:val="00EF3DB5"/>
    <w:rsid w:val="00EF530A"/>
    <w:rsid w:val="00EF6622"/>
    <w:rsid w:val="00EF78A9"/>
    <w:rsid w:val="00F10E51"/>
    <w:rsid w:val="00F12657"/>
    <w:rsid w:val="00F14627"/>
    <w:rsid w:val="00F15D44"/>
    <w:rsid w:val="00F4400D"/>
    <w:rsid w:val="00F45E55"/>
    <w:rsid w:val="00F55408"/>
    <w:rsid w:val="00F579EA"/>
    <w:rsid w:val="00F66152"/>
    <w:rsid w:val="00F7480A"/>
    <w:rsid w:val="00F80845"/>
    <w:rsid w:val="00F82C35"/>
    <w:rsid w:val="00F84474"/>
    <w:rsid w:val="00F872E0"/>
    <w:rsid w:val="00F95BFF"/>
    <w:rsid w:val="00FA0F0D"/>
    <w:rsid w:val="00FB738C"/>
    <w:rsid w:val="00FC2B6C"/>
    <w:rsid w:val="00FD1A2D"/>
    <w:rsid w:val="00FD59D1"/>
    <w:rsid w:val="00FF0B21"/>
    <w:rsid w:val="00FF1D77"/>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semiHidden/>
    <w:unhideWhenUsed/>
    <w:qFormat/>
    <w:rsid w:val="00EE1CCE"/>
    <w:pPr>
      <w:keepNext/>
      <w:keepLines/>
      <w:spacing w:before="200"/>
      <w:outlineLvl w:val="4"/>
    </w:pPr>
    <w:rPr>
      <w:rFonts w:asciiTheme="majorHAnsi" w:eastAsiaTheme="majorEastAsia" w:hAnsiTheme="majorHAnsi" w:cstheme="majorBidi"/>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rsid w:val="006B4E97"/>
    <w:rPr>
      <w:rFonts w:ascii="Tahoma" w:hAnsi="Tahoma" w:cs="Tahoma"/>
      <w:sz w:val="16"/>
      <w:szCs w:val="16"/>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BalloonTextChar">
    <w:name w:val="Balloon Text Char"/>
    <w:basedOn w:val="DefaultParagraphFont"/>
    <w:link w:val="BalloonText"/>
    <w:rsid w:val="006B4E97"/>
    <w:rPr>
      <w:rFonts w:ascii="Tahoma" w:eastAsia="SimSun" w:hAnsi="Tahoma" w:cs="Tahoma"/>
      <w:sz w:val="16"/>
      <w:szCs w:val="16"/>
      <w:lang w:val="es-ES" w:eastAsia="zh-CN"/>
    </w:rPr>
  </w:style>
  <w:style w:type="paragraph" w:styleId="ListParagraph">
    <w:name w:val="List Paragraph"/>
    <w:basedOn w:val="Normal"/>
    <w:uiPriority w:val="34"/>
    <w:qFormat/>
    <w:rsid w:val="002C7090"/>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2C7090"/>
    <w:rPr>
      <w:rFonts w:ascii="Arial" w:hAnsi="Arial" w:cs="Arial"/>
      <w:i/>
    </w:rPr>
  </w:style>
  <w:style w:type="paragraph" w:customStyle="1" w:styleId="DecisionInvitingPara">
    <w:name w:val="Decision Inviting Para."/>
    <w:basedOn w:val="Normal"/>
    <w:link w:val="DecisionInvitingParaChar"/>
    <w:rsid w:val="002C7090"/>
    <w:pPr>
      <w:spacing w:after="120" w:line="260" w:lineRule="exact"/>
      <w:ind w:left="5534"/>
    </w:pPr>
    <w:rPr>
      <w:rFonts w:eastAsia="Times New Roman"/>
      <w:i/>
      <w:sz w:val="20"/>
      <w:lang w:val="en-US" w:eastAsia="en-US"/>
    </w:rPr>
  </w:style>
  <w:style w:type="character" w:styleId="FootnoteReference">
    <w:name w:val="footnote reference"/>
    <w:aliases w:val="Footnote"/>
    <w:rsid w:val="007D1BBF"/>
    <w:rPr>
      <w:vertAlign w:val="superscript"/>
    </w:rPr>
  </w:style>
  <w:style w:type="character" w:customStyle="1" w:styleId="FootnoteTextChar">
    <w:name w:val="Footnote Text Char"/>
    <w:link w:val="FootnoteText"/>
    <w:locked/>
    <w:rsid w:val="007D1BBF"/>
    <w:rPr>
      <w:rFonts w:ascii="Arial" w:eastAsia="SimSun" w:hAnsi="Arial" w:cs="Arial"/>
      <w:sz w:val="18"/>
      <w:lang w:val="es-ES" w:eastAsia="zh-CN"/>
    </w:rPr>
  </w:style>
  <w:style w:type="character" w:customStyle="1" w:styleId="Heading1Char">
    <w:name w:val="Heading 1 Char"/>
    <w:basedOn w:val="DefaultParagraphFont"/>
    <w:link w:val="Heading1"/>
    <w:rsid w:val="007D1BBF"/>
    <w:rPr>
      <w:rFonts w:ascii="Arial" w:eastAsia="SimSun" w:hAnsi="Arial" w:cs="Arial"/>
      <w:b/>
      <w:bCs/>
      <w:caps/>
      <w:kern w:val="32"/>
      <w:sz w:val="22"/>
      <w:szCs w:val="32"/>
      <w:lang w:val="es-ES" w:eastAsia="zh-CN"/>
    </w:rPr>
  </w:style>
  <w:style w:type="character" w:customStyle="1" w:styleId="FooterChar">
    <w:name w:val="Footer Char"/>
    <w:basedOn w:val="DefaultParagraphFont"/>
    <w:link w:val="Footer"/>
    <w:rsid w:val="001456FB"/>
    <w:rPr>
      <w:rFonts w:ascii="Arial" w:eastAsia="SimSun" w:hAnsi="Arial" w:cs="Arial"/>
      <w:sz w:val="22"/>
      <w:lang w:val="es-ES" w:eastAsia="zh-CN"/>
    </w:rPr>
  </w:style>
  <w:style w:type="character" w:styleId="Hyperlink">
    <w:name w:val="Hyperlink"/>
    <w:uiPriority w:val="99"/>
    <w:rsid w:val="008271A4"/>
    <w:rPr>
      <w:color w:val="000099"/>
      <w:u w:val="single"/>
    </w:rPr>
  </w:style>
  <w:style w:type="character" w:customStyle="1" w:styleId="ONUMEChar">
    <w:name w:val="ONUM E Char"/>
    <w:link w:val="ONUME"/>
    <w:locked/>
    <w:rsid w:val="008271A4"/>
    <w:rPr>
      <w:rFonts w:ascii="Arial" w:eastAsia="SimSun" w:hAnsi="Arial" w:cs="Arial"/>
      <w:sz w:val="22"/>
      <w:lang w:val="es-ES" w:eastAsia="zh-CN"/>
    </w:rPr>
  </w:style>
  <w:style w:type="character" w:customStyle="1" w:styleId="apple-converted-space">
    <w:name w:val="apple-converted-space"/>
    <w:basedOn w:val="DefaultParagraphFont"/>
    <w:rsid w:val="008271A4"/>
  </w:style>
  <w:style w:type="table" w:styleId="TableGrid">
    <w:name w:val="Table Grid"/>
    <w:basedOn w:val="TableNormal"/>
    <w:rsid w:val="00745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EE1CCE"/>
    <w:rPr>
      <w:rFonts w:asciiTheme="majorHAnsi" w:eastAsiaTheme="majorEastAsia" w:hAnsiTheme="majorHAnsi" w:cstheme="majorBidi"/>
      <w:color w:val="243F60" w:themeColor="accent1" w:themeShade="7F"/>
      <w:sz w:val="22"/>
      <w:lang w:eastAsia="zh-CN"/>
    </w:rPr>
  </w:style>
  <w:style w:type="paragraph" w:styleId="TOC2">
    <w:name w:val="toc 2"/>
    <w:basedOn w:val="Normal"/>
    <w:next w:val="Normal"/>
    <w:autoRedefine/>
    <w:uiPriority w:val="39"/>
    <w:qFormat/>
    <w:rsid w:val="007A4550"/>
    <w:pPr>
      <w:tabs>
        <w:tab w:val="left" w:pos="2127"/>
        <w:tab w:val="right" w:leader="dot" w:pos="9498"/>
      </w:tabs>
      <w:spacing w:after="100"/>
      <w:ind w:left="425" w:right="-142"/>
    </w:pPr>
    <w:rPr>
      <w:rFonts w:eastAsia="Times New Roman"/>
      <w:bCs/>
      <w:iCs/>
      <w:smallCaps/>
      <w:noProof/>
      <w:szCs w:val="22"/>
      <w:lang w:val="es-ES_tradnl" w:eastAsia="en-US"/>
    </w:rPr>
  </w:style>
  <w:style w:type="paragraph" w:styleId="TOC1">
    <w:name w:val="toc 1"/>
    <w:basedOn w:val="Normal"/>
    <w:next w:val="Normal"/>
    <w:autoRedefine/>
    <w:uiPriority w:val="39"/>
    <w:qFormat/>
    <w:rsid w:val="007A4550"/>
    <w:pPr>
      <w:tabs>
        <w:tab w:val="left" w:pos="426"/>
        <w:tab w:val="right" w:leader="dot" w:pos="9498"/>
      </w:tabs>
      <w:spacing w:before="120" w:after="120"/>
      <w:ind w:right="-143"/>
    </w:pPr>
    <w:rPr>
      <w:rFonts w:eastAsia="Times New Roman"/>
      <w:b/>
      <w:bCs/>
      <w:caps/>
      <w:noProof/>
      <w:szCs w:val="22"/>
      <w:lang w:val="en-US" w:eastAsia="en-US"/>
    </w:rPr>
  </w:style>
  <w:style w:type="paragraph" w:styleId="TOC3">
    <w:name w:val="toc 3"/>
    <w:basedOn w:val="Normal"/>
    <w:next w:val="Normal"/>
    <w:autoRedefine/>
    <w:uiPriority w:val="39"/>
    <w:unhideWhenUsed/>
    <w:qFormat/>
    <w:rsid w:val="007A4550"/>
    <w:pPr>
      <w:tabs>
        <w:tab w:val="left" w:pos="1985"/>
        <w:tab w:val="left" w:pos="2410"/>
        <w:tab w:val="right" w:leader="dot" w:pos="9498"/>
      </w:tabs>
      <w:spacing w:after="100"/>
      <w:ind w:left="1984" w:hanging="1275"/>
    </w:pPr>
    <w:rPr>
      <w:rFonts w:eastAsia="Times New Roman"/>
      <w:i/>
      <w:iCs/>
      <w:noProof/>
      <w:sz w:val="20"/>
      <w:lang w:val="es-ES_tradnl" w:eastAsia="en-US"/>
    </w:rPr>
  </w:style>
  <w:style w:type="character" w:customStyle="1" w:styleId="HeaderChar">
    <w:name w:val="Header Char"/>
    <w:basedOn w:val="DefaultParagraphFont"/>
    <w:link w:val="Header"/>
    <w:rsid w:val="00EE1CCE"/>
    <w:rPr>
      <w:rFonts w:ascii="Arial" w:eastAsia="SimSun" w:hAnsi="Arial" w:cs="Arial"/>
      <w:sz w:val="22"/>
      <w:lang w:val="es-ES" w:eastAsia="zh-CN"/>
    </w:rPr>
  </w:style>
  <w:style w:type="character" w:customStyle="1" w:styleId="BodyTextChar">
    <w:name w:val="Body Text Char"/>
    <w:link w:val="BodyText"/>
    <w:rsid w:val="00EE1CCE"/>
    <w:rPr>
      <w:rFonts w:ascii="Arial" w:eastAsia="SimSun" w:hAnsi="Arial" w:cs="Arial"/>
      <w:sz w:val="22"/>
      <w:lang w:val="es-ES" w:eastAsia="zh-CN"/>
    </w:rPr>
  </w:style>
  <w:style w:type="paragraph" w:styleId="NormalWeb">
    <w:name w:val="Normal (Web)"/>
    <w:basedOn w:val="Normal"/>
    <w:uiPriority w:val="99"/>
    <w:rsid w:val="00EE1CCE"/>
    <w:pPr>
      <w:spacing w:before="100" w:beforeAutospacing="1" w:after="100" w:afterAutospacing="1"/>
    </w:pPr>
    <w:rPr>
      <w:rFonts w:eastAsia="Times New Roman"/>
      <w:sz w:val="18"/>
      <w:szCs w:val="18"/>
      <w:lang w:val="en-US" w:eastAsia="en-US"/>
    </w:rPr>
  </w:style>
  <w:style w:type="paragraph" w:customStyle="1" w:styleId="StyleHeading214ptAuto">
    <w:name w:val="Style Heading 2 + 14 pt Auto"/>
    <w:basedOn w:val="Heading2"/>
    <w:rsid w:val="00EE1CCE"/>
    <w:pPr>
      <w:keepNext w:val="0"/>
      <w:widowControl w:val="0"/>
      <w:tabs>
        <w:tab w:val="num" w:pos="567"/>
      </w:tabs>
      <w:spacing w:before="0" w:after="0" w:line="300" w:lineRule="atLeast"/>
      <w:ind w:left="567" w:hanging="567"/>
      <w:jc w:val="center"/>
    </w:pPr>
    <w:rPr>
      <w:rFonts w:ascii="Arial Bold" w:eastAsia="Times New Roman" w:hAnsi="Arial Bold" w:cs="Times New Roman"/>
      <w:bCs w:val="0"/>
      <w:caps w:val="0"/>
      <w:sz w:val="24"/>
      <w:szCs w:val="24"/>
      <w:lang w:val="en-GB" w:eastAsia="da-DK"/>
    </w:rPr>
  </w:style>
  <w:style w:type="paragraph" w:customStyle="1" w:styleId="StyleHeading3BoldNounderline">
    <w:name w:val="Style Heading 3 + Bold No underline"/>
    <w:basedOn w:val="Heading3"/>
    <w:rsid w:val="00EE1CCE"/>
    <w:pPr>
      <w:tabs>
        <w:tab w:val="left" w:pos="1985"/>
        <w:tab w:val="right" w:pos="9072"/>
      </w:tabs>
      <w:spacing w:before="0" w:after="0"/>
    </w:pPr>
    <w:rPr>
      <w:rFonts w:eastAsia="Times New Roman"/>
      <w:b/>
      <w:iCs/>
      <w:szCs w:val="28"/>
      <w:u w:val="none"/>
      <w:lang w:val="en-US" w:eastAsia="en-US"/>
    </w:rPr>
  </w:style>
  <w:style w:type="paragraph" w:customStyle="1" w:styleId="Default">
    <w:name w:val="Default"/>
    <w:rsid w:val="00EE1CCE"/>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EE1CCE"/>
    <w:rPr>
      <w:rFonts w:ascii="Arial" w:eastAsia="SimSun" w:hAnsi="Arial" w:cs="Arial"/>
      <w:bCs/>
      <w:iCs/>
      <w:caps/>
      <w:sz w:val="22"/>
      <w:szCs w:val="28"/>
      <w:lang w:val="es-ES" w:eastAsia="zh-CN"/>
    </w:rPr>
  </w:style>
  <w:style w:type="paragraph" w:customStyle="1" w:styleId="Heading">
    <w:name w:val="Heading"/>
    <w:basedOn w:val="Heading1"/>
    <w:uiPriority w:val="99"/>
    <w:rsid w:val="00EE1CCE"/>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val="fr-FR"/>
    </w:rPr>
  </w:style>
  <w:style w:type="table" w:customStyle="1" w:styleId="TableGrid1">
    <w:name w:val="Table Grid1"/>
    <w:basedOn w:val="TableNormal"/>
    <w:next w:val="TableGrid"/>
    <w:rsid w:val="00EE1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rsid w:val="00EE1CCE"/>
    <w:rPr>
      <w:rFonts w:ascii="Arial" w:eastAsia="SimSun" w:hAnsi="Arial" w:cs="Arial"/>
      <w:sz w:val="18"/>
      <w:lang w:eastAsia="zh-CN"/>
    </w:rPr>
  </w:style>
  <w:style w:type="paragraph" w:styleId="BodyText2">
    <w:name w:val="Body Text 2"/>
    <w:basedOn w:val="Normal"/>
    <w:link w:val="BodyText2Char"/>
    <w:rsid w:val="00EE1CCE"/>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EE1CCE"/>
    <w:rPr>
      <w:rFonts w:ascii="Arial" w:hAnsi="Arial"/>
      <w:szCs w:val="24"/>
    </w:rPr>
  </w:style>
  <w:style w:type="paragraph" w:styleId="PlainText">
    <w:name w:val="Plain Text"/>
    <w:basedOn w:val="Normal"/>
    <w:link w:val="PlainTextChar"/>
    <w:uiPriority w:val="99"/>
    <w:rsid w:val="00EE1CCE"/>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EE1CCE"/>
    <w:rPr>
      <w:rFonts w:ascii="Courier New" w:eastAsia="SimSun" w:hAnsi="Courier New" w:cs="Courier New"/>
      <w:color w:val="0000FF"/>
      <w:lang w:eastAsia="zh-CN"/>
    </w:rPr>
  </w:style>
  <w:style w:type="character" w:styleId="CommentReference">
    <w:name w:val="annotation reference"/>
    <w:basedOn w:val="DefaultParagraphFont"/>
    <w:rsid w:val="00EE1CCE"/>
    <w:rPr>
      <w:sz w:val="16"/>
      <w:szCs w:val="16"/>
    </w:rPr>
  </w:style>
  <w:style w:type="paragraph" w:styleId="CommentSubject">
    <w:name w:val="annotation subject"/>
    <w:basedOn w:val="CommentText"/>
    <w:next w:val="CommentText"/>
    <w:link w:val="CommentSubjectChar"/>
    <w:rsid w:val="00EE1CCE"/>
    <w:rPr>
      <w:rFonts w:eastAsia="Times New Roman"/>
      <w:b/>
      <w:bCs/>
      <w:sz w:val="20"/>
      <w:lang w:val="en-US" w:eastAsia="en-US"/>
    </w:rPr>
  </w:style>
  <w:style w:type="character" w:customStyle="1" w:styleId="CommentTextChar1">
    <w:name w:val="Comment Text Char1"/>
    <w:basedOn w:val="DefaultParagraphFont"/>
    <w:link w:val="CommentText"/>
    <w:rsid w:val="00EE1CCE"/>
    <w:rPr>
      <w:rFonts w:ascii="Arial" w:eastAsia="SimSun" w:hAnsi="Arial" w:cs="Arial"/>
      <w:sz w:val="18"/>
      <w:lang w:val="es-ES" w:eastAsia="zh-CN"/>
    </w:rPr>
  </w:style>
  <w:style w:type="character" w:customStyle="1" w:styleId="CommentSubjectChar">
    <w:name w:val="Comment Subject Char"/>
    <w:basedOn w:val="CommentTextChar1"/>
    <w:link w:val="CommentSubject"/>
    <w:rsid w:val="00EE1CCE"/>
    <w:rPr>
      <w:rFonts w:ascii="Arial" w:eastAsia="SimSun" w:hAnsi="Arial" w:cs="Arial"/>
      <w:b/>
      <w:bCs/>
      <w:sz w:val="18"/>
      <w:lang w:val="es-ES" w:eastAsia="zh-CN"/>
    </w:rPr>
  </w:style>
  <w:style w:type="character" w:styleId="PageNumber">
    <w:name w:val="page number"/>
    <w:basedOn w:val="DefaultParagraphFont"/>
    <w:rsid w:val="00EE1CCE"/>
  </w:style>
  <w:style w:type="paragraph" w:styleId="Revision">
    <w:name w:val="Revision"/>
    <w:hidden/>
    <w:uiPriority w:val="99"/>
    <w:semiHidden/>
    <w:rsid w:val="00EE1CCE"/>
    <w:rPr>
      <w:rFonts w:ascii="Arial" w:hAnsi="Arial" w:cs="Arial"/>
      <w:sz w:val="22"/>
    </w:rPr>
  </w:style>
  <w:style w:type="paragraph" w:customStyle="1" w:styleId="null">
    <w:name w:val="null"/>
    <w:basedOn w:val="Normal"/>
    <w:rsid w:val="00EE1CCE"/>
    <w:pPr>
      <w:spacing w:before="100" w:beforeAutospacing="1" w:after="100" w:afterAutospacing="1"/>
    </w:pPr>
    <w:rPr>
      <w:rFonts w:ascii="Times New Roman" w:eastAsiaTheme="minorHAnsi" w:hAnsi="Times New Roman" w:cs="Times New Roman"/>
      <w:sz w:val="24"/>
      <w:szCs w:val="24"/>
      <w:lang w:val="en-US" w:eastAsia="en-US"/>
    </w:rPr>
  </w:style>
  <w:style w:type="character" w:customStyle="1" w:styleId="null1">
    <w:name w:val="null1"/>
    <w:basedOn w:val="DefaultParagraphFont"/>
    <w:rsid w:val="00EE1CCE"/>
  </w:style>
  <w:style w:type="paragraph" w:customStyle="1" w:styleId="Endofdocument">
    <w:name w:val="End of document"/>
    <w:basedOn w:val="Normal"/>
    <w:rsid w:val="00EE1CCE"/>
    <w:pPr>
      <w:ind w:left="4536"/>
      <w:jc w:val="center"/>
    </w:pPr>
    <w:rPr>
      <w:rFonts w:ascii="Times New Roman" w:eastAsia="Times New Roman" w:hAnsi="Times New Roman" w:cs="Times New Roman"/>
      <w:sz w:val="24"/>
      <w:lang w:val="en-US" w:eastAsia="en-US"/>
    </w:rPr>
  </w:style>
  <w:style w:type="paragraph" w:styleId="BlockText">
    <w:name w:val="Block Text"/>
    <w:basedOn w:val="Normal"/>
    <w:rsid w:val="00EE1CCE"/>
    <w:pPr>
      <w:tabs>
        <w:tab w:val="left" w:pos="2127"/>
      </w:tabs>
      <w:spacing w:after="40"/>
      <w:ind w:left="2127" w:right="896" w:hanging="2127"/>
    </w:pPr>
    <w:rPr>
      <w:rFonts w:ascii="Times New Roman" w:eastAsia="Times New Roman" w:hAnsi="Times New Roman" w:cs="Times New Roman"/>
      <w:sz w:val="24"/>
      <w:lang w:val="en-US" w:eastAsia="en-US"/>
    </w:rPr>
  </w:style>
  <w:style w:type="character" w:styleId="Emphasis">
    <w:name w:val="Emphasis"/>
    <w:uiPriority w:val="20"/>
    <w:qFormat/>
    <w:rsid w:val="00EE1CCE"/>
    <w:rPr>
      <w:i/>
      <w:iCs/>
    </w:rPr>
  </w:style>
  <w:style w:type="character" w:customStyle="1" w:styleId="st">
    <w:name w:val="st"/>
    <w:basedOn w:val="DefaultParagraphFont"/>
    <w:rsid w:val="00EE1CCE"/>
  </w:style>
  <w:style w:type="paragraph" w:styleId="TOC4">
    <w:name w:val="toc 4"/>
    <w:basedOn w:val="TOC3"/>
    <w:next w:val="Normal"/>
    <w:uiPriority w:val="39"/>
    <w:rsid w:val="00EE1CCE"/>
    <w:pPr>
      <w:tabs>
        <w:tab w:val="clear" w:pos="1985"/>
      </w:tabs>
      <w:ind w:left="2410" w:hanging="1843"/>
    </w:pPr>
    <w:rPr>
      <w:i w:val="0"/>
    </w:rPr>
  </w:style>
  <w:style w:type="paragraph" w:customStyle="1" w:styleId="StyleHeading4">
    <w:name w:val="Style Heading 4"/>
    <w:basedOn w:val="Normal"/>
    <w:qFormat/>
    <w:rsid w:val="00EE1CCE"/>
    <w:pPr>
      <w:keepNext/>
      <w:ind w:left="1843" w:hanging="1843"/>
      <w:outlineLvl w:val="2"/>
    </w:pPr>
    <w:rPr>
      <w:b/>
      <w:bCs/>
      <w:i/>
      <w:sz w:val="20"/>
      <w:szCs w:val="26"/>
      <w:lang w:val="en-US"/>
    </w:rPr>
  </w:style>
  <w:style w:type="paragraph" w:styleId="TOC5">
    <w:name w:val="toc 5"/>
    <w:basedOn w:val="TOC4"/>
    <w:next w:val="Normal"/>
    <w:autoRedefine/>
    <w:uiPriority w:val="39"/>
    <w:rsid w:val="00EE1CCE"/>
    <w:pPr>
      <w:tabs>
        <w:tab w:val="clear" w:pos="2410"/>
        <w:tab w:val="left" w:pos="1985"/>
      </w:tabs>
      <w:ind w:left="1985" w:hanging="1418"/>
    </w:pPr>
  </w:style>
  <w:style w:type="character" w:customStyle="1" w:styleId="Heading3Char">
    <w:name w:val="Heading 3 Char"/>
    <w:basedOn w:val="DefaultParagraphFont"/>
    <w:link w:val="Heading3"/>
    <w:rsid w:val="00C24C56"/>
    <w:rPr>
      <w:rFonts w:ascii="Arial" w:eastAsia="SimSun" w:hAnsi="Arial" w:cs="Arial"/>
      <w:bCs/>
      <w:sz w:val="22"/>
      <w:szCs w:val="26"/>
      <w:u w:val="single"/>
      <w:lang w:val="es-ES" w:eastAsia="zh-CN"/>
    </w:rPr>
  </w:style>
  <w:style w:type="character" w:customStyle="1" w:styleId="EndnoteTextChar">
    <w:name w:val="Endnote Text Char"/>
    <w:basedOn w:val="DefaultParagraphFont"/>
    <w:link w:val="EndnoteText"/>
    <w:semiHidden/>
    <w:rsid w:val="00C24C56"/>
    <w:rPr>
      <w:rFonts w:ascii="Arial" w:eastAsia="SimSun" w:hAnsi="Arial" w:cs="Arial"/>
      <w:sz w:val="18"/>
      <w:lang w:val="es-ES" w:eastAsia="zh-CN"/>
    </w:rPr>
  </w:style>
  <w:style w:type="character" w:styleId="FollowedHyperlink">
    <w:name w:val="FollowedHyperlink"/>
    <w:basedOn w:val="DefaultParagraphFont"/>
    <w:rsid w:val="001B23B7"/>
    <w:rPr>
      <w:color w:val="800080" w:themeColor="followedHyperlink"/>
      <w:u w:val="single"/>
    </w:rPr>
  </w:style>
  <w:style w:type="character" w:customStyle="1" w:styleId="preferred">
    <w:name w:val="preferred"/>
    <w:basedOn w:val="DefaultParagraphFont"/>
    <w:rsid w:val="004E456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caption" w:qFormat="1"/>
    <w:lsdException w:name="Title" w:qFormat="1"/>
    <w:lsdException w:name="Subtitle" w:qFormat="1"/>
    <w:lsdException w:name="Hyperlink" w:uiPriority="99"/>
    <w:lsdException w:name="Strong" w:qFormat="1"/>
    <w:lsdException w:name="Emphasis" w:uiPriority="20" w:qFormat="1"/>
    <w:lsdException w:name="Plain Text" w:uiPriority="99"/>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32C9E"/>
    <w:rPr>
      <w:rFonts w:ascii="Arial" w:eastAsia="SimSun" w:hAnsi="Arial" w:cs="Arial"/>
      <w:sz w:val="22"/>
      <w:lang w:val="es-ES" w:eastAsia="zh-CN"/>
    </w:rPr>
  </w:style>
  <w:style w:type="paragraph" w:styleId="Heading1">
    <w:name w:val="heading 1"/>
    <w:basedOn w:val="Normal"/>
    <w:next w:val="Normal"/>
    <w:link w:val="Heading1Char"/>
    <w:qFormat/>
    <w:rsid w:val="00A32C9E"/>
    <w:pPr>
      <w:keepNext/>
      <w:spacing w:before="240" w:after="60"/>
      <w:outlineLvl w:val="0"/>
    </w:pPr>
    <w:rPr>
      <w:b/>
      <w:bCs/>
      <w:caps/>
      <w:kern w:val="32"/>
      <w:szCs w:val="32"/>
    </w:rPr>
  </w:style>
  <w:style w:type="paragraph" w:styleId="Heading2">
    <w:name w:val="heading 2"/>
    <w:basedOn w:val="Normal"/>
    <w:next w:val="Normal"/>
    <w:link w:val="Heading2Char"/>
    <w:qFormat/>
    <w:rsid w:val="00A32C9E"/>
    <w:pPr>
      <w:keepNext/>
      <w:spacing w:before="240" w:after="60"/>
      <w:outlineLvl w:val="1"/>
    </w:pPr>
    <w:rPr>
      <w:bCs/>
      <w:iCs/>
      <w:caps/>
      <w:szCs w:val="28"/>
    </w:rPr>
  </w:style>
  <w:style w:type="paragraph" w:styleId="Heading3">
    <w:name w:val="heading 3"/>
    <w:basedOn w:val="Normal"/>
    <w:next w:val="Normal"/>
    <w:link w:val="Heading3Char"/>
    <w:qFormat/>
    <w:rsid w:val="00A32C9E"/>
    <w:pPr>
      <w:keepNext/>
      <w:spacing w:before="240" w:after="60"/>
      <w:outlineLvl w:val="2"/>
    </w:pPr>
    <w:rPr>
      <w:bCs/>
      <w:szCs w:val="26"/>
      <w:u w:val="single"/>
    </w:rPr>
  </w:style>
  <w:style w:type="paragraph" w:styleId="Heading4">
    <w:name w:val="heading 4"/>
    <w:basedOn w:val="Normal"/>
    <w:next w:val="Normal"/>
    <w:qFormat/>
    <w:rsid w:val="00A32C9E"/>
    <w:pPr>
      <w:keepNext/>
      <w:spacing w:before="240" w:after="60"/>
      <w:outlineLvl w:val="3"/>
    </w:pPr>
    <w:rPr>
      <w:bCs/>
      <w:i/>
      <w:szCs w:val="28"/>
    </w:rPr>
  </w:style>
  <w:style w:type="paragraph" w:styleId="Heading5">
    <w:name w:val="heading 5"/>
    <w:basedOn w:val="Normal"/>
    <w:next w:val="Normal"/>
    <w:link w:val="Heading5Char"/>
    <w:semiHidden/>
    <w:unhideWhenUsed/>
    <w:qFormat/>
    <w:rsid w:val="00EE1CCE"/>
    <w:pPr>
      <w:keepNext/>
      <w:keepLines/>
      <w:spacing w:before="200"/>
      <w:outlineLvl w:val="4"/>
    </w:pPr>
    <w:rPr>
      <w:rFonts w:asciiTheme="majorHAnsi" w:eastAsiaTheme="majorEastAsia" w:hAnsiTheme="majorHAnsi" w:cstheme="majorBidi"/>
      <w:color w:val="243F60" w:themeColor="accent1" w:themeShade="7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A32C9E"/>
    <w:pPr>
      <w:spacing w:after="220"/>
    </w:pPr>
  </w:style>
  <w:style w:type="paragraph" w:styleId="Caption">
    <w:name w:val="caption"/>
    <w:basedOn w:val="Normal"/>
    <w:next w:val="Normal"/>
    <w:qFormat/>
    <w:rsid w:val="00A32C9E"/>
    <w:rPr>
      <w:b/>
      <w:bCs/>
      <w:sz w:val="18"/>
    </w:rPr>
  </w:style>
  <w:style w:type="paragraph" w:styleId="CommentText">
    <w:name w:val="annotation text"/>
    <w:basedOn w:val="Normal"/>
    <w:link w:val="CommentTextChar1"/>
    <w:rsid w:val="00A32C9E"/>
    <w:rPr>
      <w:sz w:val="18"/>
    </w:rPr>
  </w:style>
  <w:style w:type="paragraph" w:styleId="EndnoteText">
    <w:name w:val="endnote text"/>
    <w:basedOn w:val="Normal"/>
    <w:link w:val="EndnoteTextChar"/>
    <w:semiHidden/>
    <w:rsid w:val="00A32C9E"/>
    <w:rPr>
      <w:sz w:val="18"/>
    </w:rPr>
  </w:style>
  <w:style w:type="paragraph" w:styleId="Footer">
    <w:name w:val="footer"/>
    <w:basedOn w:val="Normal"/>
    <w:link w:val="FooterChar"/>
    <w:rsid w:val="00A32C9E"/>
    <w:pPr>
      <w:tabs>
        <w:tab w:val="center" w:pos="4320"/>
        <w:tab w:val="right" w:pos="8640"/>
      </w:tabs>
    </w:pPr>
  </w:style>
  <w:style w:type="paragraph" w:styleId="FootnoteText">
    <w:name w:val="footnote text"/>
    <w:basedOn w:val="Normal"/>
    <w:link w:val="FootnoteTextChar"/>
    <w:rsid w:val="00A32C9E"/>
    <w:rPr>
      <w:sz w:val="18"/>
    </w:rPr>
  </w:style>
  <w:style w:type="paragraph" w:customStyle="1" w:styleId="Endofdocument-Annex">
    <w:name w:val="[End of document - Annex]"/>
    <w:basedOn w:val="Normal"/>
    <w:rsid w:val="00815082"/>
    <w:pPr>
      <w:ind w:left="5534"/>
    </w:pPr>
    <w:rPr>
      <w:lang w:val="en-US"/>
    </w:rPr>
  </w:style>
  <w:style w:type="paragraph" w:styleId="BalloonText">
    <w:name w:val="Balloon Text"/>
    <w:basedOn w:val="Normal"/>
    <w:link w:val="BalloonTextChar"/>
    <w:rsid w:val="006B4E97"/>
    <w:rPr>
      <w:rFonts w:ascii="Tahoma" w:hAnsi="Tahoma" w:cs="Tahoma"/>
      <w:sz w:val="16"/>
      <w:szCs w:val="16"/>
    </w:rPr>
  </w:style>
  <w:style w:type="paragraph" w:styleId="Header">
    <w:name w:val="header"/>
    <w:basedOn w:val="Normal"/>
    <w:link w:val="HeaderChar"/>
    <w:rsid w:val="00A32C9E"/>
    <w:pPr>
      <w:tabs>
        <w:tab w:val="center" w:pos="4536"/>
        <w:tab w:val="right" w:pos="9072"/>
      </w:tabs>
    </w:pPr>
  </w:style>
  <w:style w:type="paragraph" w:styleId="ListNumber">
    <w:name w:val="List Number"/>
    <w:basedOn w:val="Normal"/>
    <w:semiHidden/>
    <w:rsid w:val="00A32C9E"/>
    <w:pPr>
      <w:numPr>
        <w:numId w:val="1"/>
      </w:numPr>
    </w:pPr>
  </w:style>
  <w:style w:type="paragraph" w:customStyle="1" w:styleId="ONUME">
    <w:name w:val="ONUM E"/>
    <w:basedOn w:val="BodyText"/>
    <w:link w:val="ONUMEChar"/>
    <w:rsid w:val="00A32C9E"/>
    <w:pPr>
      <w:numPr>
        <w:numId w:val="2"/>
      </w:numPr>
    </w:pPr>
  </w:style>
  <w:style w:type="paragraph" w:customStyle="1" w:styleId="ONUMFS">
    <w:name w:val="ONUM FS"/>
    <w:basedOn w:val="BodyText"/>
    <w:rsid w:val="00A32C9E"/>
    <w:pPr>
      <w:numPr>
        <w:numId w:val="3"/>
      </w:numPr>
    </w:pPr>
  </w:style>
  <w:style w:type="paragraph" w:styleId="Salutation">
    <w:name w:val="Salutation"/>
    <w:basedOn w:val="Normal"/>
    <w:next w:val="Normal"/>
    <w:semiHidden/>
    <w:rsid w:val="00A32C9E"/>
  </w:style>
  <w:style w:type="paragraph" w:styleId="Signature">
    <w:name w:val="Signature"/>
    <w:basedOn w:val="Normal"/>
    <w:semiHidden/>
    <w:rsid w:val="00A32C9E"/>
    <w:pPr>
      <w:ind w:left="5250"/>
    </w:pPr>
  </w:style>
  <w:style w:type="character" w:customStyle="1" w:styleId="BalloonTextChar">
    <w:name w:val="Balloon Text Char"/>
    <w:basedOn w:val="DefaultParagraphFont"/>
    <w:link w:val="BalloonText"/>
    <w:rsid w:val="006B4E97"/>
    <w:rPr>
      <w:rFonts w:ascii="Tahoma" w:eastAsia="SimSun" w:hAnsi="Tahoma" w:cs="Tahoma"/>
      <w:sz w:val="16"/>
      <w:szCs w:val="16"/>
      <w:lang w:val="es-ES" w:eastAsia="zh-CN"/>
    </w:rPr>
  </w:style>
  <w:style w:type="paragraph" w:styleId="ListParagraph">
    <w:name w:val="List Paragraph"/>
    <w:basedOn w:val="Normal"/>
    <w:uiPriority w:val="34"/>
    <w:qFormat/>
    <w:rsid w:val="002C7090"/>
    <w:pPr>
      <w:ind w:left="720"/>
    </w:pPr>
    <w:rPr>
      <w:rFonts w:eastAsia="Times New Roman" w:cs="Times New Roman"/>
      <w:sz w:val="20"/>
      <w:lang w:val="en-US" w:eastAsia="en-US"/>
    </w:rPr>
  </w:style>
  <w:style w:type="character" w:customStyle="1" w:styleId="DecisionInvitingParaChar">
    <w:name w:val="Decision Inviting Para. Char"/>
    <w:link w:val="DecisionInvitingPara"/>
    <w:locked/>
    <w:rsid w:val="002C7090"/>
    <w:rPr>
      <w:rFonts w:ascii="Arial" w:hAnsi="Arial" w:cs="Arial"/>
      <w:i/>
    </w:rPr>
  </w:style>
  <w:style w:type="paragraph" w:customStyle="1" w:styleId="DecisionInvitingPara">
    <w:name w:val="Decision Inviting Para."/>
    <w:basedOn w:val="Normal"/>
    <w:link w:val="DecisionInvitingParaChar"/>
    <w:rsid w:val="002C7090"/>
    <w:pPr>
      <w:spacing w:after="120" w:line="260" w:lineRule="exact"/>
      <w:ind w:left="5534"/>
    </w:pPr>
    <w:rPr>
      <w:rFonts w:eastAsia="Times New Roman"/>
      <w:i/>
      <w:sz w:val="20"/>
      <w:lang w:val="en-US" w:eastAsia="en-US"/>
    </w:rPr>
  </w:style>
  <w:style w:type="character" w:styleId="FootnoteReference">
    <w:name w:val="footnote reference"/>
    <w:aliases w:val="Footnote"/>
    <w:rsid w:val="007D1BBF"/>
    <w:rPr>
      <w:vertAlign w:val="superscript"/>
    </w:rPr>
  </w:style>
  <w:style w:type="character" w:customStyle="1" w:styleId="FootnoteTextChar">
    <w:name w:val="Footnote Text Char"/>
    <w:link w:val="FootnoteText"/>
    <w:locked/>
    <w:rsid w:val="007D1BBF"/>
    <w:rPr>
      <w:rFonts w:ascii="Arial" w:eastAsia="SimSun" w:hAnsi="Arial" w:cs="Arial"/>
      <w:sz w:val="18"/>
      <w:lang w:val="es-ES" w:eastAsia="zh-CN"/>
    </w:rPr>
  </w:style>
  <w:style w:type="character" w:customStyle="1" w:styleId="Heading1Char">
    <w:name w:val="Heading 1 Char"/>
    <w:basedOn w:val="DefaultParagraphFont"/>
    <w:link w:val="Heading1"/>
    <w:rsid w:val="007D1BBF"/>
    <w:rPr>
      <w:rFonts w:ascii="Arial" w:eastAsia="SimSun" w:hAnsi="Arial" w:cs="Arial"/>
      <w:b/>
      <w:bCs/>
      <w:caps/>
      <w:kern w:val="32"/>
      <w:sz w:val="22"/>
      <w:szCs w:val="32"/>
      <w:lang w:val="es-ES" w:eastAsia="zh-CN"/>
    </w:rPr>
  </w:style>
  <w:style w:type="character" w:customStyle="1" w:styleId="FooterChar">
    <w:name w:val="Footer Char"/>
    <w:basedOn w:val="DefaultParagraphFont"/>
    <w:link w:val="Footer"/>
    <w:rsid w:val="001456FB"/>
    <w:rPr>
      <w:rFonts w:ascii="Arial" w:eastAsia="SimSun" w:hAnsi="Arial" w:cs="Arial"/>
      <w:sz w:val="22"/>
      <w:lang w:val="es-ES" w:eastAsia="zh-CN"/>
    </w:rPr>
  </w:style>
  <w:style w:type="character" w:styleId="Hyperlink">
    <w:name w:val="Hyperlink"/>
    <w:uiPriority w:val="99"/>
    <w:rsid w:val="008271A4"/>
    <w:rPr>
      <w:color w:val="000099"/>
      <w:u w:val="single"/>
    </w:rPr>
  </w:style>
  <w:style w:type="character" w:customStyle="1" w:styleId="ONUMEChar">
    <w:name w:val="ONUM E Char"/>
    <w:link w:val="ONUME"/>
    <w:locked/>
    <w:rsid w:val="008271A4"/>
    <w:rPr>
      <w:rFonts w:ascii="Arial" w:eastAsia="SimSun" w:hAnsi="Arial" w:cs="Arial"/>
      <w:sz w:val="22"/>
      <w:lang w:val="es-ES" w:eastAsia="zh-CN"/>
    </w:rPr>
  </w:style>
  <w:style w:type="character" w:customStyle="1" w:styleId="apple-converted-space">
    <w:name w:val="apple-converted-space"/>
    <w:basedOn w:val="DefaultParagraphFont"/>
    <w:rsid w:val="008271A4"/>
  </w:style>
  <w:style w:type="table" w:styleId="TableGrid">
    <w:name w:val="Table Grid"/>
    <w:basedOn w:val="TableNormal"/>
    <w:rsid w:val="00745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EE1CCE"/>
    <w:rPr>
      <w:rFonts w:asciiTheme="majorHAnsi" w:eastAsiaTheme="majorEastAsia" w:hAnsiTheme="majorHAnsi" w:cstheme="majorBidi"/>
      <w:color w:val="243F60" w:themeColor="accent1" w:themeShade="7F"/>
      <w:sz w:val="22"/>
      <w:lang w:eastAsia="zh-CN"/>
    </w:rPr>
  </w:style>
  <w:style w:type="paragraph" w:styleId="TOC2">
    <w:name w:val="toc 2"/>
    <w:basedOn w:val="Normal"/>
    <w:next w:val="Normal"/>
    <w:autoRedefine/>
    <w:uiPriority w:val="39"/>
    <w:qFormat/>
    <w:rsid w:val="007A4550"/>
    <w:pPr>
      <w:tabs>
        <w:tab w:val="left" w:pos="2127"/>
        <w:tab w:val="right" w:leader="dot" w:pos="9498"/>
      </w:tabs>
      <w:spacing w:after="100"/>
      <w:ind w:left="425" w:right="-142"/>
    </w:pPr>
    <w:rPr>
      <w:rFonts w:eastAsia="Times New Roman"/>
      <w:bCs/>
      <w:iCs/>
      <w:smallCaps/>
      <w:noProof/>
      <w:szCs w:val="22"/>
      <w:lang w:val="es-ES_tradnl" w:eastAsia="en-US"/>
    </w:rPr>
  </w:style>
  <w:style w:type="paragraph" w:styleId="TOC1">
    <w:name w:val="toc 1"/>
    <w:basedOn w:val="Normal"/>
    <w:next w:val="Normal"/>
    <w:autoRedefine/>
    <w:uiPriority w:val="39"/>
    <w:qFormat/>
    <w:rsid w:val="007A4550"/>
    <w:pPr>
      <w:tabs>
        <w:tab w:val="left" w:pos="426"/>
        <w:tab w:val="right" w:leader="dot" w:pos="9498"/>
      </w:tabs>
      <w:spacing w:before="120" w:after="120"/>
      <w:ind w:right="-143"/>
    </w:pPr>
    <w:rPr>
      <w:rFonts w:eastAsia="Times New Roman"/>
      <w:b/>
      <w:bCs/>
      <w:caps/>
      <w:noProof/>
      <w:szCs w:val="22"/>
      <w:lang w:val="en-US" w:eastAsia="en-US"/>
    </w:rPr>
  </w:style>
  <w:style w:type="paragraph" w:styleId="TOC3">
    <w:name w:val="toc 3"/>
    <w:basedOn w:val="Normal"/>
    <w:next w:val="Normal"/>
    <w:autoRedefine/>
    <w:uiPriority w:val="39"/>
    <w:unhideWhenUsed/>
    <w:qFormat/>
    <w:rsid w:val="007A4550"/>
    <w:pPr>
      <w:tabs>
        <w:tab w:val="left" w:pos="1985"/>
        <w:tab w:val="left" w:pos="2410"/>
        <w:tab w:val="right" w:leader="dot" w:pos="9498"/>
      </w:tabs>
      <w:spacing w:after="100"/>
      <w:ind w:left="1984" w:hanging="1275"/>
    </w:pPr>
    <w:rPr>
      <w:rFonts w:eastAsia="Times New Roman"/>
      <w:i/>
      <w:iCs/>
      <w:noProof/>
      <w:sz w:val="20"/>
      <w:lang w:val="es-ES_tradnl" w:eastAsia="en-US"/>
    </w:rPr>
  </w:style>
  <w:style w:type="character" w:customStyle="1" w:styleId="HeaderChar">
    <w:name w:val="Header Char"/>
    <w:basedOn w:val="DefaultParagraphFont"/>
    <w:link w:val="Header"/>
    <w:rsid w:val="00EE1CCE"/>
    <w:rPr>
      <w:rFonts w:ascii="Arial" w:eastAsia="SimSun" w:hAnsi="Arial" w:cs="Arial"/>
      <w:sz w:val="22"/>
      <w:lang w:val="es-ES" w:eastAsia="zh-CN"/>
    </w:rPr>
  </w:style>
  <w:style w:type="character" w:customStyle="1" w:styleId="BodyTextChar">
    <w:name w:val="Body Text Char"/>
    <w:link w:val="BodyText"/>
    <w:rsid w:val="00EE1CCE"/>
    <w:rPr>
      <w:rFonts w:ascii="Arial" w:eastAsia="SimSun" w:hAnsi="Arial" w:cs="Arial"/>
      <w:sz w:val="22"/>
      <w:lang w:val="es-ES" w:eastAsia="zh-CN"/>
    </w:rPr>
  </w:style>
  <w:style w:type="paragraph" w:styleId="NormalWeb">
    <w:name w:val="Normal (Web)"/>
    <w:basedOn w:val="Normal"/>
    <w:uiPriority w:val="99"/>
    <w:rsid w:val="00EE1CCE"/>
    <w:pPr>
      <w:spacing w:before="100" w:beforeAutospacing="1" w:after="100" w:afterAutospacing="1"/>
    </w:pPr>
    <w:rPr>
      <w:rFonts w:eastAsia="Times New Roman"/>
      <w:sz w:val="18"/>
      <w:szCs w:val="18"/>
      <w:lang w:val="en-US" w:eastAsia="en-US"/>
    </w:rPr>
  </w:style>
  <w:style w:type="paragraph" w:customStyle="1" w:styleId="StyleHeading214ptAuto">
    <w:name w:val="Style Heading 2 + 14 pt Auto"/>
    <w:basedOn w:val="Heading2"/>
    <w:rsid w:val="00EE1CCE"/>
    <w:pPr>
      <w:keepNext w:val="0"/>
      <w:widowControl w:val="0"/>
      <w:tabs>
        <w:tab w:val="num" w:pos="567"/>
      </w:tabs>
      <w:spacing w:before="0" w:after="0" w:line="300" w:lineRule="atLeast"/>
      <w:ind w:left="567" w:hanging="567"/>
      <w:jc w:val="center"/>
    </w:pPr>
    <w:rPr>
      <w:rFonts w:ascii="Arial Bold" w:eastAsia="Times New Roman" w:hAnsi="Arial Bold" w:cs="Times New Roman"/>
      <w:bCs w:val="0"/>
      <w:caps w:val="0"/>
      <w:sz w:val="24"/>
      <w:szCs w:val="24"/>
      <w:lang w:val="en-GB" w:eastAsia="da-DK"/>
    </w:rPr>
  </w:style>
  <w:style w:type="paragraph" w:customStyle="1" w:styleId="StyleHeading3BoldNounderline">
    <w:name w:val="Style Heading 3 + Bold No underline"/>
    <w:basedOn w:val="Heading3"/>
    <w:rsid w:val="00EE1CCE"/>
    <w:pPr>
      <w:tabs>
        <w:tab w:val="left" w:pos="1985"/>
        <w:tab w:val="right" w:pos="9072"/>
      </w:tabs>
      <w:spacing w:before="0" w:after="0"/>
    </w:pPr>
    <w:rPr>
      <w:rFonts w:eastAsia="Times New Roman"/>
      <w:b/>
      <w:iCs/>
      <w:szCs w:val="28"/>
      <w:u w:val="none"/>
      <w:lang w:val="en-US" w:eastAsia="en-US"/>
    </w:rPr>
  </w:style>
  <w:style w:type="paragraph" w:customStyle="1" w:styleId="Default">
    <w:name w:val="Default"/>
    <w:rsid w:val="00EE1CCE"/>
    <w:pPr>
      <w:autoSpaceDE w:val="0"/>
      <w:autoSpaceDN w:val="0"/>
      <w:adjustRightInd w:val="0"/>
    </w:pPr>
    <w:rPr>
      <w:rFonts w:ascii="Arial" w:eastAsia="Batang" w:hAnsi="Arial" w:cs="Arial"/>
      <w:color w:val="000000"/>
      <w:sz w:val="24"/>
      <w:szCs w:val="24"/>
      <w:lang w:eastAsia="ja-JP"/>
    </w:rPr>
  </w:style>
  <w:style w:type="character" w:customStyle="1" w:styleId="Heading2Char">
    <w:name w:val="Heading 2 Char"/>
    <w:link w:val="Heading2"/>
    <w:rsid w:val="00EE1CCE"/>
    <w:rPr>
      <w:rFonts w:ascii="Arial" w:eastAsia="SimSun" w:hAnsi="Arial" w:cs="Arial"/>
      <w:bCs/>
      <w:iCs/>
      <w:caps/>
      <w:sz w:val="22"/>
      <w:szCs w:val="28"/>
      <w:lang w:val="es-ES" w:eastAsia="zh-CN"/>
    </w:rPr>
  </w:style>
  <w:style w:type="paragraph" w:customStyle="1" w:styleId="Heading">
    <w:name w:val="Heading"/>
    <w:basedOn w:val="Heading1"/>
    <w:uiPriority w:val="99"/>
    <w:rsid w:val="00EE1CCE"/>
    <w:pPr>
      <w:keepNext w:val="0"/>
      <w:tabs>
        <w:tab w:val="left" w:pos="567"/>
      </w:tabs>
      <w:overflowPunct w:val="0"/>
      <w:autoSpaceDE w:val="0"/>
      <w:autoSpaceDN w:val="0"/>
      <w:adjustRightInd w:val="0"/>
      <w:spacing w:before="600" w:after="240"/>
      <w:jc w:val="center"/>
      <w:outlineLvl w:val="9"/>
    </w:pPr>
    <w:rPr>
      <w:rFonts w:ascii="Times New Roman" w:eastAsia="Times New Roman" w:hAnsi="Times New Roman" w:cs="Times New Roman"/>
      <w:caps w:val="0"/>
      <w:kern w:val="0"/>
      <w:sz w:val="28"/>
      <w:szCs w:val="28"/>
      <w:lang w:val="fr-FR"/>
    </w:rPr>
  </w:style>
  <w:style w:type="table" w:customStyle="1" w:styleId="TableGrid1">
    <w:name w:val="Table Grid1"/>
    <w:basedOn w:val="TableNormal"/>
    <w:next w:val="TableGrid"/>
    <w:rsid w:val="00EE1C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basedOn w:val="DefaultParagraphFont"/>
    <w:rsid w:val="00EE1CCE"/>
    <w:rPr>
      <w:rFonts w:ascii="Arial" w:eastAsia="SimSun" w:hAnsi="Arial" w:cs="Arial"/>
      <w:sz w:val="18"/>
      <w:lang w:eastAsia="zh-CN"/>
    </w:rPr>
  </w:style>
  <w:style w:type="paragraph" w:styleId="BodyText2">
    <w:name w:val="Body Text 2"/>
    <w:basedOn w:val="Normal"/>
    <w:link w:val="BodyText2Char"/>
    <w:rsid w:val="00EE1CCE"/>
    <w:pPr>
      <w:spacing w:after="120" w:line="480" w:lineRule="auto"/>
    </w:pPr>
    <w:rPr>
      <w:rFonts w:eastAsia="Times New Roman" w:cs="Times New Roman"/>
      <w:sz w:val="20"/>
      <w:szCs w:val="24"/>
      <w:lang w:val="en-US" w:eastAsia="en-US"/>
    </w:rPr>
  </w:style>
  <w:style w:type="character" w:customStyle="1" w:styleId="BodyText2Char">
    <w:name w:val="Body Text 2 Char"/>
    <w:basedOn w:val="DefaultParagraphFont"/>
    <w:link w:val="BodyText2"/>
    <w:rsid w:val="00EE1CCE"/>
    <w:rPr>
      <w:rFonts w:ascii="Arial" w:hAnsi="Arial"/>
      <w:szCs w:val="24"/>
    </w:rPr>
  </w:style>
  <w:style w:type="paragraph" w:styleId="PlainText">
    <w:name w:val="Plain Text"/>
    <w:basedOn w:val="Normal"/>
    <w:link w:val="PlainTextChar"/>
    <w:uiPriority w:val="99"/>
    <w:rsid w:val="00EE1CCE"/>
    <w:rPr>
      <w:rFonts w:ascii="Courier New" w:hAnsi="Courier New" w:cs="Courier New"/>
      <w:color w:val="0000FF"/>
      <w:sz w:val="20"/>
      <w:lang w:val="en-US"/>
    </w:rPr>
  </w:style>
  <w:style w:type="character" w:customStyle="1" w:styleId="PlainTextChar">
    <w:name w:val="Plain Text Char"/>
    <w:basedOn w:val="DefaultParagraphFont"/>
    <w:link w:val="PlainText"/>
    <w:uiPriority w:val="99"/>
    <w:rsid w:val="00EE1CCE"/>
    <w:rPr>
      <w:rFonts w:ascii="Courier New" w:eastAsia="SimSun" w:hAnsi="Courier New" w:cs="Courier New"/>
      <w:color w:val="0000FF"/>
      <w:lang w:eastAsia="zh-CN"/>
    </w:rPr>
  </w:style>
  <w:style w:type="character" w:styleId="CommentReference">
    <w:name w:val="annotation reference"/>
    <w:basedOn w:val="DefaultParagraphFont"/>
    <w:rsid w:val="00EE1CCE"/>
    <w:rPr>
      <w:sz w:val="16"/>
      <w:szCs w:val="16"/>
    </w:rPr>
  </w:style>
  <w:style w:type="paragraph" w:styleId="CommentSubject">
    <w:name w:val="annotation subject"/>
    <w:basedOn w:val="CommentText"/>
    <w:next w:val="CommentText"/>
    <w:link w:val="CommentSubjectChar"/>
    <w:rsid w:val="00EE1CCE"/>
    <w:rPr>
      <w:rFonts w:eastAsia="Times New Roman"/>
      <w:b/>
      <w:bCs/>
      <w:sz w:val="20"/>
      <w:lang w:val="en-US" w:eastAsia="en-US"/>
    </w:rPr>
  </w:style>
  <w:style w:type="character" w:customStyle="1" w:styleId="CommentTextChar1">
    <w:name w:val="Comment Text Char1"/>
    <w:basedOn w:val="DefaultParagraphFont"/>
    <w:link w:val="CommentText"/>
    <w:rsid w:val="00EE1CCE"/>
    <w:rPr>
      <w:rFonts w:ascii="Arial" w:eastAsia="SimSun" w:hAnsi="Arial" w:cs="Arial"/>
      <w:sz w:val="18"/>
      <w:lang w:val="es-ES" w:eastAsia="zh-CN"/>
    </w:rPr>
  </w:style>
  <w:style w:type="character" w:customStyle="1" w:styleId="CommentSubjectChar">
    <w:name w:val="Comment Subject Char"/>
    <w:basedOn w:val="CommentTextChar1"/>
    <w:link w:val="CommentSubject"/>
    <w:rsid w:val="00EE1CCE"/>
    <w:rPr>
      <w:rFonts w:ascii="Arial" w:eastAsia="SimSun" w:hAnsi="Arial" w:cs="Arial"/>
      <w:b/>
      <w:bCs/>
      <w:sz w:val="18"/>
      <w:lang w:val="es-ES" w:eastAsia="zh-CN"/>
    </w:rPr>
  </w:style>
  <w:style w:type="character" w:styleId="PageNumber">
    <w:name w:val="page number"/>
    <w:basedOn w:val="DefaultParagraphFont"/>
    <w:rsid w:val="00EE1CCE"/>
  </w:style>
  <w:style w:type="paragraph" w:styleId="Revision">
    <w:name w:val="Revision"/>
    <w:hidden/>
    <w:uiPriority w:val="99"/>
    <w:semiHidden/>
    <w:rsid w:val="00EE1CCE"/>
    <w:rPr>
      <w:rFonts w:ascii="Arial" w:hAnsi="Arial" w:cs="Arial"/>
      <w:sz w:val="22"/>
    </w:rPr>
  </w:style>
  <w:style w:type="paragraph" w:customStyle="1" w:styleId="null">
    <w:name w:val="null"/>
    <w:basedOn w:val="Normal"/>
    <w:rsid w:val="00EE1CCE"/>
    <w:pPr>
      <w:spacing w:before="100" w:beforeAutospacing="1" w:after="100" w:afterAutospacing="1"/>
    </w:pPr>
    <w:rPr>
      <w:rFonts w:ascii="Times New Roman" w:eastAsiaTheme="minorHAnsi" w:hAnsi="Times New Roman" w:cs="Times New Roman"/>
      <w:sz w:val="24"/>
      <w:szCs w:val="24"/>
      <w:lang w:val="en-US" w:eastAsia="en-US"/>
    </w:rPr>
  </w:style>
  <w:style w:type="character" w:customStyle="1" w:styleId="null1">
    <w:name w:val="null1"/>
    <w:basedOn w:val="DefaultParagraphFont"/>
    <w:rsid w:val="00EE1CCE"/>
  </w:style>
  <w:style w:type="paragraph" w:customStyle="1" w:styleId="Endofdocument">
    <w:name w:val="End of document"/>
    <w:basedOn w:val="Normal"/>
    <w:rsid w:val="00EE1CCE"/>
    <w:pPr>
      <w:ind w:left="4536"/>
      <w:jc w:val="center"/>
    </w:pPr>
    <w:rPr>
      <w:rFonts w:ascii="Times New Roman" w:eastAsia="Times New Roman" w:hAnsi="Times New Roman" w:cs="Times New Roman"/>
      <w:sz w:val="24"/>
      <w:lang w:val="en-US" w:eastAsia="en-US"/>
    </w:rPr>
  </w:style>
  <w:style w:type="paragraph" w:styleId="BlockText">
    <w:name w:val="Block Text"/>
    <w:basedOn w:val="Normal"/>
    <w:rsid w:val="00EE1CCE"/>
    <w:pPr>
      <w:tabs>
        <w:tab w:val="left" w:pos="2127"/>
      </w:tabs>
      <w:spacing w:after="40"/>
      <w:ind w:left="2127" w:right="896" w:hanging="2127"/>
    </w:pPr>
    <w:rPr>
      <w:rFonts w:ascii="Times New Roman" w:eastAsia="Times New Roman" w:hAnsi="Times New Roman" w:cs="Times New Roman"/>
      <w:sz w:val="24"/>
      <w:lang w:val="en-US" w:eastAsia="en-US"/>
    </w:rPr>
  </w:style>
  <w:style w:type="character" w:styleId="Emphasis">
    <w:name w:val="Emphasis"/>
    <w:uiPriority w:val="20"/>
    <w:qFormat/>
    <w:rsid w:val="00EE1CCE"/>
    <w:rPr>
      <w:i/>
      <w:iCs/>
    </w:rPr>
  </w:style>
  <w:style w:type="character" w:customStyle="1" w:styleId="st">
    <w:name w:val="st"/>
    <w:basedOn w:val="DefaultParagraphFont"/>
    <w:rsid w:val="00EE1CCE"/>
  </w:style>
  <w:style w:type="paragraph" w:styleId="TOC4">
    <w:name w:val="toc 4"/>
    <w:basedOn w:val="TOC3"/>
    <w:next w:val="Normal"/>
    <w:uiPriority w:val="39"/>
    <w:rsid w:val="00EE1CCE"/>
    <w:pPr>
      <w:tabs>
        <w:tab w:val="clear" w:pos="1985"/>
      </w:tabs>
      <w:ind w:left="2410" w:hanging="1843"/>
    </w:pPr>
    <w:rPr>
      <w:i w:val="0"/>
    </w:rPr>
  </w:style>
  <w:style w:type="paragraph" w:customStyle="1" w:styleId="StyleHeading4">
    <w:name w:val="Style Heading 4"/>
    <w:basedOn w:val="Normal"/>
    <w:qFormat/>
    <w:rsid w:val="00EE1CCE"/>
    <w:pPr>
      <w:keepNext/>
      <w:ind w:left="1843" w:hanging="1843"/>
      <w:outlineLvl w:val="2"/>
    </w:pPr>
    <w:rPr>
      <w:b/>
      <w:bCs/>
      <w:i/>
      <w:sz w:val="20"/>
      <w:szCs w:val="26"/>
      <w:lang w:val="en-US"/>
    </w:rPr>
  </w:style>
  <w:style w:type="paragraph" w:styleId="TOC5">
    <w:name w:val="toc 5"/>
    <w:basedOn w:val="TOC4"/>
    <w:next w:val="Normal"/>
    <w:autoRedefine/>
    <w:uiPriority w:val="39"/>
    <w:rsid w:val="00EE1CCE"/>
    <w:pPr>
      <w:tabs>
        <w:tab w:val="clear" w:pos="2410"/>
        <w:tab w:val="left" w:pos="1985"/>
      </w:tabs>
      <w:ind w:left="1985" w:hanging="1418"/>
    </w:pPr>
  </w:style>
  <w:style w:type="character" w:customStyle="1" w:styleId="Heading3Char">
    <w:name w:val="Heading 3 Char"/>
    <w:basedOn w:val="DefaultParagraphFont"/>
    <w:link w:val="Heading3"/>
    <w:rsid w:val="00C24C56"/>
    <w:rPr>
      <w:rFonts w:ascii="Arial" w:eastAsia="SimSun" w:hAnsi="Arial" w:cs="Arial"/>
      <w:bCs/>
      <w:sz w:val="22"/>
      <w:szCs w:val="26"/>
      <w:u w:val="single"/>
      <w:lang w:val="es-ES" w:eastAsia="zh-CN"/>
    </w:rPr>
  </w:style>
  <w:style w:type="character" w:customStyle="1" w:styleId="EndnoteTextChar">
    <w:name w:val="Endnote Text Char"/>
    <w:basedOn w:val="DefaultParagraphFont"/>
    <w:link w:val="EndnoteText"/>
    <w:semiHidden/>
    <w:rsid w:val="00C24C56"/>
    <w:rPr>
      <w:rFonts w:ascii="Arial" w:eastAsia="SimSun" w:hAnsi="Arial" w:cs="Arial"/>
      <w:sz w:val="18"/>
      <w:lang w:val="es-ES" w:eastAsia="zh-CN"/>
    </w:rPr>
  </w:style>
  <w:style w:type="character" w:styleId="FollowedHyperlink">
    <w:name w:val="FollowedHyperlink"/>
    <w:basedOn w:val="DefaultParagraphFont"/>
    <w:rsid w:val="001B23B7"/>
    <w:rPr>
      <w:color w:val="800080" w:themeColor="followedHyperlink"/>
      <w:u w:val="single"/>
    </w:rPr>
  </w:style>
  <w:style w:type="character" w:customStyle="1" w:styleId="preferred">
    <w:name w:val="preferred"/>
    <w:basedOn w:val="DefaultParagraphFont"/>
    <w:rsid w:val="004E45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05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yperlink" Target="http://www.oepm.es/es/index.html" TargetMode="External"/><Relationship Id="rId21" Type="http://schemas.openxmlformats.org/officeDocument/2006/relationships/image" Target="media/image6.emf"/><Relationship Id="rId42" Type="http://schemas.openxmlformats.org/officeDocument/2006/relationships/image" Target="media/image21.emf"/><Relationship Id="rId47" Type="http://schemas.openxmlformats.org/officeDocument/2006/relationships/image" Target="media/image26.emf"/><Relationship Id="rId63" Type="http://schemas.openxmlformats.org/officeDocument/2006/relationships/image" Target="media/image42.emf"/><Relationship Id="rId68" Type="http://schemas.openxmlformats.org/officeDocument/2006/relationships/image" Target="media/image47.emf"/><Relationship Id="rId84" Type="http://schemas.openxmlformats.org/officeDocument/2006/relationships/image" Target="media/image63.emf"/><Relationship Id="rId89" Type="http://schemas.openxmlformats.org/officeDocument/2006/relationships/image" Target="media/image68.emf"/><Relationship Id="rId112" Type="http://schemas.openxmlformats.org/officeDocument/2006/relationships/image" Target="media/image86.emf"/><Relationship Id="rId133" Type="http://schemas.openxmlformats.org/officeDocument/2006/relationships/image" Target="media/image105.emf"/><Relationship Id="rId138" Type="http://schemas.openxmlformats.org/officeDocument/2006/relationships/image" Target="media/image110.emf"/><Relationship Id="rId16" Type="http://schemas.openxmlformats.org/officeDocument/2006/relationships/footer" Target="footer3.xml"/><Relationship Id="rId107" Type="http://schemas.openxmlformats.org/officeDocument/2006/relationships/image" Target="media/image81.emf"/><Relationship Id="rId11" Type="http://schemas.openxmlformats.org/officeDocument/2006/relationships/footer" Target="footer1.xml"/><Relationship Id="rId32" Type="http://schemas.openxmlformats.org/officeDocument/2006/relationships/image" Target="media/image17.emf"/><Relationship Id="rId37" Type="http://schemas.openxmlformats.org/officeDocument/2006/relationships/header" Target="header6.xml"/><Relationship Id="rId53" Type="http://schemas.openxmlformats.org/officeDocument/2006/relationships/image" Target="media/image32.emf"/><Relationship Id="rId58" Type="http://schemas.openxmlformats.org/officeDocument/2006/relationships/image" Target="media/image37.emf"/><Relationship Id="rId74" Type="http://schemas.openxmlformats.org/officeDocument/2006/relationships/image" Target="media/image53.emf"/><Relationship Id="rId79" Type="http://schemas.openxmlformats.org/officeDocument/2006/relationships/image" Target="media/image58.emf"/><Relationship Id="rId102" Type="http://schemas.openxmlformats.org/officeDocument/2006/relationships/image" Target="media/image76.emf"/><Relationship Id="rId123" Type="http://schemas.openxmlformats.org/officeDocument/2006/relationships/image" Target="media/image95.emf"/><Relationship Id="rId128" Type="http://schemas.openxmlformats.org/officeDocument/2006/relationships/image" Target="media/image100.emf"/><Relationship Id="rId144" Type="http://schemas.openxmlformats.org/officeDocument/2006/relationships/image" Target="media/image116.emf"/><Relationship Id="rId149" Type="http://schemas.openxmlformats.org/officeDocument/2006/relationships/header" Target="header10.xml"/><Relationship Id="rId5" Type="http://schemas.openxmlformats.org/officeDocument/2006/relationships/settings" Target="settings.xml"/><Relationship Id="rId90" Type="http://schemas.openxmlformats.org/officeDocument/2006/relationships/image" Target="media/image69.emf"/><Relationship Id="rId95" Type="http://schemas.openxmlformats.org/officeDocument/2006/relationships/chart" Target="charts/chart5.xml"/><Relationship Id="rId22" Type="http://schemas.openxmlformats.org/officeDocument/2006/relationships/image" Target="media/image7.emf"/><Relationship Id="rId27" Type="http://schemas.openxmlformats.org/officeDocument/2006/relationships/image" Target="media/image12.emf"/><Relationship Id="rId43" Type="http://schemas.openxmlformats.org/officeDocument/2006/relationships/image" Target="media/image22.emf"/><Relationship Id="rId48" Type="http://schemas.openxmlformats.org/officeDocument/2006/relationships/image" Target="media/image27.emf"/><Relationship Id="rId64" Type="http://schemas.openxmlformats.org/officeDocument/2006/relationships/image" Target="media/image43.emf"/><Relationship Id="rId69" Type="http://schemas.openxmlformats.org/officeDocument/2006/relationships/image" Target="media/image48.emf"/><Relationship Id="rId113" Type="http://schemas.openxmlformats.org/officeDocument/2006/relationships/image" Target="media/image87.emf"/><Relationship Id="rId118" Type="http://schemas.openxmlformats.org/officeDocument/2006/relationships/image" Target="media/image90.emf"/><Relationship Id="rId134" Type="http://schemas.openxmlformats.org/officeDocument/2006/relationships/image" Target="media/image106.emf"/><Relationship Id="rId139" Type="http://schemas.openxmlformats.org/officeDocument/2006/relationships/image" Target="media/image111.emf"/><Relationship Id="rId80" Type="http://schemas.openxmlformats.org/officeDocument/2006/relationships/image" Target="media/image59.emf"/><Relationship Id="rId85" Type="http://schemas.openxmlformats.org/officeDocument/2006/relationships/image" Target="media/image64.emf"/><Relationship Id="rId150" Type="http://schemas.openxmlformats.org/officeDocument/2006/relationships/footer" Target="footer6.xml"/><Relationship Id="rId12" Type="http://schemas.openxmlformats.org/officeDocument/2006/relationships/header" Target="header2.xml"/><Relationship Id="rId17" Type="http://schemas.openxmlformats.org/officeDocument/2006/relationships/image" Target="media/image2.emf"/><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footer" Target="footer4.xml"/><Relationship Id="rId46" Type="http://schemas.openxmlformats.org/officeDocument/2006/relationships/image" Target="media/image25.emf"/><Relationship Id="rId59" Type="http://schemas.openxmlformats.org/officeDocument/2006/relationships/image" Target="media/image38.emf"/><Relationship Id="rId67" Type="http://schemas.openxmlformats.org/officeDocument/2006/relationships/image" Target="media/image46.emf"/><Relationship Id="rId103" Type="http://schemas.openxmlformats.org/officeDocument/2006/relationships/image" Target="media/image77.emf"/><Relationship Id="rId108" Type="http://schemas.openxmlformats.org/officeDocument/2006/relationships/image" Target="media/image82.emf"/><Relationship Id="rId116" Type="http://schemas.openxmlformats.org/officeDocument/2006/relationships/hyperlink" Target="http://www.dinapi.gov.py/" TargetMode="External"/><Relationship Id="rId124" Type="http://schemas.openxmlformats.org/officeDocument/2006/relationships/image" Target="media/image96.emf"/><Relationship Id="rId129" Type="http://schemas.openxmlformats.org/officeDocument/2006/relationships/image" Target="media/image101.emf"/><Relationship Id="rId137" Type="http://schemas.openxmlformats.org/officeDocument/2006/relationships/image" Target="media/image109.emf"/><Relationship Id="rId20" Type="http://schemas.openxmlformats.org/officeDocument/2006/relationships/image" Target="media/image5.emf"/><Relationship Id="rId41" Type="http://schemas.openxmlformats.org/officeDocument/2006/relationships/header" Target="header8.xml"/><Relationship Id="rId54" Type="http://schemas.openxmlformats.org/officeDocument/2006/relationships/image" Target="media/image33.emf"/><Relationship Id="rId62" Type="http://schemas.openxmlformats.org/officeDocument/2006/relationships/image" Target="media/image41.emf"/><Relationship Id="rId70" Type="http://schemas.openxmlformats.org/officeDocument/2006/relationships/image" Target="media/image49.emf"/><Relationship Id="rId75" Type="http://schemas.openxmlformats.org/officeDocument/2006/relationships/image" Target="media/image54.emf"/><Relationship Id="rId83" Type="http://schemas.openxmlformats.org/officeDocument/2006/relationships/image" Target="media/image62.emf"/><Relationship Id="rId88" Type="http://schemas.openxmlformats.org/officeDocument/2006/relationships/image" Target="media/image67.emf"/><Relationship Id="rId91" Type="http://schemas.openxmlformats.org/officeDocument/2006/relationships/chart" Target="charts/chart1.xml"/><Relationship Id="rId96" Type="http://schemas.openxmlformats.org/officeDocument/2006/relationships/image" Target="media/image70.emf"/><Relationship Id="rId111" Type="http://schemas.openxmlformats.org/officeDocument/2006/relationships/image" Target="media/image85.emf"/><Relationship Id="rId132" Type="http://schemas.openxmlformats.org/officeDocument/2006/relationships/image" Target="media/image104.emf"/><Relationship Id="rId140" Type="http://schemas.openxmlformats.org/officeDocument/2006/relationships/image" Target="media/image112.emf"/><Relationship Id="rId145" Type="http://schemas.openxmlformats.org/officeDocument/2006/relationships/image" Target="media/image117.emf"/><Relationship Id="rId15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header" Target="header5.xml"/><Relationship Id="rId49" Type="http://schemas.openxmlformats.org/officeDocument/2006/relationships/image" Target="media/image28.emf"/><Relationship Id="rId57" Type="http://schemas.openxmlformats.org/officeDocument/2006/relationships/image" Target="media/image36.emf"/><Relationship Id="rId106" Type="http://schemas.openxmlformats.org/officeDocument/2006/relationships/image" Target="media/image80.emf"/><Relationship Id="rId114" Type="http://schemas.openxmlformats.org/officeDocument/2006/relationships/image" Target="media/image88.emf"/><Relationship Id="rId119" Type="http://schemas.openxmlformats.org/officeDocument/2006/relationships/image" Target="media/image91.emf"/><Relationship Id="rId127" Type="http://schemas.openxmlformats.org/officeDocument/2006/relationships/image" Target="media/image99.emf"/><Relationship Id="rId10" Type="http://schemas.openxmlformats.org/officeDocument/2006/relationships/header" Target="header1.xml"/><Relationship Id="rId31" Type="http://schemas.openxmlformats.org/officeDocument/2006/relationships/image" Target="media/image16.emf"/><Relationship Id="rId44" Type="http://schemas.openxmlformats.org/officeDocument/2006/relationships/image" Target="media/image23.emf"/><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4.emf"/><Relationship Id="rId73" Type="http://schemas.openxmlformats.org/officeDocument/2006/relationships/image" Target="media/image52.emf"/><Relationship Id="rId78" Type="http://schemas.openxmlformats.org/officeDocument/2006/relationships/image" Target="media/image57.emf"/><Relationship Id="rId81" Type="http://schemas.openxmlformats.org/officeDocument/2006/relationships/image" Target="media/image60.emf"/><Relationship Id="rId86" Type="http://schemas.openxmlformats.org/officeDocument/2006/relationships/image" Target="media/image65.emf"/><Relationship Id="rId94" Type="http://schemas.openxmlformats.org/officeDocument/2006/relationships/chart" Target="charts/chart4.xml"/><Relationship Id="rId99" Type="http://schemas.openxmlformats.org/officeDocument/2006/relationships/image" Target="media/image73.emf"/><Relationship Id="rId101" Type="http://schemas.openxmlformats.org/officeDocument/2006/relationships/image" Target="media/image75.emf"/><Relationship Id="rId122" Type="http://schemas.openxmlformats.org/officeDocument/2006/relationships/image" Target="media/image94.emf"/><Relationship Id="rId130" Type="http://schemas.openxmlformats.org/officeDocument/2006/relationships/image" Target="media/image102.emf"/><Relationship Id="rId135" Type="http://schemas.openxmlformats.org/officeDocument/2006/relationships/image" Target="media/image107.emf"/><Relationship Id="rId143" Type="http://schemas.openxmlformats.org/officeDocument/2006/relationships/image" Target="media/image115.emf"/><Relationship Id="rId148" Type="http://schemas.openxmlformats.org/officeDocument/2006/relationships/header" Target="header9.xml"/><Relationship Id="rId15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image" Target="media/image3.emf"/><Relationship Id="rId39" Type="http://schemas.openxmlformats.org/officeDocument/2006/relationships/footer" Target="footer5.xml"/><Relationship Id="rId109" Type="http://schemas.openxmlformats.org/officeDocument/2006/relationships/image" Target="media/image83.emf"/><Relationship Id="rId34" Type="http://schemas.openxmlformats.org/officeDocument/2006/relationships/image" Target="media/image19.emf"/><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5.emf"/><Relationship Id="rId97" Type="http://schemas.openxmlformats.org/officeDocument/2006/relationships/image" Target="media/image71.emf"/><Relationship Id="rId104" Type="http://schemas.openxmlformats.org/officeDocument/2006/relationships/image" Target="media/image78.emf"/><Relationship Id="rId120" Type="http://schemas.openxmlformats.org/officeDocument/2006/relationships/image" Target="media/image92.emf"/><Relationship Id="rId125" Type="http://schemas.openxmlformats.org/officeDocument/2006/relationships/image" Target="media/image97.emf"/><Relationship Id="rId141" Type="http://schemas.openxmlformats.org/officeDocument/2006/relationships/image" Target="media/image113.emf"/><Relationship Id="rId146" Type="http://schemas.openxmlformats.org/officeDocument/2006/relationships/image" Target="media/image118.emf"/><Relationship Id="rId7" Type="http://schemas.openxmlformats.org/officeDocument/2006/relationships/footnotes" Target="footnotes.xml"/><Relationship Id="rId71" Type="http://schemas.openxmlformats.org/officeDocument/2006/relationships/image" Target="media/image50.emf"/><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image" Target="media/image9.emf"/><Relationship Id="rId40" Type="http://schemas.openxmlformats.org/officeDocument/2006/relationships/header" Target="header7.xml"/><Relationship Id="rId45" Type="http://schemas.openxmlformats.org/officeDocument/2006/relationships/image" Target="media/image24.emf"/><Relationship Id="rId66" Type="http://schemas.openxmlformats.org/officeDocument/2006/relationships/image" Target="media/image45.emf"/><Relationship Id="rId87" Type="http://schemas.openxmlformats.org/officeDocument/2006/relationships/image" Target="media/image66.emf"/><Relationship Id="rId110" Type="http://schemas.openxmlformats.org/officeDocument/2006/relationships/image" Target="media/image84.emf"/><Relationship Id="rId115" Type="http://schemas.openxmlformats.org/officeDocument/2006/relationships/image" Target="media/image89.emf"/><Relationship Id="rId131" Type="http://schemas.openxmlformats.org/officeDocument/2006/relationships/image" Target="media/image103.emf"/><Relationship Id="rId136" Type="http://schemas.openxmlformats.org/officeDocument/2006/relationships/image" Target="media/image108.emf"/><Relationship Id="rId61" Type="http://schemas.openxmlformats.org/officeDocument/2006/relationships/image" Target="media/image40.emf"/><Relationship Id="rId82" Type="http://schemas.openxmlformats.org/officeDocument/2006/relationships/image" Target="media/image61.emf"/><Relationship Id="rId152" Type="http://schemas.openxmlformats.org/officeDocument/2006/relationships/fontTable" Target="fontTable.xml"/><Relationship Id="rId19" Type="http://schemas.openxmlformats.org/officeDocument/2006/relationships/image" Target="media/image4.emf"/><Relationship Id="rId14" Type="http://schemas.openxmlformats.org/officeDocument/2006/relationships/footer" Target="footer2.xml"/><Relationship Id="rId30" Type="http://schemas.openxmlformats.org/officeDocument/2006/relationships/image" Target="media/image15.emf"/><Relationship Id="rId35" Type="http://schemas.openxmlformats.org/officeDocument/2006/relationships/image" Target="media/image20.emf"/><Relationship Id="rId56" Type="http://schemas.openxmlformats.org/officeDocument/2006/relationships/image" Target="media/image35.emf"/><Relationship Id="rId77" Type="http://schemas.openxmlformats.org/officeDocument/2006/relationships/image" Target="media/image56.emf"/><Relationship Id="rId100" Type="http://schemas.openxmlformats.org/officeDocument/2006/relationships/image" Target="media/image74.emf"/><Relationship Id="rId105" Type="http://schemas.openxmlformats.org/officeDocument/2006/relationships/image" Target="media/image79.emf"/><Relationship Id="rId126" Type="http://schemas.openxmlformats.org/officeDocument/2006/relationships/image" Target="media/image98.emf"/><Relationship Id="rId147" Type="http://schemas.openxmlformats.org/officeDocument/2006/relationships/image" Target="media/image119.emf"/><Relationship Id="rId8" Type="http://schemas.openxmlformats.org/officeDocument/2006/relationships/endnotes" Target="endnotes.xml"/><Relationship Id="rId51" Type="http://schemas.openxmlformats.org/officeDocument/2006/relationships/image" Target="media/image30.emf"/><Relationship Id="rId72" Type="http://schemas.openxmlformats.org/officeDocument/2006/relationships/image" Target="media/image51.emf"/><Relationship Id="rId93" Type="http://schemas.openxmlformats.org/officeDocument/2006/relationships/chart" Target="charts/chart3.xml"/><Relationship Id="rId98" Type="http://schemas.openxmlformats.org/officeDocument/2006/relationships/image" Target="media/image72.emf"/><Relationship Id="rId121" Type="http://schemas.openxmlformats.org/officeDocument/2006/relationships/image" Target="media/image93.emf"/><Relationship Id="rId142" Type="http://schemas.openxmlformats.org/officeDocument/2006/relationships/image" Target="media/image114.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meetings/es/doc_details.jsp?doc_id=331458" TargetMode="External"/><Relationship Id="rId13" Type="http://schemas.openxmlformats.org/officeDocument/2006/relationships/hyperlink" Target="http://www.wipo.int/edocs/mdocs/copyright/en/sccr_33/sccr_33_summary_by_the_chair.pdf" TargetMode="External"/><Relationship Id="rId18" Type="http://schemas.openxmlformats.org/officeDocument/2006/relationships/hyperlink" Target="file:///\\Wipogvafs01\DAT2\ORGLAN\SHARED\LANS%20New\FAB%20Main\41831\madrid.qp@wipo.int" TargetMode="External"/><Relationship Id="rId26" Type="http://schemas.openxmlformats.org/officeDocument/2006/relationships/hyperlink" Target="http://www.wipo.int/meetings/en/doc_details.jsp?doc_id=343158" TargetMode="External"/><Relationship Id="rId3" Type="http://schemas.openxmlformats.org/officeDocument/2006/relationships/hyperlink" Target="http://www.wipo.int/meetings/es/doc_details.jsp?doc_id=323086" TargetMode="External"/><Relationship Id="rId21" Type="http://schemas.openxmlformats.org/officeDocument/2006/relationships/hyperlink" Target="https://www.globalinnovationindex.org/" TargetMode="External"/><Relationship Id="rId7" Type="http://schemas.openxmlformats.org/officeDocument/2006/relationships/hyperlink" Target="http://www.wipo.int/meetings/es/doc_details.jsp?doc_id=364803" TargetMode="External"/><Relationship Id="rId12" Type="http://schemas.openxmlformats.org/officeDocument/2006/relationships/hyperlink" Target="http://www.wipo.int/meetings/es/doc_details.jsp?doc_id=338097" TargetMode="External"/><Relationship Id="rId17" Type="http://schemas.openxmlformats.org/officeDocument/2006/relationships/hyperlink" Target="http://www.wipo.int/meetings/es/doc_details.jsp?doc_id=360378" TargetMode="External"/><Relationship Id="rId25" Type="http://schemas.openxmlformats.org/officeDocument/2006/relationships/hyperlink" Target="http://www.wipo.int/meetings/es/doc_details.jsp?doc_id=342238" TargetMode="External"/><Relationship Id="rId2" Type="http://schemas.openxmlformats.org/officeDocument/2006/relationships/hyperlink" Target="http://www.wipo.int/meetings/en/doc_details.jsp?doc_id=347436" TargetMode="External"/><Relationship Id="rId16" Type="http://schemas.openxmlformats.org/officeDocument/2006/relationships/hyperlink" Target="http://www.wipo.int/meetings/es/doc_details.jsp?doc_id=334617" TargetMode="External"/><Relationship Id="rId20" Type="http://schemas.openxmlformats.org/officeDocument/2006/relationships/hyperlink" Target="http://www.wipo.int/econ_stat/es/economics/gii/" TargetMode="External"/><Relationship Id="rId1" Type="http://schemas.openxmlformats.org/officeDocument/2006/relationships/hyperlink" Target="http://www.wipo.int/amc/en/new/2016_qmsurvey.html" TargetMode="External"/><Relationship Id="rId6" Type="http://schemas.openxmlformats.org/officeDocument/2006/relationships/hyperlink" Target="http://www.wipo.int/meetings/es/doc_details.jsp?doc_id=354223" TargetMode="External"/><Relationship Id="rId11" Type="http://schemas.openxmlformats.org/officeDocument/2006/relationships/hyperlink" Target="http://www.wipo.int/meetings/es/doc_details.jsp?doc_id=328356" TargetMode="External"/><Relationship Id="rId24" Type="http://schemas.openxmlformats.org/officeDocument/2006/relationships/hyperlink" Target="http://www.wipo.int/meetings/es/doc_details.jsp?doc_id=310196" TargetMode="External"/><Relationship Id="rId5" Type="http://schemas.openxmlformats.org/officeDocument/2006/relationships/hyperlink" Target="http://www.wipo.int/meetings/es/doc_details.jsp?doc_id=361336" TargetMode="External"/><Relationship Id="rId15" Type="http://schemas.openxmlformats.org/officeDocument/2006/relationships/hyperlink" Target="http://www.wipo.int/meetings/es/doc_details.jsp?doc_id=313056" TargetMode="External"/><Relationship Id="rId23" Type="http://schemas.openxmlformats.org/officeDocument/2006/relationships/hyperlink" Target="http://www.wipo.int/meetings/en/doc_details.jsp?doc_id=312736" TargetMode="External"/><Relationship Id="rId10" Type="http://schemas.openxmlformats.org/officeDocument/2006/relationships/hyperlink" Target="http://www.wipo.int/edocs/mdocs/copyright/en/sccr_31/sccr31_ref_summary_by_chair.pdf" TargetMode="External"/><Relationship Id="rId19" Type="http://schemas.openxmlformats.org/officeDocument/2006/relationships/hyperlink" Target="http://www.wipo.int/meetings/en/doc_details.jsp?doc_id=347436" TargetMode="External"/><Relationship Id="rId4" Type="http://schemas.openxmlformats.org/officeDocument/2006/relationships/hyperlink" Target="http://www.wipo.int/meetings/es/doc_details.jsp?doc_id=342596" TargetMode="External"/><Relationship Id="rId9" Type="http://schemas.openxmlformats.org/officeDocument/2006/relationships/hyperlink" Target="http://www.wipo.int/meetings/es/doc_details.jsp?doc_id=354935" TargetMode="External"/><Relationship Id="rId14" Type="http://schemas.openxmlformats.org/officeDocument/2006/relationships/hyperlink" Target="http://www.wipo.int/meetings/es/doc_details.jsp?doc_id=358896" TargetMode="External"/><Relationship Id="rId22" Type="http://schemas.openxmlformats.org/officeDocument/2006/relationships/hyperlink" Target="http://www.wipo.int/edocs/pubdocs/es/wipo_pub_944_2015.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Meetings\BUDGET\WO%20PBC%2026%20(S).dotm"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NULL"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NULL"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NULL"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Nivel de calidad obtenido:  Clasificación de Niza, 2016</a:t>
            </a:r>
          </a:p>
        </c:rich>
      </c:tx>
      <c:layout/>
      <c:overlay val="0"/>
    </c:title>
    <c:autoTitleDeleted val="0"/>
    <c:plotArea>
      <c:layout>
        <c:manualLayout>
          <c:layoutTarget val="inner"/>
          <c:xMode val="edge"/>
          <c:yMode val="edge"/>
          <c:x val="9.1782976586410436E-2"/>
          <c:y val="0.15979902512185976"/>
          <c:w val="0.88174289585642951"/>
          <c:h val="0.74686064241969752"/>
        </c:manualLayout>
      </c:layout>
      <c:barChart>
        <c:barDir val="col"/>
        <c:grouping val="clustered"/>
        <c:varyColors val="0"/>
        <c:ser>
          <c:idx val="0"/>
          <c:order val="0"/>
          <c:tx>
            <c:strRef>
              <c:f>'Overall Performance'!$B$99</c:f>
              <c:strCache>
                <c:ptCount val="1"/>
                <c:pt idx="0">
                  <c:v>NICE OK </c:v>
                </c:pt>
              </c:strCache>
            </c:strRef>
          </c:tx>
          <c:invertIfNegative val="0"/>
          <c:dLbls>
            <c:dLbl>
              <c:idx val="0"/>
              <c:layout/>
              <c:tx>
                <c:rich>
                  <a:bodyPr/>
                  <a:lstStyle/>
                  <a:p>
                    <a:r>
                      <a:rPr lang="en-US" sz="1000" b="1">
                        <a:solidFill>
                          <a:schemeClr val="bg1"/>
                        </a:solidFill>
                      </a:rPr>
                      <a:t>89%</a:t>
                    </a:r>
                    <a:endParaRPr lang="en-US">
                      <a:solidFill>
                        <a:schemeClr val="bg1"/>
                      </a:solidFill>
                    </a:endParaRPr>
                  </a:p>
                </c:rich>
              </c:tx>
              <c:dLblPos val="ctr"/>
              <c:showLegendKey val="0"/>
              <c:showVal val="1"/>
              <c:showCatName val="0"/>
              <c:showSerName val="0"/>
              <c:showPercent val="0"/>
              <c:showBubbleSize val="0"/>
            </c:dLbl>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Performance'!$A$100:$A$101</c:f>
              <c:numCache>
                <c:formatCode>General</c:formatCode>
                <c:ptCount val="2"/>
                <c:pt idx="0">
                  <c:v>2015</c:v>
                </c:pt>
                <c:pt idx="1">
                  <c:v>2016</c:v>
                </c:pt>
              </c:numCache>
            </c:numRef>
          </c:cat>
          <c:val>
            <c:numRef>
              <c:f>'Overall Performance'!$B$100:$B$101</c:f>
              <c:numCache>
                <c:formatCode>0%</c:formatCode>
                <c:ptCount val="2"/>
                <c:pt idx="0">
                  <c:v>0.89</c:v>
                </c:pt>
                <c:pt idx="1">
                  <c:v>0.91</c:v>
                </c:pt>
              </c:numCache>
            </c:numRef>
          </c:val>
        </c:ser>
        <c:dLbls>
          <c:showLegendKey val="0"/>
          <c:showVal val="0"/>
          <c:showCatName val="0"/>
          <c:showSerName val="0"/>
          <c:showPercent val="0"/>
          <c:showBubbleSize val="0"/>
        </c:dLbls>
        <c:gapWidth val="150"/>
        <c:axId val="72491776"/>
        <c:axId val="72630656"/>
      </c:barChart>
      <c:lineChart>
        <c:grouping val="standard"/>
        <c:varyColors val="0"/>
        <c:ser>
          <c:idx val="1"/>
          <c:order val="1"/>
          <c:tx>
            <c:strRef>
              <c:f>'Overall Performance'!$C$99</c:f>
              <c:strCache>
                <c:ptCount val="1"/>
                <c:pt idx="0">
                  <c:v>AQL</c:v>
                </c:pt>
              </c:strCache>
            </c:strRef>
          </c:tx>
          <c:marker>
            <c:symbol val="none"/>
          </c:marker>
          <c:cat>
            <c:numRef>
              <c:f>'Overall Performance'!$A$100:$A$101</c:f>
              <c:numCache>
                <c:formatCode>General</c:formatCode>
                <c:ptCount val="2"/>
                <c:pt idx="0">
                  <c:v>2015</c:v>
                </c:pt>
                <c:pt idx="1">
                  <c:v>2016</c:v>
                </c:pt>
              </c:numCache>
            </c:numRef>
          </c:cat>
          <c:val>
            <c:numRef>
              <c:f>'Overall Performance'!$C$100:$C$101</c:f>
              <c:numCache>
                <c:formatCode>0%</c:formatCode>
                <c:ptCount val="2"/>
                <c:pt idx="0">
                  <c:v>0.9</c:v>
                </c:pt>
                <c:pt idx="1">
                  <c:v>0.9</c:v>
                </c:pt>
              </c:numCache>
            </c:numRef>
          </c:val>
          <c:smooth val="0"/>
        </c:ser>
        <c:dLbls>
          <c:showLegendKey val="0"/>
          <c:showVal val="0"/>
          <c:showCatName val="0"/>
          <c:showSerName val="0"/>
          <c:showPercent val="0"/>
          <c:showBubbleSize val="0"/>
        </c:dLbls>
        <c:marker val="1"/>
        <c:smooth val="0"/>
        <c:axId val="72491776"/>
        <c:axId val="72630656"/>
      </c:lineChart>
      <c:catAx>
        <c:axId val="72491776"/>
        <c:scaling>
          <c:orientation val="minMax"/>
        </c:scaling>
        <c:delete val="0"/>
        <c:axPos val="b"/>
        <c:numFmt formatCode="General" sourceLinked="1"/>
        <c:majorTickMark val="none"/>
        <c:minorTickMark val="none"/>
        <c:tickLblPos val="nextTo"/>
        <c:crossAx val="72630656"/>
        <c:crossesAt val="0"/>
        <c:auto val="1"/>
        <c:lblAlgn val="ctr"/>
        <c:lblOffset val="100"/>
        <c:noMultiLvlLbl val="0"/>
      </c:catAx>
      <c:valAx>
        <c:axId val="72630656"/>
        <c:scaling>
          <c:orientation val="minMax"/>
          <c:max val="1"/>
          <c:min val="0"/>
        </c:scaling>
        <c:delete val="0"/>
        <c:axPos val="l"/>
        <c:numFmt formatCode="0%" sourceLinked="1"/>
        <c:majorTickMark val="none"/>
        <c:minorTickMark val="none"/>
        <c:tickLblPos val="nextTo"/>
        <c:crossAx val="72491776"/>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Nivel de calidad</a:t>
            </a:r>
            <a:r>
              <a:rPr lang="en-US" sz="1000" baseline="0"/>
              <a:t> obtenido:  Examen de forma</a:t>
            </a:r>
            <a:r>
              <a:rPr lang="en-US" sz="1000"/>
              <a:t>, 2016</a:t>
            </a:r>
          </a:p>
        </c:rich>
      </c:tx>
      <c:layout>
        <c:manualLayout>
          <c:xMode val="edge"/>
          <c:yMode val="edge"/>
          <c:x val="0.2126250267029767"/>
          <c:y val="2.6755852842809364E-2"/>
        </c:manualLayout>
      </c:layout>
      <c:overlay val="0"/>
    </c:title>
    <c:autoTitleDeleted val="0"/>
    <c:plotArea>
      <c:layout/>
      <c:barChart>
        <c:barDir val="col"/>
        <c:grouping val="clustered"/>
        <c:varyColors val="0"/>
        <c:ser>
          <c:idx val="0"/>
          <c:order val="0"/>
          <c:tx>
            <c:strRef>
              <c:f>'Overall Teams Performance'!$B$94</c:f>
              <c:strCache>
                <c:ptCount val="1"/>
                <c:pt idx="0">
                  <c:v>APEX OK </c:v>
                </c:pt>
              </c:strCache>
            </c:strRef>
          </c:tx>
          <c:invertIfNegative val="0"/>
          <c:dLbls>
            <c:txPr>
              <a:bodyPr/>
              <a:lstStyle/>
              <a:p>
                <a:pPr>
                  <a:defRPr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Performance'!$A$95:$A$96</c:f>
              <c:numCache>
                <c:formatCode>General</c:formatCode>
                <c:ptCount val="2"/>
                <c:pt idx="0">
                  <c:v>2015</c:v>
                </c:pt>
                <c:pt idx="1">
                  <c:v>2016</c:v>
                </c:pt>
              </c:numCache>
            </c:numRef>
          </c:cat>
          <c:val>
            <c:numRef>
              <c:f>'Overall Teams Performance'!$B$95:$B$96</c:f>
              <c:numCache>
                <c:formatCode>0%</c:formatCode>
                <c:ptCount val="2"/>
                <c:pt idx="0">
                  <c:v>0.95</c:v>
                </c:pt>
                <c:pt idx="1">
                  <c:v>0.94</c:v>
                </c:pt>
              </c:numCache>
            </c:numRef>
          </c:val>
        </c:ser>
        <c:dLbls>
          <c:showLegendKey val="0"/>
          <c:showVal val="0"/>
          <c:showCatName val="0"/>
          <c:showSerName val="0"/>
          <c:showPercent val="0"/>
          <c:showBubbleSize val="0"/>
        </c:dLbls>
        <c:gapWidth val="150"/>
        <c:axId val="117819264"/>
        <c:axId val="122440320"/>
      </c:barChart>
      <c:lineChart>
        <c:grouping val="stacked"/>
        <c:varyColors val="0"/>
        <c:ser>
          <c:idx val="1"/>
          <c:order val="1"/>
          <c:tx>
            <c:strRef>
              <c:f>'Overall Teams Performance'!$C$94</c:f>
              <c:strCache>
                <c:ptCount val="1"/>
                <c:pt idx="0">
                  <c:v>AQL</c:v>
                </c:pt>
              </c:strCache>
            </c:strRef>
          </c:tx>
          <c:marker>
            <c:symbol val="none"/>
          </c:marker>
          <c:cat>
            <c:numRef>
              <c:f>'Overall Teams Performance'!$A$95:$A$96</c:f>
              <c:numCache>
                <c:formatCode>General</c:formatCode>
                <c:ptCount val="2"/>
                <c:pt idx="0">
                  <c:v>2015</c:v>
                </c:pt>
                <c:pt idx="1">
                  <c:v>2016</c:v>
                </c:pt>
              </c:numCache>
            </c:numRef>
          </c:cat>
          <c:val>
            <c:numRef>
              <c:f>'Overall Teams Performance'!$C$95:$C$96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117819264"/>
        <c:axId val="122440320"/>
      </c:lineChart>
      <c:catAx>
        <c:axId val="117819264"/>
        <c:scaling>
          <c:orientation val="minMax"/>
        </c:scaling>
        <c:delete val="0"/>
        <c:axPos val="b"/>
        <c:numFmt formatCode="General" sourceLinked="1"/>
        <c:majorTickMark val="none"/>
        <c:minorTickMark val="none"/>
        <c:tickLblPos val="nextTo"/>
        <c:crossAx val="122440320"/>
        <c:crossesAt val="0"/>
        <c:auto val="1"/>
        <c:lblAlgn val="ctr"/>
        <c:lblOffset val="100"/>
        <c:noMultiLvlLbl val="0"/>
      </c:catAx>
      <c:valAx>
        <c:axId val="122440320"/>
        <c:scaling>
          <c:orientation val="minMax"/>
          <c:max val="1"/>
          <c:min val="0"/>
        </c:scaling>
        <c:delete val="0"/>
        <c:axPos val="l"/>
        <c:majorGridlines>
          <c:spPr>
            <a:ln>
              <a:noFill/>
            </a:ln>
          </c:spPr>
        </c:majorGridlines>
        <c:numFmt formatCode="0%" sourceLinked="1"/>
        <c:majorTickMark val="none"/>
        <c:minorTickMark val="none"/>
        <c:tickLblPos val="nextTo"/>
        <c:crossAx val="117819264"/>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sz="1000">
          <a:solidFill>
            <a:schemeClr val="dk1"/>
          </a:solidFill>
          <a:latin typeface="+mn-lt"/>
          <a:ea typeface="+mn-ea"/>
          <a:cs typeface="+mn-cs"/>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Nivel de calidad obtenido:</a:t>
            </a:r>
            <a:r>
              <a:rPr lang="en-US" sz="1000" baseline="0"/>
              <a:t>  Decisiones</a:t>
            </a:r>
            <a:r>
              <a:rPr lang="en-US" sz="1000"/>
              <a:t>, 2016</a:t>
            </a:r>
          </a:p>
        </c:rich>
      </c:tx>
      <c:layout/>
      <c:overlay val="0"/>
    </c:title>
    <c:autoTitleDeleted val="0"/>
    <c:plotArea>
      <c:layout/>
      <c:barChart>
        <c:barDir val="col"/>
        <c:grouping val="clustered"/>
        <c:varyColors val="0"/>
        <c:ser>
          <c:idx val="0"/>
          <c:order val="0"/>
          <c:tx>
            <c:strRef>
              <c:f>'Overall performance'!$B$139</c:f>
              <c:strCache>
                <c:ptCount val="1"/>
                <c:pt idx="0">
                  <c:v>Decisions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performance'!$A$140:$A$141</c:f>
              <c:numCache>
                <c:formatCode>General</c:formatCode>
                <c:ptCount val="2"/>
                <c:pt idx="0">
                  <c:v>2015</c:v>
                </c:pt>
                <c:pt idx="1">
                  <c:v>2016</c:v>
                </c:pt>
              </c:numCache>
            </c:numRef>
          </c:cat>
          <c:val>
            <c:numRef>
              <c:f>'Overall performance'!$B$140:$B$141</c:f>
              <c:numCache>
                <c:formatCode>0%</c:formatCode>
                <c:ptCount val="2"/>
                <c:pt idx="0">
                  <c:v>0.99</c:v>
                </c:pt>
                <c:pt idx="1">
                  <c:v>0.96</c:v>
                </c:pt>
              </c:numCache>
            </c:numRef>
          </c:val>
        </c:ser>
        <c:dLbls>
          <c:showLegendKey val="0"/>
          <c:showVal val="0"/>
          <c:showCatName val="0"/>
          <c:showSerName val="0"/>
          <c:showPercent val="0"/>
          <c:showBubbleSize val="0"/>
        </c:dLbls>
        <c:gapWidth val="150"/>
        <c:axId val="195362176"/>
        <c:axId val="233690240"/>
      </c:barChart>
      <c:lineChart>
        <c:grouping val="standard"/>
        <c:varyColors val="0"/>
        <c:ser>
          <c:idx val="1"/>
          <c:order val="1"/>
          <c:tx>
            <c:strRef>
              <c:f>'Overall performance'!$C$139</c:f>
              <c:strCache>
                <c:ptCount val="1"/>
                <c:pt idx="0">
                  <c:v>AQL</c:v>
                </c:pt>
              </c:strCache>
            </c:strRef>
          </c:tx>
          <c:marker>
            <c:symbol val="none"/>
          </c:marker>
          <c:cat>
            <c:numRef>
              <c:f>'Overall performance'!$A$140:$A$141</c:f>
              <c:numCache>
                <c:formatCode>General</c:formatCode>
                <c:ptCount val="2"/>
                <c:pt idx="0">
                  <c:v>2015</c:v>
                </c:pt>
                <c:pt idx="1">
                  <c:v>2016</c:v>
                </c:pt>
              </c:numCache>
            </c:numRef>
          </c:cat>
          <c:val>
            <c:numRef>
              <c:f>'Overall performance'!$C$140:$C$141</c:f>
              <c:numCache>
                <c:formatCode>0%</c:formatCode>
                <c:ptCount val="2"/>
                <c:pt idx="0">
                  <c:v>0.97</c:v>
                </c:pt>
                <c:pt idx="1">
                  <c:v>0.97</c:v>
                </c:pt>
              </c:numCache>
            </c:numRef>
          </c:val>
          <c:smooth val="0"/>
        </c:ser>
        <c:dLbls>
          <c:showLegendKey val="0"/>
          <c:showVal val="0"/>
          <c:showCatName val="0"/>
          <c:showSerName val="0"/>
          <c:showPercent val="0"/>
          <c:showBubbleSize val="0"/>
        </c:dLbls>
        <c:marker val="1"/>
        <c:smooth val="0"/>
        <c:axId val="195362176"/>
        <c:axId val="233690240"/>
      </c:lineChart>
      <c:catAx>
        <c:axId val="195362176"/>
        <c:scaling>
          <c:orientation val="minMax"/>
        </c:scaling>
        <c:delete val="0"/>
        <c:axPos val="b"/>
        <c:numFmt formatCode="General" sourceLinked="1"/>
        <c:majorTickMark val="none"/>
        <c:minorTickMark val="none"/>
        <c:tickLblPos val="nextTo"/>
        <c:txPr>
          <a:bodyPr/>
          <a:lstStyle/>
          <a:p>
            <a:pPr>
              <a:defRPr sz="1000" b="0"/>
            </a:pPr>
            <a:endParaRPr lang="en-US"/>
          </a:p>
        </c:txPr>
        <c:crossAx val="233690240"/>
        <c:crossesAt val="0"/>
        <c:auto val="1"/>
        <c:lblAlgn val="ctr"/>
        <c:lblOffset val="100"/>
        <c:noMultiLvlLbl val="0"/>
      </c:catAx>
      <c:valAx>
        <c:axId val="233690240"/>
        <c:scaling>
          <c:orientation val="minMax"/>
          <c:max val="1"/>
          <c:min val="0"/>
        </c:scaling>
        <c:delete val="0"/>
        <c:axPos val="l"/>
        <c:majorGridlines>
          <c:spPr>
            <a:ln>
              <a:noFill/>
            </a:ln>
          </c:spPr>
        </c:majorGridlines>
        <c:numFmt formatCode="0%" sourceLinked="1"/>
        <c:majorTickMark val="none"/>
        <c:minorTickMark val="none"/>
        <c:tickLblPos val="nextTo"/>
        <c:crossAx val="195362176"/>
        <c:crosses val="autoZero"/>
        <c:crossBetween val="between"/>
        <c:majorUnit val="0.2"/>
        <c:minorUnit val="1.0000000000000002E-3"/>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Nivel de calidad</a:t>
            </a:r>
            <a:r>
              <a:rPr lang="en-US" sz="1000" baseline="0"/>
              <a:t> obtenido:  Modificaciones, 2016</a:t>
            </a:r>
            <a:endParaRPr lang="en-US" sz="1000"/>
          </a:p>
        </c:rich>
      </c:tx>
      <c:layout/>
      <c:overlay val="0"/>
    </c:title>
    <c:autoTitleDeleted val="0"/>
    <c:plotArea>
      <c:layout/>
      <c:barChart>
        <c:barDir val="col"/>
        <c:grouping val="clustered"/>
        <c:varyColors val="0"/>
        <c:ser>
          <c:idx val="0"/>
          <c:order val="0"/>
          <c:tx>
            <c:strRef>
              <c:f>'Overall Teams performance'!$B$74</c:f>
              <c:strCache>
                <c:ptCount val="1"/>
                <c:pt idx="0">
                  <c:v>MOD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Teams performance'!$A$75:$A$76</c:f>
              <c:numCache>
                <c:formatCode>General</c:formatCode>
                <c:ptCount val="2"/>
                <c:pt idx="0">
                  <c:v>2015</c:v>
                </c:pt>
                <c:pt idx="1">
                  <c:v>2016</c:v>
                </c:pt>
              </c:numCache>
            </c:numRef>
          </c:cat>
          <c:val>
            <c:numRef>
              <c:f>'Overall Teams performance'!$B$75:$B$76</c:f>
              <c:numCache>
                <c:formatCode>0%</c:formatCode>
                <c:ptCount val="2"/>
                <c:pt idx="0">
                  <c:v>0.95</c:v>
                </c:pt>
                <c:pt idx="1">
                  <c:v>0.95</c:v>
                </c:pt>
              </c:numCache>
            </c:numRef>
          </c:val>
        </c:ser>
        <c:dLbls>
          <c:showLegendKey val="0"/>
          <c:showVal val="0"/>
          <c:showCatName val="0"/>
          <c:showSerName val="0"/>
          <c:showPercent val="0"/>
          <c:showBubbleSize val="0"/>
        </c:dLbls>
        <c:gapWidth val="150"/>
        <c:axId val="241758976"/>
        <c:axId val="241760512"/>
      </c:barChart>
      <c:lineChart>
        <c:grouping val="standard"/>
        <c:varyColors val="0"/>
        <c:ser>
          <c:idx val="1"/>
          <c:order val="1"/>
          <c:tx>
            <c:strRef>
              <c:f>'Overall Teams performance'!$C$74</c:f>
              <c:strCache>
                <c:ptCount val="1"/>
                <c:pt idx="0">
                  <c:v>AQL</c:v>
                </c:pt>
              </c:strCache>
            </c:strRef>
          </c:tx>
          <c:marker>
            <c:symbol val="none"/>
          </c:marker>
          <c:cat>
            <c:numRef>
              <c:f>'Overall Teams performance'!$A$75:$A$76</c:f>
              <c:numCache>
                <c:formatCode>General</c:formatCode>
                <c:ptCount val="2"/>
                <c:pt idx="0">
                  <c:v>2015</c:v>
                </c:pt>
                <c:pt idx="1">
                  <c:v>2016</c:v>
                </c:pt>
              </c:numCache>
            </c:numRef>
          </c:cat>
          <c:val>
            <c:numRef>
              <c:f>'Overall Teams performance'!$C$75:$C$76</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241758976"/>
        <c:axId val="241760512"/>
      </c:lineChart>
      <c:catAx>
        <c:axId val="241758976"/>
        <c:scaling>
          <c:orientation val="minMax"/>
        </c:scaling>
        <c:delete val="0"/>
        <c:axPos val="b"/>
        <c:numFmt formatCode="General" sourceLinked="1"/>
        <c:majorTickMark val="none"/>
        <c:minorTickMark val="none"/>
        <c:tickLblPos val="nextTo"/>
        <c:crossAx val="241760512"/>
        <c:crosses val="autoZero"/>
        <c:auto val="1"/>
        <c:lblAlgn val="ctr"/>
        <c:lblOffset val="100"/>
        <c:noMultiLvlLbl val="0"/>
      </c:catAx>
      <c:valAx>
        <c:axId val="241760512"/>
        <c:scaling>
          <c:orientation val="minMax"/>
        </c:scaling>
        <c:delete val="0"/>
        <c:axPos val="l"/>
        <c:majorGridlines>
          <c:spPr>
            <a:ln>
              <a:noFill/>
            </a:ln>
          </c:spPr>
        </c:majorGridlines>
        <c:numFmt formatCode="0%" sourceLinked="1"/>
        <c:majorTickMark val="none"/>
        <c:minorTickMark val="none"/>
        <c:tickLblPos val="nextTo"/>
        <c:crossAx val="241758976"/>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Nivel de calidad obtenido:  Renovaciones,</a:t>
            </a:r>
            <a:r>
              <a:rPr lang="en-US" sz="1000" baseline="0"/>
              <a:t> </a:t>
            </a:r>
            <a:r>
              <a:rPr lang="en-US" sz="1000"/>
              <a:t>2016</a:t>
            </a:r>
          </a:p>
        </c:rich>
      </c:tx>
      <c:layout/>
      <c:overlay val="0"/>
    </c:title>
    <c:autoTitleDeleted val="0"/>
    <c:plotArea>
      <c:layout/>
      <c:barChart>
        <c:barDir val="col"/>
        <c:grouping val="clustered"/>
        <c:varyColors val="0"/>
        <c:ser>
          <c:idx val="0"/>
          <c:order val="0"/>
          <c:tx>
            <c:strRef>
              <c:f>'Overall performance'!$B$206</c:f>
              <c:strCache>
                <c:ptCount val="1"/>
                <c:pt idx="0">
                  <c:v>RE OK</c:v>
                </c:pt>
              </c:strCache>
            </c:strRef>
          </c:tx>
          <c:invertIfNegative val="0"/>
          <c:dLbls>
            <c:txPr>
              <a:bodyPr/>
              <a:lstStyle/>
              <a:p>
                <a:pPr>
                  <a:defRPr sz="1000" b="1">
                    <a:solidFill>
                      <a:schemeClr val="bg1"/>
                    </a:solidFill>
                  </a:defRPr>
                </a:pPr>
                <a:endParaRPr lang="en-US"/>
              </a:p>
            </c:txPr>
            <c:dLblPos val="ctr"/>
            <c:showLegendKey val="0"/>
            <c:showVal val="1"/>
            <c:showCatName val="0"/>
            <c:showSerName val="0"/>
            <c:showPercent val="0"/>
            <c:showBubbleSize val="0"/>
            <c:showLeaderLines val="0"/>
          </c:dLbls>
          <c:cat>
            <c:numRef>
              <c:f>'Overall performance'!$A$207:$A$208</c:f>
              <c:numCache>
                <c:formatCode>General</c:formatCode>
                <c:ptCount val="2"/>
                <c:pt idx="0">
                  <c:v>2015</c:v>
                </c:pt>
                <c:pt idx="1">
                  <c:v>2016</c:v>
                </c:pt>
              </c:numCache>
            </c:numRef>
          </c:cat>
          <c:val>
            <c:numRef>
              <c:f>'Overall performance'!$B$207:$B$208</c:f>
              <c:numCache>
                <c:formatCode>0%</c:formatCode>
                <c:ptCount val="2"/>
                <c:pt idx="0">
                  <c:v>0.92</c:v>
                </c:pt>
                <c:pt idx="1">
                  <c:v>0.96</c:v>
                </c:pt>
              </c:numCache>
            </c:numRef>
          </c:val>
        </c:ser>
        <c:dLbls>
          <c:showLegendKey val="0"/>
          <c:showVal val="0"/>
          <c:showCatName val="0"/>
          <c:showSerName val="0"/>
          <c:showPercent val="0"/>
          <c:showBubbleSize val="0"/>
        </c:dLbls>
        <c:gapWidth val="150"/>
        <c:axId val="371122944"/>
        <c:axId val="371528064"/>
      </c:barChart>
      <c:lineChart>
        <c:grouping val="standard"/>
        <c:varyColors val="0"/>
        <c:ser>
          <c:idx val="1"/>
          <c:order val="1"/>
          <c:tx>
            <c:strRef>
              <c:f>'Overall performance'!$C$206</c:f>
              <c:strCache>
                <c:ptCount val="1"/>
                <c:pt idx="0">
                  <c:v>AQL</c:v>
                </c:pt>
              </c:strCache>
            </c:strRef>
          </c:tx>
          <c:marker>
            <c:symbol val="none"/>
          </c:marker>
          <c:cat>
            <c:numRef>
              <c:f>'Overall performance'!$A$207:$A$208</c:f>
              <c:numCache>
                <c:formatCode>General</c:formatCode>
                <c:ptCount val="2"/>
                <c:pt idx="0">
                  <c:v>2015</c:v>
                </c:pt>
                <c:pt idx="1">
                  <c:v>2016</c:v>
                </c:pt>
              </c:numCache>
            </c:numRef>
          </c:cat>
          <c:val>
            <c:numRef>
              <c:f>'Overall performance'!$C$207:$C$208</c:f>
              <c:numCache>
                <c:formatCode>0%</c:formatCode>
                <c:ptCount val="2"/>
                <c:pt idx="0">
                  <c:v>0.95</c:v>
                </c:pt>
                <c:pt idx="1">
                  <c:v>0.95</c:v>
                </c:pt>
              </c:numCache>
            </c:numRef>
          </c:val>
          <c:smooth val="0"/>
        </c:ser>
        <c:dLbls>
          <c:showLegendKey val="0"/>
          <c:showVal val="0"/>
          <c:showCatName val="0"/>
          <c:showSerName val="0"/>
          <c:showPercent val="0"/>
          <c:showBubbleSize val="0"/>
        </c:dLbls>
        <c:marker val="1"/>
        <c:smooth val="0"/>
        <c:axId val="371122944"/>
        <c:axId val="371528064"/>
      </c:lineChart>
      <c:catAx>
        <c:axId val="371122944"/>
        <c:scaling>
          <c:orientation val="minMax"/>
        </c:scaling>
        <c:delete val="0"/>
        <c:axPos val="b"/>
        <c:numFmt formatCode="General" sourceLinked="1"/>
        <c:majorTickMark val="none"/>
        <c:minorTickMark val="none"/>
        <c:tickLblPos val="nextTo"/>
        <c:txPr>
          <a:bodyPr/>
          <a:lstStyle/>
          <a:p>
            <a:pPr>
              <a:defRPr sz="1000" b="0"/>
            </a:pPr>
            <a:endParaRPr lang="en-US"/>
          </a:p>
        </c:txPr>
        <c:crossAx val="371528064"/>
        <c:crossesAt val="0"/>
        <c:auto val="1"/>
        <c:lblAlgn val="ctr"/>
        <c:lblOffset val="100"/>
        <c:noMultiLvlLbl val="0"/>
      </c:catAx>
      <c:valAx>
        <c:axId val="371528064"/>
        <c:scaling>
          <c:orientation val="minMax"/>
          <c:max val="1"/>
          <c:min val="0"/>
        </c:scaling>
        <c:delete val="0"/>
        <c:axPos val="l"/>
        <c:majorGridlines>
          <c:spPr>
            <a:ln>
              <a:noFill/>
            </a:ln>
          </c:spPr>
        </c:majorGridlines>
        <c:numFmt formatCode="0%" sourceLinked="1"/>
        <c:majorTickMark val="none"/>
        <c:minorTickMark val="none"/>
        <c:tickLblPos val="nextTo"/>
        <c:crossAx val="371122944"/>
        <c:crosses val="autoZero"/>
        <c:crossBetween val="between"/>
        <c:majorUnit val="0.2"/>
      </c:valAx>
    </c:plotArea>
    <c:plotVisOnly val="1"/>
    <c:dispBlanksAs val="gap"/>
    <c:showDLblsOverMax val="0"/>
  </c:chart>
  <c:spPr>
    <a:solidFill>
      <a:schemeClr val="lt1"/>
    </a:solidFill>
    <a:ln w="25400" cap="flat" cmpd="sng" algn="ctr">
      <a:noFill/>
      <a:prstDash val="solid"/>
    </a:ln>
    <a:effectLst/>
  </c:spPr>
  <c:txPr>
    <a:bodyPr/>
    <a:lstStyle/>
    <a:p>
      <a:pPr>
        <a:defRPr>
          <a:solidFill>
            <a:schemeClr val="dk1"/>
          </a:solidFill>
          <a:latin typeface="+mn-lt"/>
          <a:ea typeface="+mn-ea"/>
          <a:cs typeface="+mn-cs"/>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0.31408</cdr:x>
      <cdr:y>0.14286</cdr:y>
    </cdr:from>
    <cdr:to>
      <cdr:x>0.48736</cdr:x>
      <cdr:y>0.22857</cdr:y>
    </cdr:to>
    <cdr:sp macro="" textlink="">
      <cdr:nvSpPr>
        <cdr:cNvPr id="2" name="TextBox 1"/>
        <cdr:cNvSpPr txBox="1"/>
      </cdr:nvSpPr>
      <cdr:spPr>
        <a:xfrm xmlns:a="http://schemas.openxmlformats.org/drawingml/2006/main">
          <a:off x="1657350" y="428626"/>
          <a:ext cx="914400" cy="2571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0.30107</cdr:x>
      <cdr:y>0.16802</cdr:y>
    </cdr:from>
    <cdr:to>
      <cdr:x>0.69096</cdr:x>
      <cdr:y>0.25056</cdr:y>
    </cdr:to>
    <cdr:sp macro="" textlink="">
      <cdr:nvSpPr>
        <cdr:cNvPr id="3" name="TextBox 2"/>
        <cdr:cNvSpPr txBox="1"/>
      </cdr:nvSpPr>
      <cdr:spPr>
        <a:xfrm xmlns:a="http://schemas.openxmlformats.org/drawingml/2006/main">
          <a:off x="1525620" y="513729"/>
          <a:ext cx="1975689" cy="252368"/>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900" b="1">
              <a:solidFill>
                <a:srgbClr val="FF0000"/>
              </a:solidFill>
            </a:rPr>
            <a:t>Nivel de calidad aceptable = 90%</a:t>
          </a:r>
        </a:p>
      </cdr:txBody>
    </cdr:sp>
  </cdr:relSizeAnchor>
</c:userShapes>
</file>

<file path=word/drawings/drawing2.xml><?xml version="1.0" encoding="utf-8"?>
<c:userShapes xmlns:c="http://schemas.openxmlformats.org/drawingml/2006/chart">
  <cdr:relSizeAnchor xmlns:cdr="http://schemas.openxmlformats.org/drawingml/2006/chartDrawing">
    <cdr:from>
      <cdr:x>0.31029</cdr:x>
      <cdr:y>0.11037</cdr:y>
    </cdr:from>
    <cdr:to>
      <cdr:x>0.62647</cdr:x>
      <cdr:y>0.17961</cdr:y>
    </cdr:to>
    <cdr:sp macro="" textlink="">
      <cdr:nvSpPr>
        <cdr:cNvPr id="2" name="ZoneTexte 1"/>
        <cdr:cNvSpPr txBox="1"/>
      </cdr:nvSpPr>
      <cdr:spPr>
        <a:xfrm xmlns:a="http://schemas.openxmlformats.org/drawingml/2006/main">
          <a:off x="1542777" y="314325"/>
          <a:ext cx="1572063" cy="197210"/>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fr-FR" sz="900" b="1">
              <a:solidFill>
                <a:srgbClr val="FF0000"/>
              </a:solidFill>
            </a:rPr>
            <a:t>Nivel de calidad aceptable = 95%</a:t>
          </a:r>
        </a:p>
      </cdr:txBody>
    </cdr:sp>
  </cdr:relSizeAnchor>
</c:userShapes>
</file>

<file path=word/drawings/drawing3.xml><?xml version="1.0" encoding="utf-8"?>
<c:userShapes xmlns:c="http://schemas.openxmlformats.org/drawingml/2006/chart">
  <cdr:relSizeAnchor xmlns:cdr="http://schemas.openxmlformats.org/drawingml/2006/chartDrawing">
    <cdr:from>
      <cdr:x>0.39236</cdr:x>
      <cdr:y>0.09767</cdr:y>
    </cdr:from>
    <cdr:to>
      <cdr:x>0.80054</cdr:x>
      <cdr:y>0.16667</cdr:y>
    </cdr:to>
    <cdr:sp macro="" textlink="">
      <cdr:nvSpPr>
        <cdr:cNvPr id="2" name="TextBox 1"/>
        <cdr:cNvSpPr txBox="1"/>
      </cdr:nvSpPr>
      <cdr:spPr>
        <a:xfrm xmlns:a="http://schemas.openxmlformats.org/drawingml/2006/main">
          <a:off x="1763983" y="262341"/>
          <a:ext cx="1835095" cy="18533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Nivel</a:t>
          </a:r>
          <a:r>
            <a:rPr lang="en-US" sz="900" b="1" baseline="0">
              <a:solidFill>
                <a:srgbClr val="FF0000"/>
              </a:solidFill>
            </a:rPr>
            <a:t> de calidad aceptable =  97%</a:t>
          </a:r>
          <a:endParaRPr lang="en-US" sz="900" b="1">
            <a:solidFill>
              <a:srgbClr val="FF0000"/>
            </a:solidFill>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0.32395</cdr:x>
      <cdr:y>0.10954</cdr:y>
    </cdr:from>
    <cdr:to>
      <cdr:x>0.73739</cdr:x>
      <cdr:y>0.18375</cdr:y>
    </cdr:to>
    <cdr:sp macro="" textlink="">
      <cdr:nvSpPr>
        <cdr:cNvPr id="2" name="TextBox 1"/>
        <cdr:cNvSpPr txBox="1"/>
      </cdr:nvSpPr>
      <cdr:spPr>
        <a:xfrm xmlns:a="http://schemas.openxmlformats.org/drawingml/2006/main">
          <a:off x="1468739" y="295275"/>
          <a:ext cx="1874536" cy="2000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Nivel de calidad aceptable = 95%</a:t>
          </a:r>
        </a:p>
      </cdr:txBody>
    </cdr:sp>
  </cdr:relSizeAnchor>
</c:userShapes>
</file>

<file path=word/drawings/drawing5.xml><?xml version="1.0" encoding="utf-8"?>
<c:userShapes xmlns:c="http://schemas.openxmlformats.org/drawingml/2006/chart">
  <cdr:relSizeAnchor xmlns:cdr="http://schemas.openxmlformats.org/drawingml/2006/chartDrawing">
    <cdr:from>
      <cdr:x>0.27598</cdr:x>
      <cdr:y>0.11154</cdr:y>
    </cdr:from>
    <cdr:to>
      <cdr:x>0.61744</cdr:x>
      <cdr:y>0.1842</cdr:y>
    </cdr:to>
    <cdr:sp macro="" textlink="">
      <cdr:nvSpPr>
        <cdr:cNvPr id="2" name="TextBox 1"/>
        <cdr:cNvSpPr txBox="1"/>
      </cdr:nvSpPr>
      <cdr:spPr>
        <a:xfrm xmlns:a="http://schemas.openxmlformats.org/drawingml/2006/main">
          <a:off x="1393236" y="338909"/>
          <a:ext cx="1723775" cy="2207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b="1">
              <a:solidFill>
                <a:srgbClr val="FF0000"/>
              </a:solidFill>
            </a:rPr>
            <a:t>     Nivel de calidad aceptable = 95%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71B2D-D92A-4DBC-AAC9-B492BED78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WO PBC 26 (S)</Template>
  <TotalTime>2</TotalTime>
  <Pages>283</Pages>
  <Words>104108</Words>
  <Characters>560537</Characters>
  <Application>Microsoft Office Word</Application>
  <DocSecurity>4</DocSecurity>
  <Lines>32972</Lines>
  <Paragraphs>12084</Paragraphs>
  <ScaleCrop>false</ScaleCrop>
  <HeadingPairs>
    <vt:vector size="2" baseType="variant">
      <vt:variant>
        <vt:lpstr>Title</vt:lpstr>
      </vt:variant>
      <vt:variant>
        <vt:i4>1</vt:i4>
      </vt:variant>
    </vt:vector>
  </HeadingPairs>
  <TitlesOfParts>
    <vt:vector size="1" baseType="lpstr">
      <vt:lpstr>WO/PBC/26/2</vt:lpstr>
    </vt:vector>
  </TitlesOfParts>
  <Company>WIPO</Company>
  <LinksUpToDate>false</LinksUpToDate>
  <CharactersWithSpaces>652561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WO/PBC/26/2</dc:title>
  <dc:creator>HALLER Mario</dc:creator>
  <cp:lastModifiedBy>ZEBARJADI-SAR Nahal</cp:lastModifiedBy>
  <cp:revision>2</cp:revision>
  <cp:lastPrinted>2017-05-17T11:37:00Z</cp:lastPrinted>
  <dcterms:created xsi:type="dcterms:W3CDTF">2017-05-17T15:20:00Z</dcterms:created>
  <dcterms:modified xsi:type="dcterms:W3CDTF">2017-05-17T15:20:00Z</dcterms:modified>
</cp:coreProperties>
</file>