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55A25" w:rsidRPr="005058B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058BB" w:rsidRDefault="00E504E5" w:rsidP="00AB613D">
            <w:pPr>
              <w:rPr>
                <w:color w:val="808080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058BB" w:rsidRDefault="00763943" w:rsidP="00AB613D">
            <w:pPr>
              <w:rPr>
                <w:color w:val="808080"/>
              </w:rPr>
            </w:pPr>
            <w:r w:rsidRPr="005058BB">
              <w:rPr>
                <w:noProof/>
                <w:color w:val="808080"/>
                <w:lang w:val="en-US" w:eastAsia="en-US"/>
              </w:rPr>
              <w:drawing>
                <wp:inline distT="0" distB="0" distL="0" distR="0" wp14:anchorId="0AE47913" wp14:editId="7A0572EA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058BB" w:rsidRDefault="00E504E5" w:rsidP="00AB613D">
            <w:pPr>
              <w:jc w:val="right"/>
              <w:rPr>
                <w:color w:val="808080"/>
              </w:rPr>
            </w:pPr>
            <w:r w:rsidRPr="005058BB">
              <w:rPr>
                <w:b/>
                <w:sz w:val="40"/>
                <w:szCs w:val="40"/>
              </w:rPr>
              <w:t>S</w:t>
            </w:r>
          </w:p>
        </w:tc>
      </w:tr>
      <w:tr w:rsidR="00876B5A" w:rsidRPr="005058B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058BB" w:rsidRDefault="006B4E97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058BB"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 w:rsidR="00181C99" w:rsidRPr="005058BB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76B5A" w:rsidRPr="005058B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58BB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058BB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5058B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181C99" w:rsidRPr="005058BB">
              <w:rPr>
                <w:rFonts w:ascii="Arial Black" w:hAnsi="Arial Black"/>
                <w:caps/>
                <w:sz w:val="15"/>
              </w:rPr>
              <w:t>INGLÉS</w:t>
            </w:r>
            <w:r w:rsidRPr="005058B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5058B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58BB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058B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5058BB">
              <w:rPr>
                <w:rFonts w:ascii="Arial Black" w:hAnsi="Arial Black"/>
                <w:caps/>
                <w:sz w:val="15"/>
              </w:rPr>
              <w:t>:</w:t>
            </w:r>
            <w:r w:rsidR="009A20CD" w:rsidRPr="005058B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26E9F">
              <w:rPr>
                <w:rFonts w:ascii="Arial Black" w:hAnsi="Arial Black"/>
                <w:caps/>
                <w:sz w:val="15"/>
              </w:rPr>
              <w:t>28</w:t>
            </w:r>
            <w:r w:rsidR="00181C99" w:rsidRPr="005058BB">
              <w:rPr>
                <w:rFonts w:ascii="Arial Black" w:hAnsi="Arial Black"/>
                <w:caps/>
                <w:sz w:val="15"/>
              </w:rPr>
              <w:t xml:space="preserve"> DE JULIO DE 2017</w:t>
            </w:r>
            <w:r w:rsidR="008B2CC1" w:rsidRPr="005058B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5058BB" w:rsidRDefault="008B2CC1" w:rsidP="008B2CC1"/>
    <w:p w:rsidR="008B2CC1" w:rsidRPr="005058BB" w:rsidRDefault="008B2CC1" w:rsidP="008B2CC1"/>
    <w:p w:rsidR="008B2CC1" w:rsidRPr="005058BB" w:rsidRDefault="008B2CC1" w:rsidP="008B2CC1"/>
    <w:p w:rsidR="008B2CC1" w:rsidRPr="005058BB" w:rsidRDefault="008B2CC1" w:rsidP="008B2CC1"/>
    <w:p w:rsidR="008B2CC1" w:rsidRPr="005058BB" w:rsidRDefault="008B2CC1" w:rsidP="008B2CC1"/>
    <w:p w:rsidR="00B67CDC" w:rsidRPr="005058BB" w:rsidRDefault="006B4E97" w:rsidP="00B67CDC">
      <w:pPr>
        <w:rPr>
          <w:b/>
          <w:sz w:val="28"/>
          <w:szCs w:val="28"/>
        </w:rPr>
      </w:pPr>
      <w:r w:rsidRPr="005058BB">
        <w:rPr>
          <w:b/>
          <w:sz w:val="28"/>
          <w:szCs w:val="28"/>
        </w:rPr>
        <w:t>Comité del Programa y Presupuesto</w:t>
      </w:r>
    </w:p>
    <w:p w:rsidR="003845C1" w:rsidRPr="005058BB" w:rsidRDefault="003845C1" w:rsidP="003845C1"/>
    <w:p w:rsidR="003845C1" w:rsidRPr="005058BB" w:rsidRDefault="003845C1" w:rsidP="003845C1"/>
    <w:p w:rsidR="006B4E97" w:rsidRPr="005058BB" w:rsidRDefault="006B4E97" w:rsidP="006B4E97">
      <w:pPr>
        <w:rPr>
          <w:b/>
          <w:sz w:val="24"/>
          <w:szCs w:val="24"/>
        </w:rPr>
      </w:pPr>
      <w:r w:rsidRPr="005058BB">
        <w:rPr>
          <w:b/>
          <w:sz w:val="24"/>
          <w:szCs w:val="24"/>
        </w:rPr>
        <w:t>Vigesimosexta sesión</w:t>
      </w:r>
    </w:p>
    <w:p w:rsidR="00B67CDC" w:rsidRPr="005058BB" w:rsidRDefault="006B4E97" w:rsidP="006B4E97">
      <w:pPr>
        <w:rPr>
          <w:b/>
          <w:sz w:val="24"/>
          <w:szCs w:val="24"/>
        </w:rPr>
      </w:pPr>
      <w:r w:rsidRPr="005058BB">
        <w:rPr>
          <w:b/>
          <w:sz w:val="24"/>
          <w:szCs w:val="24"/>
        </w:rPr>
        <w:t>Ginebra, 10 a 14 de julio de 2017</w:t>
      </w:r>
    </w:p>
    <w:p w:rsidR="008B2CC1" w:rsidRPr="005058BB" w:rsidRDefault="008B2CC1" w:rsidP="008B2CC1"/>
    <w:p w:rsidR="00181C99" w:rsidRPr="005058BB" w:rsidRDefault="00181C99" w:rsidP="00181C99"/>
    <w:p w:rsidR="00181C99" w:rsidRPr="005058BB" w:rsidRDefault="00EF0E21" w:rsidP="00E91808">
      <w:pPr>
        <w:tabs>
          <w:tab w:val="left" w:pos="4820"/>
        </w:tabs>
        <w:rPr>
          <w:b/>
        </w:rPr>
      </w:pPr>
      <w:r w:rsidRPr="005058BB">
        <w:tab/>
      </w:r>
      <w:r w:rsidR="00885D04" w:rsidRPr="005058BB">
        <w:rPr>
          <w:b/>
        </w:rPr>
        <w:t>SITUACIÓN A</w:t>
      </w:r>
      <w:r w:rsidR="00876B5A" w:rsidRPr="005058BB">
        <w:rPr>
          <w:b/>
        </w:rPr>
        <w:t>L</w:t>
      </w:r>
      <w:r w:rsidRPr="005058BB">
        <w:rPr>
          <w:b/>
        </w:rPr>
        <w:t xml:space="preserve"> 1</w:t>
      </w:r>
      <w:r w:rsidR="0021226E">
        <w:rPr>
          <w:b/>
        </w:rPr>
        <w:t>4</w:t>
      </w:r>
      <w:r w:rsidR="00181C99" w:rsidRPr="005058BB">
        <w:rPr>
          <w:b/>
        </w:rPr>
        <w:t>/07 A</w:t>
      </w:r>
      <w:r w:rsidR="00876B5A" w:rsidRPr="005058BB">
        <w:rPr>
          <w:b/>
        </w:rPr>
        <w:t xml:space="preserve"> LAS</w:t>
      </w:r>
      <w:r w:rsidR="00181C99" w:rsidRPr="005058BB">
        <w:rPr>
          <w:b/>
        </w:rPr>
        <w:t xml:space="preserve"> </w:t>
      </w:r>
      <w:r w:rsidR="0021226E">
        <w:rPr>
          <w:b/>
        </w:rPr>
        <w:t>1</w:t>
      </w:r>
      <w:r w:rsidR="00B07887">
        <w:rPr>
          <w:b/>
        </w:rPr>
        <w:t>6</w:t>
      </w:r>
      <w:r w:rsidR="005058BB" w:rsidRPr="005058BB">
        <w:rPr>
          <w:b/>
        </w:rPr>
        <w:t>:</w:t>
      </w:r>
      <w:r w:rsidR="00B07887">
        <w:rPr>
          <w:b/>
        </w:rPr>
        <w:t>1</w:t>
      </w:r>
      <w:r w:rsidR="0021226E">
        <w:rPr>
          <w:b/>
        </w:rPr>
        <w:t>5</w:t>
      </w:r>
      <w:r w:rsidRPr="005058BB">
        <w:rPr>
          <w:b/>
        </w:rPr>
        <w:t xml:space="preserve"> </w:t>
      </w:r>
      <w:r w:rsidR="00876B5A" w:rsidRPr="005058BB">
        <w:rPr>
          <w:b/>
        </w:rPr>
        <w:t>HORAS</w:t>
      </w:r>
    </w:p>
    <w:p w:rsidR="00181C99" w:rsidRPr="005058BB" w:rsidRDefault="00181C99" w:rsidP="00181C99"/>
    <w:p w:rsidR="00181C99" w:rsidRPr="005058BB" w:rsidRDefault="00255A25" w:rsidP="00181C99">
      <w:pPr>
        <w:rPr>
          <w:caps/>
          <w:sz w:val="24"/>
        </w:rPr>
      </w:pPr>
      <w:bookmarkStart w:id="3" w:name="TitleOfDoc"/>
      <w:bookmarkEnd w:id="3"/>
      <w:r w:rsidRPr="005058BB">
        <w:rPr>
          <w:caps/>
          <w:sz w:val="24"/>
        </w:rPr>
        <w:t>LISTA DE DECISIONES A</w:t>
      </w:r>
      <w:r w:rsidR="00876B5A" w:rsidRPr="005058BB">
        <w:rPr>
          <w:caps/>
          <w:sz w:val="24"/>
        </w:rPr>
        <w:t>DOPT</w:t>
      </w:r>
      <w:r w:rsidRPr="005058BB">
        <w:rPr>
          <w:caps/>
          <w:sz w:val="24"/>
        </w:rPr>
        <w:t>ADA POR EL</w:t>
      </w:r>
      <w:r w:rsidR="00181C99" w:rsidRPr="005058BB">
        <w:rPr>
          <w:caps/>
          <w:sz w:val="24"/>
        </w:rPr>
        <w:t xml:space="preserve"> </w:t>
      </w:r>
      <w:r w:rsidRPr="005058BB">
        <w:rPr>
          <w:caps/>
          <w:sz w:val="24"/>
        </w:rPr>
        <w:t>COMITÉ DEL PROGRAMA Y PRESUPUESTO</w:t>
      </w:r>
    </w:p>
    <w:p w:rsidR="00181C99" w:rsidRPr="005058BB" w:rsidRDefault="00181C99" w:rsidP="00181C99"/>
    <w:p w:rsidR="00181C99" w:rsidRPr="005058BB" w:rsidRDefault="00181C99" w:rsidP="00181C99">
      <w:pPr>
        <w:rPr>
          <w:i/>
        </w:rPr>
      </w:pPr>
      <w:bookmarkStart w:id="4" w:name="Prepared"/>
      <w:bookmarkEnd w:id="4"/>
      <w:r w:rsidRPr="005058BB">
        <w:rPr>
          <w:i/>
        </w:rPr>
        <w:t>Documento preparado por la Secretaría</w:t>
      </w:r>
    </w:p>
    <w:p w:rsidR="00181C99" w:rsidRPr="005058BB" w:rsidRDefault="00181C99" w:rsidP="00181C99"/>
    <w:p w:rsidR="00181C99" w:rsidRPr="005058BB" w:rsidRDefault="00181C99" w:rsidP="00181C99"/>
    <w:p w:rsidR="00181C99" w:rsidRPr="005058BB" w:rsidRDefault="00181C99" w:rsidP="00181C99"/>
    <w:p w:rsidR="00181C99" w:rsidRPr="005058BB" w:rsidRDefault="00181C99" w:rsidP="00181C99"/>
    <w:p w:rsidR="00181C99" w:rsidRPr="005058BB" w:rsidRDefault="00181C99" w:rsidP="00415844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0" w:firstLine="0"/>
        <w:contextualSpacing w:val="0"/>
        <w:rPr>
          <w:lang w:val="es-ES"/>
        </w:rPr>
      </w:pPr>
      <w:r w:rsidRPr="005058BB">
        <w:rPr>
          <w:lang w:val="es-ES"/>
        </w:rPr>
        <w:t>APERTURA DE LA SERIE DE REUNIONES</w:t>
      </w:r>
    </w:p>
    <w:p w:rsidR="00181C99" w:rsidRPr="005058BB" w:rsidRDefault="00181C99" w:rsidP="00181C99"/>
    <w:p w:rsidR="00181C99" w:rsidRPr="005058BB" w:rsidRDefault="00181C99" w:rsidP="00415844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0" w:firstLine="0"/>
        <w:contextualSpacing w:val="0"/>
        <w:rPr>
          <w:lang w:val="es-ES"/>
        </w:rPr>
      </w:pPr>
      <w:r w:rsidRPr="005058BB">
        <w:rPr>
          <w:lang w:val="es-ES"/>
        </w:rPr>
        <w:t>APROBACIÓN DEL ORDEN DEL DÍA</w:t>
      </w:r>
    </w:p>
    <w:p w:rsidR="00181C99" w:rsidRPr="005058BB" w:rsidRDefault="00181C99" w:rsidP="00181C99">
      <w:r w:rsidRPr="005058BB">
        <w:t>documento WO/PBC/26/1</w:t>
      </w:r>
    </w:p>
    <w:p w:rsidR="00181C99" w:rsidRPr="005058BB" w:rsidRDefault="00181C99" w:rsidP="00181C99"/>
    <w:p w:rsidR="00181C99" w:rsidRPr="005058BB" w:rsidRDefault="00181C99" w:rsidP="00181C99">
      <w:pPr>
        <w:spacing w:after="120"/>
      </w:pPr>
      <w:r w:rsidRPr="005058BB">
        <w:rPr>
          <w:i/>
        </w:rPr>
        <w:t>El Comité del Programa y Presupuesto (PBC) aprobó el orden del día (documento WO/PBC/26/1).</w:t>
      </w:r>
    </w:p>
    <w:p w:rsidR="00181C99" w:rsidRPr="005058BB" w:rsidRDefault="00181C99" w:rsidP="00181C99"/>
    <w:p w:rsidR="00181C99" w:rsidRPr="005058BB" w:rsidRDefault="00181C99" w:rsidP="00181C99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INFORME SOBRE EL RENDIMIENTO DE LOS PROGRAMAS EN 2016</w:t>
      </w:r>
    </w:p>
    <w:p w:rsidR="00181C99" w:rsidRPr="005058BB" w:rsidRDefault="00181C99" w:rsidP="00181C99">
      <w:pPr>
        <w:pStyle w:val="ListParagraph"/>
        <w:ind w:left="0"/>
        <w:contextualSpacing w:val="0"/>
        <w:rPr>
          <w:lang w:val="es-ES"/>
        </w:rPr>
      </w:pPr>
      <w:r w:rsidRPr="005058BB">
        <w:rPr>
          <w:lang w:val="es-ES"/>
        </w:rPr>
        <w:t>documento WO/PBC/26/2</w:t>
      </w:r>
    </w:p>
    <w:p w:rsidR="00181C99" w:rsidRPr="005058BB" w:rsidRDefault="00181C99" w:rsidP="00181C99">
      <w:pPr>
        <w:pStyle w:val="ListParagraph"/>
        <w:ind w:left="0"/>
        <w:contextualSpacing w:val="0"/>
        <w:rPr>
          <w:lang w:val="es-ES"/>
        </w:rPr>
      </w:pPr>
    </w:p>
    <w:p w:rsidR="00181C99" w:rsidRPr="005058BB" w:rsidRDefault="00181C99" w:rsidP="00181C99">
      <w:pPr>
        <w:spacing w:after="120"/>
        <w:rPr>
          <w:i/>
          <w:szCs w:val="22"/>
        </w:rPr>
      </w:pPr>
      <w:r w:rsidRPr="005058BB">
        <w:rPr>
          <w:i/>
          <w:szCs w:val="22"/>
        </w:rPr>
        <w:t>Tras revisar e</w:t>
      </w:r>
      <w:r w:rsidR="00C164DE" w:rsidRPr="005058BB">
        <w:rPr>
          <w:i/>
          <w:szCs w:val="22"/>
        </w:rPr>
        <w:t>xaminar e</w:t>
      </w:r>
      <w:r w:rsidRPr="005058BB">
        <w:rPr>
          <w:i/>
          <w:szCs w:val="22"/>
        </w:rPr>
        <w:t>l Informe sobre el rendimiento de los programas en 2016 (documento WO/PBC/26/2), y reconociendo que constituye una autoevaluación por parte de la Secretaría, el Comité del Programa y Presupuesto recomendó que las Asambleas de la OMPI reconozcan los avances logrados</w:t>
      </w:r>
      <w:r w:rsidR="006801FB" w:rsidRPr="005058BB">
        <w:rPr>
          <w:i/>
          <w:szCs w:val="22"/>
        </w:rPr>
        <w:t xml:space="preserve"> en los programas</w:t>
      </w:r>
      <w:r w:rsidRPr="005058BB">
        <w:rPr>
          <w:i/>
          <w:szCs w:val="22"/>
        </w:rPr>
        <w:t xml:space="preserve"> en 2016 hacia la consecución de los resultados previstos.</w:t>
      </w:r>
    </w:p>
    <w:p w:rsidR="00181C99" w:rsidRPr="005058BB" w:rsidRDefault="00181C99" w:rsidP="00181C99"/>
    <w:p w:rsidR="00181C99" w:rsidRPr="005058BB" w:rsidRDefault="00181C99" w:rsidP="00181C99">
      <w:pPr>
        <w:pStyle w:val="ListParagraph"/>
        <w:keepLines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lastRenderedPageBreak/>
        <w:t>SITUACIÓN FINANCIERA A</w:t>
      </w:r>
      <w:r w:rsidR="006801FB" w:rsidRPr="005058BB">
        <w:rPr>
          <w:lang w:val="es-ES"/>
        </w:rPr>
        <w:t>L</w:t>
      </w:r>
      <w:r w:rsidRPr="005058BB">
        <w:rPr>
          <w:lang w:val="es-ES"/>
        </w:rPr>
        <w:t xml:space="preserve"> FIN</w:t>
      </w:r>
      <w:r w:rsidR="006801FB" w:rsidRPr="005058BB">
        <w:rPr>
          <w:lang w:val="es-ES"/>
        </w:rPr>
        <w:t>AL</w:t>
      </w:r>
      <w:r w:rsidRPr="005058BB">
        <w:rPr>
          <w:lang w:val="es-ES"/>
        </w:rPr>
        <w:t xml:space="preserve"> DE 2016: RESULTADOS PRELIMINARES</w:t>
      </w:r>
    </w:p>
    <w:p w:rsidR="00181C99" w:rsidRPr="005058BB" w:rsidRDefault="00181C99" w:rsidP="00181C99">
      <w:pPr>
        <w:keepLines/>
        <w:spacing w:after="120"/>
      </w:pPr>
      <w:r w:rsidRPr="005058BB">
        <w:t>documento WO/PBC/26/INF.1</w:t>
      </w:r>
    </w:p>
    <w:p w:rsidR="00181C99" w:rsidRPr="005058BB" w:rsidRDefault="00181C99" w:rsidP="00181C99"/>
    <w:p w:rsidR="00181C99" w:rsidRPr="005058BB" w:rsidRDefault="00181C99" w:rsidP="00B07887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PROYECTO DE</w:t>
      </w:r>
      <w:r w:rsidR="00AA02FE" w:rsidRPr="005058BB">
        <w:rPr>
          <w:lang w:val="es-ES"/>
        </w:rPr>
        <w:t xml:space="preserve"> PROPUESTA DE </w:t>
      </w:r>
      <w:r w:rsidRPr="005058BB">
        <w:rPr>
          <w:lang w:val="es-ES"/>
        </w:rPr>
        <w:t xml:space="preserve"> PRESUPUESTO POR PROGRAMAS PARA EL BIENIO 2018/19</w:t>
      </w:r>
    </w:p>
    <w:p w:rsidR="00181C99" w:rsidRPr="005058BB" w:rsidRDefault="00181C99" w:rsidP="00B07887">
      <w:r w:rsidRPr="005058BB">
        <w:t>documentos:</w:t>
      </w:r>
    </w:p>
    <w:p w:rsidR="00181C99" w:rsidRPr="005058BB" w:rsidRDefault="00181C99" w:rsidP="00B07887">
      <w:r w:rsidRPr="005058BB">
        <w:t>WO/PBC/26/3 y WO/PBC/26/9</w:t>
      </w:r>
    </w:p>
    <w:p w:rsidR="00181C99" w:rsidRPr="005058BB" w:rsidRDefault="00181C99" w:rsidP="00B07887"/>
    <w:p w:rsidR="00B07887" w:rsidRDefault="00B07887" w:rsidP="00226E9F">
      <w:pPr>
        <w:spacing w:after="240"/>
        <w:rPr>
          <w:i/>
          <w:iCs/>
        </w:rPr>
      </w:pPr>
      <w:r>
        <w:rPr>
          <w:i/>
          <w:iCs/>
        </w:rPr>
        <w:t>1.</w:t>
      </w:r>
      <w:r>
        <w:rPr>
          <w:i/>
          <w:iCs/>
        </w:rPr>
        <w:tab/>
        <w:t>El Comité del Programa y Presupuesto</w:t>
      </w:r>
      <w:r w:rsidR="00117C13">
        <w:rPr>
          <w:i/>
          <w:iCs/>
        </w:rPr>
        <w:t xml:space="preserve"> (PBC)</w:t>
      </w:r>
      <w:r>
        <w:rPr>
          <w:i/>
          <w:iCs/>
        </w:rPr>
        <w:t>, tras finaliza</w:t>
      </w:r>
      <w:r w:rsidR="00117C13">
        <w:rPr>
          <w:i/>
          <w:iCs/>
        </w:rPr>
        <w:t>r</w:t>
      </w:r>
      <w:r>
        <w:rPr>
          <w:i/>
          <w:iCs/>
        </w:rPr>
        <w:t xml:space="preserve"> un primer examen exhaustivo por meta estratégica del proyecto de propuesta de presupuesto por programas para el bienio 2018/19 (documento WO/PBC/26/3):</w:t>
      </w:r>
    </w:p>
    <w:p w:rsidR="00B07887" w:rsidRDefault="008A2CCD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i)</w:t>
      </w:r>
      <w:r>
        <w:rPr>
          <w:i/>
          <w:iCs/>
        </w:rPr>
        <w:tab/>
        <w:t>dio su acuerdo a las modificaciones propuestas por los Estados miembros en las descripciones de los programas, incluidos los marcos de resultados, de los programas 3, 4, 5, 8, 13 y 30;</w:t>
      </w:r>
    </w:p>
    <w:p w:rsidR="008A2CCD" w:rsidRDefault="008A2CCD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ii)</w:t>
      </w:r>
      <w:r>
        <w:rPr>
          <w:i/>
          <w:iCs/>
        </w:rPr>
        <w:tab/>
        <w:t>pidió a la Secretaría que publique</w:t>
      </w:r>
      <w:r w:rsidR="00117C13">
        <w:rPr>
          <w:i/>
          <w:iCs/>
        </w:rPr>
        <w:t>, para la sesión siguiente del PBC,</w:t>
      </w:r>
      <w:r>
        <w:rPr>
          <w:i/>
          <w:iCs/>
        </w:rPr>
        <w:t xml:space="preserve"> una versión revisada del proyecto de propuesta de presupuesto por programas para el bienio 2018/19 teniendo en cuenta</w:t>
      </w:r>
      <w:r w:rsidR="00117C13">
        <w:rPr>
          <w:i/>
          <w:iCs/>
        </w:rPr>
        <w:t xml:space="preserve"> lo mencionado en el apartado</w:t>
      </w:r>
      <w:r>
        <w:rPr>
          <w:i/>
          <w:iCs/>
        </w:rPr>
        <w:t xml:space="preserve"> i)</w:t>
      </w:r>
      <w:r w:rsidR="00117C13">
        <w:rPr>
          <w:i/>
          <w:iCs/>
        </w:rPr>
        <w:t xml:space="preserve"> anterior y empleando</w:t>
      </w:r>
      <w:r>
        <w:rPr>
          <w:i/>
          <w:iCs/>
        </w:rPr>
        <w:t xml:space="preserve"> las cifras de gastos de personal según la decisión de la CAPI y el resultado de las consultas habidas en Viena entre las organizaciones con sede en Ginebra y la CAPI</w:t>
      </w:r>
      <w:r w:rsidR="00117C13">
        <w:rPr>
          <w:i/>
          <w:iCs/>
        </w:rPr>
        <w:t>.  En ese contexto, el PBC tomó nota de las aclaraciones brindadas por el consejero jurídico de la OMPI;</w:t>
      </w:r>
    </w:p>
    <w:p w:rsidR="00415844" w:rsidRDefault="00415844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iii)</w:t>
      </w:r>
      <w:r>
        <w:rPr>
          <w:i/>
          <w:iCs/>
        </w:rPr>
        <w:tab/>
        <w:t>tomó nota, entre otras cosas, de las cuestiones pendientes en los siguientes programas a fin de que se sigan examinando en la siguiente sesión del Comité del Programa y Presupuesto:</w:t>
      </w:r>
    </w:p>
    <w:p w:rsidR="00415844" w:rsidRDefault="00415844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ab/>
        <w:t>a)</w:t>
      </w:r>
      <w:r>
        <w:rPr>
          <w:i/>
          <w:iCs/>
        </w:rPr>
        <w:tab/>
        <w:t>indicadores de rendimiento esenciales en el programa 15;  y</w:t>
      </w:r>
    </w:p>
    <w:p w:rsidR="00415844" w:rsidRDefault="00415844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ab/>
        <w:t>b)</w:t>
      </w:r>
      <w:r>
        <w:rPr>
          <w:i/>
          <w:iCs/>
        </w:rPr>
        <w:tab/>
        <w:t>descripción e indicadores de rendimiento en los programas 9, 10</w:t>
      </w:r>
      <w:bookmarkStart w:id="5" w:name="_GoBack"/>
      <w:bookmarkEnd w:id="5"/>
      <w:r>
        <w:rPr>
          <w:i/>
          <w:iCs/>
        </w:rPr>
        <w:t>, 20 y 32.</w:t>
      </w:r>
    </w:p>
    <w:p w:rsidR="00117C13" w:rsidRDefault="00415844" w:rsidP="008A2CCD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iv</w:t>
      </w:r>
      <w:r w:rsidR="00117C13">
        <w:rPr>
          <w:i/>
          <w:iCs/>
        </w:rPr>
        <w:t>)</w:t>
      </w:r>
      <w:r w:rsidR="00117C13">
        <w:rPr>
          <w:i/>
          <w:iCs/>
        </w:rPr>
        <w:tab/>
        <w:t>tomó nota del hecho de que las cuestiones siguientes fueron remitidas a su 27</w:t>
      </w:r>
      <w:r>
        <w:rPr>
          <w:i/>
          <w:iCs/>
        </w:rPr>
        <w:t>.</w:t>
      </w:r>
      <w:r w:rsidR="00117C13">
        <w:rPr>
          <w:i/>
          <w:iCs/>
        </w:rPr>
        <w:t>ª sesión:</w:t>
      </w:r>
    </w:p>
    <w:p w:rsidR="00117C13" w:rsidRDefault="00117C13" w:rsidP="00117C13">
      <w:pPr>
        <w:tabs>
          <w:tab w:val="left" w:pos="1701"/>
        </w:tabs>
        <w:spacing w:after="240"/>
        <w:ind w:left="1134"/>
        <w:rPr>
          <w:i/>
          <w:iCs/>
        </w:rPr>
      </w:pPr>
      <w:r>
        <w:rPr>
          <w:i/>
          <w:iCs/>
        </w:rPr>
        <w:t>a)</w:t>
      </w:r>
      <w:r>
        <w:rPr>
          <w:i/>
          <w:iCs/>
        </w:rPr>
        <w:tab/>
      </w:r>
      <w:r w:rsidR="00B00953">
        <w:rPr>
          <w:i/>
          <w:iCs/>
        </w:rPr>
        <w:t xml:space="preserve">la </w:t>
      </w:r>
      <w:r>
        <w:rPr>
          <w:i/>
          <w:iCs/>
        </w:rPr>
        <w:t>reducción del valor de la unidad de contribución en un 10%;</w:t>
      </w:r>
    </w:p>
    <w:p w:rsidR="00117C13" w:rsidRDefault="00117C13" w:rsidP="00117C13">
      <w:pPr>
        <w:tabs>
          <w:tab w:val="left" w:pos="1701"/>
        </w:tabs>
        <w:spacing w:after="240"/>
        <w:ind w:left="1134"/>
        <w:rPr>
          <w:i/>
          <w:iCs/>
        </w:rPr>
      </w:pPr>
      <w:r>
        <w:rPr>
          <w:i/>
          <w:iCs/>
        </w:rPr>
        <w:t>b)</w:t>
      </w:r>
      <w:r>
        <w:rPr>
          <w:i/>
          <w:iCs/>
        </w:rPr>
        <w:tab/>
      </w:r>
      <w:r w:rsidR="00B00953">
        <w:rPr>
          <w:i/>
          <w:iCs/>
        </w:rPr>
        <w:t xml:space="preserve">la metodología de asignación por Unión empleada en la preparación del Anexo III:  </w:t>
      </w:r>
      <w:r w:rsidR="00B00953" w:rsidRPr="00B00953">
        <w:rPr>
          <w:i/>
          <w:iCs/>
        </w:rPr>
        <w:t>Asignación de los ingresos y gastos en 2018/19, por uniones</w:t>
      </w:r>
      <w:r w:rsidR="00B00953">
        <w:rPr>
          <w:i/>
          <w:iCs/>
        </w:rPr>
        <w:t>;  y</w:t>
      </w:r>
    </w:p>
    <w:p w:rsidR="00B00953" w:rsidRDefault="00B00953" w:rsidP="00117C13">
      <w:pPr>
        <w:tabs>
          <w:tab w:val="left" w:pos="1701"/>
        </w:tabs>
        <w:spacing w:after="240"/>
        <w:ind w:left="1134"/>
        <w:rPr>
          <w:i/>
          <w:iCs/>
        </w:rPr>
      </w:pPr>
      <w:r>
        <w:rPr>
          <w:i/>
          <w:iCs/>
        </w:rPr>
        <w:t>c)</w:t>
      </w:r>
      <w:r>
        <w:rPr>
          <w:i/>
          <w:iCs/>
        </w:rPr>
        <w:tab/>
        <w:t>condiciones para la provisión de fondos destinados a una conferencia diplomática a celebrarse en el bienio 2018/19.</w:t>
      </w:r>
    </w:p>
    <w:p w:rsidR="00DC6995" w:rsidRDefault="00B07887" w:rsidP="00226E9F">
      <w:pPr>
        <w:spacing w:after="240"/>
        <w:rPr>
          <w:i/>
          <w:iCs/>
        </w:rPr>
      </w:pPr>
      <w:r>
        <w:rPr>
          <w:i/>
          <w:iCs/>
        </w:rPr>
        <w:t>2</w:t>
      </w:r>
      <w:r w:rsidR="00DC6995">
        <w:rPr>
          <w:i/>
          <w:iCs/>
        </w:rPr>
        <w:t>.</w:t>
      </w:r>
      <w:r w:rsidR="00DC6995">
        <w:rPr>
          <w:i/>
          <w:iCs/>
        </w:rPr>
        <w:tab/>
      </w:r>
      <w:r w:rsidR="00AA02FE" w:rsidRPr="005058BB">
        <w:rPr>
          <w:i/>
          <w:iCs/>
        </w:rPr>
        <w:t>El Comité del Programa y Presupuesto</w:t>
      </w:r>
      <w:r w:rsidR="00117C13">
        <w:rPr>
          <w:i/>
          <w:iCs/>
        </w:rPr>
        <w:t xml:space="preserve"> (PBC)</w:t>
      </w:r>
      <w:r w:rsidR="00DC6995">
        <w:rPr>
          <w:i/>
          <w:iCs/>
        </w:rPr>
        <w:t>, tras examinar el Plan Maestro de Mejoras de Infraestructura (documento WO/PBC/26/9) para 2018-27:</w:t>
      </w:r>
    </w:p>
    <w:p w:rsidR="00181C99" w:rsidRDefault="00DC6995" w:rsidP="00B07887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i)</w:t>
      </w:r>
      <w:r>
        <w:rPr>
          <w:i/>
          <w:iCs/>
        </w:rPr>
        <w:tab/>
        <w:t xml:space="preserve">debatió </w:t>
      </w:r>
      <w:r w:rsidR="00FD35A0">
        <w:rPr>
          <w:i/>
          <w:iCs/>
        </w:rPr>
        <w:t>amplia</w:t>
      </w:r>
      <w:r>
        <w:rPr>
          <w:i/>
          <w:iCs/>
        </w:rPr>
        <w:t>mente y aprobó</w:t>
      </w:r>
      <w:r w:rsidR="007521C2">
        <w:rPr>
          <w:i/>
          <w:iCs/>
        </w:rPr>
        <w:t xml:space="preserve"> los objetivos</w:t>
      </w:r>
      <w:r>
        <w:rPr>
          <w:i/>
          <w:iCs/>
        </w:rPr>
        <w:t>, los</w:t>
      </w:r>
      <w:r w:rsidR="00DD26EA">
        <w:rPr>
          <w:i/>
          <w:iCs/>
        </w:rPr>
        <w:t xml:space="preserve"> beneficios previstos</w:t>
      </w:r>
      <w:r>
        <w:rPr>
          <w:i/>
          <w:iCs/>
        </w:rPr>
        <w:t xml:space="preserve"> </w:t>
      </w:r>
      <w:r w:rsidR="007521C2">
        <w:rPr>
          <w:i/>
          <w:iCs/>
        </w:rPr>
        <w:t>y los factores determinantes</w:t>
      </w:r>
      <w:r>
        <w:rPr>
          <w:i/>
          <w:iCs/>
        </w:rPr>
        <w:t xml:space="preserve"> </w:t>
      </w:r>
      <w:r w:rsidR="007521C2">
        <w:rPr>
          <w:i/>
          <w:iCs/>
        </w:rPr>
        <w:t xml:space="preserve">de los proyectos de inversión </w:t>
      </w:r>
      <w:r w:rsidR="00576E34">
        <w:rPr>
          <w:i/>
          <w:iCs/>
        </w:rPr>
        <w:t>de capital</w:t>
      </w:r>
      <w:r w:rsidR="007521C2">
        <w:rPr>
          <w:i/>
          <w:iCs/>
        </w:rPr>
        <w:t xml:space="preserve"> para las TIC, seguridad y vigilancia, y locales</w:t>
      </w:r>
      <w:r w:rsidR="00FD35A0">
        <w:rPr>
          <w:i/>
          <w:iCs/>
        </w:rPr>
        <w:t>,</w:t>
      </w:r>
      <w:r w:rsidR="007521C2">
        <w:rPr>
          <w:i/>
          <w:iCs/>
        </w:rPr>
        <w:t xml:space="preserve"> del Plan Maestro de Mejoras para 2018/19</w:t>
      </w:r>
      <w:r w:rsidR="00AA02FE" w:rsidRPr="005058BB">
        <w:rPr>
          <w:i/>
          <w:iCs/>
        </w:rPr>
        <w:t>, por un importe total de 25,5 millones de francos suizos</w:t>
      </w:r>
      <w:r w:rsidR="007521C2">
        <w:rPr>
          <w:i/>
          <w:iCs/>
        </w:rPr>
        <w:t>;</w:t>
      </w:r>
    </w:p>
    <w:p w:rsidR="007521C2" w:rsidRDefault="007521C2" w:rsidP="00B07887">
      <w:pPr>
        <w:tabs>
          <w:tab w:val="left" w:pos="1134"/>
        </w:tabs>
        <w:spacing w:after="240"/>
        <w:ind w:left="567"/>
        <w:rPr>
          <w:i/>
          <w:iCs/>
        </w:rPr>
      </w:pPr>
      <w:r>
        <w:rPr>
          <w:i/>
          <w:iCs/>
        </w:rPr>
        <w:t>ii)</w:t>
      </w:r>
      <w:r>
        <w:rPr>
          <w:i/>
          <w:iCs/>
        </w:rPr>
        <w:tab/>
        <w:t xml:space="preserve">resaltó la </w:t>
      </w:r>
      <w:r w:rsidR="00576E34">
        <w:rPr>
          <w:i/>
          <w:iCs/>
        </w:rPr>
        <w:t>importancia de los proyectos de inversión de capital para asegurar que la OMPI perman</w:t>
      </w:r>
      <w:r w:rsidR="00FD35A0">
        <w:rPr>
          <w:i/>
          <w:iCs/>
        </w:rPr>
        <w:t>ezca</w:t>
      </w:r>
      <w:r w:rsidR="00576E34">
        <w:rPr>
          <w:i/>
          <w:iCs/>
        </w:rPr>
        <w:t xml:space="preserve"> preparada para responder a sus cometidos;  y</w:t>
      </w:r>
    </w:p>
    <w:p w:rsidR="00576E34" w:rsidRPr="005058BB" w:rsidRDefault="00415844" w:rsidP="00B07887">
      <w:pPr>
        <w:tabs>
          <w:tab w:val="left" w:pos="1134"/>
        </w:tabs>
        <w:spacing w:after="120"/>
        <w:ind w:left="567"/>
        <w:rPr>
          <w:i/>
          <w:iCs/>
        </w:rPr>
      </w:pPr>
      <w:r>
        <w:rPr>
          <w:i/>
          <w:iCs/>
        </w:rPr>
        <w:lastRenderedPageBreak/>
        <w:t>i</w:t>
      </w:r>
      <w:r w:rsidR="00576E34">
        <w:rPr>
          <w:i/>
          <w:iCs/>
        </w:rPr>
        <w:t>ii)</w:t>
      </w:r>
      <w:r w:rsidR="00576E34">
        <w:rPr>
          <w:i/>
          <w:iCs/>
        </w:rPr>
        <w:tab/>
        <w:t>remitió</w:t>
      </w:r>
      <w:r w:rsidR="002465B3">
        <w:rPr>
          <w:i/>
          <w:iCs/>
        </w:rPr>
        <w:t xml:space="preserve"> a su </w:t>
      </w:r>
      <w:r w:rsidR="007861CD">
        <w:rPr>
          <w:i/>
          <w:iCs/>
        </w:rPr>
        <w:t>27.ª</w:t>
      </w:r>
      <w:r w:rsidR="002465B3">
        <w:rPr>
          <w:i/>
          <w:iCs/>
        </w:rPr>
        <w:t xml:space="preserve"> sesión</w:t>
      </w:r>
      <w:r w:rsidR="00576E34">
        <w:rPr>
          <w:i/>
          <w:iCs/>
        </w:rPr>
        <w:t xml:space="preserve"> el examen de, entre otras cosas, la asignación a las Uniones de </w:t>
      </w:r>
      <w:r w:rsidR="007861CD">
        <w:rPr>
          <w:i/>
          <w:iCs/>
        </w:rPr>
        <w:t xml:space="preserve">los </w:t>
      </w:r>
      <w:r w:rsidR="00576E34">
        <w:rPr>
          <w:i/>
          <w:iCs/>
        </w:rPr>
        <w:t>proyectos propuestos en el PMM 2018/19</w:t>
      </w:r>
      <w:r w:rsidR="002465B3">
        <w:rPr>
          <w:i/>
          <w:iCs/>
        </w:rPr>
        <w:t>.</w:t>
      </w:r>
    </w:p>
    <w:p w:rsidR="00181C99" w:rsidRPr="005058BB" w:rsidRDefault="00181C99" w:rsidP="00181C99"/>
    <w:p w:rsidR="00181C99" w:rsidRPr="005058BB" w:rsidRDefault="00AA02FE" w:rsidP="00B00953">
      <w:pPr>
        <w:pStyle w:val="ListParagraph"/>
        <w:keepNext/>
        <w:keepLines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MODIFICACIONES PROPUESTAS A LA POLÍTICA DE INVERSIONES</w:t>
      </w:r>
    </w:p>
    <w:p w:rsidR="00181C99" w:rsidRPr="005058BB" w:rsidRDefault="00181C99" w:rsidP="00B00953">
      <w:pPr>
        <w:keepNext/>
        <w:keepLines/>
      </w:pPr>
      <w:r w:rsidRPr="005058BB">
        <w:t>documento WO/PBC/26/4 Rev.</w:t>
      </w:r>
    </w:p>
    <w:p w:rsidR="00181C99" w:rsidRPr="005058BB" w:rsidRDefault="00181C99" w:rsidP="00B00953">
      <w:pPr>
        <w:keepNext/>
        <w:keepLines/>
      </w:pPr>
    </w:p>
    <w:p w:rsidR="00181C99" w:rsidRPr="005058BB" w:rsidRDefault="00181C99" w:rsidP="00B00953">
      <w:pPr>
        <w:keepNext/>
        <w:keepLines/>
        <w:spacing w:after="120"/>
        <w:rPr>
          <w:i/>
          <w:iCs/>
        </w:rPr>
      </w:pPr>
      <w:r w:rsidRPr="005058BB">
        <w:rPr>
          <w:i/>
          <w:iCs/>
        </w:rPr>
        <w:t xml:space="preserve">El Comité del Programa y Presupuesto recomendó a las Asambleas de la OMPI, en lo que a cada una </w:t>
      </w:r>
      <w:r w:rsidR="00CD75AD" w:rsidRPr="005058BB">
        <w:rPr>
          <w:i/>
          <w:iCs/>
        </w:rPr>
        <w:t xml:space="preserve">le </w:t>
      </w:r>
      <w:r w:rsidRPr="005058BB">
        <w:rPr>
          <w:i/>
          <w:iCs/>
        </w:rPr>
        <w:t>concierna, que aprueben las modificaciones a la política de inversiones (documento WO/PBC/26/4</w:t>
      </w:r>
      <w:r w:rsidR="009F4E75" w:rsidRPr="005058BB">
        <w:rPr>
          <w:i/>
          <w:iCs/>
        </w:rPr>
        <w:t xml:space="preserve"> Rev.</w:t>
      </w:r>
      <w:r w:rsidRPr="005058BB">
        <w:rPr>
          <w:i/>
          <w:iCs/>
        </w:rPr>
        <w:t>).</w:t>
      </w:r>
    </w:p>
    <w:p w:rsidR="00181C99" w:rsidRPr="005058BB" w:rsidRDefault="00181C99" w:rsidP="00181C99"/>
    <w:p w:rsidR="00181C99" w:rsidRPr="005058BB" w:rsidRDefault="009F4E75" w:rsidP="00181C99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MODIFICACIONES PROPUESTAS AL REGLAMENTO FINANCIERO Y LA REGLAMENTACIÓN FINANCIERA DE LA OMPI, INCLUIDAS LAS MODIFICACIONES AL MARCO DE ADQUISICIONES</w:t>
      </w:r>
    </w:p>
    <w:p w:rsidR="00181C99" w:rsidRPr="005058BB" w:rsidRDefault="00181C99" w:rsidP="00181C99">
      <w:r w:rsidRPr="005058BB">
        <w:t>documento WO/PBC/26/5</w:t>
      </w:r>
    </w:p>
    <w:p w:rsidR="00181C99" w:rsidRPr="005058BB" w:rsidRDefault="00181C99" w:rsidP="00181C99"/>
    <w:p w:rsidR="00EF0E21" w:rsidRPr="005058BB" w:rsidRDefault="00181C99" w:rsidP="002C5512">
      <w:pPr>
        <w:spacing w:after="240"/>
        <w:rPr>
          <w:i/>
          <w:iCs/>
        </w:rPr>
      </w:pPr>
      <w:r w:rsidRPr="005058BB">
        <w:rPr>
          <w:i/>
          <w:iCs/>
        </w:rPr>
        <w:t>El Comité del Programa y Presupuesto</w:t>
      </w:r>
      <w:r w:rsidR="00EF0E21" w:rsidRPr="005058BB">
        <w:rPr>
          <w:i/>
          <w:iCs/>
        </w:rPr>
        <w:t>:</w:t>
      </w:r>
    </w:p>
    <w:p w:rsidR="00181C99" w:rsidRPr="005058BB" w:rsidRDefault="00E91808" w:rsidP="002C5512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  <w:rPr>
          <w:i/>
          <w:iCs/>
          <w:lang w:val="es-ES"/>
        </w:rPr>
      </w:pPr>
      <w:r w:rsidRPr="005058BB">
        <w:rPr>
          <w:i/>
          <w:iCs/>
          <w:lang w:val="es-ES"/>
        </w:rPr>
        <w:t xml:space="preserve">recomendó </w:t>
      </w:r>
      <w:r w:rsidR="00181C99" w:rsidRPr="005058BB">
        <w:rPr>
          <w:i/>
          <w:iCs/>
          <w:lang w:val="es-ES"/>
        </w:rPr>
        <w:t>a la Asamblea General de la OMPI que apruebe el Artículo 5.11, de acuerdo con las modificaciones recogidas en el Anexo I de</w:t>
      </w:r>
      <w:r w:rsidR="002346DE" w:rsidRPr="005058BB">
        <w:rPr>
          <w:i/>
          <w:iCs/>
          <w:lang w:val="es-ES"/>
        </w:rPr>
        <w:t>l</w:t>
      </w:r>
      <w:r w:rsidRPr="005058BB">
        <w:rPr>
          <w:i/>
          <w:iCs/>
          <w:lang w:val="es-ES"/>
        </w:rPr>
        <w:t xml:space="preserve"> documento WO/PBC/26/5;</w:t>
      </w:r>
    </w:p>
    <w:p w:rsidR="00181C99" w:rsidRDefault="00E91808" w:rsidP="002C5512">
      <w:pPr>
        <w:pStyle w:val="ListParagraph"/>
        <w:numPr>
          <w:ilvl w:val="0"/>
          <w:numId w:val="8"/>
        </w:numPr>
        <w:spacing w:after="240"/>
        <w:ind w:left="0" w:firstLine="0"/>
        <w:rPr>
          <w:i/>
          <w:iCs/>
          <w:lang w:val="es-ES"/>
        </w:rPr>
      </w:pPr>
      <w:r w:rsidRPr="005058BB">
        <w:rPr>
          <w:i/>
          <w:iCs/>
          <w:lang w:val="es-ES"/>
        </w:rPr>
        <w:t xml:space="preserve">tomó </w:t>
      </w:r>
      <w:r w:rsidR="00181C99" w:rsidRPr="005058BB">
        <w:rPr>
          <w:i/>
          <w:iCs/>
          <w:lang w:val="es-ES"/>
        </w:rPr>
        <w:t>nota de i) las modificaciones a las Reglas 105.12, 105.17, 105.18, 105.19, 105.26, y 105.27;  ii) la eliminación de las Reglas 105.13, 105.16, 105.21 y 105.23; y iii) la inclusión de la nueva Regla 105.17</w:t>
      </w:r>
      <w:r w:rsidR="00181C99" w:rsidRPr="005058BB">
        <w:rPr>
          <w:iCs/>
          <w:lang w:val="es-ES"/>
        </w:rPr>
        <w:t>bis</w:t>
      </w:r>
      <w:r w:rsidR="00181C99" w:rsidRPr="005058BB">
        <w:rPr>
          <w:i/>
          <w:iCs/>
          <w:lang w:val="es-ES"/>
        </w:rPr>
        <w:t xml:space="preserve"> propuesta, como se recoge en el Anexo I de</w:t>
      </w:r>
      <w:r w:rsidR="002346DE" w:rsidRPr="005058BB">
        <w:rPr>
          <w:i/>
          <w:iCs/>
          <w:lang w:val="es-ES"/>
        </w:rPr>
        <w:t>l</w:t>
      </w:r>
      <w:r w:rsidRPr="005058BB">
        <w:rPr>
          <w:i/>
          <w:iCs/>
          <w:lang w:val="es-ES"/>
        </w:rPr>
        <w:t xml:space="preserve"> documento WO/PBC/26/5;</w:t>
      </w:r>
    </w:p>
    <w:p w:rsidR="007E4035" w:rsidRPr="005058BB" w:rsidRDefault="007E4035" w:rsidP="007E4035">
      <w:pPr>
        <w:pStyle w:val="ListParagraph"/>
        <w:spacing w:after="240"/>
        <w:ind w:left="0"/>
        <w:rPr>
          <w:i/>
          <w:iCs/>
          <w:lang w:val="es-ES"/>
        </w:rPr>
      </w:pPr>
    </w:p>
    <w:p w:rsidR="00181C99" w:rsidRPr="005058BB" w:rsidRDefault="00E91808" w:rsidP="002C5512">
      <w:pPr>
        <w:pStyle w:val="ListParagraph"/>
        <w:numPr>
          <w:ilvl w:val="0"/>
          <w:numId w:val="8"/>
        </w:numPr>
        <w:spacing w:after="240"/>
        <w:ind w:left="0" w:firstLine="0"/>
        <w:contextualSpacing w:val="0"/>
        <w:rPr>
          <w:i/>
          <w:iCs/>
          <w:lang w:val="es-ES"/>
        </w:rPr>
      </w:pPr>
      <w:r w:rsidRPr="005058BB">
        <w:rPr>
          <w:i/>
          <w:iCs/>
          <w:lang w:val="es-ES"/>
        </w:rPr>
        <w:t xml:space="preserve">tomó </w:t>
      </w:r>
      <w:r w:rsidR="00EF0E21" w:rsidRPr="005058BB">
        <w:rPr>
          <w:i/>
          <w:iCs/>
          <w:lang w:val="es-ES"/>
        </w:rPr>
        <w:t xml:space="preserve">nota de </w:t>
      </w:r>
      <w:r w:rsidR="00181C99" w:rsidRPr="005058BB">
        <w:rPr>
          <w:i/>
          <w:iCs/>
          <w:lang w:val="es-ES"/>
        </w:rPr>
        <w:t xml:space="preserve">las modificaciones </w:t>
      </w:r>
      <w:r w:rsidR="00EF0E21" w:rsidRPr="005058BB">
        <w:rPr>
          <w:i/>
          <w:iCs/>
          <w:lang w:val="es-ES"/>
        </w:rPr>
        <w:t xml:space="preserve">propuestas en el Reglamento Financiero y la Reglamentación Financiera que figuran en </w:t>
      </w:r>
      <w:r w:rsidR="00181C99" w:rsidRPr="005058BB">
        <w:rPr>
          <w:i/>
          <w:iCs/>
          <w:lang w:val="es-ES"/>
        </w:rPr>
        <w:t>el Anexo II de</w:t>
      </w:r>
      <w:r w:rsidR="002346DE" w:rsidRPr="005058BB">
        <w:rPr>
          <w:i/>
          <w:iCs/>
          <w:lang w:val="es-ES"/>
        </w:rPr>
        <w:t>l</w:t>
      </w:r>
      <w:r w:rsidR="00181C99" w:rsidRPr="005058BB">
        <w:rPr>
          <w:i/>
          <w:iCs/>
          <w:lang w:val="es-ES"/>
        </w:rPr>
        <w:t xml:space="preserve"> documento </w:t>
      </w:r>
      <w:r w:rsidRPr="005058BB">
        <w:rPr>
          <w:i/>
          <w:iCs/>
          <w:lang w:val="es-ES"/>
        </w:rPr>
        <w:t xml:space="preserve">WO/PBC/26/5 </w:t>
      </w:r>
      <w:r w:rsidR="00EF0E21" w:rsidRPr="005058BB">
        <w:rPr>
          <w:i/>
          <w:iCs/>
          <w:lang w:val="es-ES"/>
        </w:rPr>
        <w:t>y pidió a la Secretaría que presente un proyecto revisado de esas modificaciones en la 27.ª sesión del PBC, tomando en debida consideración los comentarios formulados por los Estados miembros</w:t>
      </w:r>
      <w:r w:rsidR="004106F9" w:rsidRPr="005058BB">
        <w:rPr>
          <w:i/>
          <w:iCs/>
          <w:lang w:val="es-ES"/>
        </w:rPr>
        <w:t>;</w:t>
      </w:r>
      <w:r w:rsidR="002C5512">
        <w:rPr>
          <w:i/>
          <w:iCs/>
          <w:lang w:val="es-ES"/>
        </w:rPr>
        <w:t>  </w:t>
      </w:r>
      <w:r w:rsidR="002C5512" w:rsidRPr="005058BB">
        <w:rPr>
          <w:i/>
          <w:iCs/>
          <w:lang w:val="es-ES"/>
        </w:rPr>
        <w:t>y</w:t>
      </w:r>
    </w:p>
    <w:p w:rsidR="00EF0E21" w:rsidRPr="005058BB" w:rsidRDefault="004106F9" w:rsidP="002C5512">
      <w:pPr>
        <w:pStyle w:val="ListParagraph"/>
        <w:numPr>
          <w:ilvl w:val="0"/>
          <w:numId w:val="8"/>
        </w:numPr>
        <w:spacing w:after="120"/>
        <w:ind w:left="0" w:firstLine="0"/>
        <w:rPr>
          <w:i/>
          <w:iCs/>
          <w:lang w:val="es-ES"/>
        </w:rPr>
      </w:pPr>
      <w:r w:rsidRPr="005058BB">
        <w:rPr>
          <w:i/>
          <w:iCs/>
          <w:lang w:val="es-ES"/>
        </w:rPr>
        <w:t xml:space="preserve">pidió </w:t>
      </w:r>
      <w:r w:rsidR="00EF0E21" w:rsidRPr="005058BB">
        <w:rPr>
          <w:i/>
          <w:iCs/>
          <w:lang w:val="es-ES"/>
        </w:rPr>
        <w:t>a la Comisión Consultiva Independiente de Supervisión (CCIS) que examine las modificaciones mencionadas en el punto 3 y exponga sus opiniones al respecto en la 27.ª sesión del PBC.</w:t>
      </w:r>
    </w:p>
    <w:p w:rsidR="00181C99" w:rsidRPr="005058BB" w:rsidRDefault="00181C99" w:rsidP="00181C99">
      <w:pPr>
        <w:spacing w:after="120"/>
      </w:pPr>
    </w:p>
    <w:p w:rsidR="00181C99" w:rsidRPr="005058BB" w:rsidRDefault="00181C99" w:rsidP="00CD75AD">
      <w:pPr>
        <w:pStyle w:val="ListParagraph"/>
        <w:keepNext/>
        <w:keepLines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SEGURO MÉDICO DESPUÉS DE LA SEPARACIÓN DEL SERVICIO</w:t>
      </w:r>
      <w:r w:rsidR="002346DE" w:rsidRPr="005058BB">
        <w:rPr>
          <w:lang w:val="es-ES"/>
        </w:rPr>
        <w:t xml:space="preserve"> (ASHI)</w:t>
      </w:r>
    </w:p>
    <w:p w:rsidR="00181C99" w:rsidRPr="005058BB" w:rsidRDefault="00181C99" w:rsidP="00CD75AD">
      <w:pPr>
        <w:keepNext/>
        <w:keepLines/>
      </w:pPr>
      <w:r w:rsidRPr="005058BB">
        <w:t>documento WO/PBC/26/6</w:t>
      </w:r>
    </w:p>
    <w:p w:rsidR="00181C99" w:rsidRPr="005058BB" w:rsidRDefault="00181C99" w:rsidP="00CD75AD">
      <w:pPr>
        <w:keepNext/>
        <w:keepLines/>
      </w:pPr>
    </w:p>
    <w:p w:rsidR="000911A3" w:rsidRPr="005058BB" w:rsidRDefault="000911A3" w:rsidP="002C5512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i/>
          <w:lang w:val="es-ES"/>
        </w:rPr>
      </w:pPr>
      <w:r w:rsidRPr="005058BB">
        <w:rPr>
          <w:i/>
          <w:iCs/>
          <w:lang w:val="es-ES"/>
        </w:rPr>
        <w:t xml:space="preserve">El Comité del Programa y Presupuesto </w:t>
      </w:r>
      <w:r w:rsidRPr="005058BB">
        <w:rPr>
          <w:i/>
          <w:lang w:val="es-ES"/>
        </w:rPr>
        <w:t>(PBC) pidió a la Secretaría que p</w:t>
      </w:r>
      <w:r w:rsidR="00B443FD" w:rsidRPr="005058BB">
        <w:rPr>
          <w:i/>
          <w:lang w:val="es-ES"/>
        </w:rPr>
        <w:t>repare una ponencia para la 27.ª</w:t>
      </w:r>
      <w:r w:rsidRPr="005058BB">
        <w:rPr>
          <w:i/>
          <w:lang w:val="es-ES"/>
        </w:rPr>
        <w:t xml:space="preserve"> sesión del PBC sobre el pasivo de la OMPI </w:t>
      </w:r>
      <w:r w:rsidR="002900D0" w:rsidRPr="005058BB">
        <w:rPr>
          <w:i/>
          <w:lang w:val="es-ES"/>
        </w:rPr>
        <w:t>dimanante del ASHI,</w:t>
      </w:r>
      <w:r w:rsidRPr="005058BB">
        <w:rPr>
          <w:i/>
          <w:lang w:val="es-ES"/>
        </w:rPr>
        <w:t xml:space="preserve"> </w:t>
      </w:r>
      <w:r w:rsidR="00B443FD" w:rsidRPr="005058BB">
        <w:rPr>
          <w:i/>
          <w:lang w:val="es-ES"/>
        </w:rPr>
        <w:t xml:space="preserve">que incluya </w:t>
      </w:r>
      <w:r w:rsidRPr="005058BB">
        <w:rPr>
          <w:i/>
          <w:lang w:val="es-ES"/>
        </w:rPr>
        <w:t xml:space="preserve">información </w:t>
      </w:r>
      <w:r w:rsidR="00B443FD" w:rsidRPr="005058BB">
        <w:rPr>
          <w:i/>
          <w:lang w:val="es-ES"/>
        </w:rPr>
        <w:t>sobre los enfoques que la OMPI está estudiando para financiar dicho pasivo, con el fin de contribuir a seguir examinando el asunto.</w:t>
      </w:r>
    </w:p>
    <w:p w:rsidR="00B443FD" w:rsidRPr="005058BB" w:rsidRDefault="00B443FD" w:rsidP="002C5512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i/>
          <w:lang w:val="es-ES"/>
        </w:rPr>
      </w:pPr>
      <w:r w:rsidRPr="00226E9F">
        <w:rPr>
          <w:i/>
          <w:iCs/>
          <w:lang w:val="es-ES"/>
        </w:rPr>
        <w:t>El</w:t>
      </w:r>
      <w:r w:rsidRPr="005058BB">
        <w:rPr>
          <w:i/>
          <w:lang w:val="es-ES"/>
        </w:rPr>
        <w:t xml:space="preserve"> PBC recomendó a las Asambleas de los Estados miembros de la OMPI y de las Uniones, </w:t>
      </w:r>
      <w:r w:rsidR="0049146F" w:rsidRPr="005058BB">
        <w:rPr>
          <w:i/>
          <w:iCs/>
          <w:lang w:val="es-ES"/>
        </w:rPr>
        <w:t>en lo que a cada una le concierna, solicitar a la Secretaría</w:t>
      </w:r>
      <w:r w:rsidR="002C5512">
        <w:rPr>
          <w:i/>
          <w:iCs/>
          <w:lang w:val="es-ES"/>
        </w:rPr>
        <w:t>:</w:t>
      </w:r>
    </w:p>
    <w:p w:rsidR="000911A3" w:rsidRPr="005058BB" w:rsidRDefault="0049146F" w:rsidP="002C5512">
      <w:pPr>
        <w:pStyle w:val="ListParagraph"/>
        <w:numPr>
          <w:ilvl w:val="0"/>
          <w:numId w:val="14"/>
        </w:numPr>
        <w:spacing w:after="240"/>
        <w:ind w:left="567" w:firstLine="0"/>
        <w:contextualSpacing w:val="0"/>
        <w:rPr>
          <w:i/>
          <w:lang w:val="es-ES"/>
        </w:rPr>
      </w:pPr>
      <w:r w:rsidRPr="005058BB">
        <w:rPr>
          <w:i/>
          <w:lang w:val="es-ES"/>
        </w:rPr>
        <w:t xml:space="preserve">que </w:t>
      </w:r>
      <w:r w:rsidRPr="005058BB">
        <w:rPr>
          <w:i/>
          <w:iCs/>
          <w:lang w:val="es-ES"/>
        </w:rPr>
        <w:t>continúe participando en el Grupo de Trabajo sobre el ASHI, de la Red de Finanzas y Presupuesto</w:t>
      </w:r>
      <w:r w:rsidR="000911A3" w:rsidRPr="005058BB">
        <w:rPr>
          <w:i/>
          <w:lang w:val="es-ES"/>
        </w:rPr>
        <w:t xml:space="preserve">; </w:t>
      </w:r>
      <w:r w:rsidR="00FD35A0">
        <w:rPr>
          <w:i/>
          <w:lang w:val="es-ES"/>
        </w:rPr>
        <w:t xml:space="preserve"> </w:t>
      </w:r>
      <w:r w:rsidRPr="005058BB">
        <w:rPr>
          <w:i/>
          <w:lang w:val="es-ES"/>
        </w:rPr>
        <w:t>y</w:t>
      </w:r>
    </w:p>
    <w:p w:rsidR="000911A3" w:rsidRPr="005058BB" w:rsidRDefault="002900D0" w:rsidP="0021226E">
      <w:pPr>
        <w:pStyle w:val="ListParagraph"/>
        <w:numPr>
          <w:ilvl w:val="0"/>
          <w:numId w:val="14"/>
        </w:numPr>
        <w:spacing w:after="120"/>
        <w:ind w:left="567" w:firstLine="0"/>
        <w:rPr>
          <w:i/>
          <w:lang w:val="es-ES"/>
        </w:rPr>
      </w:pPr>
      <w:r w:rsidRPr="005058BB">
        <w:rPr>
          <w:i/>
          <w:iCs/>
          <w:lang w:val="es-ES"/>
        </w:rPr>
        <w:lastRenderedPageBreak/>
        <w:t xml:space="preserve">que </w:t>
      </w:r>
      <w:r w:rsidR="0049146F" w:rsidRPr="005058BB">
        <w:rPr>
          <w:i/>
          <w:iCs/>
          <w:lang w:val="es-ES"/>
        </w:rPr>
        <w:t>se mantenga al corriente de las propuestas específicas que el Secretario General presente en el septuagésimo tercer período de sesiones de la Asamblea General de las Naciones Unidas</w:t>
      </w:r>
      <w:r w:rsidR="0049146F" w:rsidRPr="005058BB">
        <w:rPr>
          <w:i/>
          <w:lang w:val="es-ES"/>
        </w:rPr>
        <w:t xml:space="preserve"> y, </w:t>
      </w:r>
      <w:r w:rsidRPr="005058BB">
        <w:rPr>
          <w:i/>
          <w:lang w:val="es-ES"/>
        </w:rPr>
        <w:t>sobre la base de</w:t>
      </w:r>
      <w:r w:rsidR="0049146F" w:rsidRPr="005058BB">
        <w:rPr>
          <w:i/>
          <w:lang w:val="es-ES"/>
        </w:rPr>
        <w:t xml:space="preserve"> esas propuestas, presente medidas concretas al PBC</w:t>
      </w:r>
      <w:r w:rsidRPr="005058BB">
        <w:rPr>
          <w:i/>
          <w:lang w:val="es-ES"/>
        </w:rPr>
        <w:t xml:space="preserve"> en su 28.ª sesión</w:t>
      </w:r>
      <w:r w:rsidR="0049146F" w:rsidRPr="005058BB">
        <w:rPr>
          <w:i/>
          <w:lang w:val="es-ES"/>
        </w:rPr>
        <w:t>,</w:t>
      </w:r>
      <w:r w:rsidRPr="005058BB">
        <w:rPr>
          <w:i/>
          <w:lang w:val="es-ES"/>
        </w:rPr>
        <w:t xml:space="preserve"> </w:t>
      </w:r>
      <w:r w:rsidR="0049146F" w:rsidRPr="005058BB">
        <w:rPr>
          <w:i/>
          <w:lang w:val="es-ES"/>
        </w:rPr>
        <w:t xml:space="preserve">con referencia al pasivo </w:t>
      </w:r>
      <w:r w:rsidR="00FD35A0">
        <w:rPr>
          <w:i/>
          <w:lang w:val="es-ES"/>
        </w:rPr>
        <w:t xml:space="preserve">actualizado </w:t>
      </w:r>
      <w:r w:rsidR="0049146F" w:rsidRPr="005058BB">
        <w:rPr>
          <w:i/>
          <w:lang w:val="es-ES"/>
        </w:rPr>
        <w:t>dimanante del seguro médico</w:t>
      </w:r>
      <w:r w:rsidRPr="005058BB">
        <w:rPr>
          <w:i/>
          <w:lang w:val="es-ES"/>
        </w:rPr>
        <w:t xml:space="preserve">, expuesto en los estados financieros, habida cuenta de la pertenencia de la OMPI al </w:t>
      </w:r>
      <w:r w:rsidR="0021226E">
        <w:rPr>
          <w:i/>
          <w:lang w:val="es-ES"/>
        </w:rPr>
        <w:t>Régimen</w:t>
      </w:r>
      <w:r w:rsidR="0021226E" w:rsidRPr="005058BB">
        <w:rPr>
          <w:i/>
          <w:lang w:val="es-ES"/>
        </w:rPr>
        <w:t xml:space="preserve"> Común </w:t>
      </w:r>
      <w:r w:rsidRPr="005058BB">
        <w:rPr>
          <w:i/>
          <w:lang w:val="es-ES"/>
        </w:rPr>
        <w:t>de las Naciones Unidas.</w:t>
      </w:r>
    </w:p>
    <w:p w:rsidR="00181C99" w:rsidRPr="005058BB" w:rsidRDefault="00181C99" w:rsidP="00181C99"/>
    <w:p w:rsidR="00181C99" w:rsidRPr="005058BB" w:rsidRDefault="00181C99" w:rsidP="003A7DE7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2275" w:hanging="2275"/>
        <w:contextualSpacing w:val="0"/>
        <w:rPr>
          <w:lang w:val="es-ES"/>
        </w:rPr>
      </w:pPr>
      <w:r w:rsidRPr="005058BB">
        <w:rPr>
          <w:lang w:val="es-ES"/>
        </w:rPr>
        <w:t>CUESTIONES RELATIVAS A LA GOBERNANZA</w:t>
      </w:r>
    </w:p>
    <w:p w:rsidR="00181C99" w:rsidRPr="005058BB" w:rsidRDefault="00B71D2D" w:rsidP="00226E9F">
      <w:pPr>
        <w:spacing w:before="120"/>
      </w:pPr>
      <w:r>
        <w:t>documentos WO/PBC/26/8 y 10</w:t>
      </w:r>
    </w:p>
    <w:p w:rsidR="00181C99" w:rsidRPr="005058BB" w:rsidRDefault="00181C99" w:rsidP="003A7DE7"/>
    <w:p w:rsidR="004B5C56" w:rsidRPr="005058BB" w:rsidRDefault="004B5C56" w:rsidP="002C5512">
      <w:pPr>
        <w:keepNext/>
        <w:keepLines/>
        <w:spacing w:after="240"/>
        <w:rPr>
          <w:i/>
          <w:iCs/>
        </w:rPr>
      </w:pPr>
      <w:r w:rsidRPr="005058BB">
        <w:rPr>
          <w:i/>
          <w:iCs/>
        </w:rPr>
        <w:t>El Comité del Programa y Presupuesto (PBC):</w:t>
      </w:r>
    </w:p>
    <w:p w:rsidR="004B5C56" w:rsidRPr="005058BB" w:rsidRDefault="004B5C56" w:rsidP="002C5512">
      <w:pPr>
        <w:pStyle w:val="ListParagraph"/>
        <w:numPr>
          <w:ilvl w:val="0"/>
          <w:numId w:val="11"/>
        </w:numPr>
        <w:spacing w:after="240"/>
        <w:ind w:left="567" w:firstLine="0"/>
        <w:contextualSpacing w:val="0"/>
        <w:rPr>
          <w:i/>
          <w:iCs/>
          <w:lang w:val="es-ES"/>
        </w:rPr>
      </w:pPr>
      <w:r w:rsidRPr="005058BB">
        <w:rPr>
          <w:i/>
          <w:iCs/>
          <w:lang w:val="es-ES"/>
        </w:rPr>
        <w:t>tomó nota de la situación del proceso de reforma estatutaria que se expone en el documento</w:t>
      </w:r>
      <w:r w:rsidRPr="005058BB">
        <w:rPr>
          <w:i/>
          <w:lang w:val="es-ES"/>
        </w:rPr>
        <w:t xml:space="preserve"> WO/PBC/26/8;</w:t>
      </w:r>
      <w:r w:rsidRPr="005058BB">
        <w:rPr>
          <w:i/>
          <w:iCs/>
          <w:lang w:val="es-ES"/>
        </w:rPr>
        <w:t xml:space="preserve"> </w:t>
      </w:r>
    </w:p>
    <w:p w:rsidR="004B5C56" w:rsidRPr="005058BB" w:rsidRDefault="004B5C56" w:rsidP="002C5512">
      <w:pPr>
        <w:pStyle w:val="ListParagraph"/>
        <w:numPr>
          <w:ilvl w:val="0"/>
          <w:numId w:val="11"/>
        </w:numPr>
        <w:spacing w:after="240"/>
        <w:ind w:left="567" w:firstLine="0"/>
        <w:contextualSpacing w:val="0"/>
        <w:rPr>
          <w:i/>
          <w:iCs/>
          <w:lang w:val="es-ES"/>
        </w:rPr>
      </w:pPr>
      <w:r w:rsidRPr="005058BB">
        <w:rPr>
          <w:i/>
          <w:iCs/>
          <w:lang w:val="es-ES"/>
        </w:rPr>
        <w:t>instó a que prosigan las iniciativas de sensibilización de los Estados miembros en relación con el proceso de ratificación de las modificaciones de 1993 y 2003 del Convenio de la OMPI y otros tratados administrados por la OMPI;  y</w:t>
      </w:r>
    </w:p>
    <w:p w:rsidR="004B5C56" w:rsidRPr="005058BB" w:rsidRDefault="004B5C56" w:rsidP="00FD35A0">
      <w:pPr>
        <w:pStyle w:val="ListParagraph"/>
        <w:numPr>
          <w:ilvl w:val="0"/>
          <w:numId w:val="11"/>
        </w:numPr>
        <w:spacing w:after="120"/>
        <w:ind w:left="567" w:firstLine="0"/>
        <w:rPr>
          <w:i/>
          <w:iCs/>
          <w:lang w:val="es-ES"/>
        </w:rPr>
      </w:pPr>
      <w:r w:rsidRPr="005058BB">
        <w:rPr>
          <w:i/>
          <w:iCs/>
          <w:lang w:val="es-ES"/>
        </w:rPr>
        <w:t xml:space="preserve">pidió a la Secretaría que informe en la 28.ª sesión del PBC </w:t>
      </w:r>
      <w:r w:rsidR="00ED5C4B">
        <w:rPr>
          <w:i/>
          <w:iCs/>
          <w:lang w:val="es-ES"/>
        </w:rPr>
        <w:t xml:space="preserve">acerca </w:t>
      </w:r>
      <w:r w:rsidRPr="005058BB">
        <w:rPr>
          <w:i/>
          <w:iCs/>
          <w:lang w:val="es-ES"/>
        </w:rPr>
        <w:t>de la situación de la aplicación de las modificaciones de 1999 y 2003.</w:t>
      </w:r>
    </w:p>
    <w:p w:rsidR="00181C99" w:rsidRPr="005058BB" w:rsidRDefault="00181C99" w:rsidP="00181C99"/>
    <w:p w:rsidR="00181C99" w:rsidRPr="005058BB" w:rsidRDefault="00181C99" w:rsidP="00181C99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APERTURA DE NUEVAS OFICINAS DE LA OMPI EN EL EXTERIOR</w:t>
      </w:r>
    </w:p>
    <w:p w:rsidR="00181C99" w:rsidRPr="005058BB" w:rsidRDefault="00181C99" w:rsidP="00226E9F">
      <w:pPr>
        <w:spacing w:before="120"/>
      </w:pPr>
      <w:r w:rsidRPr="005058BB">
        <w:t>documentos WO/PBC/26/7 y A/56/15</w:t>
      </w:r>
    </w:p>
    <w:p w:rsidR="00226E9F" w:rsidRDefault="00226E9F" w:rsidP="00181C99">
      <w:pPr>
        <w:rPr>
          <w:iCs/>
        </w:rPr>
      </w:pPr>
    </w:p>
    <w:p w:rsidR="00181C99" w:rsidRPr="00993C8E" w:rsidRDefault="00993C8E" w:rsidP="002C5512">
      <w:pPr>
        <w:spacing w:after="240"/>
        <w:rPr>
          <w:i/>
        </w:rPr>
      </w:pPr>
      <w:r w:rsidRPr="00993C8E">
        <w:rPr>
          <w:i/>
        </w:rPr>
        <w:t>El Comité d</w:t>
      </w:r>
      <w:r w:rsidR="002C5512">
        <w:rPr>
          <w:i/>
        </w:rPr>
        <w:t>el Programa y Presupuesto (PBC):</w:t>
      </w:r>
    </w:p>
    <w:p w:rsidR="00993C8E" w:rsidRPr="00993C8E" w:rsidRDefault="00993C8E" w:rsidP="00993C8E">
      <w:pPr>
        <w:tabs>
          <w:tab w:val="left" w:pos="1134"/>
        </w:tabs>
        <w:spacing w:after="240"/>
        <w:ind w:left="567"/>
        <w:rPr>
          <w:i/>
        </w:rPr>
      </w:pPr>
      <w:r w:rsidRPr="00993C8E">
        <w:rPr>
          <w:i/>
        </w:rPr>
        <w:t>i)</w:t>
      </w:r>
      <w:r w:rsidRPr="00993C8E">
        <w:rPr>
          <w:i/>
        </w:rPr>
        <w:tab/>
        <w:t>escuchó la presentación de las nuevas propuestas de oficinas en el exterior que se abrirán en el bienio 2018/19;</w:t>
      </w:r>
    </w:p>
    <w:p w:rsidR="00993C8E" w:rsidRPr="00993C8E" w:rsidRDefault="00993C8E" w:rsidP="00993C8E">
      <w:pPr>
        <w:tabs>
          <w:tab w:val="left" w:pos="1134"/>
        </w:tabs>
        <w:spacing w:after="240"/>
        <w:ind w:left="567"/>
        <w:rPr>
          <w:i/>
        </w:rPr>
      </w:pPr>
      <w:r w:rsidRPr="00993C8E">
        <w:rPr>
          <w:i/>
        </w:rPr>
        <w:t>ii)</w:t>
      </w:r>
      <w:r w:rsidRPr="00993C8E">
        <w:rPr>
          <w:i/>
        </w:rPr>
        <w:tab/>
        <w:t>volvió a examinar una propuesta para el bienio 2016/17;  y</w:t>
      </w:r>
    </w:p>
    <w:p w:rsidR="00993C8E" w:rsidRDefault="00993C8E" w:rsidP="002C5512">
      <w:pPr>
        <w:tabs>
          <w:tab w:val="left" w:pos="1134"/>
        </w:tabs>
        <w:spacing w:after="120"/>
        <w:ind w:left="567"/>
        <w:rPr>
          <w:i/>
        </w:rPr>
      </w:pPr>
      <w:r w:rsidRPr="00993C8E">
        <w:rPr>
          <w:i/>
        </w:rPr>
        <w:t>iii)</w:t>
      </w:r>
      <w:r w:rsidRPr="00993C8E">
        <w:rPr>
          <w:i/>
        </w:rPr>
        <w:tab/>
        <w:t xml:space="preserve">mantuvo un primer intercambio </w:t>
      </w:r>
      <w:r>
        <w:rPr>
          <w:i/>
        </w:rPr>
        <w:t xml:space="preserve">de puntos de vista con la mira puesta en adoptar una decisión sobre las oficinas en el exterior pendientes para los bienios 2016/17 y 2018/19, y decidió continuar el debate en su 27.ª sesión </w:t>
      </w:r>
      <w:r w:rsidR="00B07887">
        <w:rPr>
          <w:i/>
        </w:rPr>
        <w:t>con el propósito de formular una recomendación a la Asamblea General de la OMPI reunida en 2017.</w:t>
      </w:r>
    </w:p>
    <w:p w:rsidR="00993C8E" w:rsidRPr="00993C8E" w:rsidRDefault="00993C8E" w:rsidP="00993C8E"/>
    <w:p w:rsidR="00181C99" w:rsidRPr="005058BB" w:rsidRDefault="00181C99" w:rsidP="00CD75AD">
      <w:pPr>
        <w:pStyle w:val="ListParagraph"/>
        <w:numPr>
          <w:ilvl w:val="0"/>
          <w:numId w:val="7"/>
        </w:numPr>
        <w:tabs>
          <w:tab w:val="left" w:pos="3686"/>
        </w:tabs>
        <w:spacing w:before="120" w:after="120"/>
        <w:ind w:left="3686" w:hanging="3686"/>
        <w:contextualSpacing w:val="0"/>
        <w:rPr>
          <w:lang w:val="es-ES"/>
        </w:rPr>
      </w:pPr>
      <w:r w:rsidRPr="005058BB">
        <w:rPr>
          <w:lang w:val="es-ES"/>
        </w:rPr>
        <w:t>CLAUSURA DE LA SE</w:t>
      </w:r>
      <w:r w:rsidR="003A7DE7" w:rsidRPr="005058BB">
        <w:rPr>
          <w:lang w:val="es-ES"/>
        </w:rPr>
        <w:t>SIÓN</w:t>
      </w:r>
    </w:p>
    <w:p w:rsidR="00181C99" w:rsidRPr="005058BB" w:rsidRDefault="00181C99" w:rsidP="00181C99"/>
    <w:p w:rsidR="00181C99" w:rsidRPr="005058BB" w:rsidRDefault="00181C99" w:rsidP="00181C99"/>
    <w:p w:rsidR="00181C99" w:rsidRPr="005058BB" w:rsidRDefault="00181C99" w:rsidP="00181C99"/>
    <w:p w:rsidR="00152CEA" w:rsidRPr="005058BB" w:rsidRDefault="00181C99" w:rsidP="005058BB">
      <w:pPr>
        <w:pStyle w:val="Endofdocument-Annex"/>
        <w:rPr>
          <w:lang w:val="es-ES"/>
        </w:rPr>
      </w:pPr>
      <w:r w:rsidRPr="005058BB">
        <w:rPr>
          <w:lang w:val="es-ES"/>
        </w:rPr>
        <w:t>[Fin del documento]</w:t>
      </w:r>
    </w:p>
    <w:sectPr w:rsidR="00152CEA" w:rsidRPr="005058BB" w:rsidSect="00181C99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99" w:rsidRDefault="00181C99">
      <w:r>
        <w:separator/>
      </w:r>
    </w:p>
  </w:endnote>
  <w:endnote w:type="continuationSeparator" w:id="0">
    <w:p w:rsidR="00181C99" w:rsidRPr="009D30E6" w:rsidRDefault="00181C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1C99" w:rsidRPr="007E663E" w:rsidRDefault="00181C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81C99" w:rsidRPr="007E663E" w:rsidRDefault="00181C9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99" w:rsidRDefault="00181C99">
      <w:r>
        <w:separator/>
      </w:r>
    </w:p>
  </w:footnote>
  <w:footnote w:type="continuationSeparator" w:id="0">
    <w:p w:rsidR="00181C99" w:rsidRPr="009D30E6" w:rsidRDefault="00181C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1C99" w:rsidRPr="007E663E" w:rsidRDefault="00181C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81C99" w:rsidRPr="007E663E" w:rsidRDefault="00181C9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81C99" w:rsidP="00477D6B">
    <w:pPr>
      <w:jc w:val="right"/>
    </w:pPr>
    <w:bookmarkStart w:id="6" w:name="Code2"/>
    <w:bookmarkEnd w:id="6"/>
    <w:r>
      <w:t>WO/PBC/26/11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E4035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397328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422F"/>
    <w:multiLevelType w:val="hybridMultilevel"/>
    <w:tmpl w:val="D44E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C66C56">
      <w:start w:val="1"/>
      <w:numFmt w:val="lowerRoman"/>
      <w:lvlText w:val="(%2)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300CA"/>
    <w:multiLevelType w:val="hybridMultilevel"/>
    <w:tmpl w:val="CCF44FF2"/>
    <w:lvl w:ilvl="0" w:tplc="0FC66C56">
      <w:start w:val="1"/>
      <w:numFmt w:val="lowerRoman"/>
      <w:lvlText w:val="(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282B3B"/>
    <w:multiLevelType w:val="hybridMultilevel"/>
    <w:tmpl w:val="D63C5DD2"/>
    <w:lvl w:ilvl="0" w:tplc="44D066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D6212"/>
    <w:multiLevelType w:val="hybridMultilevel"/>
    <w:tmpl w:val="8970221C"/>
    <w:lvl w:ilvl="0" w:tplc="1B969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7568A8"/>
    <w:multiLevelType w:val="hybridMultilevel"/>
    <w:tmpl w:val="912A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0651A"/>
    <w:multiLevelType w:val="hybridMultilevel"/>
    <w:tmpl w:val="1BFE2B76"/>
    <w:lvl w:ilvl="0" w:tplc="CBCA85EC">
      <w:start w:val="1"/>
      <w:numFmt w:val="decimal"/>
      <w:lvlText w:val="PUNTO %1 DEL ORDEN DEL DÍA"/>
      <w:lvlJc w:val="left"/>
      <w:pPr>
        <w:ind w:left="644" w:hanging="360"/>
      </w:pPr>
      <w:rPr>
        <w:rFonts w:ascii="Arial Bold" w:hAnsi="Arial Bold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E660D"/>
    <w:multiLevelType w:val="hybridMultilevel"/>
    <w:tmpl w:val="93AEE8DE"/>
    <w:lvl w:ilvl="0" w:tplc="8FE27E5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99"/>
    <w:rsid w:val="00010686"/>
    <w:rsid w:val="00052915"/>
    <w:rsid w:val="00054DE0"/>
    <w:rsid w:val="000911A3"/>
    <w:rsid w:val="00095C2D"/>
    <w:rsid w:val="000B0A22"/>
    <w:rsid w:val="000E3BB3"/>
    <w:rsid w:val="000F5E56"/>
    <w:rsid w:val="00117C13"/>
    <w:rsid w:val="0012347E"/>
    <w:rsid w:val="001362EE"/>
    <w:rsid w:val="00152CEA"/>
    <w:rsid w:val="00181C99"/>
    <w:rsid w:val="001832A6"/>
    <w:rsid w:val="0021226E"/>
    <w:rsid w:val="00226E9F"/>
    <w:rsid w:val="002346DE"/>
    <w:rsid w:val="002465B3"/>
    <w:rsid w:val="00255A25"/>
    <w:rsid w:val="002634C4"/>
    <w:rsid w:val="002900D0"/>
    <w:rsid w:val="002C5512"/>
    <w:rsid w:val="002E0F47"/>
    <w:rsid w:val="002F4E68"/>
    <w:rsid w:val="00336040"/>
    <w:rsid w:val="00354647"/>
    <w:rsid w:val="00377273"/>
    <w:rsid w:val="003845C1"/>
    <w:rsid w:val="00387287"/>
    <w:rsid w:val="003A7DE7"/>
    <w:rsid w:val="003E48F1"/>
    <w:rsid w:val="003F347A"/>
    <w:rsid w:val="004106F9"/>
    <w:rsid w:val="00415844"/>
    <w:rsid w:val="00423E3E"/>
    <w:rsid w:val="00427AF4"/>
    <w:rsid w:val="0045231F"/>
    <w:rsid w:val="004647DA"/>
    <w:rsid w:val="0046793F"/>
    <w:rsid w:val="00477808"/>
    <w:rsid w:val="00477D6B"/>
    <w:rsid w:val="0049146F"/>
    <w:rsid w:val="004A6C37"/>
    <w:rsid w:val="004B5C56"/>
    <w:rsid w:val="004E297D"/>
    <w:rsid w:val="005058BB"/>
    <w:rsid w:val="00531B02"/>
    <w:rsid w:val="005332F0"/>
    <w:rsid w:val="0055013B"/>
    <w:rsid w:val="00571B99"/>
    <w:rsid w:val="00576E34"/>
    <w:rsid w:val="005B131E"/>
    <w:rsid w:val="00605827"/>
    <w:rsid w:val="006529E9"/>
    <w:rsid w:val="00675021"/>
    <w:rsid w:val="006801FB"/>
    <w:rsid w:val="006A06C6"/>
    <w:rsid w:val="006B4E97"/>
    <w:rsid w:val="007224C8"/>
    <w:rsid w:val="007521C2"/>
    <w:rsid w:val="00763943"/>
    <w:rsid w:val="00773F1D"/>
    <w:rsid w:val="007861CD"/>
    <w:rsid w:val="00794BE2"/>
    <w:rsid w:val="007A5581"/>
    <w:rsid w:val="007B71FE"/>
    <w:rsid w:val="007D781E"/>
    <w:rsid w:val="007E4035"/>
    <w:rsid w:val="007E663E"/>
    <w:rsid w:val="00815082"/>
    <w:rsid w:val="00876B5A"/>
    <w:rsid w:val="0088395E"/>
    <w:rsid w:val="00885D04"/>
    <w:rsid w:val="008A2CCD"/>
    <w:rsid w:val="008B2CC1"/>
    <w:rsid w:val="008E6BD6"/>
    <w:rsid w:val="0090731E"/>
    <w:rsid w:val="00966A22"/>
    <w:rsid w:val="00972F03"/>
    <w:rsid w:val="00993C8E"/>
    <w:rsid w:val="009A0C8B"/>
    <w:rsid w:val="009A20CD"/>
    <w:rsid w:val="009B6241"/>
    <w:rsid w:val="009F4E75"/>
    <w:rsid w:val="00A16FC0"/>
    <w:rsid w:val="00A32C9E"/>
    <w:rsid w:val="00AA02FE"/>
    <w:rsid w:val="00AB613D"/>
    <w:rsid w:val="00AE7F20"/>
    <w:rsid w:val="00B00953"/>
    <w:rsid w:val="00B07887"/>
    <w:rsid w:val="00B443FD"/>
    <w:rsid w:val="00B534D5"/>
    <w:rsid w:val="00B65A0A"/>
    <w:rsid w:val="00B67CDC"/>
    <w:rsid w:val="00B71D2D"/>
    <w:rsid w:val="00B72D36"/>
    <w:rsid w:val="00B85A37"/>
    <w:rsid w:val="00BC4164"/>
    <w:rsid w:val="00BD2DCC"/>
    <w:rsid w:val="00C164DE"/>
    <w:rsid w:val="00C90559"/>
    <w:rsid w:val="00C95984"/>
    <w:rsid w:val="00CA2251"/>
    <w:rsid w:val="00CD75AD"/>
    <w:rsid w:val="00D261A5"/>
    <w:rsid w:val="00D56C7C"/>
    <w:rsid w:val="00D71B4D"/>
    <w:rsid w:val="00D90289"/>
    <w:rsid w:val="00D93D55"/>
    <w:rsid w:val="00DC4C60"/>
    <w:rsid w:val="00DC6995"/>
    <w:rsid w:val="00DD26EA"/>
    <w:rsid w:val="00E0079A"/>
    <w:rsid w:val="00E0248E"/>
    <w:rsid w:val="00E119B8"/>
    <w:rsid w:val="00E444DA"/>
    <w:rsid w:val="00E45C84"/>
    <w:rsid w:val="00E504E5"/>
    <w:rsid w:val="00E91808"/>
    <w:rsid w:val="00E97CD9"/>
    <w:rsid w:val="00EB7A3E"/>
    <w:rsid w:val="00EC401A"/>
    <w:rsid w:val="00ED5C4B"/>
    <w:rsid w:val="00EF0E21"/>
    <w:rsid w:val="00EF530A"/>
    <w:rsid w:val="00EF6622"/>
    <w:rsid w:val="00EF78A9"/>
    <w:rsid w:val="00F55408"/>
    <w:rsid w:val="00F66152"/>
    <w:rsid w:val="00F80845"/>
    <w:rsid w:val="00F84474"/>
    <w:rsid w:val="00FA0F0D"/>
    <w:rsid w:val="00FD35A0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4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4E97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81C99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4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4E97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81C9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26 (S)</Template>
  <TotalTime>19</TotalTime>
  <Pages>4</Pages>
  <Words>1267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WO/PBC/26/11</vt:lpstr>
    </vt:vector>
  </TitlesOfParts>
  <Company>WIPO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WO/PBC/26/11</dc:title>
  <dc:creator>CEVALLOS DUQUE Nilo</dc:creator>
  <cp:lastModifiedBy> </cp:lastModifiedBy>
  <cp:revision>8</cp:revision>
  <dcterms:created xsi:type="dcterms:W3CDTF">2017-07-14T15:05:00Z</dcterms:created>
  <dcterms:modified xsi:type="dcterms:W3CDTF">2017-07-28T14:19:00Z</dcterms:modified>
</cp:coreProperties>
</file>